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941D967" w14:textId="77777777">
        <w:tc>
          <w:tcPr>
            <w:tcW w:w="8717" w:type="dxa"/>
            <w:gridSpan w:val="2"/>
            <w:tcBorders>
              <w:top w:val="nil"/>
              <w:left w:val="nil"/>
              <w:bottom w:val="nil"/>
              <w:right w:val="nil"/>
            </w:tcBorders>
            <w:vAlign w:val="center"/>
          </w:tcPr>
          <w:p w:rsidR="00470846" w:rsidP="00FB349A" w:rsidRDefault="00470846" w14:paraId="7DECBC9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7E0BE44A"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0FA8A0D3" w14:textId="77777777">
        <w:trPr>
          <w:cantSplit/>
        </w:trPr>
        <w:tc>
          <w:tcPr>
            <w:tcW w:w="10348" w:type="dxa"/>
            <w:gridSpan w:val="3"/>
            <w:tcBorders>
              <w:top w:val="single" w:color="auto" w:sz="4" w:space="0"/>
              <w:left w:val="nil"/>
              <w:bottom w:val="nil"/>
              <w:right w:val="nil"/>
            </w:tcBorders>
          </w:tcPr>
          <w:p w:rsidR="00470846" w:rsidP="00F9022B" w:rsidRDefault="00833C90" w14:paraId="5E3E1B4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3980DAC7" w14:textId="77777777">
        <w:trPr>
          <w:cantSplit/>
        </w:trPr>
        <w:tc>
          <w:tcPr>
            <w:tcW w:w="10348" w:type="dxa"/>
            <w:gridSpan w:val="3"/>
            <w:tcBorders>
              <w:top w:val="nil"/>
              <w:left w:val="nil"/>
              <w:bottom w:val="nil"/>
              <w:right w:val="nil"/>
            </w:tcBorders>
          </w:tcPr>
          <w:p w:rsidR="00470846" w:rsidP="00F8109A" w:rsidRDefault="00470846" w14:paraId="532E7D11" w14:textId="77777777">
            <w:pPr>
              <w:pStyle w:val="Amendement"/>
              <w:tabs>
                <w:tab w:val="clear" w:pos="3310"/>
                <w:tab w:val="clear" w:pos="3600"/>
              </w:tabs>
              <w:rPr>
                <w:rFonts w:ascii="Times New Roman" w:hAnsi="Times New Roman"/>
                <w:b w:val="0"/>
              </w:rPr>
            </w:pPr>
          </w:p>
        </w:tc>
      </w:tr>
      <w:tr w:rsidR="00470846" w:rsidTr="00FB349A" w14:paraId="3DF7FBD9" w14:textId="77777777">
        <w:trPr>
          <w:cantSplit/>
        </w:trPr>
        <w:tc>
          <w:tcPr>
            <w:tcW w:w="10348" w:type="dxa"/>
            <w:gridSpan w:val="3"/>
            <w:tcBorders>
              <w:top w:val="nil"/>
              <w:left w:val="nil"/>
              <w:bottom w:val="single" w:color="auto" w:sz="4" w:space="0"/>
              <w:right w:val="nil"/>
            </w:tcBorders>
          </w:tcPr>
          <w:p w:rsidR="00470846" w:rsidP="00F8109A" w:rsidRDefault="00470846" w14:paraId="1F55E9D3" w14:textId="77777777">
            <w:pPr>
              <w:pStyle w:val="Amendement"/>
              <w:tabs>
                <w:tab w:val="clear" w:pos="3310"/>
                <w:tab w:val="clear" w:pos="3600"/>
              </w:tabs>
              <w:rPr>
                <w:rFonts w:ascii="Times New Roman" w:hAnsi="Times New Roman"/>
              </w:rPr>
            </w:pPr>
          </w:p>
        </w:tc>
      </w:tr>
      <w:tr w:rsidR="00470846" w:rsidTr="00FB349A" w14:paraId="511194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D859683"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8EC01E6" w14:textId="77777777">
            <w:pPr>
              <w:suppressAutoHyphens/>
              <w:rPr>
                <w:rFonts w:ascii="Times New Roman" w:hAnsi="Times New Roman"/>
                <w:b/>
              </w:rPr>
            </w:pPr>
          </w:p>
        </w:tc>
      </w:tr>
      <w:tr w:rsidR="00470846" w:rsidTr="00FB349A" w14:paraId="2C15443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8E2C55" w14:paraId="2A6857E3" w14:textId="5BB95183">
            <w:pPr>
              <w:pStyle w:val="Amendement"/>
              <w:tabs>
                <w:tab w:val="clear" w:pos="3310"/>
                <w:tab w:val="clear" w:pos="3600"/>
              </w:tabs>
              <w:rPr>
                <w:rFonts w:ascii="Times New Roman" w:hAnsi="Times New Roman"/>
              </w:rPr>
            </w:pPr>
            <w:r>
              <w:rPr>
                <w:rFonts w:ascii="Times New Roman" w:hAnsi="Times New Roman"/>
              </w:rPr>
              <w:t>37 020 X</w:t>
            </w:r>
          </w:p>
        </w:tc>
        <w:tc>
          <w:tcPr>
            <w:tcW w:w="7654" w:type="dxa"/>
            <w:gridSpan w:val="2"/>
          </w:tcPr>
          <w:p w:rsidRPr="001669BD" w:rsidR="00470846" w:rsidP="008E2C55" w:rsidRDefault="008E2C55" w14:paraId="000071AA" w14:textId="5E9A6780">
            <w:pPr>
              <w:rPr>
                <w:rFonts w:ascii="Times New Roman" w:hAnsi="Times New Roman"/>
                <w:b/>
                <w:bCs/>
              </w:rPr>
            </w:pPr>
            <w:r w:rsidRPr="001669BD">
              <w:rPr>
                <w:rFonts w:ascii="Times New Roman" w:hAnsi="Times New Roman"/>
                <w:b/>
                <w:bCs/>
              </w:rPr>
              <w:t>Vaststelling van de begrotingsstaten van het Ministerie van Defensie (X) voor het jaar 2027</w:t>
            </w:r>
          </w:p>
        </w:tc>
      </w:tr>
      <w:tr w:rsidR="00470846" w:rsidTr="00FB349A" w14:paraId="5040D1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6E63045"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7D6A33B" w14:textId="77777777">
            <w:pPr>
              <w:pStyle w:val="Amendement"/>
              <w:tabs>
                <w:tab w:val="clear" w:pos="3310"/>
                <w:tab w:val="clear" w:pos="3600"/>
              </w:tabs>
              <w:rPr>
                <w:rFonts w:ascii="Times New Roman" w:hAnsi="Times New Roman"/>
              </w:rPr>
            </w:pPr>
          </w:p>
        </w:tc>
      </w:tr>
      <w:tr w:rsidR="00470846" w:rsidTr="00FB349A" w14:paraId="7FC518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1C2FDA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089566C" w14:textId="77777777">
            <w:pPr>
              <w:pStyle w:val="Amendement"/>
              <w:tabs>
                <w:tab w:val="clear" w:pos="3310"/>
                <w:tab w:val="clear" w:pos="3600"/>
              </w:tabs>
              <w:rPr>
                <w:rFonts w:ascii="Times New Roman" w:hAnsi="Times New Roman"/>
              </w:rPr>
            </w:pPr>
          </w:p>
        </w:tc>
      </w:tr>
      <w:tr w:rsidR="00470846" w:rsidTr="00FB349A" w14:paraId="6D1BC8E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4B65E3" w14:textId="4D8BB107">
            <w:pPr>
              <w:pStyle w:val="Amendement"/>
              <w:tabs>
                <w:tab w:val="clear" w:pos="3310"/>
                <w:tab w:val="clear" w:pos="3600"/>
              </w:tabs>
              <w:rPr>
                <w:rFonts w:ascii="Times New Roman" w:hAnsi="Times New Roman"/>
              </w:rPr>
            </w:pPr>
            <w:r>
              <w:rPr>
                <w:rFonts w:ascii="Times New Roman" w:hAnsi="Times New Roman"/>
              </w:rPr>
              <w:t xml:space="preserve">Nr. </w:t>
            </w:r>
            <w:r w:rsidR="0007289F">
              <w:rPr>
                <w:rFonts w:ascii="Times New Roman" w:hAnsi="Times New Roman"/>
                <w:caps/>
              </w:rPr>
              <w:t>44</w:t>
            </w:r>
          </w:p>
        </w:tc>
        <w:tc>
          <w:tcPr>
            <w:tcW w:w="7654" w:type="dxa"/>
            <w:gridSpan w:val="2"/>
          </w:tcPr>
          <w:p w:rsidRPr="001A2A63" w:rsidR="00470846" w:rsidP="00FB349A" w:rsidRDefault="00470846" w14:paraId="329083C4" w14:textId="7053A1B1">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1669BD">
              <w:rPr>
                <w:rFonts w:ascii="Times New Roman" w:hAnsi="Times New Roman"/>
                <w:caps/>
              </w:rPr>
              <w:t>van baarle</w:t>
            </w:r>
          </w:p>
        </w:tc>
      </w:tr>
      <w:tr w:rsidR="00470846" w:rsidTr="00FB349A" w14:paraId="760300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DF7F3F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0C56B8FA" w14:textId="4D905B92">
            <w:pPr>
              <w:pStyle w:val="Amendement"/>
              <w:tabs>
                <w:tab w:val="clear" w:pos="3310"/>
                <w:tab w:val="clear" w:pos="3600"/>
              </w:tabs>
              <w:rPr>
                <w:rFonts w:ascii="Times New Roman" w:hAnsi="Times New Roman"/>
              </w:rPr>
            </w:pPr>
            <w:r>
              <w:rPr>
                <w:rFonts w:ascii="Times New Roman" w:hAnsi="Times New Roman"/>
                <w:b w:val="0"/>
              </w:rPr>
              <w:t xml:space="preserve">Ontvangen </w:t>
            </w:r>
            <w:r w:rsidR="007449FF">
              <w:rPr>
                <w:rFonts w:ascii="Times New Roman" w:hAnsi="Times New Roman"/>
                <w:b w:val="0"/>
              </w:rPr>
              <w:t>5 oktober 2026</w:t>
            </w:r>
          </w:p>
        </w:tc>
      </w:tr>
      <w:tr w:rsidR="00470846" w:rsidTr="00FB349A" w14:paraId="203AB1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C34128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4B71F5B" w14:textId="77777777">
            <w:pPr>
              <w:pStyle w:val="Amendement"/>
              <w:tabs>
                <w:tab w:val="clear" w:pos="3310"/>
                <w:tab w:val="clear" w:pos="3600"/>
              </w:tabs>
              <w:rPr>
                <w:rFonts w:ascii="Times New Roman" w:hAnsi="Times New Roman"/>
                <w:b w:val="0"/>
              </w:rPr>
            </w:pPr>
          </w:p>
        </w:tc>
      </w:tr>
      <w:tr w:rsidR="009E6185" w:rsidTr="00FB349A" w14:paraId="0F1316C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06CA0449"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12B3E85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A5E656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26408D7"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1AE508FB" w14:textId="0CDF7B83">
      <w:pPr>
        <w:ind w:firstLine="284"/>
        <w:rPr>
          <w:rFonts w:ascii="Times New Roman" w:hAnsi="Times New Roman"/>
        </w:rPr>
      </w:pPr>
      <w:r>
        <w:rPr>
          <w:rFonts w:ascii="Times New Roman" w:hAnsi="Times New Roman"/>
        </w:rPr>
        <w:t xml:space="preserve">De </w:t>
      </w:r>
      <w:r w:rsidR="001669BD">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F964193" w14:textId="77777777">
      <w:pPr>
        <w:rPr>
          <w:rFonts w:ascii="Times New Roman" w:hAnsi="Times New Roman"/>
        </w:rPr>
      </w:pPr>
    </w:p>
    <w:p w:rsidRPr="004D4BCF" w:rsidR="00470846" w:rsidP="00FB349A" w:rsidRDefault="00470846" w14:paraId="225E8DAE" w14:textId="77777777">
      <w:pPr>
        <w:rPr>
          <w:rFonts w:ascii="Times New Roman" w:hAnsi="Times New Roman"/>
        </w:rPr>
      </w:pPr>
      <w:r w:rsidRPr="004D4BCF">
        <w:rPr>
          <w:rFonts w:ascii="Times New Roman" w:hAnsi="Times New Roman"/>
        </w:rPr>
        <w:t>I</w:t>
      </w:r>
    </w:p>
    <w:p w:rsidRPr="004D4BCF" w:rsidR="00470846" w:rsidP="00FB349A" w:rsidRDefault="00470846" w14:paraId="206E078E" w14:textId="77777777">
      <w:pPr>
        <w:rPr>
          <w:rFonts w:ascii="Times New Roman" w:hAnsi="Times New Roman"/>
        </w:rPr>
      </w:pPr>
    </w:p>
    <w:p w:rsidRPr="004D4BCF" w:rsidR="002A4F15" w:rsidP="002A4F15" w:rsidRDefault="002A4F15" w14:paraId="142D6FC9" w14:textId="7777777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9</w:t>
      </w:r>
      <w:r w:rsidRPr="004D4BCF">
        <w:rPr>
          <w:rFonts w:ascii="Times New Roman" w:hAnsi="Times New Roman"/>
          <w:b/>
        </w:rPr>
        <w:t xml:space="preserve"> </w:t>
      </w:r>
      <w:r>
        <w:rPr>
          <w:rFonts w:ascii="Times New Roman" w:hAnsi="Times New Roman"/>
          <w:b/>
        </w:rPr>
        <w:t>Algemeen</w:t>
      </w:r>
      <w:r w:rsidRPr="004D4BCF">
        <w:rPr>
          <w:rFonts w:ascii="Times New Roman" w:hAnsi="Times New Roman"/>
        </w:rPr>
        <w:t xml:space="preserve"> worden het verplichtingenbedrag en het uitgavenbedrag </w:t>
      </w:r>
      <w:r w:rsidRPr="004D4BCF">
        <w:rPr>
          <w:rFonts w:ascii="Times New Roman" w:hAnsi="Times New Roman"/>
          <w:b/>
        </w:rPr>
        <w:t>verhoogd</w:t>
      </w:r>
      <w:r>
        <w:rPr>
          <w:rFonts w:ascii="Times New Roman" w:hAnsi="Times New Roman"/>
        </w:rPr>
        <w:t xml:space="preserve"> met</w:t>
      </w:r>
      <w:r w:rsidRPr="004D4BCF">
        <w:rPr>
          <w:rFonts w:ascii="Times New Roman" w:hAnsi="Times New Roman"/>
        </w:rPr>
        <w:t> </w:t>
      </w:r>
      <w:r w:rsidRPr="004D4BCF">
        <w:rPr>
          <w:rFonts w:ascii="Times New Roman" w:hAnsi="Times New Roman"/>
          <w:b/>
        </w:rPr>
        <w:t>€ </w:t>
      </w:r>
      <w:r>
        <w:rPr>
          <w:rFonts w:ascii="Times New Roman" w:hAnsi="Times New Roman"/>
          <w:b/>
        </w:rPr>
        <w:t>150</w:t>
      </w:r>
      <w:r w:rsidRPr="004D4BCF">
        <w:rPr>
          <w:rFonts w:ascii="Times New Roman" w:hAnsi="Times New Roman"/>
        </w:rPr>
        <w:t xml:space="preserve"> (x € 1</w:t>
      </w:r>
      <w:r>
        <w:rPr>
          <w:rFonts w:ascii="Times New Roman" w:hAnsi="Times New Roman"/>
        </w:rPr>
        <w:t>.</w:t>
      </w:r>
      <w:r w:rsidRPr="004D4BCF">
        <w:rPr>
          <w:rFonts w:ascii="Times New Roman" w:hAnsi="Times New Roman"/>
        </w:rPr>
        <w:t>000).</w:t>
      </w:r>
    </w:p>
    <w:p w:rsidRPr="004D4BCF" w:rsidR="00470846" w:rsidP="00FB349A" w:rsidRDefault="00470846" w14:paraId="7128AC94" w14:textId="77777777">
      <w:pPr>
        <w:rPr>
          <w:rFonts w:ascii="Times New Roman" w:hAnsi="Times New Roman"/>
        </w:rPr>
      </w:pPr>
    </w:p>
    <w:p w:rsidR="00470846" w:rsidP="00FB349A" w:rsidRDefault="00470846" w14:paraId="40719F54" w14:textId="77777777">
      <w:pPr>
        <w:rPr>
          <w:rFonts w:ascii="Times New Roman" w:hAnsi="Times New Roman"/>
        </w:rPr>
      </w:pPr>
      <w:r w:rsidRPr="004D4BCF">
        <w:rPr>
          <w:rFonts w:ascii="Times New Roman" w:hAnsi="Times New Roman"/>
        </w:rPr>
        <w:t>II</w:t>
      </w:r>
    </w:p>
    <w:p w:rsidRPr="004D4BCF" w:rsidR="002A4F15" w:rsidP="00FB349A" w:rsidRDefault="002A4F15" w14:paraId="57EF5C71" w14:textId="77777777">
      <w:pPr>
        <w:rPr>
          <w:rFonts w:ascii="Times New Roman" w:hAnsi="Times New Roman"/>
        </w:rPr>
      </w:pPr>
    </w:p>
    <w:p w:rsidRPr="004D4BCF" w:rsidR="002A4F15" w:rsidP="002A4F15" w:rsidRDefault="002A4F15" w14:paraId="4DCDDD57" w14:textId="7777777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12</w:t>
      </w:r>
      <w:r w:rsidRPr="004D4BCF">
        <w:rPr>
          <w:rFonts w:ascii="Times New Roman" w:hAnsi="Times New Roman"/>
          <w:b/>
        </w:rPr>
        <w:t xml:space="preserve"> </w:t>
      </w:r>
      <w:r>
        <w:rPr>
          <w:rFonts w:ascii="Times New Roman" w:hAnsi="Times New Roman"/>
          <w:b/>
        </w:rPr>
        <w:t>Nog onverdeeld</w:t>
      </w:r>
      <w:r w:rsidRPr="004D4BCF">
        <w:rPr>
          <w:rFonts w:ascii="Times New Roman" w:hAnsi="Times New Roman"/>
        </w:rPr>
        <w:t xml:space="preserve"> worden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150</w:t>
      </w:r>
      <w:r>
        <w:rPr>
          <w:rFonts w:ascii="Times New Roman" w:hAnsi="Times New Roman"/>
        </w:rPr>
        <w:t xml:space="preserve"> (x € 1.</w:t>
      </w:r>
      <w:r w:rsidRPr="004D4BCF">
        <w:rPr>
          <w:rFonts w:ascii="Times New Roman" w:hAnsi="Times New Roman"/>
        </w:rPr>
        <w:t>000).</w:t>
      </w:r>
    </w:p>
    <w:p w:rsidRPr="004D4BCF" w:rsidR="00470846" w:rsidP="00FB349A" w:rsidRDefault="00470846" w14:paraId="36893A8B" w14:textId="77777777">
      <w:pPr>
        <w:rPr>
          <w:rFonts w:ascii="Times New Roman" w:hAnsi="Times New Roman"/>
        </w:rPr>
      </w:pPr>
    </w:p>
    <w:p w:rsidRPr="004D4BCF" w:rsidR="00470846" w:rsidP="00FB349A" w:rsidRDefault="00470846" w14:paraId="4997B3F9"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BE02A40" w14:textId="77777777">
      <w:pPr>
        <w:rPr>
          <w:rFonts w:ascii="Times New Roman" w:hAnsi="Times New Roman"/>
        </w:rPr>
      </w:pPr>
    </w:p>
    <w:p w:rsidR="00BA7287" w:rsidP="00BA7287" w:rsidRDefault="00BA7287" w14:paraId="607AF594" w14:textId="77777777">
      <w:pPr>
        <w:rPr>
          <w:rFonts w:ascii="Times New Roman" w:hAnsi="Times New Roman"/>
          <w:lang w:val="nl"/>
        </w:rPr>
      </w:pPr>
      <w:r w:rsidRPr="00BA7287">
        <w:rPr>
          <w:rFonts w:ascii="Times New Roman" w:hAnsi="Times New Roman"/>
          <w:lang w:val="nl"/>
        </w:rPr>
        <w:t>Met dit amendement wordt €150.000 uit artikel 12 Nog onverdeeld overgeheveld naar artikel 9 Algemeen en beschikbaar gesteld voor de verdere totstandkoming van het Nationaal Monument Srebrenica Genocide ’95 op het Churchillplein in Den Haag, tegenover het voormalige Joegoslaviëtribunaal.</w:t>
      </w:r>
    </w:p>
    <w:p w:rsidRPr="00BA7287" w:rsidR="00BA7287" w:rsidP="00BA7287" w:rsidRDefault="00BA7287" w14:paraId="415A3524" w14:textId="77777777">
      <w:pPr>
        <w:rPr>
          <w:rFonts w:ascii="Times New Roman" w:hAnsi="Times New Roman"/>
          <w:lang w:val="nl"/>
        </w:rPr>
      </w:pPr>
    </w:p>
    <w:p w:rsidR="00BA7287" w:rsidP="00BA7287" w:rsidRDefault="00BA7287" w14:paraId="682C06A8" w14:textId="77777777">
      <w:pPr>
        <w:rPr>
          <w:rFonts w:ascii="Times New Roman" w:hAnsi="Times New Roman"/>
          <w:lang w:val="nl"/>
        </w:rPr>
      </w:pPr>
      <w:r w:rsidRPr="00BA7287">
        <w:rPr>
          <w:rFonts w:ascii="Times New Roman" w:hAnsi="Times New Roman"/>
          <w:lang w:val="nl"/>
        </w:rPr>
        <w:t>De aanvullende €150.000 kan worden ingezet voor de verdere voorbereiding en realisatie van het monument, waaronder de ontwerpwedstrijd, de verdere uitwerking van het ontwerp en andere noodzakelijke voorbereidingskosten. Daarbij kan een bijdrage worden verstrekt aan de stichting Nationaal Monument Srebrenica Genocide ’95, die bij de totstandkoming van het monument betrokken is.</w:t>
      </w:r>
    </w:p>
    <w:p w:rsidRPr="00BA7287" w:rsidR="00BA7287" w:rsidP="00BA7287" w:rsidRDefault="00BA7287" w14:paraId="1A60A764" w14:textId="77777777">
      <w:pPr>
        <w:rPr>
          <w:rFonts w:ascii="Times New Roman" w:hAnsi="Times New Roman"/>
          <w:lang w:val="nl"/>
        </w:rPr>
      </w:pPr>
    </w:p>
    <w:p w:rsidR="00BA7287" w:rsidP="00BA7287" w:rsidRDefault="00BA7287" w14:paraId="7C083757" w14:textId="77777777">
      <w:pPr>
        <w:rPr>
          <w:rFonts w:ascii="Times New Roman" w:hAnsi="Times New Roman"/>
          <w:lang w:val="nl"/>
        </w:rPr>
      </w:pPr>
      <w:r w:rsidRPr="00BA7287">
        <w:rPr>
          <w:rFonts w:ascii="Times New Roman" w:hAnsi="Times New Roman"/>
          <w:lang w:val="nl"/>
        </w:rPr>
        <w:t>De Kamer heeft met de op 10 maart 2026 aangenomen gewijzigde motie-Van Baarle c.s. (Kamerstuk 36 800 X, nr. 67) het kabinet verzocht zich in te zetten voor een spoedige totstandkoming van een permanente herdenkingsplek voor de genocide in Srebrenica. Inmiddels is op de beoogde locatie een tijdelijke plaatsmarkering aangebracht. Een definitief en volwaardig nationaal monument is echter nog niet gerealiseerd.</w:t>
      </w:r>
    </w:p>
    <w:p w:rsidRPr="00BA7287" w:rsidR="00BA7287" w:rsidP="00BA7287" w:rsidRDefault="00BA7287" w14:paraId="3B149A7D" w14:textId="77777777">
      <w:pPr>
        <w:rPr>
          <w:rFonts w:ascii="Times New Roman" w:hAnsi="Times New Roman"/>
          <w:lang w:val="nl"/>
        </w:rPr>
      </w:pPr>
    </w:p>
    <w:p w:rsidR="00BA7287" w:rsidP="00BA7287" w:rsidRDefault="00BA7287" w14:paraId="623FFC6A" w14:textId="77777777">
      <w:pPr>
        <w:rPr>
          <w:rFonts w:ascii="Times New Roman" w:hAnsi="Times New Roman"/>
          <w:lang w:val="nl"/>
        </w:rPr>
      </w:pPr>
      <w:r w:rsidRPr="00BA7287">
        <w:rPr>
          <w:rFonts w:ascii="Times New Roman" w:hAnsi="Times New Roman"/>
          <w:lang w:val="nl"/>
        </w:rPr>
        <w:t>Een nationaal monument is van belang voor de blijvende erkenning en herdenking van de meer dan 8.000 slachtoffers van de genocide in Srebrenica. Het biedt nabestaanden, de Bosnisch-Nederlandse gemeenschap, veteranen en andere betrokkenen een permanente plek van herdenking en draagt daarnaast bij aan bewustwording en educatie over de genocide.</w:t>
      </w:r>
    </w:p>
    <w:p w:rsidRPr="00BA7287" w:rsidR="00BA7287" w:rsidP="00BA7287" w:rsidRDefault="00BA7287" w14:paraId="266F5E32" w14:textId="77777777">
      <w:pPr>
        <w:rPr>
          <w:rFonts w:ascii="Times New Roman" w:hAnsi="Times New Roman"/>
          <w:lang w:val="nl"/>
        </w:rPr>
      </w:pPr>
    </w:p>
    <w:p w:rsidRPr="00BA7287" w:rsidR="00BA7287" w:rsidP="00BA7287" w:rsidRDefault="00BA7287" w14:paraId="4BC3596E" w14:textId="77777777">
      <w:pPr>
        <w:rPr>
          <w:rFonts w:ascii="Times New Roman" w:hAnsi="Times New Roman"/>
          <w:lang w:val="nl"/>
        </w:rPr>
      </w:pPr>
      <w:r w:rsidRPr="00BA7287">
        <w:rPr>
          <w:rFonts w:ascii="Times New Roman" w:hAnsi="Times New Roman"/>
          <w:lang w:val="nl"/>
        </w:rPr>
        <w:t xml:space="preserve">De dekking wordt gevonden in artikel 12 Nog onverdeeld. Binnen dit artikel is in 2027 circa €895 miljoen aan nog te verdelen middelen beschikbaar, waarvan circa €395,4 miljoen bestaat uit nog onverdeelde prijsbijstelling. De €150.000 die met dit amendement wordt overgeheveld, bedraagt daarmee slechts </w:t>
      </w:r>
      <w:r w:rsidRPr="00BA7287">
        <w:rPr>
          <w:rFonts w:ascii="Times New Roman" w:hAnsi="Times New Roman"/>
          <w:lang w:val="nl"/>
        </w:rPr>
        <w:lastRenderedPageBreak/>
        <w:t>ongeveer 0,04% van de beschikbare nog onverdeelde prijsbijstelling. De gevolgen voor de beschikbare ruimte binnen artikel 12 zijn daarmee zeer beperkt.</w:t>
      </w:r>
    </w:p>
    <w:p w:rsidRPr="00473539" w:rsidR="00CD68B3" w:rsidP="00473539" w:rsidRDefault="00CD68B3" w14:paraId="04E8B2F4" w14:textId="77777777">
      <w:pPr>
        <w:rPr>
          <w:rFonts w:ascii="Times New Roman" w:hAnsi="Times New Roman"/>
          <w:lang w:val="nl"/>
        </w:rPr>
      </w:pPr>
    </w:p>
    <w:p w:rsidRPr="00473539" w:rsidR="00473539" w:rsidP="00473539" w:rsidRDefault="00473539" w14:paraId="3E27C2CD" w14:textId="77777777">
      <w:pPr>
        <w:rPr>
          <w:rFonts w:ascii="Times New Roman" w:hAnsi="Times New Roman"/>
          <w:lang w:val="nl"/>
        </w:rPr>
      </w:pPr>
      <w:r w:rsidRPr="00473539">
        <w:rPr>
          <w:rFonts w:ascii="Times New Roman" w:hAnsi="Times New Roman"/>
          <w:lang w:val="nl"/>
        </w:rPr>
        <w:t>Van Baarle</w:t>
      </w:r>
    </w:p>
    <w:p w:rsidRPr="008C2D85" w:rsidR="001A2A63" w:rsidP="00473539" w:rsidRDefault="001A2A63" w14:paraId="43B01F06" w14:textId="31B78891">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0917F" w14:textId="77777777" w:rsidR="00BA4348" w:rsidRDefault="00BA4348">
      <w:pPr>
        <w:spacing w:line="20" w:lineRule="exact"/>
      </w:pPr>
    </w:p>
  </w:endnote>
  <w:endnote w:type="continuationSeparator" w:id="0">
    <w:p w14:paraId="5438A359" w14:textId="77777777" w:rsidR="00BA4348" w:rsidRDefault="00BA4348">
      <w:pPr>
        <w:pStyle w:val="Amendement"/>
      </w:pPr>
      <w:r>
        <w:rPr>
          <w:b w:val="0"/>
        </w:rPr>
        <w:t xml:space="preserve"> </w:t>
      </w:r>
    </w:p>
  </w:endnote>
  <w:endnote w:type="continuationNotice" w:id="1">
    <w:p w14:paraId="67FE0CB1" w14:textId="77777777" w:rsidR="00BA4348" w:rsidRDefault="00BA434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CAF30" w14:textId="77777777" w:rsidR="00BA4348" w:rsidRDefault="00BA4348">
      <w:pPr>
        <w:pStyle w:val="Amendement"/>
      </w:pPr>
      <w:r>
        <w:rPr>
          <w:b w:val="0"/>
        </w:rPr>
        <w:separator/>
      </w:r>
    </w:p>
  </w:footnote>
  <w:footnote w:type="continuationSeparator" w:id="0">
    <w:p w14:paraId="3168ED1C" w14:textId="77777777" w:rsidR="00BA4348" w:rsidRDefault="00BA43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C55"/>
    <w:rsid w:val="0003016F"/>
    <w:rsid w:val="00052244"/>
    <w:rsid w:val="0007289F"/>
    <w:rsid w:val="000C6F39"/>
    <w:rsid w:val="0011770C"/>
    <w:rsid w:val="00120827"/>
    <w:rsid w:val="00146E70"/>
    <w:rsid w:val="001669BD"/>
    <w:rsid w:val="00173380"/>
    <w:rsid w:val="001A2A63"/>
    <w:rsid w:val="001A5AFF"/>
    <w:rsid w:val="001A6B5A"/>
    <w:rsid w:val="001A73D3"/>
    <w:rsid w:val="001C562D"/>
    <w:rsid w:val="001E2226"/>
    <w:rsid w:val="001F7334"/>
    <w:rsid w:val="002569BB"/>
    <w:rsid w:val="002A4F15"/>
    <w:rsid w:val="002C3902"/>
    <w:rsid w:val="003050FF"/>
    <w:rsid w:val="003D4FB9"/>
    <w:rsid w:val="003E5927"/>
    <w:rsid w:val="003F1CA1"/>
    <w:rsid w:val="00417365"/>
    <w:rsid w:val="00470846"/>
    <w:rsid w:val="00473539"/>
    <w:rsid w:val="0047650D"/>
    <w:rsid w:val="004B2AE2"/>
    <w:rsid w:val="004C2A57"/>
    <w:rsid w:val="004D4BCF"/>
    <w:rsid w:val="00500FE4"/>
    <w:rsid w:val="0053434A"/>
    <w:rsid w:val="005C554B"/>
    <w:rsid w:val="005E482A"/>
    <w:rsid w:val="00646211"/>
    <w:rsid w:val="006D7FE7"/>
    <w:rsid w:val="0071436F"/>
    <w:rsid w:val="00736284"/>
    <w:rsid w:val="00741EB2"/>
    <w:rsid w:val="007449FF"/>
    <w:rsid w:val="007958E0"/>
    <w:rsid w:val="00821A95"/>
    <w:rsid w:val="00833C90"/>
    <w:rsid w:val="008467BE"/>
    <w:rsid w:val="00854DAE"/>
    <w:rsid w:val="00867688"/>
    <w:rsid w:val="008819B7"/>
    <w:rsid w:val="008C2D85"/>
    <w:rsid w:val="008E2C55"/>
    <w:rsid w:val="009120FE"/>
    <w:rsid w:val="00926C70"/>
    <w:rsid w:val="009347C2"/>
    <w:rsid w:val="009E6185"/>
    <w:rsid w:val="00A1221C"/>
    <w:rsid w:val="00B24FC7"/>
    <w:rsid w:val="00B37F45"/>
    <w:rsid w:val="00B6508A"/>
    <w:rsid w:val="00BA4348"/>
    <w:rsid w:val="00BA7287"/>
    <w:rsid w:val="00BD6436"/>
    <w:rsid w:val="00BE1B3C"/>
    <w:rsid w:val="00C26FAB"/>
    <w:rsid w:val="00C370AE"/>
    <w:rsid w:val="00C5415C"/>
    <w:rsid w:val="00C74FE3"/>
    <w:rsid w:val="00C850D6"/>
    <w:rsid w:val="00CC0433"/>
    <w:rsid w:val="00CD68B3"/>
    <w:rsid w:val="00D35DD4"/>
    <w:rsid w:val="00D40A71"/>
    <w:rsid w:val="00D43ADE"/>
    <w:rsid w:val="00D733D3"/>
    <w:rsid w:val="00D818D9"/>
    <w:rsid w:val="00D961CF"/>
    <w:rsid w:val="00DB5D3B"/>
    <w:rsid w:val="00DD08D8"/>
    <w:rsid w:val="00E47054"/>
    <w:rsid w:val="00E96167"/>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49F20"/>
  <w15:docId w15:val="{C15FB39A-AF46-4989-B9C7-2FC63854D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385</ap:Words>
  <ap:Characters>2122</ap:Characters>
  <ap:DocSecurity>0</ap:DocSecurity>
  <ap:Lines>17</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2502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2026-10-05T15:33:00.0000000Z</dcterms:created>
  <dcterms:modified xsi:type="dcterms:W3CDTF">2026-10-05T15:34:00.0000000Z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