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6CCD" w:rsidP="00DA4915" w:rsidRDefault="00A36CCD" w14:paraId="459E216A" w14:textId="54DE4D98">
      <w:pPr>
        <w:rPr>
          <w:rFonts w:eastAsia="Verdana" w:cs="Verdana"/>
          <w:szCs w:val="18"/>
        </w:rPr>
      </w:pPr>
      <w:r w:rsidRPr="2043B598">
        <w:rPr>
          <w:rFonts w:eastAsia="Verdana" w:cs="Verdana"/>
          <w:szCs w:val="18"/>
        </w:rPr>
        <w:t>Geachte Voorzitter,</w:t>
      </w:r>
    </w:p>
    <w:p w:rsidR="00A36CCD" w:rsidP="00DA4915" w:rsidRDefault="00A36CCD" w14:paraId="5E74B2FA" w14:textId="77777777">
      <w:pPr>
        <w:rPr>
          <w:rFonts w:eastAsia="Verdana" w:cs="Verdana"/>
          <w:szCs w:val="18"/>
        </w:rPr>
      </w:pPr>
    </w:p>
    <w:p w:rsidR="00A36CCD" w:rsidP="00DA4915" w:rsidRDefault="00A36CCD" w14:paraId="3E0307FF" w14:textId="1604C7E2">
      <w:pPr>
        <w:rPr>
          <w:rFonts w:eastAsia="Verdana" w:cs="Verdana"/>
          <w:szCs w:val="18"/>
        </w:rPr>
      </w:pPr>
      <w:r w:rsidRPr="2043B598">
        <w:rPr>
          <w:rFonts w:eastAsia="Verdana" w:cs="Verdana"/>
          <w:szCs w:val="18"/>
        </w:rPr>
        <w:t xml:space="preserve">6 juli jl. </w:t>
      </w:r>
      <w:r>
        <w:rPr>
          <w:rFonts w:eastAsia="Verdana" w:cs="Verdana"/>
          <w:szCs w:val="18"/>
        </w:rPr>
        <w:t>hebben wij</w:t>
      </w:r>
      <w:r w:rsidRPr="2043B598">
        <w:rPr>
          <w:rFonts w:eastAsia="Verdana" w:cs="Verdana"/>
          <w:szCs w:val="18"/>
        </w:rPr>
        <w:t xml:space="preserve"> uw Kamer per brief geïnformeerd dat het toenmalige Cypriotische voorzitterschap had </w:t>
      </w:r>
      <w:r w:rsidRPr="2043B598" w:rsidDel="00D321F0">
        <w:rPr>
          <w:rFonts w:eastAsia="Verdana" w:cs="Verdana"/>
          <w:szCs w:val="18"/>
        </w:rPr>
        <w:t>besloten de Raad niet te vragen om een</w:t>
      </w:r>
      <w:r w:rsidRPr="2043B598">
        <w:rPr>
          <w:rFonts w:eastAsia="Verdana" w:cs="Verdana"/>
          <w:szCs w:val="18"/>
        </w:rPr>
        <w:t xml:space="preserve"> mandaat om met het Europees Parlement (EP) te onderhandelen over de Omnibus Digitaal.</w:t>
      </w:r>
      <w:r w:rsidRPr="2043B598">
        <w:rPr>
          <w:rStyle w:val="Voetnootmarkering"/>
          <w:rFonts w:eastAsia="Verdana" w:cs="Verdana"/>
          <w:szCs w:val="18"/>
        </w:rPr>
        <w:footnoteReference w:id="1"/>
      </w:r>
      <w:r w:rsidRPr="2043B598">
        <w:rPr>
          <w:rFonts w:eastAsia="Verdana" w:cs="Verdana"/>
          <w:szCs w:val="18"/>
        </w:rPr>
        <w:t xml:space="preserve"> De onderhandelingen over de Omnibus Digitaal zijn vervolgens onder het Ierse voorzitterschap verder</w:t>
      </w:r>
      <w:r w:rsidRPr="2043B598" w:rsidDel="004376FD">
        <w:rPr>
          <w:rFonts w:eastAsia="Verdana" w:cs="Verdana"/>
          <w:szCs w:val="18"/>
        </w:rPr>
        <w:t xml:space="preserve">gegaan. De verwachting is dat het Ierse voorzitterschap </w:t>
      </w:r>
      <w:r w:rsidRPr="2043B598">
        <w:rPr>
          <w:rFonts w:eastAsia="Verdana" w:cs="Verdana"/>
          <w:szCs w:val="18"/>
        </w:rPr>
        <w:t>zeer binnenkort de laatste compromistekst zal delen met de lidstaten om vervolgens de lidstaten om een mandaat te vragen voor de onderhandelingen met het EP. Middels deze brief informeren wij</w:t>
      </w:r>
      <w:r>
        <w:rPr>
          <w:rFonts w:eastAsia="Verdana" w:cs="Verdana"/>
          <w:szCs w:val="18"/>
        </w:rPr>
        <w:t>, mede namens de Minister van Binnenlandse Zaken en Koninkrijksrelaties</w:t>
      </w:r>
      <w:r w:rsidR="00FA7CA7">
        <w:rPr>
          <w:rFonts w:eastAsia="Verdana" w:cs="Verdana"/>
          <w:szCs w:val="18"/>
        </w:rPr>
        <w:t>,</w:t>
      </w:r>
      <w:r>
        <w:rPr>
          <w:rFonts w:eastAsia="Verdana" w:cs="Verdana"/>
          <w:szCs w:val="18"/>
        </w:rPr>
        <w:t xml:space="preserve"> de Staatssecretaris van Binnenlandse Zaken en Koninkrijksrelaties en de Minister van Justitie en Veiligheid,</w:t>
      </w:r>
      <w:r w:rsidRPr="2043B598">
        <w:rPr>
          <w:rFonts w:eastAsia="Verdana" w:cs="Verdana"/>
          <w:szCs w:val="18"/>
        </w:rPr>
        <w:t xml:space="preserve"> uw Kamer </w:t>
      </w:r>
      <w:r w:rsidRPr="2043B598" w:rsidDel="00D008D1">
        <w:rPr>
          <w:rFonts w:eastAsia="Verdana" w:cs="Verdana"/>
          <w:szCs w:val="18"/>
        </w:rPr>
        <w:t>over de ontwikkelingen in de onderhandelingen en hoe deze zich verhouden tot de kabinetsinzet zoals beschreven in het BNC-fiche</w:t>
      </w:r>
      <w:r w:rsidRPr="2043B598">
        <w:rPr>
          <w:rStyle w:val="Voetnootmarkering"/>
          <w:rFonts w:eastAsia="Verdana" w:cs="Verdana"/>
          <w:szCs w:val="18"/>
        </w:rPr>
        <w:footnoteReference w:id="2"/>
      </w:r>
      <w:r w:rsidRPr="2043B598">
        <w:rPr>
          <w:rFonts w:eastAsia="Verdana" w:cs="Verdana"/>
          <w:szCs w:val="18"/>
        </w:rPr>
        <w:t xml:space="preserve">. </w:t>
      </w:r>
      <w:r>
        <w:rPr>
          <w:rFonts w:eastAsia="Verdana" w:cs="Verdana"/>
          <w:szCs w:val="18"/>
        </w:rPr>
        <w:t xml:space="preserve">Dit </w:t>
      </w:r>
      <w:r w:rsidRPr="2043B598">
        <w:rPr>
          <w:rFonts w:eastAsia="Verdana" w:cs="Verdana"/>
          <w:szCs w:val="18"/>
        </w:rPr>
        <w:t xml:space="preserve">conform </w:t>
      </w:r>
      <w:r>
        <w:rPr>
          <w:rFonts w:eastAsia="Verdana" w:cs="Verdana"/>
          <w:szCs w:val="18"/>
        </w:rPr>
        <w:t xml:space="preserve">de met uw Kamer gemaakte informatie-afspraken, zoals de afspraak uw Kamer </w:t>
      </w:r>
      <w:r w:rsidRPr="005D1FC7">
        <w:rPr>
          <w:rFonts w:eastAsia="Verdana" w:cs="Verdana"/>
          <w:szCs w:val="18"/>
        </w:rPr>
        <w:t xml:space="preserve">per brief </w:t>
      </w:r>
      <w:r>
        <w:rPr>
          <w:rFonts w:eastAsia="Verdana" w:cs="Verdana"/>
          <w:szCs w:val="18"/>
        </w:rPr>
        <w:t xml:space="preserve">te </w:t>
      </w:r>
      <w:r w:rsidRPr="005D1FC7">
        <w:rPr>
          <w:rFonts w:eastAsia="Verdana" w:cs="Verdana"/>
          <w:szCs w:val="18"/>
        </w:rPr>
        <w:t>informeren wanneer er bijvoorbeeld sprake is van een naderend akkoord.</w:t>
      </w:r>
      <w:r>
        <w:rPr>
          <w:rStyle w:val="Voetnootmarkering"/>
          <w:rFonts w:eastAsia="Verdana" w:cs="Verdana"/>
          <w:szCs w:val="18"/>
        </w:rPr>
        <w:footnoteReference w:id="3"/>
      </w:r>
      <w:r w:rsidRPr="005D1FC7">
        <w:rPr>
          <w:rFonts w:eastAsia="Verdana" w:cs="Verdana"/>
          <w:szCs w:val="18"/>
        </w:rPr>
        <w:t xml:space="preserve"> </w:t>
      </w:r>
      <w:r>
        <w:rPr>
          <w:rFonts w:eastAsia="Verdana" w:cs="Verdana"/>
          <w:szCs w:val="18"/>
        </w:rPr>
        <w:t xml:space="preserve">Het kabinet streeft </w:t>
      </w:r>
      <w:r w:rsidRPr="005D1FC7" w:rsidDel="001B3439">
        <w:rPr>
          <w:rFonts w:eastAsia="Verdana" w:cs="Verdana"/>
          <w:szCs w:val="18"/>
        </w:rPr>
        <w:t xml:space="preserve">ernaar uw Kamer ondanks de hoge snelheid van de onderhandelingen zo goed mogelijk over de voortgang van de onderhandelingen te informeren. Daarbij </w:t>
      </w:r>
      <w:r>
        <w:rPr>
          <w:rFonts w:eastAsia="Verdana" w:cs="Verdana"/>
          <w:szCs w:val="18"/>
        </w:rPr>
        <w:t>is het kabinet</w:t>
      </w:r>
      <w:r w:rsidRPr="005D1FC7">
        <w:rPr>
          <w:rFonts w:eastAsia="Verdana" w:cs="Verdana"/>
          <w:szCs w:val="18"/>
        </w:rPr>
        <w:t xml:space="preserve"> wel gebonden aan de informatie-afspraken binnen de Raad en de vertrouwelijkheid van onderhandelingsstukken.</w:t>
      </w:r>
      <w:r>
        <w:rPr>
          <w:rStyle w:val="Voetnootmarkering"/>
          <w:rFonts w:eastAsia="Verdana" w:cs="Verdana"/>
          <w:szCs w:val="18"/>
        </w:rPr>
        <w:footnoteReference w:id="4"/>
      </w:r>
      <w:r>
        <w:rPr>
          <w:rFonts w:eastAsia="Verdana" w:cs="Verdana"/>
          <w:szCs w:val="18"/>
        </w:rPr>
        <w:t xml:space="preserve"> </w:t>
      </w:r>
      <w:r w:rsidRPr="2043B598">
        <w:rPr>
          <w:rFonts w:eastAsia="Verdana" w:cs="Verdana"/>
          <w:szCs w:val="18"/>
        </w:rPr>
        <w:t>Middels deze brief geven wij uw Kamer een zo goed mogelijk beeld van de stand van zaken op het moment van schrijven. Deze stand van zaken zal de komende dagen waarschijnlijk voortdurend aan verandering onderhevig zijn.</w:t>
      </w:r>
    </w:p>
    <w:p w:rsidR="00A36CCD" w:rsidP="00DA4915" w:rsidRDefault="00A36CCD" w14:paraId="1556A00D" w14:textId="77777777">
      <w:pPr>
        <w:rPr>
          <w:rFonts w:eastAsia="Verdana" w:cs="Verdana"/>
          <w:szCs w:val="18"/>
        </w:rPr>
      </w:pPr>
    </w:p>
    <w:p w:rsidR="00A36CCD" w:rsidP="00DA4915" w:rsidRDefault="00A36CCD" w14:paraId="3746C11B" w14:textId="77777777">
      <w:pPr>
        <w:rPr>
          <w:rFonts w:eastAsia="Verdana" w:cs="Verdana"/>
          <w:szCs w:val="18"/>
        </w:rPr>
      </w:pPr>
      <w:r w:rsidRPr="5844FACE">
        <w:rPr>
          <w:rFonts w:eastAsia="Verdana" w:cs="Verdana"/>
          <w:szCs w:val="18"/>
        </w:rPr>
        <w:t xml:space="preserve">Het kabinet blijft zich ervoor inzetten dat deze omnibus digitale wetgeving versimpelt, verduidelijkt en stroomlijnt. Dit is in lijn met de inzet van het kabinet op een Slagvaardige Overheid, onder andere te bereiken door vereenvoudiging van regelgeving. Voor het kabinet blijft daarbij ook een belangrijke voorwaarde dat de doelen en ambities van de digitale wetgeving overeind blijven, zeker als het gaat om de bescherming van grondrechten.  </w:t>
      </w:r>
    </w:p>
    <w:p w:rsidR="00A36CCD" w:rsidP="00DA4915" w:rsidRDefault="00A36CCD" w14:paraId="306AECFF" w14:textId="77777777">
      <w:pPr>
        <w:rPr>
          <w:rFonts w:eastAsia="Verdana" w:cs="Verdana"/>
          <w:szCs w:val="18"/>
        </w:rPr>
      </w:pPr>
    </w:p>
    <w:p w:rsidR="00A36CCD" w:rsidP="00DA4915" w:rsidRDefault="00A36CCD" w14:paraId="1112B15B" w14:textId="34D0491F">
      <w:pPr>
        <w:rPr>
          <w:rFonts w:eastAsia="Verdana" w:cs="Verdana"/>
          <w:szCs w:val="18"/>
        </w:rPr>
      </w:pPr>
      <w:r w:rsidRPr="5844FACE">
        <w:rPr>
          <w:rFonts w:eastAsia="Verdana" w:cs="Verdana"/>
          <w:szCs w:val="18"/>
        </w:rPr>
        <w:t xml:space="preserve">Alhoewel </w:t>
      </w:r>
      <w:r>
        <w:rPr>
          <w:rFonts w:eastAsia="Verdana" w:cs="Verdana"/>
          <w:szCs w:val="18"/>
        </w:rPr>
        <w:t xml:space="preserve">er </w:t>
      </w:r>
      <w:r w:rsidRPr="5844FACE">
        <w:rPr>
          <w:rFonts w:eastAsia="Verdana" w:cs="Verdana"/>
          <w:szCs w:val="18"/>
        </w:rPr>
        <w:t xml:space="preserve">nog veel onzekerheid is over de ontwikkelingen in het krachtenveld en de compromistekst, lijkt </w:t>
      </w:r>
      <w:r>
        <w:rPr>
          <w:rFonts w:eastAsia="Verdana" w:cs="Verdana"/>
          <w:szCs w:val="18"/>
        </w:rPr>
        <w:t>er,</w:t>
      </w:r>
      <w:r w:rsidRPr="5844FACE">
        <w:rPr>
          <w:rFonts w:eastAsia="Verdana" w:cs="Verdana"/>
          <w:szCs w:val="18"/>
        </w:rPr>
        <w:t xml:space="preserve"> net als in juni, nog steeds uitzicht op een compromis dat voldoende in lijn is met de kabinetsinzet</w:t>
      </w:r>
      <w:r>
        <w:rPr>
          <w:rFonts w:eastAsia="Verdana" w:cs="Verdana"/>
          <w:szCs w:val="18"/>
        </w:rPr>
        <w:t>. Wij</w:t>
      </w:r>
      <w:r w:rsidRPr="5844FACE">
        <w:rPr>
          <w:rFonts w:eastAsia="Verdana" w:cs="Verdana"/>
          <w:szCs w:val="18"/>
        </w:rPr>
        <w:t xml:space="preserve"> licht</w:t>
      </w:r>
      <w:r>
        <w:rPr>
          <w:rFonts w:eastAsia="Verdana" w:cs="Verdana"/>
          <w:szCs w:val="18"/>
        </w:rPr>
        <w:t>en</w:t>
      </w:r>
      <w:r w:rsidRPr="5844FACE">
        <w:rPr>
          <w:rFonts w:eastAsia="Verdana" w:cs="Verdana"/>
          <w:szCs w:val="18"/>
        </w:rPr>
        <w:t xml:space="preserve"> hieronder enkele onderdelen toe die voor Nederland van groot belang zijn</w:t>
      </w:r>
      <w:r w:rsidR="00F90797">
        <w:rPr>
          <w:rFonts w:eastAsia="Verdana" w:cs="Verdana"/>
          <w:szCs w:val="18"/>
        </w:rPr>
        <w:t>.</w:t>
      </w:r>
    </w:p>
    <w:p w:rsidR="00A36CCD" w:rsidP="00DA4915" w:rsidRDefault="00A36CCD" w14:paraId="152AA4D0" w14:textId="77777777">
      <w:pPr>
        <w:rPr>
          <w:rFonts w:eastAsia="Verdana" w:cs="Verdana"/>
          <w:szCs w:val="18"/>
        </w:rPr>
      </w:pPr>
    </w:p>
    <w:p w:rsidR="00A36CCD" w:rsidP="00DA4915" w:rsidRDefault="00A36CCD" w14:paraId="20016E3F" w14:textId="77777777">
      <w:pPr>
        <w:rPr>
          <w:rFonts w:eastAsia="Verdana" w:cs="Verdana"/>
          <w:i/>
          <w:iCs/>
          <w:szCs w:val="18"/>
        </w:rPr>
      </w:pPr>
      <w:r w:rsidRPr="5844FACE">
        <w:rPr>
          <w:rFonts w:eastAsia="Verdana" w:cs="Verdana"/>
          <w:i/>
          <w:iCs/>
          <w:szCs w:val="18"/>
        </w:rPr>
        <w:t>Europees centraal meldpunt en Platform-</w:t>
      </w:r>
      <w:proofErr w:type="spellStart"/>
      <w:r w:rsidRPr="5844FACE">
        <w:rPr>
          <w:rFonts w:eastAsia="Verdana" w:cs="Verdana"/>
          <w:i/>
          <w:iCs/>
          <w:szCs w:val="18"/>
        </w:rPr>
        <w:t>to</w:t>
      </w:r>
      <w:proofErr w:type="spellEnd"/>
      <w:r w:rsidRPr="5844FACE">
        <w:rPr>
          <w:rFonts w:eastAsia="Verdana" w:cs="Verdana"/>
          <w:i/>
          <w:iCs/>
          <w:szCs w:val="18"/>
        </w:rPr>
        <w:t>-Business(P2B)-verordening</w:t>
      </w:r>
    </w:p>
    <w:p w:rsidR="00A36CCD" w:rsidP="00DA4915" w:rsidRDefault="00A36CCD" w14:paraId="71EF2094" w14:textId="391B19FD">
      <w:pPr>
        <w:rPr>
          <w:rFonts w:eastAsia="Verdana" w:cs="Verdana"/>
          <w:szCs w:val="18"/>
        </w:rPr>
      </w:pPr>
      <w:r w:rsidRPr="2043B598" w:rsidDel="00D008D1">
        <w:rPr>
          <w:rFonts w:eastAsia="Verdana" w:cs="Verdana"/>
          <w:szCs w:val="18"/>
        </w:rPr>
        <w:t xml:space="preserve">Voor wat betreft het </w:t>
      </w:r>
      <w:r>
        <w:rPr>
          <w:rFonts w:eastAsia="Verdana" w:cs="Verdana"/>
          <w:szCs w:val="18"/>
        </w:rPr>
        <w:t>Europees centraal meldpunt heeft het kabinet ervoor gepleit dat</w:t>
      </w:r>
      <w:r w:rsidRPr="2043B598">
        <w:rPr>
          <w:rFonts w:eastAsia="Verdana" w:cs="Verdana"/>
          <w:szCs w:val="18"/>
        </w:rPr>
        <w:t xml:space="preserve"> de nationale meldstructuren blijven behouden en er een Europees centraal informatiepunt komt. </w:t>
      </w:r>
      <w:r w:rsidRPr="000C6935">
        <w:rPr>
          <w:rFonts w:eastAsia="Verdana" w:cs="Verdana"/>
          <w:szCs w:val="18"/>
        </w:rPr>
        <w:t>Voor de P2B-verordening is de kabinets</w:t>
      </w:r>
      <w:r w:rsidRPr="2043B598">
        <w:rPr>
          <w:rFonts w:eastAsia="Verdana" w:cs="Verdana"/>
          <w:szCs w:val="18"/>
        </w:rPr>
        <w:t>inzet</w:t>
      </w:r>
      <w:r>
        <w:rPr>
          <w:rFonts w:eastAsia="Verdana" w:cs="Verdana"/>
          <w:szCs w:val="18"/>
        </w:rPr>
        <w:t xml:space="preserve"> dat</w:t>
      </w:r>
      <w:r w:rsidRPr="2043B598">
        <w:rPr>
          <w:rFonts w:eastAsia="Verdana" w:cs="Verdana"/>
          <w:szCs w:val="18"/>
        </w:rPr>
        <w:t xml:space="preserve"> bepaalde onderdelen van de verordening in stand blijven, zodat ondernemers die zakendoen op platforms op hetzelfde niveau beschermd blijven. </w:t>
      </w:r>
      <w:r>
        <w:rPr>
          <w:rFonts w:eastAsia="Verdana" w:cs="Verdana"/>
          <w:szCs w:val="18"/>
        </w:rPr>
        <w:t xml:space="preserve">Dit </w:t>
      </w:r>
      <w:r w:rsidRPr="2043B598" w:rsidDel="00D008D1">
        <w:rPr>
          <w:rFonts w:eastAsia="Verdana" w:cs="Verdana"/>
          <w:szCs w:val="18"/>
        </w:rPr>
        <w:t>in lijn met de kabinetsinzet zoals geformuleerd in de non-papers hierover</w:t>
      </w:r>
      <w:r w:rsidR="00F90797">
        <w:rPr>
          <w:rFonts w:eastAsia="Verdana" w:cs="Verdana"/>
          <w:szCs w:val="18"/>
        </w:rPr>
        <w:t>.</w:t>
      </w:r>
      <w:r w:rsidRPr="2043B598">
        <w:rPr>
          <w:rStyle w:val="Voetnootmarkering"/>
          <w:rFonts w:eastAsia="Verdana" w:cs="Verdana"/>
          <w:szCs w:val="18"/>
        </w:rPr>
        <w:footnoteReference w:id="5"/>
      </w:r>
      <w:r>
        <w:rPr>
          <w:rFonts w:eastAsia="Verdana" w:cs="Verdana"/>
          <w:szCs w:val="18"/>
        </w:rPr>
        <w:t xml:space="preserve"> </w:t>
      </w:r>
    </w:p>
    <w:p w:rsidR="00A36CCD" w:rsidP="00DA4915" w:rsidRDefault="00A36CCD" w14:paraId="7DC1C8B8" w14:textId="77777777">
      <w:pPr>
        <w:rPr>
          <w:rFonts w:eastAsia="Verdana" w:cs="Verdana"/>
          <w:i/>
          <w:szCs w:val="18"/>
        </w:rPr>
      </w:pPr>
    </w:p>
    <w:p w:rsidRPr="00473244" w:rsidR="00A36CCD" w:rsidP="00DA4915" w:rsidRDefault="00A36CCD" w14:paraId="0E3E3DE6" w14:textId="77777777">
      <w:pPr>
        <w:rPr>
          <w:rFonts w:eastAsia="Verdana" w:cs="Verdana"/>
          <w:i/>
          <w:szCs w:val="18"/>
        </w:rPr>
      </w:pPr>
      <w:r w:rsidRPr="00473244">
        <w:rPr>
          <w:rFonts w:eastAsia="Verdana" w:cs="Verdana"/>
          <w:i/>
          <w:szCs w:val="18"/>
        </w:rPr>
        <w:t>Datawetgeving</w:t>
      </w:r>
    </w:p>
    <w:p w:rsidR="00A36CCD" w:rsidP="00DA4915" w:rsidRDefault="00A36CCD" w14:paraId="04D94832" w14:textId="47F0EFA9">
      <w:pPr>
        <w:rPr>
          <w:rFonts w:eastAsia="Verdana" w:cs="Verdana"/>
          <w:szCs w:val="18"/>
        </w:rPr>
      </w:pPr>
      <w:r w:rsidRPr="5844FACE">
        <w:rPr>
          <w:rFonts w:eastAsia="Verdana" w:cs="Verdana"/>
          <w:szCs w:val="18"/>
        </w:rPr>
        <w:t>Met betrekking tot datawetgeving is het kabinet positief over het Commissievoorstel. Het kabinet zet zich ervoor in dat de bepalingen met betrekking tot bedrijfsgeheimen de balans uit de Dataverordening behouden, waarbij het delen en gebruik van data in de Europese data</w:t>
      </w:r>
      <w:r>
        <w:rPr>
          <w:rFonts w:ascii="Cambria Math" w:hAnsi="Cambria Math" w:eastAsia="Verdana" w:cs="Cambria Math"/>
          <w:szCs w:val="18"/>
        </w:rPr>
        <w:t>-</w:t>
      </w:r>
      <w:r w:rsidRPr="5844FACE">
        <w:rPr>
          <w:rFonts w:eastAsia="Verdana" w:cs="Verdana"/>
          <w:szCs w:val="18"/>
        </w:rPr>
        <w:t xml:space="preserve">economie wordt gestimuleerd, terwijl de bescherming van bedrijfsgeheimen behouden blijft. Het kabinet is kritisch op verdergaande wijzigingen op dit onderdeel die de balans uit de Data Act fundamenteel veranderen en daarmee de Data Act </w:t>
      </w:r>
      <w:r w:rsidR="006A5981">
        <w:rPr>
          <w:rFonts w:eastAsia="Verdana" w:cs="Verdana"/>
          <w:szCs w:val="18"/>
        </w:rPr>
        <w:t>zou</w:t>
      </w:r>
      <w:r w:rsidRPr="5844FACE">
        <w:rPr>
          <w:rFonts w:eastAsia="Verdana" w:cs="Verdana"/>
          <w:szCs w:val="18"/>
        </w:rPr>
        <w:t xml:space="preserve"> kunnen beperken in het realiseren van haar doel: het stimuleren van de Europese data</w:t>
      </w:r>
      <w:r>
        <w:rPr>
          <w:rFonts w:ascii="Cambria Math" w:hAnsi="Cambria Math" w:eastAsia="Verdana" w:cs="Cambria Math"/>
          <w:szCs w:val="18"/>
        </w:rPr>
        <w:t>-</w:t>
      </w:r>
      <w:r w:rsidRPr="5844FACE">
        <w:rPr>
          <w:rFonts w:eastAsia="Verdana" w:cs="Verdana"/>
          <w:szCs w:val="18"/>
        </w:rPr>
        <w:t xml:space="preserve">economie door het gebruik van data voor economische, innovatieve en maatschappelijke doeleinden te faciliteren. </w:t>
      </w:r>
    </w:p>
    <w:p w:rsidR="00A36CCD" w:rsidP="00DA4915" w:rsidRDefault="00A36CCD" w14:paraId="1EB35D04" w14:textId="77777777">
      <w:pPr>
        <w:rPr>
          <w:rFonts w:eastAsia="Verdana" w:cs="Verdana"/>
          <w:i/>
          <w:iCs/>
          <w:szCs w:val="18"/>
        </w:rPr>
      </w:pPr>
    </w:p>
    <w:p w:rsidRPr="00473244" w:rsidR="00A36CCD" w:rsidP="00DA4915" w:rsidRDefault="00A36CCD" w14:paraId="6204146E" w14:textId="77777777">
      <w:pPr>
        <w:rPr>
          <w:rFonts w:eastAsia="Verdana" w:cs="Verdana"/>
          <w:i/>
          <w:iCs/>
          <w:szCs w:val="18"/>
        </w:rPr>
      </w:pPr>
      <w:r w:rsidRPr="5844FACE">
        <w:rPr>
          <w:rFonts w:eastAsia="Verdana" w:cs="Verdana"/>
          <w:i/>
          <w:iCs/>
          <w:szCs w:val="18"/>
        </w:rPr>
        <w:t>Algemene Verordening Gegevensbescherming (AVG)</w:t>
      </w:r>
    </w:p>
    <w:p w:rsidR="00A36CCD" w:rsidP="00DA4915" w:rsidRDefault="00A36CCD" w14:paraId="51909FB8" w14:textId="45796889">
      <w:pPr>
        <w:rPr>
          <w:rFonts w:eastAsia="Verdana" w:cs="Verdana"/>
          <w:szCs w:val="18"/>
        </w:rPr>
      </w:pPr>
      <w:r w:rsidRPr="00473244">
        <w:rPr>
          <w:rFonts w:eastAsia="Verdana" w:cs="Verdana"/>
          <w:szCs w:val="18"/>
        </w:rPr>
        <w:t xml:space="preserve">De kabinetsinzet met betrekking tot de AVG blijft om voorstellen die verder gaan dan het verduidelijken, versimpelen en stroomlijnen te laten schrappen of door aanpassing, waar mogelijk en opportuun, aanvaardbaar te maken. </w:t>
      </w:r>
      <w:r w:rsidRPr="5844FACE">
        <w:rPr>
          <w:rFonts w:eastAsia="Verdana" w:cs="Verdana"/>
          <w:szCs w:val="18"/>
        </w:rPr>
        <w:t>O</w:t>
      </w:r>
      <w:r w:rsidRPr="00473244" w:rsidDel="001F454F">
        <w:rPr>
          <w:rFonts w:eastAsia="Verdana" w:cs="Verdana"/>
          <w:szCs w:val="18"/>
        </w:rPr>
        <w:t>ndanks</w:t>
      </w:r>
      <w:r w:rsidRPr="00473244">
        <w:rPr>
          <w:rFonts w:eastAsia="Verdana" w:cs="Verdana"/>
          <w:szCs w:val="18"/>
        </w:rPr>
        <w:t xml:space="preserve"> de ontwikkelingen rond de beoogde </w:t>
      </w:r>
      <w:proofErr w:type="spellStart"/>
      <w:r w:rsidRPr="00473244">
        <w:rPr>
          <w:rFonts w:eastAsia="Verdana" w:cs="Verdana"/>
          <w:szCs w:val="18"/>
        </w:rPr>
        <w:t>Coreper</w:t>
      </w:r>
      <w:proofErr w:type="spellEnd"/>
      <w:r w:rsidRPr="00473244">
        <w:rPr>
          <w:rFonts w:eastAsia="Verdana" w:cs="Verdana"/>
          <w:szCs w:val="18"/>
        </w:rPr>
        <w:t>-bespreking in juni waar wij uw Kamer over hebben geïnformeerd</w:t>
      </w:r>
      <w:r w:rsidRPr="00473244">
        <w:rPr>
          <w:rStyle w:val="Voetnootmarkering"/>
          <w:rFonts w:eastAsia="Verdana" w:cs="Verdana"/>
          <w:szCs w:val="18"/>
        </w:rPr>
        <w:footnoteReference w:id="6"/>
      </w:r>
      <w:r w:rsidRPr="00473244">
        <w:rPr>
          <w:rFonts w:eastAsia="Verdana" w:cs="Verdana"/>
          <w:szCs w:val="18"/>
        </w:rPr>
        <w:t xml:space="preserve">  vindt de kabinetsinzet nog steeds weerklank in de Raad. Er lijkt uitzicht op een compromis dat voldoende in lijn is met de kabinetsinzet om te dienen als basis voor een mandaat. Dit neemt niet weg dat het krachtenveld in beweging is, en dat het resultaat nog niet is bereikt, ook op voor Nederland essentiële onderwerpen die raken aan het grondrecht, zoals het begrip persoonsgegevens, gerechtvaardigd belang en cookies.</w:t>
      </w:r>
    </w:p>
    <w:p w:rsidRPr="00473244" w:rsidR="00A36CCD" w:rsidP="00DA4915" w:rsidRDefault="00A36CCD" w14:paraId="344C34EE" w14:textId="77777777">
      <w:pPr>
        <w:rPr>
          <w:rFonts w:eastAsia="Verdana" w:cs="Verdana"/>
          <w:szCs w:val="18"/>
        </w:rPr>
      </w:pPr>
    </w:p>
    <w:p w:rsidRPr="00473244" w:rsidR="00A36CCD" w:rsidP="00DA4915" w:rsidRDefault="00A36CCD" w14:paraId="6A975531" w14:textId="77777777">
      <w:pPr>
        <w:rPr>
          <w:rFonts w:eastAsia="Verdana" w:cs="Verdana"/>
          <w:i/>
          <w:iCs/>
          <w:szCs w:val="18"/>
        </w:rPr>
      </w:pPr>
      <w:r w:rsidRPr="00473244">
        <w:rPr>
          <w:rFonts w:eastAsia="Verdana" w:cs="Verdana"/>
          <w:i/>
          <w:iCs/>
          <w:szCs w:val="18"/>
        </w:rPr>
        <w:t xml:space="preserve">Persoonsgegevens en </w:t>
      </w:r>
      <w:proofErr w:type="spellStart"/>
      <w:r w:rsidRPr="00473244">
        <w:rPr>
          <w:rFonts w:eastAsia="Verdana" w:cs="Verdana"/>
          <w:i/>
          <w:iCs/>
          <w:szCs w:val="18"/>
        </w:rPr>
        <w:t>pseudonimisering</w:t>
      </w:r>
      <w:proofErr w:type="spellEnd"/>
    </w:p>
    <w:p w:rsidR="00A36CCD" w:rsidP="00DA4915" w:rsidRDefault="00A36CCD" w14:paraId="4AAC249F" w14:textId="77777777">
      <w:pPr>
        <w:rPr>
          <w:rFonts w:eastAsia="Verdana" w:cs="Verdana"/>
          <w:szCs w:val="18"/>
        </w:rPr>
      </w:pPr>
      <w:r w:rsidRPr="5844FACE">
        <w:rPr>
          <w:rFonts w:eastAsia="Verdana" w:cs="Verdana"/>
          <w:szCs w:val="18"/>
        </w:rPr>
        <w:t xml:space="preserve">Een punt van bijzondere aandacht is de definitie van persoonsgegevens. De betekenis en interpretatie van het begrip persoonsgegevens is immers bepalend voor de reikwijdte van de verordening, en daarmee cruciaal voor de bescherming van het grondrecht. De Nederlandse inzet is er steeds op gericht om te voorkomen dat de reikwijdte van het begrip persoonsgegevens zou worden beperkt, en zou afwijken van de jurisprudentie van het EU Hof van Justitie. </w:t>
      </w:r>
    </w:p>
    <w:p w:rsidRPr="00473244" w:rsidR="00A36CCD" w:rsidP="00DA4915" w:rsidRDefault="00A36CCD" w14:paraId="4905D036" w14:textId="77777777">
      <w:pPr>
        <w:rPr>
          <w:rFonts w:eastAsia="Verdana" w:cs="Verdana"/>
          <w:szCs w:val="18"/>
        </w:rPr>
      </w:pPr>
    </w:p>
    <w:p w:rsidRPr="00473244" w:rsidR="00A36CCD" w:rsidP="00DA4915" w:rsidRDefault="00A36CCD" w14:paraId="7F118965" w14:textId="77777777">
      <w:pPr>
        <w:rPr>
          <w:rFonts w:eastAsia="Verdana" w:cs="Verdana"/>
          <w:i/>
          <w:iCs/>
          <w:szCs w:val="18"/>
        </w:rPr>
      </w:pPr>
      <w:r w:rsidRPr="00473244">
        <w:rPr>
          <w:rFonts w:eastAsia="Verdana" w:cs="Verdana"/>
          <w:i/>
          <w:iCs/>
          <w:szCs w:val="18"/>
        </w:rPr>
        <w:t>Gerechtvaardigd belang in AI context</w:t>
      </w:r>
    </w:p>
    <w:p w:rsidRPr="00473244" w:rsidR="00A36CCD" w:rsidP="00DA4915" w:rsidRDefault="00A36CCD" w14:paraId="5ED0E977" w14:textId="243D924D">
      <w:pPr>
        <w:rPr>
          <w:rFonts w:eastAsia="Verdana" w:cs="Verdana"/>
          <w:szCs w:val="18"/>
        </w:rPr>
      </w:pPr>
      <w:r w:rsidRPr="5844FACE">
        <w:rPr>
          <w:rFonts w:eastAsia="Verdana" w:cs="Verdana"/>
          <w:szCs w:val="18"/>
        </w:rPr>
        <w:t xml:space="preserve">Ook de regeling rondom de grondslag gerechtvaardigd belang (in AI-context) is voor de Nederlandse inzet van groot belang. Zoals </w:t>
      </w:r>
      <w:r w:rsidR="006A5981">
        <w:rPr>
          <w:rFonts w:eastAsia="Verdana" w:cs="Verdana"/>
          <w:szCs w:val="18"/>
        </w:rPr>
        <w:t>aangegeven</w:t>
      </w:r>
      <w:r w:rsidRPr="5844FACE">
        <w:rPr>
          <w:rFonts w:eastAsia="Verdana" w:cs="Verdana"/>
          <w:szCs w:val="18"/>
        </w:rPr>
        <w:t xml:space="preserve"> in het BNC-fiche is Nederland kritisch op het creëren van een nieuwe grondslag voor het verwerken van persoonsgegevens ten behoeve van het trainen en exploiteren van AI-systemen. Dit vanwege de zorg dat een dergelijke bepaling ten onrechte de indruk zou kunnen wekken dat bij het vaststellen van een grondslag voor het verwerken van persoonsgegevens in de context van AI speciale, dat wil zeggen afwijkende, regels gelden. Nederland zet er daarom op in om te verduidelijken dat de vereisten die gelden in de AVG voor het vaststellen van een grondslag voor het verwerken van persoonsgegevens, onverminderd van toepassing zijn wanneer persoonsgegevens worden verwerkt in de context van AI.</w:t>
      </w:r>
      <w:r w:rsidR="00A95AE1">
        <w:rPr>
          <w:rStyle w:val="Voetnootmarkering"/>
          <w:rFonts w:eastAsia="Verdana" w:cs="Verdana"/>
          <w:szCs w:val="18"/>
        </w:rPr>
        <w:footnoteReference w:id="7"/>
      </w:r>
      <w:r w:rsidRPr="5844FACE" w:rsidR="00A95AE1">
        <w:rPr>
          <w:rFonts w:eastAsia="Verdana" w:cs="Verdana"/>
          <w:szCs w:val="18"/>
        </w:rPr>
        <w:t xml:space="preserve"> </w:t>
      </w:r>
      <w:r w:rsidRPr="5844FACE">
        <w:rPr>
          <w:rFonts w:eastAsia="Verdana" w:cs="Verdana"/>
          <w:szCs w:val="18"/>
        </w:rPr>
        <w:t xml:space="preserve">  </w:t>
      </w:r>
    </w:p>
    <w:p w:rsidR="00A36CCD" w:rsidP="00DA4915" w:rsidRDefault="00A36CCD" w14:paraId="0F996B27" w14:textId="77777777">
      <w:pPr>
        <w:rPr>
          <w:rFonts w:eastAsia="Verdana" w:cs="Verdana"/>
          <w:i/>
          <w:iCs/>
          <w:szCs w:val="18"/>
        </w:rPr>
      </w:pPr>
    </w:p>
    <w:p w:rsidRPr="00473244" w:rsidR="00A36CCD" w:rsidP="00DA4915" w:rsidRDefault="00A36CCD" w14:paraId="0BB06062" w14:textId="77777777">
      <w:pPr>
        <w:rPr>
          <w:rFonts w:eastAsia="Verdana" w:cs="Verdana"/>
          <w:i/>
          <w:iCs/>
          <w:szCs w:val="18"/>
        </w:rPr>
      </w:pPr>
      <w:r w:rsidRPr="00473244">
        <w:rPr>
          <w:rFonts w:eastAsia="Verdana" w:cs="Verdana"/>
          <w:i/>
          <w:iCs/>
          <w:szCs w:val="18"/>
        </w:rPr>
        <w:t>Cookies (</w:t>
      </w:r>
      <w:proofErr w:type="spellStart"/>
      <w:r w:rsidRPr="00473244">
        <w:rPr>
          <w:rFonts w:eastAsia="Verdana" w:cs="Verdana"/>
          <w:i/>
          <w:iCs/>
          <w:szCs w:val="18"/>
        </w:rPr>
        <w:t>ePrivacy</w:t>
      </w:r>
      <w:proofErr w:type="spellEnd"/>
      <w:r w:rsidRPr="00473244">
        <w:rPr>
          <w:rFonts w:eastAsia="Verdana" w:cs="Verdana"/>
          <w:i/>
          <w:iCs/>
          <w:szCs w:val="18"/>
        </w:rPr>
        <w:t>)</w:t>
      </w:r>
    </w:p>
    <w:p w:rsidR="00A36CCD" w:rsidP="00DA4915" w:rsidRDefault="00A36CCD" w14:paraId="086E3F56" w14:textId="77777777">
      <w:pPr>
        <w:rPr>
          <w:rFonts w:eastAsia="Verdana" w:cs="Verdana"/>
          <w:szCs w:val="18"/>
        </w:rPr>
      </w:pPr>
      <w:r w:rsidRPr="5844FACE">
        <w:rPr>
          <w:rFonts w:eastAsia="Verdana" w:cs="Verdana"/>
          <w:szCs w:val="18"/>
        </w:rPr>
        <w:t xml:space="preserve">De kabinetsinzet met betrekking tot de </w:t>
      </w:r>
      <w:proofErr w:type="spellStart"/>
      <w:r w:rsidRPr="5844FACE">
        <w:rPr>
          <w:rFonts w:eastAsia="Verdana" w:cs="Verdana"/>
          <w:szCs w:val="18"/>
        </w:rPr>
        <w:t>ePrivacyrichtlijn</w:t>
      </w:r>
      <w:proofErr w:type="spellEnd"/>
      <w:r w:rsidRPr="5844FACE">
        <w:rPr>
          <w:rFonts w:eastAsia="Verdana" w:cs="Verdana"/>
          <w:szCs w:val="18"/>
        </w:rPr>
        <w:t xml:space="preserve"> blijft het stroomlijnen en actualiseren van cookie- en trackingregelgeving en het verbeteren van de privacy-positie van burgers, bijvoorbeeld door geharmoniseerde handhaving en goed afgebakende uitzonderingen. Als onderdeel daarvan zet het kabinet zich ervoor in om het voor burgers makkelijker te maken om hun rechten uit te oefenen, bijvoorbeeld via een vereiste waarbij gebruikers met een enkele klik toestemming voor online tracking moeten kunnen weigeren, met een termijn voordat opnieuw toestemming mag worden gevraagd. </w:t>
      </w:r>
    </w:p>
    <w:p w:rsidR="00A36CCD" w:rsidP="00DA4915" w:rsidRDefault="00A36CCD" w14:paraId="08806E68" w14:textId="77777777">
      <w:pPr>
        <w:rPr>
          <w:rFonts w:eastAsia="Verdana" w:cs="Verdana"/>
          <w:i/>
          <w:iCs/>
          <w:szCs w:val="18"/>
        </w:rPr>
      </w:pPr>
    </w:p>
    <w:p w:rsidR="00A36CCD" w:rsidP="00DA4915" w:rsidRDefault="00A36CCD" w14:paraId="42184D0B" w14:textId="77777777">
      <w:pPr>
        <w:rPr>
          <w:rFonts w:eastAsia="Verdana" w:cs="Verdana"/>
          <w:szCs w:val="18"/>
        </w:rPr>
      </w:pPr>
      <w:r w:rsidRPr="5844FACE">
        <w:rPr>
          <w:rFonts w:eastAsia="Verdana" w:cs="Verdana"/>
          <w:i/>
          <w:iCs/>
          <w:szCs w:val="18"/>
        </w:rPr>
        <w:t>Conclusie</w:t>
      </w:r>
    </w:p>
    <w:p w:rsidR="00DA4915" w:rsidP="00DA4915" w:rsidRDefault="00A36CCD" w14:paraId="5BB75AF6" w14:textId="77777777">
      <w:pPr>
        <w:rPr>
          <w:rFonts w:eastAsia="Verdana" w:cs="Verdana"/>
          <w:szCs w:val="18"/>
        </w:rPr>
      </w:pPr>
      <w:r w:rsidRPr="5844FACE">
        <w:rPr>
          <w:rFonts w:eastAsia="Verdana" w:cs="Verdana"/>
          <w:szCs w:val="18"/>
        </w:rPr>
        <w:t>De komende dagen zal blijken of het compromis dat in stemming wordt gebracht voldoende in lijn blijft met de kabinetsinzet, zoals in het BNC-fiche uiteengezet en hierboven beschreven. Net als de vorige keer dat het voorzitterschap voornemens was de Raad om een mandaat voor de trilogen te vragen is het krachtenveld nog in beweging.</w:t>
      </w:r>
    </w:p>
    <w:p w:rsidR="00DA4915" w:rsidRDefault="00DA4915" w14:paraId="47CFA41A" w14:textId="77777777">
      <w:pPr>
        <w:spacing w:line="240" w:lineRule="auto"/>
        <w:rPr>
          <w:rFonts w:eastAsia="Verdana" w:cs="Verdana"/>
          <w:szCs w:val="18"/>
        </w:rPr>
      </w:pPr>
      <w:r>
        <w:rPr>
          <w:rFonts w:eastAsia="Verdana" w:cs="Verdana"/>
          <w:szCs w:val="18"/>
        </w:rPr>
        <w:br w:type="page"/>
      </w:r>
    </w:p>
    <w:p w:rsidR="00A36CCD" w:rsidP="00DA4915" w:rsidRDefault="00A36CCD" w14:paraId="606C0D93" w14:textId="788D8BA9">
      <w:pPr>
        <w:rPr>
          <w:rFonts w:eastAsia="Verdana" w:cs="Verdana"/>
          <w:szCs w:val="18"/>
        </w:rPr>
      </w:pPr>
      <w:r w:rsidRPr="5844FACE">
        <w:rPr>
          <w:rFonts w:eastAsia="Verdana" w:cs="Verdana"/>
          <w:szCs w:val="18"/>
        </w:rPr>
        <w:t>Daardoor kan het beoogde compromis nog op belangrijke onderdelen wijzigen. Er kunnen daardoor nog geen definitieve conclusies worden getrokken over de inhoud van een mogelijk compromis en daarmee ook niet over het oordeel hierover door het kabinet.</w:t>
      </w:r>
    </w:p>
    <w:p w:rsidR="00DA4915" w:rsidP="00DA4915" w:rsidRDefault="00DA4915" w14:paraId="17B7145C" w14:textId="77777777">
      <w:pPr>
        <w:rPr>
          <w:rFonts w:eastAsia="Verdana" w:cs="Verdana"/>
          <w:szCs w:val="18"/>
        </w:rPr>
      </w:pPr>
    </w:p>
    <w:p w:rsidR="00DA4915" w:rsidP="00DA4915" w:rsidRDefault="00DA4915" w14:paraId="5809872C" w14:textId="77777777">
      <w:pPr>
        <w:rPr>
          <w:rFonts w:eastAsia="Verdana" w:cs="Verdana"/>
          <w:szCs w:val="18"/>
        </w:rPr>
      </w:pPr>
    </w:p>
    <w:p w:rsidR="00DA4915" w:rsidP="00DA4915" w:rsidRDefault="00DA4915" w14:paraId="504DAF52" w14:textId="77777777">
      <w:pPr>
        <w:rPr>
          <w:rFonts w:eastAsia="Verdana" w:cs="Verdana"/>
          <w:szCs w:val="18"/>
        </w:rPr>
      </w:pPr>
    </w:p>
    <w:p w:rsidRPr="00027005" w:rsidR="00DA4915" w:rsidP="00DA4915" w:rsidRDefault="00DA4915" w14:paraId="1255D49C" w14:textId="77777777">
      <w:r w:rsidRPr="00027005">
        <w:rPr>
          <w:rFonts w:eastAsia="Calibri" w:cs="Calibri"/>
        </w:rPr>
        <w:t xml:space="preserve">W.J.M. Aerdts </w:t>
      </w:r>
    </w:p>
    <w:p w:rsidR="00A36CCD" w:rsidP="00DA4915" w:rsidRDefault="00DA4915" w14:paraId="5CE3F015" w14:textId="704DA006">
      <w:pPr>
        <w:rPr>
          <w:rFonts w:eastAsia="Calibri" w:cs="Calibri"/>
        </w:rPr>
      </w:pPr>
      <w:r>
        <w:rPr>
          <w:rFonts w:eastAsia="Calibri" w:cs="Calibri"/>
        </w:rPr>
        <w:t>S</w:t>
      </w:r>
      <w:r w:rsidRPr="00027005" w:rsidR="00A36CCD">
        <w:rPr>
          <w:rFonts w:eastAsia="Calibri" w:cs="Calibri"/>
        </w:rPr>
        <w:t>taatssecretaris van Economische Zaken en Klimaat</w:t>
      </w:r>
    </w:p>
    <w:p w:rsidR="00DA4915" w:rsidP="00DA4915" w:rsidRDefault="00DA4915" w14:paraId="43B9204D" w14:textId="77777777">
      <w:pPr>
        <w:rPr>
          <w:rFonts w:eastAsia="Calibri" w:cs="Calibri"/>
        </w:rPr>
      </w:pPr>
    </w:p>
    <w:p w:rsidR="00DA4915" w:rsidP="00DA4915" w:rsidRDefault="00DA4915" w14:paraId="307C15AC" w14:textId="77777777"/>
    <w:p w:rsidR="00DA4915" w:rsidP="00DA4915" w:rsidRDefault="00DA4915" w14:paraId="2A609F2D" w14:textId="77777777"/>
    <w:p w:rsidRPr="00027005" w:rsidR="00DA4915" w:rsidP="00DA4915" w:rsidRDefault="00DA4915" w14:paraId="4D155057" w14:textId="77777777"/>
    <w:p w:rsidRPr="00027005" w:rsidR="00A36CCD" w:rsidP="00DA4915" w:rsidRDefault="00A36CCD" w14:paraId="2F7E3CE2" w14:textId="64863CC8"/>
    <w:p w:rsidRPr="00027005" w:rsidR="00A36CCD" w:rsidP="00DA4915" w:rsidRDefault="00A36CCD" w14:paraId="18F2691E" w14:textId="77777777">
      <w:r w:rsidRPr="00027005">
        <w:rPr>
          <w:rFonts w:eastAsia="Calibri" w:cs="Calibri"/>
        </w:rPr>
        <w:t>K.T. van Bruggen</w:t>
      </w:r>
    </w:p>
    <w:p w:rsidRPr="00DA4915" w:rsidR="004E505E" w:rsidP="00DA4915" w:rsidRDefault="00DA4915" w14:paraId="54DA6B82" w14:textId="3E3EACA7">
      <w:pPr>
        <w:rPr>
          <w:rFonts w:eastAsia="Verdana" w:cs="Verdana"/>
          <w:i/>
          <w:iCs/>
          <w:szCs w:val="18"/>
        </w:rPr>
      </w:pPr>
      <w:r>
        <w:rPr>
          <w:rFonts w:eastAsia="Calibri" w:cs="Calibri"/>
        </w:rPr>
        <w:t>S</w:t>
      </w:r>
      <w:r w:rsidRPr="00027005">
        <w:rPr>
          <w:rFonts w:eastAsia="Calibri" w:cs="Calibri"/>
        </w:rPr>
        <w:t>taatssecretaris van Justitie en Veiligheid</w:t>
      </w:r>
    </w:p>
    <w:sectPr w:rsidRPr="00DA4915" w:rsidR="004E505E"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60A46" w14:textId="77777777" w:rsidR="00774253" w:rsidRDefault="00774253">
      <w:r>
        <w:separator/>
      </w:r>
    </w:p>
    <w:p w14:paraId="52A50C13" w14:textId="77777777" w:rsidR="00774253" w:rsidRDefault="00774253"/>
  </w:endnote>
  <w:endnote w:type="continuationSeparator" w:id="0">
    <w:p w14:paraId="77E9079A" w14:textId="77777777" w:rsidR="00774253" w:rsidRDefault="00774253">
      <w:r>
        <w:continuationSeparator/>
      </w:r>
    </w:p>
    <w:p w14:paraId="41D5A4D8" w14:textId="77777777" w:rsidR="00774253" w:rsidRDefault="007742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BF32F" w14:textId="13C11AEE"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54743B" w14:paraId="1C8B6E34" w14:textId="77777777" w:rsidTr="006D1737">
      <w:trPr>
        <w:trHeight w:hRule="exact" w:val="240"/>
      </w:trPr>
      <w:tc>
        <w:tcPr>
          <w:tcW w:w="7601" w:type="dxa"/>
        </w:tcPr>
        <w:p w14:paraId="5DAD498C" w14:textId="77777777" w:rsidR="006D1737" w:rsidRDefault="006D1737" w:rsidP="006D1737">
          <w:pPr>
            <w:pStyle w:val="Huisstijl-Rubricering"/>
          </w:pPr>
        </w:p>
      </w:tc>
      <w:tc>
        <w:tcPr>
          <w:tcW w:w="2156" w:type="dxa"/>
        </w:tcPr>
        <w:p w14:paraId="5BEB5EA4" w14:textId="03E928EF" w:rsidR="006D1737" w:rsidRPr="00645414" w:rsidRDefault="002347C1"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6D5DBA">
            <w:t>4</w:t>
          </w:r>
          <w:r w:rsidR="00D72F45">
            <w:fldChar w:fldCharType="end"/>
          </w:r>
          <w:r w:rsidRPr="00ED539E">
            <w:t xml:space="preserve"> </w:t>
          </w:r>
        </w:p>
      </w:tc>
      <w:tc>
        <w:tcPr>
          <w:tcW w:w="2156" w:type="dxa"/>
        </w:tcPr>
        <w:p w14:paraId="6F9AB129" w14:textId="77777777" w:rsidR="006D1737" w:rsidRPr="00645414" w:rsidRDefault="002347C1" w:rsidP="006D1737">
          <w:pPr>
            <w:pStyle w:val="Huisstijl-Paginanummering"/>
          </w:pPr>
          <w:r w:rsidRPr="00645414">
            <w:t xml:space="preserve"> </w:t>
          </w:r>
        </w:p>
      </w:tc>
    </w:tr>
  </w:tbl>
  <w:p w14:paraId="2C0F818E"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4743B" w14:paraId="17EE3B96" w14:textId="77777777" w:rsidTr="00CA6A25">
      <w:trPr>
        <w:trHeight w:hRule="exact" w:val="240"/>
      </w:trPr>
      <w:tc>
        <w:tcPr>
          <w:tcW w:w="7601" w:type="dxa"/>
        </w:tcPr>
        <w:p w14:paraId="3ABE13E4" w14:textId="1F9E376D" w:rsidR="00527BD4" w:rsidRDefault="00527BD4" w:rsidP="008C356D">
          <w:pPr>
            <w:pStyle w:val="Huisstijl-Rubricering"/>
          </w:pPr>
        </w:p>
      </w:tc>
      <w:tc>
        <w:tcPr>
          <w:tcW w:w="2170" w:type="dxa"/>
        </w:tcPr>
        <w:p w14:paraId="290DF7F5" w14:textId="566A9B74" w:rsidR="00527BD4" w:rsidRPr="00ED539E" w:rsidRDefault="002347C1"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6D5DBA">
            <w:t>4</w:t>
          </w:r>
          <w:r w:rsidR="004B0F05">
            <w:fldChar w:fldCharType="end"/>
          </w:r>
        </w:p>
      </w:tc>
    </w:tr>
  </w:tbl>
  <w:p w14:paraId="2970AB35" w14:textId="77777777" w:rsidR="00527BD4" w:rsidRPr="00BC3B53" w:rsidRDefault="00527BD4" w:rsidP="008C356D">
    <w:pPr>
      <w:pStyle w:val="Voettekst"/>
      <w:spacing w:line="240" w:lineRule="auto"/>
      <w:rPr>
        <w:sz w:val="2"/>
        <w:szCs w:val="2"/>
      </w:rPr>
    </w:pPr>
  </w:p>
  <w:p w14:paraId="6264CF31"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EED62" w14:textId="77777777" w:rsidR="00774253" w:rsidRDefault="00774253">
      <w:r>
        <w:separator/>
      </w:r>
    </w:p>
    <w:p w14:paraId="5C4586B7" w14:textId="77777777" w:rsidR="00774253" w:rsidRDefault="00774253"/>
  </w:footnote>
  <w:footnote w:type="continuationSeparator" w:id="0">
    <w:p w14:paraId="36F8790D" w14:textId="77777777" w:rsidR="00774253" w:rsidRDefault="00774253">
      <w:r>
        <w:continuationSeparator/>
      </w:r>
    </w:p>
    <w:p w14:paraId="7548C4DB" w14:textId="77777777" w:rsidR="00774253" w:rsidRDefault="00774253"/>
  </w:footnote>
  <w:footnote w:id="1">
    <w:p w14:paraId="2E91869D" w14:textId="77777777" w:rsidR="00A36CCD" w:rsidRPr="00FA7CA7" w:rsidRDefault="00A36CCD" w:rsidP="00A95AE1">
      <w:pPr>
        <w:pStyle w:val="Voetnoottekst"/>
        <w:spacing w:line="240" w:lineRule="auto"/>
        <w:rPr>
          <w:color w:val="132439"/>
          <w:sz w:val="14"/>
          <w:szCs w:val="14"/>
        </w:rPr>
      </w:pPr>
      <w:r w:rsidRPr="00FA7CA7">
        <w:rPr>
          <w:rStyle w:val="Voetnootmarkering"/>
          <w:sz w:val="14"/>
          <w:szCs w:val="14"/>
        </w:rPr>
        <w:footnoteRef/>
      </w:r>
      <w:r w:rsidRPr="00FA7CA7">
        <w:rPr>
          <w:sz w:val="14"/>
          <w:szCs w:val="14"/>
        </w:rPr>
        <w:t xml:space="preserve"> Kamerstukken II, 2025/2025, 22112, nr. 4404</w:t>
      </w:r>
    </w:p>
  </w:footnote>
  <w:footnote w:id="2">
    <w:p w14:paraId="1FE6037D" w14:textId="77777777" w:rsidR="00A36CCD" w:rsidRPr="00FA7CA7" w:rsidRDefault="00A36CCD" w:rsidP="00A95AE1">
      <w:pPr>
        <w:pStyle w:val="Voetnoottekst"/>
        <w:spacing w:line="240" w:lineRule="auto"/>
        <w:rPr>
          <w:sz w:val="14"/>
          <w:szCs w:val="14"/>
        </w:rPr>
      </w:pPr>
      <w:r w:rsidRPr="00FA7CA7">
        <w:rPr>
          <w:rStyle w:val="Voetnootmarkering"/>
          <w:sz w:val="14"/>
          <w:szCs w:val="14"/>
        </w:rPr>
        <w:footnoteRef/>
      </w:r>
      <w:r w:rsidRPr="00FA7CA7">
        <w:rPr>
          <w:sz w:val="14"/>
          <w:szCs w:val="14"/>
        </w:rPr>
        <w:t xml:space="preserve"> Kamerstukken II 2025/2026, 22112, nr. 4223</w:t>
      </w:r>
    </w:p>
  </w:footnote>
  <w:footnote w:id="3">
    <w:p w14:paraId="56208CB4" w14:textId="77777777" w:rsidR="00A36CCD" w:rsidRPr="00FA7CA7" w:rsidRDefault="00A36CCD" w:rsidP="00A95AE1">
      <w:pPr>
        <w:pStyle w:val="Voetnoottekst"/>
        <w:spacing w:line="240" w:lineRule="auto"/>
        <w:rPr>
          <w:sz w:val="14"/>
          <w:szCs w:val="14"/>
        </w:rPr>
      </w:pPr>
      <w:r w:rsidRPr="00FA7CA7">
        <w:rPr>
          <w:rStyle w:val="Voetnootmarkering"/>
          <w:sz w:val="14"/>
          <w:szCs w:val="14"/>
        </w:rPr>
        <w:footnoteRef/>
      </w:r>
      <w:r w:rsidRPr="00FA7CA7">
        <w:rPr>
          <w:sz w:val="14"/>
          <w:szCs w:val="14"/>
        </w:rPr>
        <w:t xml:space="preserve"> Kamerstukken 2025Z21963 en 2026D02184</w:t>
      </w:r>
    </w:p>
  </w:footnote>
  <w:footnote w:id="4">
    <w:p w14:paraId="39C2BB5E" w14:textId="77777777" w:rsidR="00A36CCD" w:rsidRPr="001A6B1C" w:rsidRDefault="00A36CCD" w:rsidP="00A95AE1">
      <w:pPr>
        <w:spacing w:line="240" w:lineRule="auto"/>
        <w:jc w:val="both"/>
        <w:rPr>
          <w:sz w:val="16"/>
          <w:szCs w:val="16"/>
        </w:rPr>
      </w:pPr>
      <w:r w:rsidRPr="00FA7CA7">
        <w:rPr>
          <w:rStyle w:val="Voetnootmarkering"/>
          <w:sz w:val="14"/>
          <w:szCs w:val="14"/>
        </w:rPr>
        <w:footnoteRef/>
      </w:r>
      <w:r w:rsidRPr="00FA7CA7">
        <w:rPr>
          <w:sz w:val="14"/>
          <w:szCs w:val="14"/>
        </w:rPr>
        <w:t xml:space="preserve"> </w:t>
      </w:r>
      <w:r w:rsidRPr="00FA7CA7">
        <w:rPr>
          <w:rFonts w:eastAsia="Verdana" w:cs="Verdana"/>
          <w:sz w:val="14"/>
          <w:szCs w:val="14"/>
        </w:rPr>
        <w:t xml:space="preserve">Wat er in de Raadswerkgroepen en </w:t>
      </w:r>
      <w:proofErr w:type="spellStart"/>
      <w:r w:rsidRPr="00FA7CA7">
        <w:rPr>
          <w:rFonts w:eastAsia="Verdana" w:cs="Verdana"/>
          <w:sz w:val="14"/>
          <w:szCs w:val="14"/>
        </w:rPr>
        <w:t>Coreper</w:t>
      </w:r>
      <w:proofErr w:type="spellEnd"/>
      <w:r w:rsidRPr="00FA7CA7">
        <w:rPr>
          <w:rFonts w:eastAsia="Verdana" w:cs="Verdana"/>
          <w:sz w:val="14"/>
          <w:szCs w:val="14"/>
        </w:rPr>
        <w:t xml:space="preserve"> wordt besproken, maakt onderdeel uit van het diplomatieke verkeer en is vertrouwelijk op grond van art. 6 van het reglement van orde van de Raad. Dit betekent onder andere dat het kabinet niet specifiek kan ingaan op de posities van lidstaten of op de details van de onderhandelingen. De vertrouwelijke vergaderstukken, inclusief het laatste compromisvoorstel, zijn echter wel toegankelijk voor de Tweede Kamer via de EU-database </w:t>
      </w:r>
      <w:proofErr w:type="spellStart"/>
      <w:r w:rsidRPr="00FA7CA7">
        <w:rPr>
          <w:rFonts w:eastAsia="Verdana" w:cs="Verdana"/>
          <w:sz w:val="14"/>
          <w:szCs w:val="14"/>
        </w:rPr>
        <w:t>Delegates</w:t>
      </w:r>
      <w:proofErr w:type="spellEnd"/>
      <w:r w:rsidRPr="00FA7CA7">
        <w:rPr>
          <w:rFonts w:eastAsia="Verdana" w:cs="Verdana"/>
          <w:sz w:val="14"/>
          <w:szCs w:val="14"/>
        </w:rPr>
        <w:t xml:space="preserve"> Portal. </w:t>
      </w:r>
    </w:p>
  </w:footnote>
  <w:footnote w:id="5">
    <w:p w14:paraId="7E9AE727" w14:textId="77777777" w:rsidR="00A36CCD" w:rsidRPr="00A95AE1" w:rsidRDefault="00A36CCD" w:rsidP="00A95AE1">
      <w:pPr>
        <w:spacing w:line="240" w:lineRule="auto"/>
        <w:jc w:val="both"/>
        <w:rPr>
          <w:sz w:val="14"/>
          <w:szCs w:val="14"/>
          <w:lang w:val="en-GB"/>
        </w:rPr>
      </w:pPr>
      <w:r w:rsidRPr="00FA7CA7">
        <w:rPr>
          <w:rStyle w:val="Voetnootmarkering"/>
          <w:sz w:val="14"/>
          <w:szCs w:val="14"/>
        </w:rPr>
        <w:footnoteRef/>
      </w:r>
      <w:r w:rsidRPr="00A95AE1">
        <w:rPr>
          <w:sz w:val="14"/>
          <w:szCs w:val="14"/>
          <w:lang w:val="en-GB"/>
        </w:rPr>
        <w:t xml:space="preserve"> </w:t>
      </w:r>
      <w:proofErr w:type="spellStart"/>
      <w:r w:rsidRPr="00A95AE1">
        <w:rPr>
          <w:rFonts w:eastAsia="Verdana" w:cs="Verdana"/>
          <w:sz w:val="14"/>
          <w:szCs w:val="14"/>
          <w:lang w:val="en-GB"/>
        </w:rPr>
        <w:t>Kamerstukken</w:t>
      </w:r>
      <w:proofErr w:type="spellEnd"/>
      <w:r w:rsidRPr="00A95AE1">
        <w:rPr>
          <w:rFonts w:eastAsia="Verdana" w:cs="Verdana"/>
          <w:sz w:val="14"/>
          <w:szCs w:val="14"/>
          <w:lang w:val="en-GB"/>
        </w:rPr>
        <w:t xml:space="preserve"> II 2025/2026, 22 112, nr. 4287</w:t>
      </w:r>
    </w:p>
  </w:footnote>
  <w:footnote w:id="6">
    <w:p w14:paraId="17A2B37D" w14:textId="77777777" w:rsidR="00A36CCD" w:rsidRPr="00A95AE1" w:rsidDel="001F454F" w:rsidRDefault="00A36CCD" w:rsidP="00A36CCD">
      <w:pPr>
        <w:pStyle w:val="Voetnoottekst"/>
        <w:rPr>
          <w:sz w:val="16"/>
          <w:szCs w:val="16"/>
          <w:lang w:val="en-GB"/>
        </w:rPr>
      </w:pPr>
    </w:p>
  </w:footnote>
  <w:footnote w:id="7">
    <w:p w14:paraId="60CB6640" w14:textId="77777777" w:rsidR="00A95AE1" w:rsidRPr="00A95AE1" w:rsidRDefault="00A95AE1" w:rsidP="00A95AE1">
      <w:pPr>
        <w:pStyle w:val="Voetnoottekst"/>
        <w:spacing w:line="240" w:lineRule="auto"/>
        <w:rPr>
          <w:lang w:val="en-GB"/>
        </w:rPr>
      </w:pPr>
      <w:r>
        <w:rPr>
          <w:rStyle w:val="Voetnootmarkering"/>
        </w:rPr>
        <w:footnoteRef/>
      </w:r>
      <w:r w:rsidRPr="00A95AE1">
        <w:rPr>
          <w:lang w:val="en-GB"/>
        </w:rPr>
        <w:t xml:space="preserve"> </w:t>
      </w:r>
      <w:proofErr w:type="spellStart"/>
      <w:r w:rsidRPr="00A95AE1">
        <w:rPr>
          <w:lang w:val="en-GB"/>
        </w:rPr>
        <w:t>Vgl</w:t>
      </w:r>
      <w:proofErr w:type="spellEnd"/>
      <w:r w:rsidRPr="00A95AE1">
        <w:rPr>
          <w:lang w:val="en-GB"/>
        </w:rPr>
        <w:t>. Guidelines 1/2024 on processing of personal data based on Article 6(1)(f) GDPR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4743B" w14:paraId="1F591565" w14:textId="77777777" w:rsidTr="00A50CF6">
      <w:tc>
        <w:tcPr>
          <w:tcW w:w="2156" w:type="dxa"/>
        </w:tcPr>
        <w:p w14:paraId="27090031" w14:textId="77777777" w:rsidR="00527BD4" w:rsidRPr="00624D22" w:rsidRDefault="002347C1" w:rsidP="00A50CF6">
          <w:pPr>
            <w:pStyle w:val="Huisstijl-Adres"/>
            <w:rPr>
              <w:b/>
            </w:rPr>
          </w:pPr>
          <w:r>
            <w:rPr>
              <w:b/>
            </w:rPr>
            <w:t xml:space="preserve">Directoraat-generaal Economie en Digitalisering </w:t>
          </w:r>
        </w:p>
      </w:tc>
    </w:tr>
    <w:tr w:rsidR="0054743B" w14:paraId="242CA9DD" w14:textId="77777777" w:rsidTr="00A50CF6">
      <w:trPr>
        <w:trHeight w:hRule="exact" w:val="200"/>
      </w:trPr>
      <w:tc>
        <w:tcPr>
          <w:tcW w:w="2156" w:type="dxa"/>
        </w:tcPr>
        <w:p w14:paraId="37968302" w14:textId="77777777" w:rsidR="00527BD4" w:rsidRPr="005819CE" w:rsidRDefault="00527BD4" w:rsidP="00A50CF6"/>
      </w:tc>
    </w:tr>
    <w:tr w:rsidR="0054743B" w14:paraId="6C832707" w14:textId="77777777" w:rsidTr="00502512">
      <w:trPr>
        <w:trHeight w:hRule="exact" w:val="774"/>
      </w:trPr>
      <w:tc>
        <w:tcPr>
          <w:tcW w:w="2156" w:type="dxa"/>
        </w:tcPr>
        <w:p w14:paraId="607D375C" w14:textId="77777777" w:rsidR="00527BD4" w:rsidRDefault="00527BD4" w:rsidP="003A5290">
          <w:pPr>
            <w:pStyle w:val="Huisstijl-Kopje"/>
          </w:pPr>
        </w:p>
        <w:p w14:paraId="3EC1A77A" w14:textId="77777777" w:rsidR="00502512" w:rsidRPr="00502512" w:rsidRDefault="002347C1" w:rsidP="003A5290">
          <w:pPr>
            <w:pStyle w:val="Huisstijl-Kopje"/>
            <w:rPr>
              <w:b w:val="0"/>
            </w:rPr>
          </w:pPr>
          <w:r>
            <w:rPr>
              <w:b w:val="0"/>
            </w:rPr>
            <w:t>DGED-DE</w:t>
          </w:r>
          <w:r w:rsidRPr="00502512">
            <w:rPr>
              <w:b w:val="0"/>
            </w:rPr>
            <w:t xml:space="preserve"> / </w:t>
          </w:r>
          <w:r>
            <w:rPr>
              <w:b w:val="0"/>
            </w:rPr>
            <w:t>108493762</w:t>
          </w:r>
        </w:p>
        <w:p w14:paraId="2642D21B" w14:textId="77777777" w:rsidR="00527BD4" w:rsidRPr="005819CE" w:rsidRDefault="00527BD4" w:rsidP="00361A56">
          <w:pPr>
            <w:pStyle w:val="Huisstijl-Kopje"/>
          </w:pPr>
        </w:p>
      </w:tc>
    </w:tr>
  </w:tbl>
  <w:p w14:paraId="7E7D33D8" w14:textId="77777777" w:rsidR="00527BD4" w:rsidRDefault="00527BD4" w:rsidP="008C356D">
    <w:pPr>
      <w:pStyle w:val="Koptekst"/>
      <w:rPr>
        <w:rFonts w:cs="Verdana-Bold"/>
        <w:b/>
        <w:bCs/>
        <w:smallCaps/>
        <w:szCs w:val="18"/>
      </w:rPr>
    </w:pPr>
  </w:p>
  <w:p w14:paraId="243AF2DC" w14:textId="77777777" w:rsidR="00527BD4" w:rsidRDefault="00527BD4" w:rsidP="008C356D"/>
  <w:p w14:paraId="0483B279" w14:textId="77777777" w:rsidR="00527BD4" w:rsidRPr="00740712" w:rsidRDefault="00527BD4" w:rsidP="008C356D"/>
  <w:p w14:paraId="4B62898C" w14:textId="77777777" w:rsidR="00527BD4" w:rsidRPr="00217880" w:rsidRDefault="00527BD4" w:rsidP="008C356D">
    <w:pPr>
      <w:spacing w:line="0" w:lineRule="atLeast"/>
      <w:rPr>
        <w:sz w:val="2"/>
        <w:szCs w:val="2"/>
      </w:rPr>
    </w:pPr>
  </w:p>
  <w:p w14:paraId="1E43A58A" w14:textId="77777777" w:rsidR="00527BD4" w:rsidRDefault="00527BD4" w:rsidP="004F44C2">
    <w:pPr>
      <w:pStyle w:val="Koptekst"/>
      <w:rPr>
        <w:rFonts w:cs="Verdana-Bold"/>
        <w:b/>
        <w:bCs/>
        <w:smallCaps/>
        <w:szCs w:val="18"/>
      </w:rPr>
    </w:pPr>
  </w:p>
  <w:p w14:paraId="24326545" w14:textId="77777777" w:rsidR="00527BD4" w:rsidRDefault="00527BD4" w:rsidP="004F44C2"/>
  <w:p w14:paraId="3C63BC24" w14:textId="77777777" w:rsidR="00624D22" w:rsidRDefault="00624D22" w:rsidP="004F44C2"/>
  <w:p w14:paraId="59359422" w14:textId="77777777" w:rsidR="00624D22" w:rsidRDefault="00624D22" w:rsidP="004F44C2"/>
  <w:p w14:paraId="7780BB22" w14:textId="77777777" w:rsidR="00527BD4" w:rsidRPr="00740712" w:rsidRDefault="00527BD4" w:rsidP="004F44C2"/>
  <w:p w14:paraId="2097FEF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4743B" w14:paraId="6A183262" w14:textId="77777777" w:rsidTr="00751A6A">
      <w:trPr>
        <w:trHeight w:val="2636"/>
      </w:trPr>
      <w:tc>
        <w:tcPr>
          <w:tcW w:w="737" w:type="dxa"/>
        </w:tcPr>
        <w:p w14:paraId="4F6B1D6F" w14:textId="77777777" w:rsidR="00527BD4" w:rsidRDefault="00527BD4" w:rsidP="00D0609E">
          <w:pPr>
            <w:framePr w:w="6340" w:h="2750" w:hRule="exact" w:hSpace="180" w:wrap="around" w:vAnchor="page" w:hAnchor="text" w:x="3873" w:y="-140"/>
            <w:spacing w:line="240" w:lineRule="auto"/>
          </w:pPr>
        </w:p>
      </w:tc>
      <w:tc>
        <w:tcPr>
          <w:tcW w:w="5156" w:type="dxa"/>
        </w:tcPr>
        <w:p w14:paraId="5B55151F" w14:textId="77777777" w:rsidR="00527BD4" w:rsidRDefault="002347C1"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317949FB" wp14:editId="1517FC1A">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3D51B790" w14:textId="77777777" w:rsidR="00527BD4" w:rsidRDefault="00527BD4" w:rsidP="00D0609E">
    <w:pPr>
      <w:framePr w:w="6340" w:h="2750" w:hRule="exact" w:hSpace="180" w:wrap="around" w:vAnchor="page" w:hAnchor="text" w:x="3873" w:y="-140"/>
    </w:pPr>
  </w:p>
  <w:p w14:paraId="02FBE09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4743B" w:rsidRPr="00144D7A" w14:paraId="1C0443BD" w14:textId="77777777" w:rsidTr="00A50CF6">
      <w:tc>
        <w:tcPr>
          <w:tcW w:w="2160" w:type="dxa"/>
        </w:tcPr>
        <w:p w14:paraId="13E49D96" w14:textId="77777777" w:rsidR="00527BD4" w:rsidRPr="00781DCA" w:rsidRDefault="002347C1" w:rsidP="00A50CF6">
          <w:pPr>
            <w:pStyle w:val="Huisstijl-Adres"/>
            <w:rPr>
              <w:b/>
            </w:rPr>
          </w:pPr>
          <w:r>
            <w:rPr>
              <w:b/>
            </w:rPr>
            <w:t xml:space="preserve">Directoraat-generaal Economie en Digitalisering </w:t>
          </w:r>
          <w:r w:rsidRPr="005819CE">
            <w:rPr>
              <w:b/>
            </w:rPr>
            <w:br/>
          </w:r>
          <w:r>
            <w:t>Directie Digitale Economie</w:t>
          </w:r>
        </w:p>
        <w:p w14:paraId="447E3FF6" w14:textId="77777777" w:rsidR="00527BD4" w:rsidRPr="00BE5ED9" w:rsidRDefault="002347C1" w:rsidP="00A50CF6">
          <w:pPr>
            <w:pStyle w:val="Huisstijl-Adres"/>
          </w:pPr>
          <w:r>
            <w:rPr>
              <w:b/>
            </w:rPr>
            <w:t>Bezoekadres</w:t>
          </w:r>
          <w:r>
            <w:rPr>
              <w:b/>
            </w:rPr>
            <w:br/>
          </w:r>
          <w:r>
            <w:t>Bezuidenhoutseweg 73</w:t>
          </w:r>
          <w:r w:rsidRPr="005819CE">
            <w:br/>
          </w:r>
          <w:r>
            <w:t>2594 AC Den Haag</w:t>
          </w:r>
        </w:p>
        <w:p w14:paraId="3A68A140" w14:textId="77777777" w:rsidR="00EF495B" w:rsidRDefault="002347C1" w:rsidP="0098788A">
          <w:pPr>
            <w:pStyle w:val="Huisstijl-Adres"/>
          </w:pPr>
          <w:r>
            <w:rPr>
              <w:b/>
            </w:rPr>
            <w:t>Postadres</w:t>
          </w:r>
          <w:r>
            <w:rPr>
              <w:b/>
            </w:rPr>
            <w:br/>
          </w:r>
          <w:r>
            <w:t>Postbus 20401</w:t>
          </w:r>
          <w:r w:rsidRPr="005819CE">
            <w:br/>
            <w:t>2500 E</w:t>
          </w:r>
          <w:r>
            <w:t>K</w:t>
          </w:r>
          <w:r w:rsidRPr="005819CE">
            <w:t xml:space="preserve"> Den Haag</w:t>
          </w:r>
        </w:p>
        <w:p w14:paraId="5AFEE8C5" w14:textId="77777777" w:rsidR="00EF495B" w:rsidRPr="005B3814" w:rsidRDefault="002347C1" w:rsidP="0098788A">
          <w:pPr>
            <w:pStyle w:val="Huisstijl-Adres"/>
          </w:pPr>
          <w:r>
            <w:rPr>
              <w:b/>
            </w:rPr>
            <w:t>Overheidsidentificatienr</w:t>
          </w:r>
          <w:r>
            <w:rPr>
              <w:b/>
            </w:rPr>
            <w:br/>
          </w:r>
          <w:r w:rsidRPr="005B3814">
            <w:t>00000001003214369000</w:t>
          </w:r>
        </w:p>
        <w:p w14:paraId="2DF49BA8" w14:textId="05484AB7" w:rsidR="00527BD4" w:rsidRPr="00144D7A" w:rsidRDefault="002347C1"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54743B" w:rsidRPr="00144D7A" w14:paraId="3672826D" w14:textId="77777777" w:rsidTr="00A50CF6">
      <w:trPr>
        <w:trHeight w:hRule="exact" w:val="200"/>
      </w:trPr>
      <w:tc>
        <w:tcPr>
          <w:tcW w:w="2160" w:type="dxa"/>
        </w:tcPr>
        <w:p w14:paraId="6AA77CFA" w14:textId="77777777" w:rsidR="00527BD4" w:rsidRPr="00D71182" w:rsidRDefault="00527BD4" w:rsidP="00A50CF6">
          <w:pPr>
            <w:rPr>
              <w:lang w:val="fr-FR"/>
            </w:rPr>
          </w:pPr>
        </w:p>
      </w:tc>
    </w:tr>
    <w:tr w:rsidR="0054743B" w14:paraId="48465F83" w14:textId="77777777" w:rsidTr="00A50CF6">
      <w:tc>
        <w:tcPr>
          <w:tcW w:w="2160" w:type="dxa"/>
        </w:tcPr>
        <w:p w14:paraId="62024FE2" w14:textId="77777777" w:rsidR="000C0163" w:rsidRPr="005819CE" w:rsidRDefault="002347C1" w:rsidP="000C0163">
          <w:pPr>
            <w:pStyle w:val="Huisstijl-Kopje"/>
          </w:pPr>
          <w:r>
            <w:t>Ons kenmerk</w:t>
          </w:r>
        </w:p>
        <w:p w14:paraId="2E9FC44A" w14:textId="77777777" w:rsidR="00144D7A" w:rsidRPr="00144D7A" w:rsidRDefault="002347C1" w:rsidP="00144D7A">
          <w:pPr>
            <w:pStyle w:val="Huisstijl-Gegeven"/>
          </w:pPr>
          <w:r>
            <w:t>DGED-DE</w:t>
          </w:r>
          <w:r w:rsidR="00926AE2">
            <w:t xml:space="preserve"> / </w:t>
          </w:r>
          <w:r w:rsidR="00144D7A" w:rsidRPr="0059171D">
            <w:t>108493762</w:t>
          </w:r>
        </w:p>
        <w:p w14:paraId="0855F919" w14:textId="77777777" w:rsidR="00527BD4" w:rsidRPr="005819CE" w:rsidRDefault="002347C1" w:rsidP="00A50CF6">
          <w:pPr>
            <w:pStyle w:val="Huisstijl-Kopje"/>
          </w:pPr>
          <w:r>
            <w:t>Uw kenmerk</w:t>
          </w:r>
        </w:p>
        <w:p w14:paraId="6541F5A4" w14:textId="77777777" w:rsidR="00527BD4" w:rsidRPr="005819CE" w:rsidRDefault="002347C1" w:rsidP="00A50CF6">
          <w:pPr>
            <w:pStyle w:val="Huisstijl-Gegeven"/>
          </w:pPr>
          <w:r>
            <w:t>22112</w:t>
          </w:r>
        </w:p>
        <w:p w14:paraId="08EEB299" w14:textId="77777777" w:rsidR="00527BD4" w:rsidRPr="005819CE" w:rsidRDefault="00527BD4" w:rsidP="00144D7A">
          <w:pPr>
            <w:pStyle w:val="Huisstijl-Kopje"/>
          </w:pPr>
        </w:p>
      </w:tc>
    </w:tr>
  </w:tbl>
  <w:p w14:paraId="4ECB0CD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54743B" w14:paraId="3FEEF240" w14:textId="77777777" w:rsidTr="00C37826">
      <w:trPr>
        <w:trHeight w:val="400"/>
      </w:trPr>
      <w:tc>
        <w:tcPr>
          <w:tcW w:w="7371" w:type="dxa"/>
          <w:gridSpan w:val="2"/>
        </w:tcPr>
        <w:p w14:paraId="5EB77ACD" w14:textId="77777777" w:rsidR="00527BD4" w:rsidRPr="00BC3B53" w:rsidRDefault="002347C1"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54743B" w14:paraId="6DCDCF59" w14:textId="77777777" w:rsidTr="00C37826">
      <w:tc>
        <w:tcPr>
          <w:tcW w:w="7371" w:type="dxa"/>
          <w:gridSpan w:val="2"/>
        </w:tcPr>
        <w:p w14:paraId="4CD04AAE" w14:textId="77777777" w:rsidR="00527BD4" w:rsidRPr="00983E8F" w:rsidRDefault="00527BD4" w:rsidP="00A50CF6">
          <w:pPr>
            <w:pStyle w:val="Huisstijl-Rubricering"/>
          </w:pPr>
        </w:p>
      </w:tc>
    </w:tr>
    <w:tr w:rsidR="0054743B" w14:paraId="58FF9BD0" w14:textId="77777777" w:rsidTr="00C37826">
      <w:trPr>
        <w:trHeight w:hRule="exact" w:val="2440"/>
      </w:trPr>
      <w:tc>
        <w:tcPr>
          <w:tcW w:w="7371" w:type="dxa"/>
          <w:gridSpan w:val="2"/>
        </w:tcPr>
        <w:p w14:paraId="0B9876E1" w14:textId="77777777" w:rsidR="00527BD4" w:rsidRDefault="002347C1" w:rsidP="00A50CF6">
          <w:pPr>
            <w:pStyle w:val="Huisstijl-NAW"/>
          </w:pPr>
          <w:r>
            <w:t xml:space="preserve">De Voorzitter van de Tweede Kamer </w:t>
          </w:r>
        </w:p>
        <w:p w14:paraId="73155ECA" w14:textId="77777777" w:rsidR="00D87195" w:rsidRDefault="002347C1" w:rsidP="00D87195">
          <w:pPr>
            <w:pStyle w:val="Huisstijl-NAW"/>
          </w:pPr>
          <w:r>
            <w:t>der Staten-Generaal</w:t>
          </w:r>
        </w:p>
        <w:p w14:paraId="15E26F69" w14:textId="77777777" w:rsidR="00EA0F13" w:rsidRDefault="002347C1" w:rsidP="00EA0F13">
          <w:pPr>
            <w:rPr>
              <w:szCs w:val="18"/>
            </w:rPr>
          </w:pPr>
          <w:r>
            <w:rPr>
              <w:szCs w:val="18"/>
            </w:rPr>
            <w:t>Prinses Irenestraat 6</w:t>
          </w:r>
        </w:p>
        <w:p w14:paraId="2AD8C4B8" w14:textId="77777777" w:rsidR="00985E56" w:rsidRDefault="002347C1" w:rsidP="00EA0F13">
          <w:r>
            <w:rPr>
              <w:szCs w:val="18"/>
            </w:rPr>
            <w:t>2595 BD  DEN HAAG</w:t>
          </w:r>
        </w:p>
      </w:tc>
    </w:tr>
    <w:tr w:rsidR="0054743B" w14:paraId="3DDB0662" w14:textId="77777777" w:rsidTr="00C37826">
      <w:trPr>
        <w:trHeight w:hRule="exact" w:val="400"/>
      </w:trPr>
      <w:tc>
        <w:tcPr>
          <w:tcW w:w="7371" w:type="dxa"/>
          <w:gridSpan w:val="2"/>
        </w:tcPr>
        <w:p w14:paraId="610953A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54743B" w14:paraId="3FFF3E19" w14:textId="77777777" w:rsidTr="00C37826">
      <w:trPr>
        <w:trHeight w:val="240"/>
      </w:trPr>
      <w:tc>
        <w:tcPr>
          <w:tcW w:w="709" w:type="dxa"/>
        </w:tcPr>
        <w:p w14:paraId="1690B9D7" w14:textId="77777777" w:rsidR="00527BD4" w:rsidRPr="00C37826" w:rsidRDefault="002347C1" w:rsidP="00A50CF6">
          <w:pPr>
            <w:rPr>
              <w:szCs w:val="18"/>
            </w:rPr>
          </w:pPr>
          <w:r>
            <w:rPr>
              <w:szCs w:val="18"/>
            </w:rPr>
            <w:t>Datum</w:t>
          </w:r>
        </w:p>
      </w:tc>
      <w:tc>
        <w:tcPr>
          <w:tcW w:w="6662" w:type="dxa"/>
        </w:tcPr>
        <w:p w14:paraId="49363795" w14:textId="1049DE73" w:rsidR="00527BD4" w:rsidRPr="007709EF" w:rsidRDefault="00732F08" w:rsidP="00A50CF6">
          <w:r>
            <w:t>5 oktober 2026</w:t>
          </w:r>
        </w:p>
      </w:tc>
    </w:tr>
    <w:tr w:rsidR="0054743B" w14:paraId="74A3219F" w14:textId="77777777" w:rsidTr="00C37826">
      <w:trPr>
        <w:trHeight w:val="240"/>
      </w:trPr>
      <w:tc>
        <w:tcPr>
          <w:tcW w:w="709" w:type="dxa"/>
        </w:tcPr>
        <w:p w14:paraId="3DFE1F4C" w14:textId="77777777" w:rsidR="00527BD4" w:rsidRPr="00C37826" w:rsidRDefault="002347C1" w:rsidP="00A50CF6">
          <w:pPr>
            <w:rPr>
              <w:szCs w:val="18"/>
            </w:rPr>
          </w:pPr>
          <w:r>
            <w:rPr>
              <w:szCs w:val="18"/>
            </w:rPr>
            <w:t>Betreft</w:t>
          </w:r>
        </w:p>
      </w:tc>
      <w:tc>
        <w:tcPr>
          <w:tcW w:w="6662" w:type="dxa"/>
        </w:tcPr>
        <w:p w14:paraId="590374C2" w14:textId="77777777" w:rsidR="00527BD4" w:rsidRPr="007709EF" w:rsidRDefault="002347C1" w:rsidP="00A50CF6">
          <w:r>
            <w:t>Naderende Raadspositie Omnibus Digitaal</w:t>
          </w:r>
        </w:p>
      </w:tc>
    </w:tr>
  </w:tbl>
  <w:p w14:paraId="314DC739"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DC8045C">
      <w:start w:val="1"/>
      <w:numFmt w:val="bullet"/>
      <w:pStyle w:val="Lijstopsomteken"/>
      <w:lvlText w:val="•"/>
      <w:lvlJc w:val="left"/>
      <w:pPr>
        <w:tabs>
          <w:tab w:val="num" w:pos="227"/>
        </w:tabs>
        <w:ind w:left="227" w:hanging="227"/>
      </w:pPr>
      <w:rPr>
        <w:rFonts w:ascii="Verdana" w:hAnsi="Verdana" w:hint="default"/>
        <w:sz w:val="18"/>
        <w:szCs w:val="18"/>
      </w:rPr>
    </w:lvl>
    <w:lvl w:ilvl="1" w:tplc="888267B8" w:tentative="1">
      <w:start w:val="1"/>
      <w:numFmt w:val="bullet"/>
      <w:lvlText w:val="o"/>
      <w:lvlJc w:val="left"/>
      <w:pPr>
        <w:tabs>
          <w:tab w:val="num" w:pos="1440"/>
        </w:tabs>
        <w:ind w:left="1440" w:hanging="360"/>
      </w:pPr>
      <w:rPr>
        <w:rFonts w:ascii="Courier New" w:hAnsi="Courier New" w:cs="Courier New" w:hint="default"/>
      </w:rPr>
    </w:lvl>
    <w:lvl w:ilvl="2" w:tplc="9012AB32" w:tentative="1">
      <w:start w:val="1"/>
      <w:numFmt w:val="bullet"/>
      <w:lvlText w:val=""/>
      <w:lvlJc w:val="left"/>
      <w:pPr>
        <w:tabs>
          <w:tab w:val="num" w:pos="2160"/>
        </w:tabs>
        <w:ind w:left="2160" w:hanging="360"/>
      </w:pPr>
      <w:rPr>
        <w:rFonts w:ascii="Wingdings" w:hAnsi="Wingdings" w:hint="default"/>
      </w:rPr>
    </w:lvl>
    <w:lvl w:ilvl="3" w:tplc="1468234E" w:tentative="1">
      <w:start w:val="1"/>
      <w:numFmt w:val="bullet"/>
      <w:lvlText w:val=""/>
      <w:lvlJc w:val="left"/>
      <w:pPr>
        <w:tabs>
          <w:tab w:val="num" w:pos="2880"/>
        </w:tabs>
        <w:ind w:left="2880" w:hanging="360"/>
      </w:pPr>
      <w:rPr>
        <w:rFonts w:ascii="Symbol" w:hAnsi="Symbol" w:hint="default"/>
      </w:rPr>
    </w:lvl>
    <w:lvl w:ilvl="4" w:tplc="B6848390" w:tentative="1">
      <w:start w:val="1"/>
      <w:numFmt w:val="bullet"/>
      <w:lvlText w:val="o"/>
      <w:lvlJc w:val="left"/>
      <w:pPr>
        <w:tabs>
          <w:tab w:val="num" w:pos="3600"/>
        </w:tabs>
        <w:ind w:left="3600" w:hanging="360"/>
      </w:pPr>
      <w:rPr>
        <w:rFonts w:ascii="Courier New" w:hAnsi="Courier New" w:cs="Courier New" w:hint="default"/>
      </w:rPr>
    </w:lvl>
    <w:lvl w:ilvl="5" w:tplc="B4FCA260" w:tentative="1">
      <w:start w:val="1"/>
      <w:numFmt w:val="bullet"/>
      <w:lvlText w:val=""/>
      <w:lvlJc w:val="left"/>
      <w:pPr>
        <w:tabs>
          <w:tab w:val="num" w:pos="4320"/>
        </w:tabs>
        <w:ind w:left="4320" w:hanging="360"/>
      </w:pPr>
      <w:rPr>
        <w:rFonts w:ascii="Wingdings" w:hAnsi="Wingdings" w:hint="default"/>
      </w:rPr>
    </w:lvl>
    <w:lvl w:ilvl="6" w:tplc="C6F68914" w:tentative="1">
      <w:start w:val="1"/>
      <w:numFmt w:val="bullet"/>
      <w:lvlText w:val=""/>
      <w:lvlJc w:val="left"/>
      <w:pPr>
        <w:tabs>
          <w:tab w:val="num" w:pos="5040"/>
        </w:tabs>
        <w:ind w:left="5040" w:hanging="360"/>
      </w:pPr>
      <w:rPr>
        <w:rFonts w:ascii="Symbol" w:hAnsi="Symbol" w:hint="default"/>
      </w:rPr>
    </w:lvl>
    <w:lvl w:ilvl="7" w:tplc="3C8AE3D2" w:tentative="1">
      <w:start w:val="1"/>
      <w:numFmt w:val="bullet"/>
      <w:lvlText w:val="o"/>
      <w:lvlJc w:val="left"/>
      <w:pPr>
        <w:tabs>
          <w:tab w:val="num" w:pos="5760"/>
        </w:tabs>
        <w:ind w:left="5760" w:hanging="360"/>
      </w:pPr>
      <w:rPr>
        <w:rFonts w:ascii="Courier New" w:hAnsi="Courier New" w:cs="Courier New" w:hint="default"/>
      </w:rPr>
    </w:lvl>
    <w:lvl w:ilvl="8" w:tplc="AD54ED2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A066C76">
      <w:start w:val="1"/>
      <w:numFmt w:val="bullet"/>
      <w:pStyle w:val="Lijstopsomteken2"/>
      <w:lvlText w:val="–"/>
      <w:lvlJc w:val="left"/>
      <w:pPr>
        <w:tabs>
          <w:tab w:val="num" w:pos="227"/>
        </w:tabs>
        <w:ind w:left="227" w:firstLine="0"/>
      </w:pPr>
      <w:rPr>
        <w:rFonts w:ascii="Verdana" w:hAnsi="Verdana" w:hint="default"/>
      </w:rPr>
    </w:lvl>
    <w:lvl w:ilvl="1" w:tplc="57AE10F6" w:tentative="1">
      <w:start w:val="1"/>
      <w:numFmt w:val="bullet"/>
      <w:lvlText w:val="o"/>
      <w:lvlJc w:val="left"/>
      <w:pPr>
        <w:tabs>
          <w:tab w:val="num" w:pos="1440"/>
        </w:tabs>
        <w:ind w:left="1440" w:hanging="360"/>
      </w:pPr>
      <w:rPr>
        <w:rFonts w:ascii="Courier New" w:hAnsi="Courier New" w:cs="Courier New" w:hint="default"/>
      </w:rPr>
    </w:lvl>
    <w:lvl w:ilvl="2" w:tplc="1A30E864" w:tentative="1">
      <w:start w:val="1"/>
      <w:numFmt w:val="bullet"/>
      <w:lvlText w:val=""/>
      <w:lvlJc w:val="left"/>
      <w:pPr>
        <w:tabs>
          <w:tab w:val="num" w:pos="2160"/>
        </w:tabs>
        <w:ind w:left="2160" w:hanging="360"/>
      </w:pPr>
      <w:rPr>
        <w:rFonts w:ascii="Wingdings" w:hAnsi="Wingdings" w:hint="default"/>
      </w:rPr>
    </w:lvl>
    <w:lvl w:ilvl="3" w:tplc="E6668EF2" w:tentative="1">
      <w:start w:val="1"/>
      <w:numFmt w:val="bullet"/>
      <w:lvlText w:val=""/>
      <w:lvlJc w:val="left"/>
      <w:pPr>
        <w:tabs>
          <w:tab w:val="num" w:pos="2880"/>
        </w:tabs>
        <w:ind w:left="2880" w:hanging="360"/>
      </w:pPr>
      <w:rPr>
        <w:rFonts w:ascii="Symbol" w:hAnsi="Symbol" w:hint="default"/>
      </w:rPr>
    </w:lvl>
    <w:lvl w:ilvl="4" w:tplc="6B2AA1C2" w:tentative="1">
      <w:start w:val="1"/>
      <w:numFmt w:val="bullet"/>
      <w:lvlText w:val="o"/>
      <w:lvlJc w:val="left"/>
      <w:pPr>
        <w:tabs>
          <w:tab w:val="num" w:pos="3600"/>
        </w:tabs>
        <w:ind w:left="3600" w:hanging="360"/>
      </w:pPr>
      <w:rPr>
        <w:rFonts w:ascii="Courier New" w:hAnsi="Courier New" w:cs="Courier New" w:hint="default"/>
      </w:rPr>
    </w:lvl>
    <w:lvl w:ilvl="5" w:tplc="FB9AE97C" w:tentative="1">
      <w:start w:val="1"/>
      <w:numFmt w:val="bullet"/>
      <w:lvlText w:val=""/>
      <w:lvlJc w:val="left"/>
      <w:pPr>
        <w:tabs>
          <w:tab w:val="num" w:pos="4320"/>
        </w:tabs>
        <w:ind w:left="4320" w:hanging="360"/>
      </w:pPr>
      <w:rPr>
        <w:rFonts w:ascii="Wingdings" w:hAnsi="Wingdings" w:hint="default"/>
      </w:rPr>
    </w:lvl>
    <w:lvl w:ilvl="6" w:tplc="D5DCD60A" w:tentative="1">
      <w:start w:val="1"/>
      <w:numFmt w:val="bullet"/>
      <w:lvlText w:val=""/>
      <w:lvlJc w:val="left"/>
      <w:pPr>
        <w:tabs>
          <w:tab w:val="num" w:pos="5040"/>
        </w:tabs>
        <w:ind w:left="5040" w:hanging="360"/>
      </w:pPr>
      <w:rPr>
        <w:rFonts w:ascii="Symbol" w:hAnsi="Symbol" w:hint="default"/>
      </w:rPr>
    </w:lvl>
    <w:lvl w:ilvl="7" w:tplc="D61EEDEE" w:tentative="1">
      <w:start w:val="1"/>
      <w:numFmt w:val="bullet"/>
      <w:lvlText w:val="o"/>
      <w:lvlJc w:val="left"/>
      <w:pPr>
        <w:tabs>
          <w:tab w:val="num" w:pos="5760"/>
        </w:tabs>
        <w:ind w:left="5760" w:hanging="360"/>
      </w:pPr>
      <w:rPr>
        <w:rFonts w:ascii="Courier New" w:hAnsi="Courier New" w:cs="Courier New" w:hint="default"/>
      </w:rPr>
    </w:lvl>
    <w:lvl w:ilvl="8" w:tplc="64187D5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8E6E7998">
      <w:numFmt w:val="bullet"/>
      <w:lvlText w:val="-"/>
      <w:lvlJc w:val="left"/>
      <w:pPr>
        <w:ind w:left="720" w:hanging="360"/>
      </w:pPr>
      <w:rPr>
        <w:rFonts w:ascii="Calibri" w:eastAsia="Times New Roman" w:hAnsi="Calibri" w:cs="Calibri" w:hint="default"/>
      </w:rPr>
    </w:lvl>
    <w:lvl w:ilvl="1" w:tplc="461C2642">
      <w:start w:val="1"/>
      <w:numFmt w:val="bullet"/>
      <w:lvlText w:val="o"/>
      <w:lvlJc w:val="left"/>
      <w:pPr>
        <w:ind w:left="1440" w:hanging="360"/>
      </w:pPr>
      <w:rPr>
        <w:rFonts w:ascii="Courier New" w:hAnsi="Courier New" w:cs="Courier New" w:hint="default"/>
      </w:rPr>
    </w:lvl>
    <w:lvl w:ilvl="2" w:tplc="22AC778C">
      <w:start w:val="1"/>
      <w:numFmt w:val="bullet"/>
      <w:lvlText w:val=""/>
      <w:lvlJc w:val="left"/>
      <w:pPr>
        <w:ind w:left="2160" w:hanging="360"/>
      </w:pPr>
      <w:rPr>
        <w:rFonts w:ascii="Wingdings" w:hAnsi="Wingdings" w:hint="default"/>
      </w:rPr>
    </w:lvl>
    <w:lvl w:ilvl="3" w:tplc="B180E73E">
      <w:start w:val="1"/>
      <w:numFmt w:val="bullet"/>
      <w:lvlText w:val=""/>
      <w:lvlJc w:val="left"/>
      <w:pPr>
        <w:ind w:left="2880" w:hanging="360"/>
      </w:pPr>
      <w:rPr>
        <w:rFonts w:ascii="Symbol" w:hAnsi="Symbol" w:hint="default"/>
      </w:rPr>
    </w:lvl>
    <w:lvl w:ilvl="4" w:tplc="BDD8AD24">
      <w:start w:val="1"/>
      <w:numFmt w:val="bullet"/>
      <w:lvlText w:val="o"/>
      <w:lvlJc w:val="left"/>
      <w:pPr>
        <w:ind w:left="3600" w:hanging="360"/>
      </w:pPr>
      <w:rPr>
        <w:rFonts w:ascii="Courier New" w:hAnsi="Courier New" w:cs="Courier New" w:hint="default"/>
      </w:rPr>
    </w:lvl>
    <w:lvl w:ilvl="5" w:tplc="D26C2686">
      <w:start w:val="1"/>
      <w:numFmt w:val="bullet"/>
      <w:lvlText w:val=""/>
      <w:lvlJc w:val="left"/>
      <w:pPr>
        <w:ind w:left="4320" w:hanging="360"/>
      </w:pPr>
      <w:rPr>
        <w:rFonts w:ascii="Wingdings" w:hAnsi="Wingdings" w:hint="default"/>
      </w:rPr>
    </w:lvl>
    <w:lvl w:ilvl="6" w:tplc="5BEAA80C">
      <w:start w:val="1"/>
      <w:numFmt w:val="bullet"/>
      <w:lvlText w:val=""/>
      <w:lvlJc w:val="left"/>
      <w:pPr>
        <w:ind w:left="5040" w:hanging="360"/>
      </w:pPr>
      <w:rPr>
        <w:rFonts w:ascii="Symbol" w:hAnsi="Symbol" w:hint="default"/>
      </w:rPr>
    </w:lvl>
    <w:lvl w:ilvl="7" w:tplc="3D9E43FA">
      <w:start w:val="1"/>
      <w:numFmt w:val="bullet"/>
      <w:lvlText w:val="o"/>
      <w:lvlJc w:val="left"/>
      <w:pPr>
        <w:ind w:left="5760" w:hanging="360"/>
      </w:pPr>
      <w:rPr>
        <w:rFonts w:ascii="Courier New" w:hAnsi="Courier New" w:cs="Courier New" w:hint="default"/>
      </w:rPr>
    </w:lvl>
    <w:lvl w:ilvl="8" w:tplc="37841878">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06621242">
    <w:abstractNumId w:val="10"/>
  </w:num>
  <w:num w:numId="2" w16cid:durableId="1444375532">
    <w:abstractNumId w:val="7"/>
  </w:num>
  <w:num w:numId="3" w16cid:durableId="1886680097">
    <w:abstractNumId w:val="6"/>
  </w:num>
  <w:num w:numId="4" w16cid:durableId="401222886">
    <w:abstractNumId w:val="5"/>
  </w:num>
  <w:num w:numId="5" w16cid:durableId="1234008936">
    <w:abstractNumId w:val="4"/>
  </w:num>
  <w:num w:numId="6" w16cid:durableId="1136989542">
    <w:abstractNumId w:val="8"/>
  </w:num>
  <w:num w:numId="7" w16cid:durableId="764692901">
    <w:abstractNumId w:val="3"/>
  </w:num>
  <w:num w:numId="8" w16cid:durableId="1607149736">
    <w:abstractNumId w:val="2"/>
  </w:num>
  <w:num w:numId="9" w16cid:durableId="1937596056">
    <w:abstractNumId w:val="1"/>
  </w:num>
  <w:num w:numId="10" w16cid:durableId="1994722170">
    <w:abstractNumId w:val="0"/>
  </w:num>
  <w:num w:numId="11" w16cid:durableId="1756782192">
    <w:abstractNumId w:val="9"/>
  </w:num>
  <w:num w:numId="12" w16cid:durableId="1692148508">
    <w:abstractNumId w:val="11"/>
  </w:num>
  <w:num w:numId="13" w16cid:durableId="847141963">
    <w:abstractNumId w:val="14"/>
  </w:num>
  <w:num w:numId="14" w16cid:durableId="1186864518">
    <w:abstractNumId w:val="12"/>
  </w:num>
  <w:num w:numId="15" w16cid:durableId="1340081311">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6012"/>
    <w:rsid w:val="00020189"/>
    <w:rsid w:val="00020EE4"/>
    <w:rsid w:val="00023E9A"/>
    <w:rsid w:val="00033CDD"/>
    <w:rsid w:val="00034A84"/>
    <w:rsid w:val="00035E67"/>
    <w:rsid w:val="000366F3"/>
    <w:rsid w:val="0006024D"/>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6CCE"/>
    <w:rsid w:val="000E7895"/>
    <w:rsid w:val="000F161D"/>
    <w:rsid w:val="000F3CAA"/>
    <w:rsid w:val="001154EA"/>
    <w:rsid w:val="00121BF0"/>
    <w:rsid w:val="00123704"/>
    <w:rsid w:val="001270C7"/>
    <w:rsid w:val="00132540"/>
    <w:rsid w:val="00144D7A"/>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3037"/>
    <w:rsid w:val="001C32EC"/>
    <w:rsid w:val="001C38BD"/>
    <w:rsid w:val="001C4D5A"/>
    <w:rsid w:val="001E34C6"/>
    <w:rsid w:val="001E5581"/>
    <w:rsid w:val="001F3C70"/>
    <w:rsid w:val="00200D88"/>
    <w:rsid w:val="00201F68"/>
    <w:rsid w:val="00212F2A"/>
    <w:rsid w:val="00214F2B"/>
    <w:rsid w:val="00217880"/>
    <w:rsid w:val="00222D66"/>
    <w:rsid w:val="00224A8A"/>
    <w:rsid w:val="00230238"/>
    <w:rsid w:val="002309A8"/>
    <w:rsid w:val="002347C1"/>
    <w:rsid w:val="00236CFE"/>
    <w:rsid w:val="002428E3"/>
    <w:rsid w:val="00243031"/>
    <w:rsid w:val="002570B4"/>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44B3"/>
    <w:rsid w:val="002F5147"/>
    <w:rsid w:val="002F7ABD"/>
    <w:rsid w:val="0030029B"/>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31E4"/>
    <w:rsid w:val="003A5290"/>
    <w:rsid w:val="003B0155"/>
    <w:rsid w:val="003B7EE7"/>
    <w:rsid w:val="003C2CCB"/>
    <w:rsid w:val="003D39EC"/>
    <w:rsid w:val="003D5DED"/>
    <w:rsid w:val="003E3DD5"/>
    <w:rsid w:val="003E4281"/>
    <w:rsid w:val="003F07C6"/>
    <w:rsid w:val="003F1F6B"/>
    <w:rsid w:val="003F3757"/>
    <w:rsid w:val="003F38BD"/>
    <w:rsid w:val="003F44B7"/>
    <w:rsid w:val="004008E9"/>
    <w:rsid w:val="00413D48"/>
    <w:rsid w:val="00441AC2"/>
    <w:rsid w:val="0044249B"/>
    <w:rsid w:val="0045023C"/>
    <w:rsid w:val="00451A5B"/>
    <w:rsid w:val="00452BCD"/>
    <w:rsid w:val="00452CEA"/>
    <w:rsid w:val="00463D5B"/>
    <w:rsid w:val="00465B52"/>
    <w:rsid w:val="0046708E"/>
    <w:rsid w:val="00472A65"/>
    <w:rsid w:val="00474463"/>
    <w:rsid w:val="00474B75"/>
    <w:rsid w:val="00483F0B"/>
    <w:rsid w:val="00496319"/>
    <w:rsid w:val="00497279"/>
    <w:rsid w:val="004A163B"/>
    <w:rsid w:val="004A670A"/>
    <w:rsid w:val="004B0F05"/>
    <w:rsid w:val="004B5465"/>
    <w:rsid w:val="004B70F0"/>
    <w:rsid w:val="004D505E"/>
    <w:rsid w:val="004D72CA"/>
    <w:rsid w:val="004E2242"/>
    <w:rsid w:val="004E4776"/>
    <w:rsid w:val="004E505E"/>
    <w:rsid w:val="004F42FF"/>
    <w:rsid w:val="004F44C2"/>
    <w:rsid w:val="00502512"/>
    <w:rsid w:val="00503FD2"/>
    <w:rsid w:val="00505262"/>
    <w:rsid w:val="00516022"/>
    <w:rsid w:val="00521CEE"/>
    <w:rsid w:val="00524FB4"/>
    <w:rsid w:val="00527BD4"/>
    <w:rsid w:val="00537095"/>
    <w:rsid w:val="005403C8"/>
    <w:rsid w:val="005429DC"/>
    <w:rsid w:val="0054743B"/>
    <w:rsid w:val="005565F9"/>
    <w:rsid w:val="00556832"/>
    <w:rsid w:val="00573041"/>
    <w:rsid w:val="00575B80"/>
    <w:rsid w:val="0057620F"/>
    <w:rsid w:val="005819CE"/>
    <w:rsid w:val="0058298D"/>
    <w:rsid w:val="00584C1A"/>
    <w:rsid w:val="0059171D"/>
    <w:rsid w:val="00593C2B"/>
    <w:rsid w:val="00595231"/>
    <w:rsid w:val="00596166"/>
    <w:rsid w:val="00597F64"/>
    <w:rsid w:val="005A207F"/>
    <w:rsid w:val="005A2F35"/>
    <w:rsid w:val="005B3814"/>
    <w:rsid w:val="005B463E"/>
    <w:rsid w:val="005C2538"/>
    <w:rsid w:val="005C34E1"/>
    <w:rsid w:val="005C3FE0"/>
    <w:rsid w:val="005C65B5"/>
    <w:rsid w:val="005C740C"/>
    <w:rsid w:val="005D32D1"/>
    <w:rsid w:val="005D625B"/>
    <w:rsid w:val="005D7FCB"/>
    <w:rsid w:val="005F62D3"/>
    <w:rsid w:val="005F6D11"/>
    <w:rsid w:val="00600CF0"/>
    <w:rsid w:val="006048F4"/>
    <w:rsid w:val="0060660A"/>
    <w:rsid w:val="00613B1D"/>
    <w:rsid w:val="00617A44"/>
    <w:rsid w:val="006202B6"/>
    <w:rsid w:val="00621DEC"/>
    <w:rsid w:val="00624D22"/>
    <w:rsid w:val="00625CD0"/>
    <w:rsid w:val="0062627D"/>
    <w:rsid w:val="00627432"/>
    <w:rsid w:val="006448E4"/>
    <w:rsid w:val="00645414"/>
    <w:rsid w:val="00650F19"/>
    <w:rsid w:val="00651CEE"/>
    <w:rsid w:val="00653606"/>
    <w:rsid w:val="006610E9"/>
    <w:rsid w:val="00661591"/>
    <w:rsid w:val="00664678"/>
    <w:rsid w:val="0066632F"/>
    <w:rsid w:val="00674A89"/>
    <w:rsid w:val="00674F3D"/>
    <w:rsid w:val="00685545"/>
    <w:rsid w:val="006864B3"/>
    <w:rsid w:val="00692D64"/>
    <w:rsid w:val="006A10F8"/>
    <w:rsid w:val="006A2100"/>
    <w:rsid w:val="006A5981"/>
    <w:rsid w:val="006A5C3B"/>
    <w:rsid w:val="006A72E0"/>
    <w:rsid w:val="006B0BF3"/>
    <w:rsid w:val="006B775E"/>
    <w:rsid w:val="006B7BC7"/>
    <w:rsid w:val="006C2535"/>
    <w:rsid w:val="006C441E"/>
    <w:rsid w:val="006C4B90"/>
    <w:rsid w:val="006D1016"/>
    <w:rsid w:val="006D1737"/>
    <w:rsid w:val="006D17F2"/>
    <w:rsid w:val="006D5DBA"/>
    <w:rsid w:val="006E3546"/>
    <w:rsid w:val="006E3FA9"/>
    <w:rsid w:val="006E7D82"/>
    <w:rsid w:val="006F038F"/>
    <w:rsid w:val="006F0F93"/>
    <w:rsid w:val="006F31F2"/>
    <w:rsid w:val="006F7494"/>
    <w:rsid w:val="006F751F"/>
    <w:rsid w:val="007008C0"/>
    <w:rsid w:val="00714DC5"/>
    <w:rsid w:val="00715237"/>
    <w:rsid w:val="00721AE1"/>
    <w:rsid w:val="007254A5"/>
    <w:rsid w:val="00725748"/>
    <w:rsid w:val="00732F08"/>
    <w:rsid w:val="00735D88"/>
    <w:rsid w:val="0073720D"/>
    <w:rsid w:val="00737507"/>
    <w:rsid w:val="00740712"/>
    <w:rsid w:val="00742AB9"/>
    <w:rsid w:val="00751A6A"/>
    <w:rsid w:val="00754FBF"/>
    <w:rsid w:val="007610AA"/>
    <w:rsid w:val="007709EF"/>
    <w:rsid w:val="00774253"/>
    <w:rsid w:val="00781DCA"/>
    <w:rsid w:val="00782701"/>
    <w:rsid w:val="00783559"/>
    <w:rsid w:val="0079551B"/>
    <w:rsid w:val="00797AA5"/>
    <w:rsid w:val="007A26BD"/>
    <w:rsid w:val="007A4105"/>
    <w:rsid w:val="007B4503"/>
    <w:rsid w:val="007B7905"/>
    <w:rsid w:val="007C406E"/>
    <w:rsid w:val="007C5183"/>
    <w:rsid w:val="007C7573"/>
    <w:rsid w:val="007E2B20"/>
    <w:rsid w:val="007E6975"/>
    <w:rsid w:val="007F439C"/>
    <w:rsid w:val="007F5331"/>
    <w:rsid w:val="00800592"/>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271B"/>
    <w:rsid w:val="00910642"/>
    <w:rsid w:val="00910DDF"/>
    <w:rsid w:val="00926AE2"/>
    <w:rsid w:val="00930B13"/>
    <w:rsid w:val="009311C8"/>
    <w:rsid w:val="00933376"/>
    <w:rsid w:val="00933A2F"/>
    <w:rsid w:val="00967600"/>
    <w:rsid w:val="009716D8"/>
    <w:rsid w:val="009718F9"/>
    <w:rsid w:val="00971F42"/>
    <w:rsid w:val="00972039"/>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7A"/>
    <w:rsid w:val="009F3259"/>
    <w:rsid w:val="00A056DE"/>
    <w:rsid w:val="00A128AD"/>
    <w:rsid w:val="00A21E76"/>
    <w:rsid w:val="00A23BC8"/>
    <w:rsid w:val="00A245F8"/>
    <w:rsid w:val="00A30E68"/>
    <w:rsid w:val="00A31933"/>
    <w:rsid w:val="00A329D2"/>
    <w:rsid w:val="00A34AA0"/>
    <w:rsid w:val="00A36CCD"/>
    <w:rsid w:val="00A3715C"/>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95AE1"/>
    <w:rsid w:val="00AA1964"/>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59C8"/>
    <w:rsid w:val="00B26CCF"/>
    <w:rsid w:val="00B30670"/>
    <w:rsid w:val="00B30FC2"/>
    <w:rsid w:val="00B331A2"/>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507AE"/>
    <w:rsid w:val="00C5258E"/>
    <w:rsid w:val="00C530C9"/>
    <w:rsid w:val="00C619A7"/>
    <w:rsid w:val="00C73D5F"/>
    <w:rsid w:val="00C82AFE"/>
    <w:rsid w:val="00C83DBC"/>
    <w:rsid w:val="00C83EAD"/>
    <w:rsid w:val="00C97C80"/>
    <w:rsid w:val="00CA47D3"/>
    <w:rsid w:val="00CA6533"/>
    <w:rsid w:val="00CA6A25"/>
    <w:rsid w:val="00CA6A3F"/>
    <w:rsid w:val="00CA7C99"/>
    <w:rsid w:val="00CC6290"/>
    <w:rsid w:val="00CC6AE4"/>
    <w:rsid w:val="00CD233D"/>
    <w:rsid w:val="00CD3499"/>
    <w:rsid w:val="00CD362D"/>
    <w:rsid w:val="00CE101D"/>
    <w:rsid w:val="00CE1814"/>
    <w:rsid w:val="00CE1A95"/>
    <w:rsid w:val="00CE1C84"/>
    <w:rsid w:val="00CE5055"/>
    <w:rsid w:val="00CF053F"/>
    <w:rsid w:val="00CF1A17"/>
    <w:rsid w:val="00CF71AB"/>
    <w:rsid w:val="00D02BA8"/>
    <w:rsid w:val="00D0375A"/>
    <w:rsid w:val="00D0609E"/>
    <w:rsid w:val="00D078E1"/>
    <w:rsid w:val="00D100E9"/>
    <w:rsid w:val="00D15779"/>
    <w:rsid w:val="00D175C4"/>
    <w:rsid w:val="00D17942"/>
    <w:rsid w:val="00D21E4B"/>
    <w:rsid w:val="00D22441"/>
    <w:rsid w:val="00D23522"/>
    <w:rsid w:val="00D264D6"/>
    <w:rsid w:val="00D325F8"/>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A4915"/>
    <w:rsid w:val="00DB36FE"/>
    <w:rsid w:val="00DB533A"/>
    <w:rsid w:val="00DB60AE"/>
    <w:rsid w:val="00DB6307"/>
    <w:rsid w:val="00DD0EDF"/>
    <w:rsid w:val="00DD1DCD"/>
    <w:rsid w:val="00DD338F"/>
    <w:rsid w:val="00DD66F2"/>
    <w:rsid w:val="00DE3FE0"/>
    <w:rsid w:val="00DE578A"/>
    <w:rsid w:val="00DF2583"/>
    <w:rsid w:val="00DF2811"/>
    <w:rsid w:val="00DF54D9"/>
    <w:rsid w:val="00DF7283"/>
    <w:rsid w:val="00E01A59"/>
    <w:rsid w:val="00E10DC6"/>
    <w:rsid w:val="00E11F8E"/>
    <w:rsid w:val="00E15881"/>
    <w:rsid w:val="00E16A8F"/>
    <w:rsid w:val="00E21DE3"/>
    <w:rsid w:val="00E252EF"/>
    <w:rsid w:val="00E273C5"/>
    <w:rsid w:val="00E307D1"/>
    <w:rsid w:val="00E3731D"/>
    <w:rsid w:val="00E51469"/>
    <w:rsid w:val="00E573A1"/>
    <w:rsid w:val="00E634E3"/>
    <w:rsid w:val="00E717C4"/>
    <w:rsid w:val="00E77E18"/>
    <w:rsid w:val="00E77F89"/>
    <w:rsid w:val="00E80330"/>
    <w:rsid w:val="00E806C5"/>
    <w:rsid w:val="00E80E71"/>
    <w:rsid w:val="00E850D3"/>
    <w:rsid w:val="00E853D6"/>
    <w:rsid w:val="00E876B9"/>
    <w:rsid w:val="00EA0F13"/>
    <w:rsid w:val="00EB6E62"/>
    <w:rsid w:val="00EB6F8D"/>
    <w:rsid w:val="00EC0DFF"/>
    <w:rsid w:val="00EC237D"/>
    <w:rsid w:val="00EC2918"/>
    <w:rsid w:val="00EC4D0E"/>
    <w:rsid w:val="00EC4E2B"/>
    <w:rsid w:val="00ED072A"/>
    <w:rsid w:val="00ED4405"/>
    <w:rsid w:val="00ED539E"/>
    <w:rsid w:val="00EE4A1F"/>
    <w:rsid w:val="00EE4C2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41A6F"/>
    <w:rsid w:val="00F45A25"/>
    <w:rsid w:val="00F50F86"/>
    <w:rsid w:val="00F53F91"/>
    <w:rsid w:val="00F61569"/>
    <w:rsid w:val="00F61A72"/>
    <w:rsid w:val="00F62B67"/>
    <w:rsid w:val="00F66F13"/>
    <w:rsid w:val="00F71F3C"/>
    <w:rsid w:val="00F74073"/>
    <w:rsid w:val="00F748E6"/>
    <w:rsid w:val="00F75603"/>
    <w:rsid w:val="00F845B4"/>
    <w:rsid w:val="00F8713B"/>
    <w:rsid w:val="00F90797"/>
    <w:rsid w:val="00F93F9E"/>
    <w:rsid w:val="00FA2CD7"/>
    <w:rsid w:val="00FA7CA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7A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A36C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1089</ap:Words>
  <ap:Characters>5995</ap:Characters>
  <ap:DocSecurity>0</ap:DocSecurity>
  <ap:Lines>49</ap:Lines>
  <ap:Paragraphs>14</ap:Paragraphs>
  <ap:ScaleCrop>false</ap:ScaleCrop>
  <ap:LinksUpToDate>false</ap:LinksUpToDate>
  <ap:CharactersWithSpaces>7070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2026-10-05T14:16:00.0000000Z</dcterms:created>
  <dcterms:modified xsi:type="dcterms:W3CDTF">2026-10-05T14:16:00.0000000Z</dcterms:modified>
  <dc:description>------------------------</dc:description>
  <dc:subject/>
  <keywords/>
  <version/>
  <category/>
</coreProperties>
</file>