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AF448DC" w14:textId="77777777">
        <w:tc>
          <w:tcPr>
            <w:tcW w:w="6379" w:type="dxa"/>
            <w:gridSpan w:val="2"/>
            <w:tcBorders>
              <w:top w:val="nil"/>
              <w:left w:val="nil"/>
              <w:bottom w:val="nil"/>
              <w:right w:val="nil"/>
            </w:tcBorders>
            <w:vAlign w:val="center"/>
          </w:tcPr>
          <w:p w:rsidR="004330ED" w:rsidP="00EA1CE4" w:rsidRDefault="004330ED" w14:paraId="4F8D310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769FC923"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7418C1D" w14:textId="77777777">
        <w:trPr>
          <w:cantSplit/>
        </w:trPr>
        <w:tc>
          <w:tcPr>
            <w:tcW w:w="10348" w:type="dxa"/>
            <w:gridSpan w:val="3"/>
            <w:tcBorders>
              <w:top w:val="single" w:color="auto" w:sz="4" w:space="0"/>
              <w:left w:val="nil"/>
              <w:bottom w:val="nil"/>
              <w:right w:val="nil"/>
            </w:tcBorders>
          </w:tcPr>
          <w:p w:rsidR="004330ED" w:rsidP="004A1E29" w:rsidRDefault="004330ED" w14:paraId="389C1795" w14:textId="5295D3B4">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161F33">
              <w:rPr>
                <w:rFonts w:ascii="Times New Roman" w:hAnsi="Times New Roman"/>
                <w:b w:val="0"/>
              </w:rPr>
              <w:t>6</w:t>
            </w:r>
            <w:r w:rsidRPr="00E908D7" w:rsidR="00E908D7">
              <w:rPr>
                <w:rFonts w:ascii="Times New Roman" w:hAnsi="Times New Roman"/>
                <w:b w:val="0"/>
              </w:rPr>
              <w:t>-202</w:t>
            </w:r>
            <w:r w:rsidR="00161F33">
              <w:rPr>
                <w:rFonts w:ascii="Times New Roman" w:hAnsi="Times New Roman"/>
                <w:b w:val="0"/>
              </w:rPr>
              <w:t>7</w:t>
            </w:r>
          </w:p>
        </w:tc>
      </w:tr>
      <w:tr w:rsidR="004330ED" w:rsidTr="00EA1CE4" w14:paraId="5AFD8F00" w14:textId="77777777">
        <w:trPr>
          <w:cantSplit/>
        </w:trPr>
        <w:tc>
          <w:tcPr>
            <w:tcW w:w="10348" w:type="dxa"/>
            <w:gridSpan w:val="3"/>
            <w:tcBorders>
              <w:top w:val="nil"/>
              <w:left w:val="nil"/>
              <w:bottom w:val="nil"/>
              <w:right w:val="nil"/>
            </w:tcBorders>
          </w:tcPr>
          <w:p w:rsidR="004330ED" w:rsidP="00BF623B" w:rsidRDefault="004330ED" w14:paraId="08A91E56" w14:textId="77777777">
            <w:pPr>
              <w:pStyle w:val="Amendement"/>
              <w:tabs>
                <w:tab w:val="clear" w:pos="3310"/>
                <w:tab w:val="clear" w:pos="3600"/>
              </w:tabs>
              <w:rPr>
                <w:rFonts w:ascii="Times New Roman" w:hAnsi="Times New Roman"/>
                <w:b w:val="0"/>
              </w:rPr>
            </w:pPr>
          </w:p>
        </w:tc>
      </w:tr>
      <w:tr w:rsidR="004330ED" w:rsidTr="00EA1CE4" w14:paraId="2C543EAA" w14:textId="77777777">
        <w:trPr>
          <w:cantSplit/>
        </w:trPr>
        <w:tc>
          <w:tcPr>
            <w:tcW w:w="10348" w:type="dxa"/>
            <w:gridSpan w:val="3"/>
            <w:tcBorders>
              <w:top w:val="nil"/>
              <w:left w:val="nil"/>
              <w:bottom w:val="single" w:color="auto" w:sz="4" w:space="0"/>
              <w:right w:val="nil"/>
            </w:tcBorders>
          </w:tcPr>
          <w:p w:rsidR="004330ED" w:rsidP="00BF623B" w:rsidRDefault="004330ED" w14:paraId="4C63D0F6" w14:textId="77777777">
            <w:pPr>
              <w:pStyle w:val="Amendement"/>
              <w:tabs>
                <w:tab w:val="clear" w:pos="3310"/>
                <w:tab w:val="clear" w:pos="3600"/>
              </w:tabs>
              <w:rPr>
                <w:rFonts w:ascii="Times New Roman" w:hAnsi="Times New Roman"/>
              </w:rPr>
            </w:pPr>
          </w:p>
        </w:tc>
      </w:tr>
      <w:tr w:rsidR="004330ED" w:rsidTr="00EA1CE4" w14:paraId="402750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6F4DCAB"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6AC26EF3" w14:textId="77777777">
            <w:pPr>
              <w:suppressAutoHyphens/>
              <w:ind w:left="-70"/>
              <w:rPr>
                <w:b/>
              </w:rPr>
            </w:pPr>
          </w:p>
        </w:tc>
      </w:tr>
      <w:tr w:rsidR="003C21AC" w:rsidTr="00EA1CE4" w14:paraId="65347AD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AC214A" w14:paraId="3F48DBE7" w14:textId="68DB716B">
            <w:pPr>
              <w:pStyle w:val="Amendement"/>
              <w:tabs>
                <w:tab w:val="clear" w:pos="3310"/>
                <w:tab w:val="clear" w:pos="3600"/>
              </w:tabs>
              <w:rPr>
                <w:rFonts w:ascii="Times New Roman" w:hAnsi="Times New Roman"/>
              </w:rPr>
            </w:pPr>
            <w:r>
              <w:rPr>
                <w:rFonts w:ascii="Times New Roman" w:hAnsi="Times New Roman"/>
              </w:rPr>
              <w:t>36 918</w:t>
            </w:r>
          </w:p>
        </w:tc>
        <w:tc>
          <w:tcPr>
            <w:tcW w:w="7371" w:type="dxa"/>
            <w:gridSpan w:val="2"/>
          </w:tcPr>
          <w:p w:rsidRPr="00783215" w:rsidR="003C21AC" w:rsidP="006E0971" w:rsidRDefault="00AC214A" w14:paraId="692901BC" w14:textId="63C66B5E">
            <w:pPr>
              <w:ind w:left="-70"/>
              <w:rPr>
                <w:b/>
              </w:rPr>
            </w:pPr>
            <w:r>
              <w:rPr>
                <w:b/>
              </w:rPr>
              <w:t>Wijziging van de Tijdelijke wet bestuurlijke maatregelen terrorismebestrijding in verband met de permanentmaking van die wet en enkele andere wijzigingen</w:t>
            </w:r>
          </w:p>
        </w:tc>
      </w:tr>
      <w:tr w:rsidR="003C21AC" w:rsidTr="00EA1CE4" w14:paraId="29B283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9585E85"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2EEFCE" w14:textId="77777777">
            <w:pPr>
              <w:pStyle w:val="Amendement"/>
              <w:tabs>
                <w:tab w:val="clear" w:pos="3310"/>
                <w:tab w:val="clear" w:pos="3600"/>
              </w:tabs>
              <w:ind w:left="-70"/>
              <w:rPr>
                <w:rFonts w:ascii="Times New Roman" w:hAnsi="Times New Roman"/>
              </w:rPr>
            </w:pPr>
          </w:p>
        </w:tc>
      </w:tr>
      <w:tr w:rsidR="003C21AC" w:rsidTr="00EA1CE4" w14:paraId="7149577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0662BE0"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AAE06D8" w14:textId="77777777">
            <w:pPr>
              <w:pStyle w:val="Amendement"/>
              <w:tabs>
                <w:tab w:val="clear" w:pos="3310"/>
                <w:tab w:val="clear" w:pos="3600"/>
              </w:tabs>
              <w:ind w:left="-70"/>
              <w:rPr>
                <w:rFonts w:ascii="Times New Roman" w:hAnsi="Times New Roman"/>
              </w:rPr>
            </w:pPr>
          </w:p>
        </w:tc>
      </w:tr>
      <w:tr w:rsidR="003C21AC" w:rsidTr="00EA1CE4" w14:paraId="5EA0EA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5AD8FFB" w14:textId="726514F6">
            <w:pPr>
              <w:pStyle w:val="Amendement"/>
              <w:tabs>
                <w:tab w:val="clear" w:pos="3310"/>
                <w:tab w:val="clear" w:pos="3600"/>
              </w:tabs>
              <w:rPr>
                <w:rFonts w:ascii="Times New Roman" w:hAnsi="Times New Roman"/>
              </w:rPr>
            </w:pPr>
            <w:r w:rsidRPr="00C035D4">
              <w:rPr>
                <w:rFonts w:ascii="Times New Roman" w:hAnsi="Times New Roman"/>
              </w:rPr>
              <w:t xml:space="preserve">Nr. </w:t>
            </w:r>
            <w:r w:rsidR="00E84B33">
              <w:rPr>
                <w:rFonts w:ascii="Times New Roman" w:hAnsi="Times New Roman"/>
                <w:caps/>
              </w:rPr>
              <w:t>10</w:t>
            </w:r>
          </w:p>
        </w:tc>
        <w:tc>
          <w:tcPr>
            <w:tcW w:w="7371" w:type="dxa"/>
            <w:gridSpan w:val="2"/>
          </w:tcPr>
          <w:p w:rsidRPr="00C035D4" w:rsidR="003C21AC" w:rsidP="006E0971" w:rsidRDefault="003C21AC" w14:paraId="0E794D8E" w14:textId="175FF7C2">
            <w:pPr>
              <w:pStyle w:val="Amendement"/>
              <w:tabs>
                <w:tab w:val="clear" w:pos="3310"/>
                <w:tab w:val="clear" w:pos="3600"/>
              </w:tabs>
              <w:ind w:left="-70"/>
              <w:rPr>
                <w:rFonts w:ascii="Times New Roman" w:hAnsi="Times New Roman"/>
                <w:caps/>
              </w:rPr>
            </w:pPr>
            <w:r w:rsidRPr="00C035D4">
              <w:rPr>
                <w:rFonts w:ascii="Times New Roman" w:hAnsi="Times New Roman"/>
                <w:caps/>
              </w:rPr>
              <w:t>AMENDEMENT VAN</w:t>
            </w:r>
            <w:r w:rsidR="00D00597">
              <w:rPr>
                <w:rFonts w:ascii="Times New Roman" w:hAnsi="Times New Roman"/>
                <w:caps/>
              </w:rPr>
              <w:t xml:space="preserve"> </w:t>
            </w:r>
            <w:r w:rsidR="00E84B33">
              <w:rPr>
                <w:rFonts w:ascii="Times New Roman" w:hAnsi="Times New Roman"/>
                <w:caps/>
              </w:rPr>
              <w:t>het lid</w:t>
            </w:r>
            <w:r w:rsidRPr="00C035D4">
              <w:rPr>
                <w:rFonts w:ascii="Times New Roman" w:hAnsi="Times New Roman"/>
                <w:caps/>
              </w:rPr>
              <w:t xml:space="preserve"> </w:t>
            </w:r>
            <w:r w:rsidR="00AC214A">
              <w:rPr>
                <w:rFonts w:ascii="Times New Roman" w:hAnsi="Times New Roman"/>
                <w:caps/>
              </w:rPr>
              <w:t>MARTENS-AMERICA</w:t>
            </w:r>
            <w:r w:rsidR="00D00597">
              <w:rPr>
                <w:rFonts w:ascii="Times New Roman" w:hAnsi="Times New Roman"/>
                <w:caps/>
              </w:rPr>
              <w:t xml:space="preserve"> </w:t>
            </w:r>
            <w:r w:rsidR="00C27FC6">
              <w:rPr>
                <w:rFonts w:ascii="Times New Roman" w:hAnsi="Times New Roman"/>
                <w:caps/>
              </w:rPr>
              <w:t>c.s.</w:t>
            </w:r>
          </w:p>
        </w:tc>
      </w:tr>
      <w:tr w:rsidR="003C21AC" w:rsidTr="00EA1CE4" w14:paraId="481C97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E640B22"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F0BF0AB" w14:textId="594E6AFE">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E84B33">
              <w:rPr>
                <w:rFonts w:ascii="Times New Roman" w:hAnsi="Times New Roman"/>
                <w:b w:val="0"/>
              </w:rPr>
              <w:t>5 oktober 2026</w:t>
            </w:r>
          </w:p>
        </w:tc>
      </w:tr>
      <w:tr w:rsidR="00B01BA6" w:rsidTr="00EA1CE4" w14:paraId="0F590B1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0BE8341E"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6240823" w14:textId="77777777">
            <w:pPr>
              <w:pStyle w:val="Amendement"/>
              <w:tabs>
                <w:tab w:val="clear" w:pos="3310"/>
                <w:tab w:val="clear" w:pos="3600"/>
              </w:tabs>
              <w:ind w:left="-70"/>
              <w:rPr>
                <w:rFonts w:ascii="Times New Roman" w:hAnsi="Times New Roman"/>
                <w:b w:val="0"/>
              </w:rPr>
            </w:pPr>
          </w:p>
        </w:tc>
      </w:tr>
      <w:tr w:rsidRPr="00EA69AC" w:rsidR="00B01BA6" w:rsidTr="00EA1CE4" w14:paraId="04D924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60C6705" w14:textId="7D45B384">
            <w:pPr>
              <w:ind w:firstLine="284"/>
            </w:pPr>
            <w:r w:rsidRPr="00EA69AC">
              <w:t>De ondergetekende</w:t>
            </w:r>
            <w:r w:rsidR="00D00597">
              <w:t>n</w:t>
            </w:r>
            <w:r w:rsidRPr="00EA69AC">
              <w:t xml:space="preserve"> stel</w:t>
            </w:r>
            <w:r w:rsidR="00D00597">
              <w:t>len</w:t>
            </w:r>
            <w:r w:rsidRPr="00EA69AC">
              <w:t xml:space="preserve"> het volgende amendement voor:</w:t>
            </w:r>
          </w:p>
        </w:tc>
      </w:tr>
    </w:tbl>
    <w:p w:rsidR="00EA1CE4" w:rsidP="00D27EE3" w:rsidRDefault="00EA1CE4" w14:paraId="700B4936" w14:textId="77777777"/>
    <w:p w:rsidR="008B6C11" w:rsidP="00EA1CE4" w:rsidRDefault="008B6C11" w14:paraId="1A065DF6" w14:textId="315DFC13">
      <w:r>
        <w:t>I</w:t>
      </w:r>
    </w:p>
    <w:p w:rsidR="008B6C11" w:rsidP="00EA1CE4" w:rsidRDefault="008B6C11" w14:paraId="68EBDA60" w14:textId="77777777"/>
    <w:p w:rsidR="008B6C11" w:rsidP="008B6C11" w:rsidRDefault="008B6C11" w14:paraId="5B1BDBD4" w14:textId="3F668DB6">
      <w:pPr>
        <w:ind w:firstLine="284"/>
      </w:pPr>
      <w:r>
        <w:t>In artikel I vervalt onderdeel B.</w:t>
      </w:r>
    </w:p>
    <w:p w:rsidR="008B6C11" w:rsidP="008B6C11" w:rsidRDefault="008B6C11" w14:paraId="170B8968" w14:textId="77777777"/>
    <w:p w:rsidR="008B6C11" w:rsidP="008B6C11" w:rsidRDefault="008B6C11" w14:paraId="742D6F77" w14:textId="68DD8FF5">
      <w:r>
        <w:t>II</w:t>
      </w:r>
    </w:p>
    <w:p w:rsidR="008B6C11" w:rsidP="008B6C11" w:rsidRDefault="008B6C11" w14:paraId="0A076FEF" w14:textId="77777777"/>
    <w:p w:rsidR="008B6C11" w:rsidP="008B6C11" w:rsidRDefault="008B6C11" w14:paraId="5C3B275E" w14:textId="0E0F4713">
      <w:pPr>
        <w:ind w:firstLine="284"/>
      </w:pPr>
      <w:r>
        <w:t>In artikel I vervalt onderdeel C.</w:t>
      </w:r>
    </w:p>
    <w:p w:rsidR="008B6C11" w:rsidP="008B6C11" w:rsidRDefault="008B6C11" w14:paraId="5E9C5B76" w14:textId="77777777">
      <w:pPr>
        <w:ind w:firstLine="284"/>
      </w:pPr>
    </w:p>
    <w:p w:rsidRPr="00EA69AC" w:rsidR="003C21AC" w:rsidP="00EA1CE4" w:rsidRDefault="003C21AC" w14:paraId="7C047F38" w14:textId="77777777">
      <w:pPr>
        <w:rPr>
          <w:b/>
        </w:rPr>
      </w:pPr>
      <w:r w:rsidRPr="00EA69AC">
        <w:rPr>
          <w:b/>
        </w:rPr>
        <w:t>Toelichting</w:t>
      </w:r>
    </w:p>
    <w:p w:rsidRPr="00EA69AC" w:rsidR="003C21AC" w:rsidP="00BF623B" w:rsidRDefault="003C21AC" w14:paraId="5391890B" w14:textId="77777777"/>
    <w:p w:rsidR="00A27C3B" w:rsidP="00A27C3B" w:rsidRDefault="00A27C3B" w14:paraId="077DFFA3" w14:textId="77777777">
      <w:r>
        <w:t xml:space="preserve">Op 30 januari 2026 werd het coalitieakkoord ‘Aan de slag’ gepresenteerd. Hierin is afgesproken dat </w:t>
      </w:r>
      <w:r w:rsidRPr="005B2293">
        <w:t xml:space="preserve">de </w:t>
      </w:r>
      <w:r>
        <w:t>Tijdelijke w</w:t>
      </w:r>
      <w:r w:rsidRPr="005B2293">
        <w:t>et bestuurlijke maatregelen terrorismebestrijding</w:t>
      </w:r>
      <w:r>
        <w:t xml:space="preserve"> (hierna: </w:t>
      </w:r>
      <w:proofErr w:type="spellStart"/>
      <w:r>
        <w:t>Twbmt</w:t>
      </w:r>
      <w:proofErr w:type="spellEnd"/>
      <w:r>
        <w:t>)</w:t>
      </w:r>
      <w:r w:rsidRPr="005B2293">
        <w:t xml:space="preserve"> permanent</w:t>
      </w:r>
      <w:r>
        <w:t xml:space="preserve"> wordt gemaakt. </w:t>
      </w:r>
    </w:p>
    <w:p w:rsidR="00A27C3B" w:rsidP="00A27C3B" w:rsidRDefault="00A27C3B" w14:paraId="07C4D7A0" w14:textId="77777777"/>
    <w:p w:rsidR="00A27C3B" w:rsidP="00A27C3B" w:rsidRDefault="00A27C3B" w14:paraId="2590D813" w14:textId="77777777">
      <w:r w:rsidRPr="00AF5914">
        <w:t xml:space="preserve">De huidige </w:t>
      </w:r>
      <w:proofErr w:type="spellStart"/>
      <w:r w:rsidRPr="00AF5914">
        <w:t>Twbmt</w:t>
      </w:r>
      <w:proofErr w:type="spellEnd"/>
      <w:r w:rsidRPr="00AF5914">
        <w:t xml:space="preserve"> maakt het </w:t>
      </w:r>
      <w:r>
        <w:t xml:space="preserve">in artikel 6 </w:t>
      </w:r>
      <w:r w:rsidRPr="00AF5914">
        <w:t>mogelijk dat bestuursorganen beschikkingen weigeren of intrekken</w:t>
      </w:r>
      <w:r>
        <w:t xml:space="preserve"> </w:t>
      </w:r>
      <w:r w:rsidRPr="00AF5914">
        <w:t xml:space="preserve">als </w:t>
      </w:r>
      <w:r>
        <w:t xml:space="preserve">aanvragers in verband kunnen worden gebracht met terroristische activiteiten of het ondersteunen daarvan, of als </w:t>
      </w:r>
      <w:r w:rsidRPr="00AF5914">
        <w:t xml:space="preserve">het ernstige gevaar bestaat dat </w:t>
      </w:r>
      <w:r>
        <w:t>beschikkingen</w:t>
      </w:r>
      <w:r w:rsidRPr="00AF5914">
        <w:t xml:space="preserve"> worden gebruikt voor terroristische activiteiten. Het kan daarbij gaan om beschikkingen op aanvragen</w:t>
      </w:r>
      <w:r>
        <w:t xml:space="preserve"> </w:t>
      </w:r>
      <w:r w:rsidRPr="00AF5914">
        <w:t>voor een subsidie, vergunning of ontheffing of erkenning. De noodzaak</w:t>
      </w:r>
      <w:r>
        <w:t xml:space="preserve"> </w:t>
      </w:r>
      <w:r w:rsidRPr="00AF5914">
        <w:t>van deze bestuurlijke maatreg</w:t>
      </w:r>
      <w:r>
        <w:t xml:space="preserve">el is net als de andere maatregelen in de </w:t>
      </w:r>
      <w:proofErr w:type="spellStart"/>
      <w:r>
        <w:t>Twbmt</w:t>
      </w:r>
      <w:proofErr w:type="spellEnd"/>
      <w:r>
        <w:t xml:space="preserve"> </w:t>
      </w:r>
      <w:r w:rsidRPr="00AF5914">
        <w:t>gelegen in de bescherming van de</w:t>
      </w:r>
      <w:r>
        <w:t xml:space="preserve"> </w:t>
      </w:r>
      <w:r w:rsidRPr="00AF5914">
        <w:t>nationale veiligheid tegen gevaar dat met andere maatregelen, zoals het</w:t>
      </w:r>
      <w:r>
        <w:t xml:space="preserve"> </w:t>
      </w:r>
      <w:r w:rsidRPr="00AF5914">
        <w:t>strafrecht, (nog) niet kan worden weggenomen.</w:t>
      </w:r>
      <w:r>
        <w:t xml:space="preserve"> De bevoegdheid tot het intrekken en weigeren van subsidies is dan ook</w:t>
      </w:r>
      <w:r w:rsidRPr="00AF5914">
        <w:t xml:space="preserve"> gericht op personen van wie een gevaar voor de nationale</w:t>
      </w:r>
      <w:r>
        <w:t xml:space="preserve"> </w:t>
      </w:r>
      <w:r w:rsidRPr="00AF5914">
        <w:t>veiligheid uitgaat, maar wier gedragingen (nog) niet resulteren in</w:t>
      </w:r>
      <w:r>
        <w:t xml:space="preserve"> </w:t>
      </w:r>
      <w:r w:rsidRPr="00AF5914">
        <w:t>strafbare feiten.</w:t>
      </w:r>
    </w:p>
    <w:p w:rsidR="00A27C3B" w:rsidP="00A27C3B" w:rsidRDefault="00A27C3B" w14:paraId="40BE22E9" w14:textId="77777777"/>
    <w:p w:rsidR="00A27C3B" w:rsidP="00A27C3B" w:rsidRDefault="00A27C3B" w14:paraId="594E2A35" w14:textId="30531E51">
      <w:r>
        <w:t xml:space="preserve">In het wetsvoorstel van 20 maart 2026 wordt de bevoegdheid van artikel 6 </w:t>
      </w:r>
      <w:proofErr w:type="spellStart"/>
      <w:r w:rsidR="00CF1ADB">
        <w:t>Twbmt</w:t>
      </w:r>
      <w:proofErr w:type="spellEnd"/>
      <w:r>
        <w:t xml:space="preserve"> geschrapt, omdat er volgens het kabinet </w:t>
      </w:r>
      <w:r w:rsidRPr="00C14E60">
        <w:t xml:space="preserve">in de praktijk </w:t>
      </w:r>
      <w:r>
        <w:t>onvoldoende meerwaarde bestaat binnen het bestaande contraterrorisme-instrumentarium. De bevoegdheid is sinds de invoering van de wet nog niet toegepast.</w:t>
      </w:r>
    </w:p>
    <w:p w:rsidR="00A27C3B" w:rsidP="00A27C3B" w:rsidRDefault="00A27C3B" w14:paraId="26B62872" w14:textId="77777777"/>
    <w:p w:rsidR="00A27C3B" w:rsidP="00A27C3B" w:rsidRDefault="00A27C3B" w14:paraId="353A5430" w14:textId="0DD31670">
      <w:r>
        <w:t>Indiener</w:t>
      </w:r>
      <w:r w:rsidR="00D00597">
        <w:t>s</w:t>
      </w:r>
      <w:r>
        <w:t xml:space="preserve"> me</w:t>
      </w:r>
      <w:r w:rsidR="00D00597">
        <w:t>nen</w:t>
      </w:r>
      <w:r>
        <w:t xml:space="preserve"> dat de tekst van het coalitieakkoord geen ruimte laat voor de interpretatie van het kabinet dat een deel van de </w:t>
      </w:r>
      <w:proofErr w:type="spellStart"/>
      <w:r w:rsidR="00CF1ADB">
        <w:t>Twbmt</w:t>
      </w:r>
      <w:proofErr w:type="spellEnd"/>
      <w:r>
        <w:t xml:space="preserve"> permanent wordt gemaakt en een ander deel niet. Daarom stel</w:t>
      </w:r>
      <w:r w:rsidR="00D00597">
        <w:t>len</w:t>
      </w:r>
      <w:r>
        <w:t xml:space="preserve"> de indiener</w:t>
      </w:r>
      <w:r w:rsidR="00D00597">
        <w:t>s</w:t>
      </w:r>
      <w:r>
        <w:t xml:space="preserve"> via dit amendement voor het wetsvoorstel in lijn te brengen het coalitieakkoord.  </w:t>
      </w:r>
    </w:p>
    <w:p w:rsidR="00A27C3B" w:rsidP="00A27C3B" w:rsidRDefault="00A27C3B" w14:paraId="19BC86D0" w14:textId="77777777"/>
    <w:p w:rsidR="00A27C3B" w:rsidP="00A27C3B" w:rsidRDefault="00A27C3B" w14:paraId="708C9713" w14:textId="49AADA6A">
      <w:r>
        <w:t xml:space="preserve">Daarnaast heeft het Nederlands Genootschap van Burgemeesters (NGB) in zijn consultatiereactie gesteld de onderbouwing van het laten vervallen van artikel 6 </w:t>
      </w:r>
      <w:proofErr w:type="spellStart"/>
      <w:r w:rsidR="00CF1ADB">
        <w:t>Twbmt</w:t>
      </w:r>
      <w:proofErr w:type="spellEnd"/>
      <w:r>
        <w:t xml:space="preserve"> bijzonder matig te vinden. Het feit dat een bepaling in de praktijk niet is toegepast is geen gegronde reden om deze vervolgens te laten vervallen. Ook heeft het NGB hierbij opgemerkt dat tijdens de voorbereiding van de wetswijziging beter aansluiting gezocht had kunnen worden bij burgemeesters.  Het NGB herkent zich niet in de stelling van het kabinet </w:t>
      </w:r>
      <w:r>
        <w:lastRenderedPageBreak/>
        <w:t>dat uit ‘gesprekken met veiligheidspartners’ blijkt dat behoud van de bevoegdheid niet noodzakelijk is.</w:t>
      </w:r>
    </w:p>
    <w:p w:rsidR="00A27C3B" w:rsidP="00A27C3B" w:rsidRDefault="00A27C3B" w14:paraId="5C8CB8F9" w14:textId="77777777"/>
    <w:p w:rsidRPr="00EA69AC" w:rsidR="005B1DCC" w:rsidP="00BF623B" w:rsidRDefault="00A27C3B" w14:paraId="5F217B7A" w14:textId="348401D9">
      <w:r>
        <w:t xml:space="preserve">De noodzaak tot handhaving van artikel 6 </w:t>
      </w:r>
      <w:proofErr w:type="spellStart"/>
      <w:r w:rsidR="00CF1ADB">
        <w:t>Twbmt</w:t>
      </w:r>
      <w:proofErr w:type="spellEnd"/>
      <w:r>
        <w:t xml:space="preserve"> werd bij de verlenging van de wet (Kamerstuk</w:t>
      </w:r>
      <w:r w:rsidR="00CF1ADB">
        <w:t>ken II 2021/22,</w:t>
      </w:r>
      <w:r>
        <w:t xml:space="preserve"> 35917</w:t>
      </w:r>
      <w:r w:rsidR="00CF1ADB">
        <w:t>,</w:t>
      </w:r>
      <w:r>
        <w:t xml:space="preserve"> nr. 6) geïllustreerd aan de hand van een voorbeeld. Als er subsidie wordt verstrekt</w:t>
      </w:r>
      <w:r w:rsidRPr="00D74DBC">
        <w:t xml:space="preserve"> voor een stichting die activiteiten organiseert voor de jeugd in een wijk met problemen met hangjongeren</w:t>
      </w:r>
      <w:r>
        <w:t>, en</w:t>
      </w:r>
      <w:r w:rsidRPr="00D74DBC">
        <w:t xml:space="preserve"> nadien blijkt dat (leden van) het bestuur van de stichting waaraan de subsidie is verleend, banden blijkt te hebben met een terroristische organisatie, zodat het ernstige gevaar bestaat dat de subsidie mede zal worden aangewend voor terroristische activiteiten of de ondersteuning daarvan</w:t>
      </w:r>
      <w:r>
        <w:t>, dan kan de bevoegdheid van artikel 6 worden ingezet. Ook het huidige kabinet erkent dat op voorhand geen garantie valt te geven dat een dergelijke situatie, ook al is deze hypothetisch, zich nooit voor kan doen.</w:t>
      </w:r>
      <w:r>
        <w:rPr>
          <w:rStyle w:val="Voetnootmarkering"/>
        </w:rPr>
        <w:footnoteReference w:id="1"/>
      </w:r>
      <w:r>
        <w:t xml:space="preserve"> Alleen al om die reden acht</w:t>
      </w:r>
      <w:r w:rsidR="007713A7">
        <w:t>en</w:t>
      </w:r>
      <w:r>
        <w:t xml:space="preserve"> de indiener</w:t>
      </w:r>
      <w:r w:rsidR="007713A7">
        <w:t>s</w:t>
      </w:r>
      <w:r>
        <w:t xml:space="preserve"> het onwenselijk dat de bevoegdheid zou komen te vervallen.</w:t>
      </w:r>
    </w:p>
    <w:p w:rsidR="00D27EE3" w:rsidP="00EA1CE4" w:rsidRDefault="00D27EE3" w14:paraId="7034DF4A" w14:textId="77777777"/>
    <w:p w:rsidR="00B4708A" w:rsidP="00EA1CE4" w:rsidRDefault="00AC214A" w14:paraId="228AEF48" w14:textId="4A31B68B">
      <w:r>
        <w:t>Martens-America</w:t>
      </w:r>
    </w:p>
    <w:p w:rsidR="00D00597" w:rsidP="00EA1CE4" w:rsidRDefault="00D00597" w14:paraId="39DCBBCC" w14:textId="20706B9C">
      <w:r>
        <w:t>Straatman</w:t>
      </w:r>
    </w:p>
    <w:p w:rsidR="00C27FC6" w:rsidP="00EA1CE4" w:rsidRDefault="00C27FC6" w14:paraId="6D374A33" w14:textId="61D9E438">
      <w:r>
        <w:t>Diederik van Dijk</w:t>
      </w:r>
    </w:p>
    <w:p w:rsidRPr="00EA69AC" w:rsidR="00C27FC6" w:rsidP="00EA1CE4" w:rsidRDefault="00C27FC6" w14:paraId="6AA5F5DC" w14:textId="05CB6DAC">
      <w:r>
        <w:t>Van der Plas</w:t>
      </w:r>
    </w:p>
    <w:sectPr w:rsidRPr="00EA69AC" w:rsidR="00C27FC6"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70B55" w14:textId="77777777" w:rsidR="00E74B89" w:rsidRDefault="00E74B89">
      <w:pPr>
        <w:spacing w:line="20" w:lineRule="exact"/>
      </w:pPr>
    </w:p>
  </w:endnote>
  <w:endnote w:type="continuationSeparator" w:id="0">
    <w:p w14:paraId="1EC28FCF" w14:textId="77777777" w:rsidR="00E74B89" w:rsidRDefault="00E74B89">
      <w:pPr>
        <w:pStyle w:val="Amendement"/>
      </w:pPr>
      <w:r>
        <w:rPr>
          <w:b w:val="0"/>
        </w:rPr>
        <w:t xml:space="preserve"> </w:t>
      </w:r>
    </w:p>
  </w:endnote>
  <w:endnote w:type="continuationNotice" w:id="1">
    <w:p w14:paraId="73578163" w14:textId="77777777" w:rsidR="00E74B89" w:rsidRDefault="00E74B8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3717E" w14:textId="77777777" w:rsidR="00E74B89" w:rsidRDefault="00E74B89">
      <w:pPr>
        <w:pStyle w:val="Amendement"/>
      </w:pPr>
      <w:r>
        <w:rPr>
          <w:b w:val="0"/>
        </w:rPr>
        <w:separator/>
      </w:r>
    </w:p>
  </w:footnote>
  <w:footnote w:type="continuationSeparator" w:id="0">
    <w:p w14:paraId="5E8095DC" w14:textId="77777777" w:rsidR="00E74B89" w:rsidRDefault="00E74B89">
      <w:r>
        <w:continuationSeparator/>
      </w:r>
    </w:p>
  </w:footnote>
  <w:footnote w:id="1">
    <w:p w14:paraId="484BC7F7" w14:textId="7E86A789" w:rsidR="00A27C3B" w:rsidRDefault="00A27C3B" w:rsidP="00A27C3B">
      <w:pPr>
        <w:pStyle w:val="Voetnoottekst"/>
      </w:pPr>
      <w:r>
        <w:rPr>
          <w:rStyle w:val="Voetnootmarkering"/>
        </w:rPr>
        <w:footnoteRef/>
      </w:r>
      <w:r>
        <w:t xml:space="preserve"> Kamerstukken</w:t>
      </w:r>
      <w:r w:rsidR="00CF1ADB">
        <w:t xml:space="preserve"> II 2025/26,</w:t>
      </w:r>
      <w:r>
        <w:t xml:space="preserve"> 36918</w:t>
      </w:r>
      <w:r w:rsidR="00CF1ADB">
        <w:t>,</w:t>
      </w:r>
      <w:r>
        <w:t xml:space="preserve"> nr. 7, p. 31</w:t>
      </w:r>
      <w:r w:rsidR="00CF1ADB">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14A"/>
    <w:rsid w:val="000037D4"/>
    <w:rsid w:val="00032CA6"/>
    <w:rsid w:val="00052244"/>
    <w:rsid w:val="0007471A"/>
    <w:rsid w:val="000A2E56"/>
    <w:rsid w:val="000D17BF"/>
    <w:rsid w:val="000E43B5"/>
    <w:rsid w:val="00144DF9"/>
    <w:rsid w:val="00157CAF"/>
    <w:rsid w:val="00161F33"/>
    <w:rsid w:val="001656EE"/>
    <w:rsid w:val="0016653D"/>
    <w:rsid w:val="001D56AF"/>
    <w:rsid w:val="001E0E21"/>
    <w:rsid w:val="00212E0A"/>
    <w:rsid w:val="002153B0"/>
    <w:rsid w:val="0021777F"/>
    <w:rsid w:val="00241DD0"/>
    <w:rsid w:val="002A0713"/>
    <w:rsid w:val="002D217B"/>
    <w:rsid w:val="002F2EED"/>
    <w:rsid w:val="00301DCC"/>
    <w:rsid w:val="003A6F56"/>
    <w:rsid w:val="003B146E"/>
    <w:rsid w:val="003C21AC"/>
    <w:rsid w:val="003C5218"/>
    <w:rsid w:val="003C7876"/>
    <w:rsid w:val="003D61DA"/>
    <w:rsid w:val="003E2308"/>
    <w:rsid w:val="003E2F98"/>
    <w:rsid w:val="00413B00"/>
    <w:rsid w:val="0042574B"/>
    <w:rsid w:val="004330ED"/>
    <w:rsid w:val="00475C85"/>
    <w:rsid w:val="00481C91"/>
    <w:rsid w:val="004911E3"/>
    <w:rsid w:val="00497D57"/>
    <w:rsid w:val="004A1E29"/>
    <w:rsid w:val="004A7DD4"/>
    <w:rsid w:val="004B50D8"/>
    <w:rsid w:val="004B5B90"/>
    <w:rsid w:val="004D34AB"/>
    <w:rsid w:val="00501109"/>
    <w:rsid w:val="005703C9"/>
    <w:rsid w:val="00584A1E"/>
    <w:rsid w:val="00597703"/>
    <w:rsid w:val="005A6097"/>
    <w:rsid w:val="005B1DCC"/>
    <w:rsid w:val="005B7323"/>
    <w:rsid w:val="005C25B9"/>
    <w:rsid w:val="005D3996"/>
    <w:rsid w:val="00600845"/>
    <w:rsid w:val="006267E6"/>
    <w:rsid w:val="00635E3A"/>
    <w:rsid w:val="006558D2"/>
    <w:rsid w:val="00672D25"/>
    <w:rsid w:val="006738BC"/>
    <w:rsid w:val="006D3E69"/>
    <w:rsid w:val="006E0971"/>
    <w:rsid w:val="007709F6"/>
    <w:rsid w:val="007713A7"/>
    <w:rsid w:val="00783215"/>
    <w:rsid w:val="00786D20"/>
    <w:rsid w:val="007965FC"/>
    <w:rsid w:val="007C532E"/>
    <w:rsid w:val="007D2608"/>
    <w:rsid w:val="007E4AD0"/>
    <w:rsid w:val="008164E5"/>
    <w:rsid w:val="00830081"/>
    <w:rsid w:val="008467D7"/>
    <w:rsid w:val="00852541"/>
    <w:rsid w:val="008552B5"/>
    <w:rsid w:val="00865D47"/>
    <w:rsid w:val="00870985"/>
    <w:rsid w:val="0088452C"/>
    <w:rsid w:val="00890452"/>
    <w:rsid w:val="008B6C11"/>
    <w:rsid w:val="008D7DCB"/>
    <w:rsid w:val="008E4A4E"/>
    <w:rsid w:val="008F386E"/>
    <w:rsid w:val="009055DB"/>
    <w:rsid w:val="00905ECB"/>
    <w:rsid w:val="0096165D"/>
    <w:rsid w:val="00993E91"/>
    <w:rsid w:val="009A409F"/>
    <w:rsid w:val="009B5845"/>
    <w:rsid w:val="009C0C1F"/>
    <w:rsid w:val="00A10505"/>
    <w:rsid w:val="00A1288B"/>
    <w:rsid w:val="00A27C3B"/>
    <w:rsid w:val="00A53203"/>
    <w:rsid w:val="00A772EB"/>
    <w:rsid w:val="00A77CB1"/>
    <w:rsid w:val="00AC214A"/>
    <w:rsid w:val="00B01BA6"/>
    <w:rsid w:val="00B057E6"/>
    <w:rsid w:val="00B147CC"/>
    <w:rsid w:val="00B4708A"/>
    <w:rsid w:val="00BA2ADF"/>
    <w:rsid w:val="00BF623B"/>
    <w:rsid w:val="00C035D4"/>
    <w:rsid w:val="00C27FC6"/>
    <w:rsid w:val="00C679BF"/>
    <w:rsid w:val="00C81BBD"/>
    <w:rsid w:val="00CD3132"/>
    <w:rsid w:val="00CE27CD"/>
    <w:rsid w:val="00CF1ADB"/>
    <w:rsid w:val="00D00597"/>
    <w:rsid w:val="00D134F3"/>
    <w:rsid w:val="00D27EE3"/>
    <w:rsid w:val="00D47D01"/>
    <w:rsid w:val="00D774B3"/>
    <w:rsid w:val="00DD35A5"/>
    <w:rsid w:val="00DE2948"/>
    <w:rsid w:val="00DF68BE"/>
    <w:rsid w:val="00DF712A"/>
    <w:rsid w:val="00E25DF4"/>
    <w:rsid w:val="00E3485D"/>
    <w:rsid w:val="00E6619B"/>
    <w:rsid w:val="00E74B89"/>
    <w:rsid w:val="00E84B33"/>
    <w:rsid w:val="00E908D7"/>
    <w:rsid w:val="00EA1CE4"/>
    <w:rsid w:val="00EA69AC"/>
    <w:rsid w:val="00EB40A1"/>
    <w:rsid w:val="00EC3112"/>
    <w:rsid w:val="00ED5E57"/>
    <w:rsid w:val="00EE1BD8"/>
    <w:rsid w:val="00F42B20"/>
    <w:rsid w:val="00FA5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D0A9E"/>
  <w15:docId w15:val="{E2114D4E-FCCC-4EEB-B0E9-CC62F8F95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8552B5"/>
    <w:rPr>
      <w:sz w:val="24"/>
    </w:rPr>
  </w:style>
  <w:style w:type="character" w:styleId="Voetnootmarkering">
    <w:name w:val="footnote reference"/>
    <w:basedOn w:val="Standaardalinea-lettertype"/>
    <w:semiHidden/>
    <w:unhideWhenUsed/>
    <w:rsid w:val="00A27C3B"/>
    <w:rPr>
      <w:vertAlign w:val="superscript"/>
    </w:rPr>
  </w:style>
  <w:style w:type="character" w:styleId="Verwijzingopmerking">
    <w:name w:val="annotation reference"/>
    <w:basedOn w:val="Standaardalinea-lettertype"/>
    <w:semiHidden/>
    <w:unhideWhenUsed/>
    <w:rsid w:val="00A27C3B"/>
    <w:rPr>
      <w:sz w:val="16"/>
      <w:szCs w:val="16"/>
    </w:rPr>
  </w:style>
  <w:style w:type="paragraph" w:styleId="Tekstopmerking">
    <w:name w:val="annotation text"/>
    <w:basedOn w:val="Standaard"/>
    <w:link w:val="TekstopmerkingChar"/>
    <w:unhideWhenUsed/>
    <w:rsid w:val="00A27C3B"/>
    <w:rPr>
      <w:sz w:val="20"/>
    </w:rPr>
  </w:style>
  <w:style w:type="character" w:customStyle="1" w:styleId="TekstopmerkingChar">
    <w:name w:val="Tekst opmerking Char"/>
    <w:basedOn w:val="Standaardalinea-lettertype"/>
    <w:link w:val="Tekstopmerking"/>
    <w:rsid w:val="00A27C3B"/>
  </w:style>
  <w:style w:type="paragraph" w:styleId="Onderwerpvanopmerking">
    <w:name w:val="annotation subject"/>
    <w:basedOn w:val="Tekstopmerking"/>
    <w:next w:val="Tekstopmerking"/>
    <w:link w:val="OnderwerpvanopmerkingChar"/>
    <w:semiHidden/>
    <w:unhideWhenUsed/>
    <w:rsid w:val="00A27C3B"/>
    <w:rPr>
      <w:b/>
      <w:bCs/>
    </w:rPr>
  </w:style>
  <w:style w:type="character" w:customStyle="1" w:styleId="OnderwerpvanopmerkingChar">
    <w:name w:val="Onderwerp van opmerking Char"/>
    <w:basedOn w:val="TekstopmerkingChar"/>
    <w:link w:val="Onderwerpvanopmerking"/>
    <w:semiHidden/>
    <w:rsid w:val="00A27C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573</ap:Words>
  <ap:Characters>3155</ap:Characters>
  <ap:DocSecurity>0</ap:DocSecurity>
  <ap:Lines>26</ap:Lines>
  <ap:Paragraphs>7</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3721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2026-10-05T08:51:00.0000000Z</dcterms:created>
  <dcterms:modified xsi:type="dcterms:W3CDTF">2026-10-05T08:51:00.0000000Z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