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215D9" w:rsidRDefault="001856D0" w14:paraId="059D7CC4" w14:textId="5B7EEA4A">
      <w:pPr>
        <w:autoSpaceDE w:val="0"/>
        <w:autoSpaceDN w:val="0"/>
        <w:adjustRightInd w:val="0"/>
        <w:spacing w:before="0" w:after="0"/>
        <w:ind w:left="1416" w:hanging="1371"/>
        <w:rPr>
          <w:b/>
          <w:bCs/>
          <w:sz w:val="23"/>
          <w:szCs w:val="23"/>
        </w:rPr>
      </w:pPr>
      <w:r>
        <w:rPr>
          <w:b/>
          <w:bCs/>
          <w:sz w:val="23"/>
          <w:szCs w:val="23"/>
        </w:rPr>
        <w:t>36</w:t>
      </w:r>
      <w:r w:rsidR="00EC16F4">
        <w:rPr>
          <w:b/>
          <w:bCs/>
          <w:sz w:val="23"/>
          <w:szCs w:val="23"/>
        </w:rPr>
        <w:t xml:space="preserve"> </w:t>
      </w:r>
      <w:r>
        <w:rPr>
          <w:b/>
          <w:bCs/>
          <w:sz w:val="23"/>
          <w:szCs w:val="23"/>
        </w:rPr>
        <w:t>800</w:t>
      </w:r>
      <w:r w:rsidR="00EC16F4">
        <w:rPr>
          <w:b/>
          <w:bCs/>
          <w:sz w:val="23"/>
          <w:szCs w:val="23"/>
        </w:rPr>
        <w:t xml:space="preserve"> </w:t>
      </w:r>
      <w:r>
        <w:rPr>
          <w:b/>
          <w:bCs/>
          <w:sz w:val="23"/>
          <w:szCs w:val="23"/>
        </w:rPr>
        <w:t>VII</w:t>
      </w:r>
      <w:r>
        <w:rPr>
          <w:b/>
          <w:bCs/>
          <w:sz w:val="23"/>
          <w:szCs w:val="23"/>
        </w:rPr>
        <w:tab/>
      </w:r>
      <w:r w:rsidRPr="00EC16F4" w:rsidR="00EC16F4">
        <w:rPr>
          <w:b/>
          <w:bCs/>
          <w:sz w:val="23"/>
          <w:szCs w:val="23"/>
        </w:rPr>
        <w:t>Vaststelling van de begrotingsstaten van het Ministerie van Binnenlandse Zaken en Koninkrijksrelaties (VII) voor het jaar 2026</w:t>
      </w:r>
    </w:p>
    <w:p w:rsidR="00B215D9" w:rsidRDefault="00B215D9" w14:paraId="059D7CC5" w14:textId="77777777">
      <w:pPr>
        <w:autoSpaceDE w:val="0"/>
        <w:autoSpaceDN w:val="0"/>
        <w:adjustRightInd w:val="0"/>
        <w:spacing w:before="0" w:after="0"/>
        <w:ind w:left="1416" w:hanging="1371"/>
        <w:rPr>
          <w:b/>
        </w:rPr>
      </w:pPr>
    </w:p>
    <w:p w:rsidR="00B215D9" w:rsidRDefault="001856D0" w14:paraId="059D7CC6" w14:textId="2EEEF040">
      <w:pPr>
        <w:rPr>
          <w:b/>
        </w:rPr>
      </w:pPr>
      <w:r>
        <w:rPr>
          <w:b/>
        </w:rPr>
        <w:t xml:space="preserve">nr. </w:t>
      </w:r>
      <w:r>
        <w:rPr>
          <w:b/>
        </w:rPr>
        <w:tab/>
      </w:r>
      <w:r>
        <w:rPr>
          <w:b/>
        </w:rPr>
        <w:tab/>
        <w:t xml:space="preserve">Lijst van vragen </w:t>
      </w:r>
    </w:p>
    <w:p w:rsidR="00B215D9" w:rsidRDefault="001856D0" w14:paraId="059D7CC7" w14:textId="77777777">
      <w:r>
        <w:tab/>
      </w:r>
      <w:r>
        <w:tab/>
      </w:r>
    </w:p>
    <w:p w:rsidR="00B215D9" w:rsidRDefault="001856D0" w14:paraId="059D7CC8" w14:textId="77777777">
      <w:pPr>
        <w:ind w:left="702" w:firstLine="708"/>
        <w:rPr>
          <w:i/>
        </w:rPr>
      </w:pPr>
      <w:r>
        <w:t xml:space="preserve">Vastgesteld </w:t>
      </w:r>
      <w:r>
        <w:rPr>
          <w:i/>
        </w:rPr>
        <w:t>(wordt door griffie ingevuld als antwoorden er zijn)</w:t>
      </w:r>
    </w:p>
    <w:p w:rsidR="00B215D9" w:rsidRDefault="001856D0" w14:paraId="059D7CC9" w14:textId="334578F3">
      <w:pPr>
        <w:ind w:left="1410"/>
      </w:pPr>
      <w:r>
        <w:t xml:space="preserve">De vaste commissie voor </w:t>
      </w:r>
      <w:r w:rsidR="00C23116">
        <w:t>Binnenlandse Zaken</w:t>
      </w:r>
      <w:r>
        <w:t xml:space="preserve"> heeft een aantal vragen voorgelegd aan de </w:t>
      </w:r>
      <w:r w:rsidR="00C23116">
        <w:t>minister van Binnenlandse Zaken en Koninkrijksrelaties</w:t>
      </w:r>
      <w:r>
        <w:t xml:space="preserve"> over de </w:t>
      </w:r>
      <w:r w:rsidR="003B599C">
        <w:t xml:space="preserve">brief </w:t>
      </w:r>
      <w:r>
        <w:t xml:space="preserve">van </w:t>
      </w:r>
      <w:r w:rsidR="00C23116">
        <w:t xml:space="preserve">11 september 2026 </w:t>
      </w:r>
      <w:r>
        <w:t xml:space="preserve">inzake de </w:t>
      </w:r>
      <w:r w:rsidRPr="007557D0">
        <w:rPr>
          <w:bCs/>
        </w:rPr>
        <w:t xml:space="preserve">Stand van zaken wetsvoorstel Wet versterking waarborgfunctie </w:t>
      </w:r>
      <w:proofErr w:type="spellStart"/>
      <w:r w:rsidRPr="007557D0">
        <w:rPr>
          <w:bCs/>
        </w:rPr>
        <w:t>Awb</w:t>
      </w:r>
      <w:proofErr w:type="spellEnd"/>
      <w:r w:rsidRPr="007557D0">
        <w:rPr>
          <w:bCs/>
        </w:rPr>
        <w:t xml:space="preserve"> (</w:t>
      </w:r>
      <w:r w:rsidR="007557D0">
        <w:rPr>
          <w:bCs/>
        </w:rPr>
        <w:t xml:space="preserve">Kamerstuk </w:t>
      </w:r>
      <w:r w:rsidRPr="007557D0">
        <w:rPr>
          <w:bCs/>
        </w:rPr>
        <w:t>36800-VII, nr. 102).</w:t>
      </w:r>
    </w:p>
    <w:p w:rsidR="00B215D9" w:rsidRDefault="00B215D9" w14:paraId="059D7CCB" w14:textId="77777777">
      <w:pPr>
        <w:spacing w:before="0" w:after="0"/>
      </w:pPr>
    </w:p>
    <w:p w:rsidR="00B215D9" w:rsidRDefault="001856D0" w14:paraId="059D7CCC" w14:textId="77777777">
      <w:pPr>
        <w:spacing w:before="0" w:after="0"/>
        <w:ind w:left="703" w:firstLine="709"/>
      </w:pPr>
      <w:r>
        <w:t xml:space="preserve">Voorzitter van de commissie, </w:t>
      </w:r>
    </w:p>
    <w:p w:rsidR="00B215D9" w:rsidRDefault="001856D0" w14:paraId="059D7CCD" w14:textId="21E4A3D5">
      <w:pPr>
        <w:spacing w:before="0" w:after="0"/>
      </w:pPr>
      <w:r>
        <w:tab/>
      </w:r>
      <w:r>
        <w:tab/>
      </w:r>
      <w:r w:rsidR="007557D0">
        <w:t>Kisteman</w:t>
      </w:r>
    </w:p>
    <w:p w:rsidR="00B215D9" w:rsidRDefault="001856D0" w14:paraId="059D7CCE" w14:textId="77777777">
      <w:pPr>
        <w:spacing w:before="0" w:after="0"/>
      </w:pPr>
      <w:r>
        <w:tab/>
      </w:r>
      <w:r>
        <w:tab/>
      </w:r>
    </w:p>
    <w:p w:rsidR="00B215D9" w:rsidRDefault="001856D0" w14:paraId="059D7CCF" w14:textId="563FFD2A">
      <w:pPr>
        <w:spacing w:before="0" w:after="0"/>
      </w:pPr>
      <w:r>
        <w:tab/>
      </w:r>
      <w:r>
        <w:tab/>
      </w:r>
      <w:r w:rsidR="007557D0">
        <w:t>Adjunct-g</w:t>
      </w:r>
      <w:r>
        <w:t>riffier van de commissie,</w:t>
      </w:r>
    </w:p>
    <w:p w:rsidR="00B215D9" w:rsidRDefault="001856D0" w14:paraId="059D7CD0" w14:textId="66778E12">
      <w:pPr>
        <w:spacing w:before="0" w:after="0"/>
      </w:pPr>
      <w:r>
        <w:tab/>
      </w:r>
      <w:r>
        <w:tab/>
      </w:r>
      <w:r w:rsidR="00997B4B">
        <w:t xml:space="preserve">De </w:t>
      </w:r>
      <w:r w:rsidR="007557D0">
        <w:t>Keijzer</w:t>
      </w:r>
    </w:p>
    <w:p w:rsidR="00B215D9" w:rsidRDefault="00B215D9" w14:paraId="059D7CD1" w14:textId="77777777"/>
    <w:tbl>
      <w:tblPr>
        <w:tblW w:w="9497" w:type="dxa"/>
        <w:tblLayout w:type="fixed"/>
        <w:tblCellMar>
          <w:left w:w="0" w:type="dxa"/>
          <w:right w:w="0" w:type="dxa"/>
        </w:tblCellMar>
        <w:tblLook w:val="0000" w:firstRow="0" w:lastRow="0" w:firstColumn="0" w:lastColumn="0" w:noHBand="0" w:noVBand="0"/>
      </w:tblPr>
      <w:tblGrid>
        <w:gridCol w:w="567"/>
        <w:gridCol w:w="6521"/>
        <w:gridCol w:w="850"/>
        <w:gridCol w:w="992"/>
        <w:gridCol w:w="567"/>
      </w:tblGrid>
      <w:tr w:rsidR="00B215D9" w:rsidTr="00E7153D" w14:paraId="059D7CD7" w14:textId="77777777">
        <w:trPr>
          <w:cantSplit/>
        </w:trPr>
        <w:tc>
          <w:tcPr>
            <w:tcW w:w="567" w:type="dxa"/>
          </w:tcPr>
          <w:p w:rsidR="00B215D9" w:rsidRDefault="001856D0" w14:paraId="059D7CD2" w14:textId="77777777">
            <w:bookmarkStart w:name="bmkStartTabel" w:id="0"/>
            <w:bookmarkEnd w:id="0"/>
            <w:r>
              <w:t>Nr</w:t>
            </w:r>
          </w:p>
        </w:tc>
        <w:tc>
          <w:tcPr>
            <w:tcW w:w="6521" w:type="dxa"/>
          </w:tcPr>
          <w:p w:rsidR="00B215D9" w:rsidRDefault="001856D0" w14:paraId="059D7CD3" w14:textId="77777777">
            <w:r>
              <w:t>Vraag</w:t>
            </w:r>
          </w:p>
        </w:tc>
        <w:tc>
          <w:tcPr>
            <w:tcW w:w="850" w:type="dxa"/>
          </w:tcPr>
          <w:p w:rsidR="00B215D9" w:rsidRDefault="001856D0" w14:paraId="059D7CD4" w14:textId="77777777">
            <w:pPr>
              <w:jc w:val="right"/>
            </w:pPr>
            <w:r>
              <w:t>Bijlage</w:t>
            </w:r>
          </w:p>
        </w:tc>
        <w:tc>
          <w:tcPr>
            <w:tcW w:w="992" w:type="dxa"/>
          </w:tcPr>
          <w:p w:rsidR="00B215D9" w:rsidP="00E7153D" w:rsidRDefault="001856D0" w14:paraId="059D7CD5" w14:textId="77777777">
            <w:pPr>
              <w:jc w:val="right"/>
            </w:pPr>
            <w:r>
              <w:t>Blz. (van)</w:t>
            </w:r>
          </w:p>
        </w:tc>
        <w:tc>
          <w:tcPr>
            <w:tcW w:w="567" w:type="dxa"/>
          </w:tcPr>
          <w:p w:rsidR="00B215D9" w:rsidP="00E7153D" w:rsidRDefault="001856D0" w14:paraId="059D7CD6" w14:textId="77777777">
            <w:pPr>
              <w:jc w:val="center"/>
            </w:pPr>
            <w:r>
              <w:t>t/m</w:t>
            </w:r>
          </w:p>
        </w:tc>
      </w:tr>
      <w:tr w:rsidR="00B215D9" w:rsidTr="00E7153D" w14:paraId="059D7CDD" w14:textId="77777777">
        <w:tc>
          <w:tcPr>
            <w:tcW w:w="567" w:type="dxa"/>
          </w:tcPr>
          <w:p w:rsidR="00B215D9" w:rsidRDefault="001856D0" w14:paraId="059D7CD8" w14:textId="77777777">
            <w:r>
              <w:t>1</w:t>
            </w:r>
          </w:p>
        </w:tc>
        <w:tc>
          <w:tcPr>
            <w:tcW w:w="6521" w:type="dxa"/>
          </w:tcPr>
          <w:p w:rsidR="00B215D9" w:rsidRDefault="001856D0" w14:paraId="059D7CD9" w14:textId="77777777">
            <w:r>
              <w:t>Wanneer ontvangt de Kamer de aanvullende uitvoeringstoetsen en het besluit over de definitieve inhoud van het wetsvoorstel?</w:t>
            </w:r>
          </w:p>
        </w:tc>
        <w:tc>
          <w:tcPr>
            <w:tcW w:w="850" w:type="dxa"/>
          </w:tcPr>
          <w:p w:rsidR="00B215D9" w:rsidRDefault="00B215D9" w14:paraId="059D7CDA" w14:textId="77777777">
            <w:pPr>
              <w:jc w:val="right"/>
            </w:pPr>
          </w:p>
        </w:tc>
        <w:tc>
          <w:tcPr>
            <w:tcW w:w="992" w:type="dxa"/>
          </w:tcPr>
          <w:p w:rsidR="00B215D9" w:rsidRDefault="00B215D9" w14:paraId="059D7CDB" w14:textId="77777777">
            <w:pPr>
              <w:jc w:val="right"/>
            </w:pPr>
          </w:p>
        </w:tc>
        <w:tc>
          <w:tcPr>
            <w:tcW w:w="567" w:type="dxa"/>
            <w:tcBorders>
              <w:left w:val="nil"/>
            </w:tcBorders>
          </w:tcPr>
          <w:p w:rsidR="00B215D9" w:rsidRDefault="001856D0" w14:paraId="059D7CDC" w14:textId="77777777">
            <w:pPr>
              <w:jc w:val="right"/>
            </w:pPr>
            <w:r>
              <w:t xml:space="preserve"> </w:t>
            </w:r>
          </w:p>
        </w:tc>
      </w:tr>
      <w:tr w:rsidR="00B215D9" w:rsidTr="00E7153D" w14:paraId="059D7CE3" w14:textId="77777777">
        <w:tc>
          <w:tcPr>
            <w:tcW w:w="567" w:type="dxa"/>
          </w:tcPr>
          <w:p w:rsidR="00B215D9" w:rsidRDefault="001856D0" w14:paraId="059D7CDE" w14:textId="77777777">
            <w:r>
              <w:t>2</w:t>
            </w:r>
          </w:p>
        </w:tc>
        <w:tc>
          <w:tcPr>
            <w:tcW w:w="6521" w:type="dxa"/>
          </w:tcPr>
          <w:p w:rsidR="00B215D9" w:rsidRDefault="001856D0" w14:paraId="059D7CDF" w14:textId="6394B91A">
            <w:r>
              <w:t>Hoe is de afweging gemaakt tussen het versterken van burgerperspectief en het herstel van het vertrouwen enerzijds</w:t>
            </w:r>
            <w:r w:rsidR="0035633A">
              <w:t>,</w:t>
            </w:r>
            <w:r>
              <w:t xml:space="preserve"> en de beschikbare financiële middelen anderzijds?</w:t>
            </w:r>
          </w:p>
        </w:tc>
        <w:tc>
          <w:tcPr>
            <w:tcW w:w="850" w:type="dxa"/>
          </w:tcPr>
          <w:p w:rsidR="00B215D9" w:rsidRDefault="00B215D9" w14:paraId="059D7CE0" w14:textId="77777777">
            <w:pPr>
              <w:jc w:val="right"/>
            </w:pPr>
          </w:p>
        </w:tc>
        <w:tc>
          <w:tcPr>
            <w:tcW w:w="992" w:type="dxa"/>
          </w:tcPr>
          <w:p w:rsidR="00B215D9" w:rsidRDefault="00B215D9" w14:paraId="059D7CE1" w14:textId="77777777">
            <w:pPr>
              <w:jc w:val="right"/>
            </w:pPr>
          </w:p>
        </w:tc>
        <w:tc>
          <w:tcPr>
            <w:tcW w:w="567" w:type="dxa"/>
            <w:tcBorders>
              <w:left w:val="nil"/>
            </w:tcBorders>
          </w:tcPr>
          <w:p w:rsidR="00B215D9" w:rsidRDefault="001856D0" w14:paraId="059D7CE2" w14:textId="77777777">
            <w:pPr>
              <w:jc w:val="right"/>
            </w:pPr>
            <w:r>
              <w:t xml:space="preserve"> </w:t>
            </w:r>
          </w:p>
        </w:tc>
      </w:tr>
      <w:tr w:rsidR="00B215D9" w:rsidTr="00E7153D" w14:paraId="059D7CE9" w14:textId="77777777">
        <w:tc>
          <w:tcPr>
            <w:tcW w:w="567" w:type="dxa"/>
          </w:tcPr>
          <w:p w:rsidR="00B215D9" w:rsidRDefault="001856D0" w14:paraId="059D7CE4" w14:textId="77777777">
            <w:r>
              <w:t>3</w:t>
            </w:r>
          </w:p>
        </w:tc>
        <w:tc>
          <w:tcPr>
            <w:tcW w:w="6521" w:type="dxa"/>
          </w:tcPr>
          <w:p w:rsidR="00B215D9" w:rsidRDefault="001856D0" w14:paraId="059D7CE5" w14:textId="77777777">
            <w:r>
              <w:t>Op basis van welke gegevens is er 10 miljoen euro beschikbaar gesteld voor dit wetsvoorstel? Welke onderliggende adviezen en overwegingen liggen aan dit bedrag ten grondslag?</w:t>
            </w:r>
          </w:p>
        </w:tc>
        <w:tc>
          <w:tcPr>
            <w:tcW w:w="850" w:type="dxa"/>
          </w:tcPr>
          <w:p w:rsidR="00B215D9" w:rsidRDefault="00B215D9" w14:paraId="059D7CE6" w14:textId="77777777">
            <w:pPr>
              <w:jc w:val="right"/>
            </w:pPr>
          </w:p>
        </w:tc>
        <w:tc>
          <w:tcPr>
            <w:tcW w:w="992" w:type="dxa"/>
          </w:tcPr>
          <w:p w:rsidR="00B215D9" w:rsidRDefault="00B215D9" w14:paraId="059D7CE7" w14:textId="77777777">
            <w:pPr>
              <w:jc w:val="right"/>
            </w:pPr>
          </w:p>
        </w:tc>
        <w:tc>
          <w:tcPr>
            <w:tcW w:w="567" w:type="dxa"/>
            <w:tcBorders>
              <w:left w:val="nil"/>
            </w:tcBorders>
          </w:tcPr>
          <w:p w:rsidR="00B215D9" w:rsidRDefault="001856D0" w14:paraId="059D7CE8" w14:textId="77777777">
            <w:pPr>
              <w:jc w:val="right"/>
            </w:pPr>
            <w:r>
              <w:t xml:space="preserve"> </w:t>
            </w:r>
          </w:p>
        </w:tc>
      </w:tr>
      <w:tr w:rsidR="00B215D9" w:rsidTr="00E7153D" w14:paraId="059D7CEF" w14:textId="77777777">
        <w:tc>
          <w:tcPr>
            <w:tcW w:w="567" w:type="dxa"/>
          </w:tcPr>
          <w:p w:rsidR="00B215D9" w:rsidRDefault="001856D0" w14:paraId="059D7CEA" w14:textId="77777777">
            <w:r>
              <w:t>4</w:t>
            </w:r>
          </w:p>
        </w:tc>
        <w:tc>
          <w:tcPr>
            <w:tcW w:w="6521" w:type="dxa"/>
          </w:tcPr>
          <w:p w:rsidR="00B215D9" w:rsidRDefault="001856D0" w14:paraId="059D7CEB" w14:textId="77777777">
            <w:r>
              <w:t>Welke doelen van het wetsvoorstel kunnen door de beperkte financiële middelen nu mogelijk niet worden bereikt?</w:t>
            </w:r>
          </w:p>
        </w:tc>
        <w:tc>
          <w:tcPr>
            <w:tcW w:w="850" w:type="dxa"/>
          </w:tcPr>
          <w:p w:rsidR="00B215D9" w:rsidRDefault="00B215D9" w14:paraId="059D7CEC" w14:textId="77777777">
            <w:pPr>
              <w:jc w:val="right"/>
            </w:pPr>
          </w:p>
        </w:tc>
        <w:tc>
          <w:tcPr>
            <w:tcW w:w="992" w:type="dxa"/>
          </w:tcPr>
          <w:p w:rsidR="00B215D9" w:rsidRDefault="00B215D9" w14:paraId="059D7CED" w14:textId="77777777">
            <w:pPr>
              <w:jc w:val="right"/>
            </w:pPr>
          </w:p>
        </w:tc>
        <w:tc>
          <w:tcPr>
            <w:tcW w:w="567" w:type="dxa"/>
            <w:tcBorders>
              <w:left w:val="nil"/>
            </w:tcBorders>
          </w:tcPr>
          <w:p w:rsidR="00B215D9" w:rsidRDefault="001856D0" w14:paraId="059D7CEE" w14:textId="77777777">
            <w:pPr>
              <w:jc w:val="right"/>
            </w:pPr>
            <w:r>
              <w:t xml:space="preserve"> </w:t>
            </w:r>
          </w:p>
        </w:tc>
      </w:tr>
      <w:tr w:rsidR="00B215D9" w:rsidTr="00E7153D" w14:paraId="059D7CF5" w14:textId="77777777">
        <w:tc>
          <w:tcPr>
            <w:tcW w:w="567" w:type="dxa"/>
          </w:tcPr>
          <w:p w:rsidR="00B215D9" w:rsidRDefault="001856D0" w14:paraId="059D7CF0" w14:textId="77777777">
            <w:r>
              <w:t>5</w:t>
            </w:r>
          </w:p>
        </w:tc>
        <w:tc>
          <w:tcPr>
            <w:tcW w:w="6521" w:type="dxa"/>
          </w:tcPr>
          <w:p w:rsidR="00B215D9" w:rsidRDefault="001856D0" w14:paraId="059D7CF1" w14:textId="440C790B">
            <w:r>
              <w:t xml:space="preserve">Hoe zijn de eerder door de Kamer aangenomen moties die vragen om aanpassing van de </w:t>
            </w:r>
            <w:r w:rsidR="00D25D6F">
              <w:t>Algemene wet bestuursrecht</w:t>
            </w:r>
            <w:r w:rsidR="00D25D6F">
              <w:t xml:space="preserve"> (</w:t>
            </w:r>
            <w:proofErr w:type="spellStart"/>
            <w:r>
              <w:t>Awb</w:t>
            </w:r>
            <w:proofErr w:type="spellEnd"/>
            <w:r w:rsidR="00D25D6F">
              <w:t>)</w:t>
            </w:r>
            <w:r>
              <w:t xml:space="preserve"> meegenomen in de vaststelling van de beschikbare middelen?</w:t>
            </w:r>
          </w:p>
        </w:tc>
        <w:tc>
          <w:tcPr>
            <w:tcW w:w="850" w:type="dxa"/>
          </w:tcPr>
          <w:p w:rsidR="00B215D9" w:rsidRDefault="00B215D9" w14:paraId="059D7CF2" w14:textId="77777777">
            <w:pPr>
              <w:jc w:val="right"/>
            </w:pPr>
          </w:p>
        </w:tc>
        <w:tc>
          <w:tcPr>
            <w:tcW w:w="992" w:type="dxa"/>
          </w:tcPr>
          <w:p w:rsidR="00B215D9" w:rsidRDefault="00B215D9" w14:paraId="059D7CF3" w14:textId="77777777">
            <w:pPr>
              <w:jc w:val="right"/>
            </w:pPr>
          </w:p>
        </w:tc>
        <w:tc>
          <w:tcPr>
            <w:tcW w:w="567" w:type="dxa"/>
            <w:tcBorders>
              <w:left w:val="nil"/>
            </w:tcBorders>
          </w:tcPr>
          <w:p w:rsidR="00B215D9" w:rsidRDefault="001856D0" w14:paraId="059D7CF4" w14:textId="77777777">
            <w:pPr>
              <w:jc w:val="right"/>
            </w:pPr>
            <w:r>
              <w:t xml:space="preserve"> </w:t>
            </w:r>
          </w:p>
        </w:tc>
      </w:tr>
      <w:tr w:rsidR="00B215D9" w:rsidTr="00E7153D" w14:paraId="059D7CFB" w14:textId="77777777">
        <w:tc>
          <w:tcPr>
            <w:tcW w:w="567" w:type="dxa"/>
          </w:tcPr>
          <w:p w:rsidR="00B215D9" w:rsidRDefault="001856D0" w14:paraId="059D7CF6" w14:textId="77777777">
            <w:r>
              <w:t>6</w:t>
            </w:r>
          </w:p>
        </w:tc>
        <w:tc>
          <w:tcPr>
            <w:tcW w:w="6521" w:type="dxa"/>
          </w:tcPr>
          <w:p w:rsidR="00B215D9" w:rsidRDefault="001856D0" w14:paraId="059D7CF7" w14:textId="77777777">
            <w:r>
              <w:t>Hoe wordt bij de investeringen die noodzakelijk zijn voor dit wetsvoorstel meegewogen dat het ontbreken van goede rechtsbescherming de samenleving op termijn juist meer geld kost? Kan inzichtelijk worden gemaakt hoe deze afweging precies wordt gemaakt?</w:t>
            </w:r>
          </w:p>
        </w:tc>
        <w:tc>
          <w:tcPr>
            <w:tcW w:w="850" w:type="dxa"/>
          </w:tcPr>
          <w:p w:rsidR="00B215D9" w:rsidRDefault="00B215D9" w14:paraId="059D7CF8" w14:textId="77777777">
            <w:pPr>
              <w:jc w:val="right"/>
            </w:pPr>
          </w:p>
        </w:tc>
        <w:tc>
          <w:tcPr>
            <w:tcW w:w="992" w:type="dxa"/>
          </w:tcPr>
          <w:p w:rsidR="00B215D9" w:rsidRDefault="00B215D9" w14:paraId="059D7CF9" w14:textId="77777777">
            <w:pPr>
              <w:jc w:val="right"/>
            </w:pPr>
          </w:p>
        </w:tc>
        <w:tc>
          <w:tcPr>
            <w:tcW w:w="567" w:type="dxa"/>
            <w:tcBorders>
              <w:left w:val="nil"/>
            </w:tcBorders>
          </w:tcPr>
          <w:p w:rsidR="00B215D9" w:rsidRDefault="001856D0" w14:paraId="059D7CFA" w14:textId="77777777">
            <w:pPr>
              <w:jc w:val="right"/>
            </w:pPr>
            <w:r>
              <w:t xml:space="preserve"> </w:t>
            </w:r>
          </w:p>
        </w:tc>
      </w:tr>
      <w:tr w:rsidR="00B215D9" w:rsidTr="00E7153D" w14:paraId="059D7D01" w14:textId="77777777">
        <w:tc>
          <w:tcPr>
            <w:tcW w:w="567" w:type="dxa"/>
          </w:tcPr>
          <w:p w:rsidR="00B215D9" w:rsidRDefault="001856D0" w14:paraId="059D7CFC" w14:textId="77777777">
            <w:r>
              <w:t>7</w:t>
            </w:r>
          </w:p>
        </w:tc>
        <w:tc>
          <w:tcPr>
            <w:tcW w:w="6521" w:type="dxa"/>
          </w:tcPr>
          <w:p w:rsidR="00B215D9" w:rsidRDefault="001856D0" w14:paraId="059D7CFD" w14:textId="001C29C8">
            <w:r>
              <w:t>Kan per aangenomen motie, per aanbeveling vanuit de parlementaire enquête en per aanbeveling uit het rapport van de Staatscommissie rechtsstaat die zien op de</w:t>
            </w:r>
            <w:r w:rsidR="00D25D6F">
              <w:t xml:space="preserve">  </w:t>
            </w:r>
            <w:proofErr w:type="spellStart"/>
            <w:r>
              <w:t>Awb</w:t>
            </w:r>
            <w:proofErr w:type="spellEnd"/>
            <w:r>
              <w:t xml:space="preserve"> worden aangegeven hoe deze aanbeveling casu quo Kameruitspraak nu concreet kan worden opgevolgd en welke aanbeveling casu quo Kameruitspraak niet worden opgevolgd? Kan dit in een helder overzichtelijk schema worden weergegeven?</w:t>
            </w:r>
          </w:p>
        </w:tc>
        <w:tc>
          <w:tcPr>
            <w:tcW w:w="850" w:type="dxa"/>
          </w:tcPr>
          <w:p w:rsidR="00B215D9" w:rsidRDefault="00B215D9" w14:paraId="059D7CFE" w14:textId="77777777">
            <w:pPr>
              <w:jc w:val="right"/>
            </w:pPr>
          </w:p>
        </w:tc>
        <w:tc>
          <w:tcPr>
            <w:tcW w:w="992" w:type="dxa"/>
          </w:tcPr>
          <w:p w:rsidR="00B215D9" w:rsidRDefault="00B215D9" w14:paraId="059D7CFF" w14:textId="77777777">
            <w:pPr>
              <w:jc w:val="right"/>
            </w:pPr>
          </w:p>
        </w:tc>
        <w:tc>
          <w:tcPr>
            <w:tcW w:w="567" w:type="dxa"/>
            <w:tcBorders>
              <w:left w:val="nil"/>
            </w:tcBorders>
          </w:tcPr>
          <w:p w:rsidR="00B215D9" w:rsidRDefault="001856D0" w14:paraId="059D7D00" w14:textId="77777777">
            <w:pPr>
              <w:jc w:val="right"/>
            </w:pPr>
            <w:r>
              <w:t xml:space="preserve"> </w:t>
            </w:r>
          </w:p>
        </w:tc>
      </w:tr>
      <w:tr w:rsidR="00B215D9" w:rsidTr="00E7153D" w14:paraId="059D7D07" w14:textId="77777777">
        <w:tc>
          <w:tcPr>
            <w:tcW w:w="567" w:type="dxa"/>
          </w:tcPr>
          <w:p w:rsidR="00B215D9" w:rsidRDefault="001856D0" w14:paraId="059D7D02" w14:textId="77777777">
            <w:r>
              <w:t>8</w:t>
            </w:r>
          </w:p>
        </w:tc>
        <w:tc>
          <w:tcPr>
            <w:tcW w:w="6521" w:type="dxa"/>
          </w:tcPr>
          <w:p w:rsidR="00B215D9" w:rsidRDefault="001856D0" w14:paraId="059D7D03" w14:textId="77777777">
            <w:r>
              <w:t>Is naast alle gesprekken met publieke dienstverleners, medeoverheden en andere betrokken professionals ook de inbreng van burgers zelf goed meegenomen in de voorbereiding van het wetsvoorstel? Zo ja, op welke wijze?</w:t>
            </w:r>
          </w:p>
        </w:tc>
        <w:tc>
          <w:tcPr>
            <w:tcW w:w="850" w:type="dxa"/>
          </w:tcPr>
          <w:p w:rsidR="00B215D9" w:rsidRDefault="00B215D9" w14:paraId="059D7D04" w14:textId="77777777">
            <w:pPr>
              <w:jc w:val="right"/>
            </w:pPr>
          </w:p>
        </w:tc>
        <w:tc>
          <w:tcPr>
            <w:tcW w:w="992" w:type="dxa"/>
          </w:tcPr>
          <w:p w:rsidR="00B215D9" w:rsidRDefault="00B215D9" w14:paraId="059D7D05" w14:textId="77777777">
            <w:pPr>
              <w:jc w:val="right"/>
            </w:pPr>
          </w:p>
        </w:tc>
        <w:tc>
          <w:tcPr>
            <w:tcW w:w="567" w:type="dxa"/>
            <w:tcBorders>
              <w:left w:val="nil"/>
            </w:tcBorders>
          </w:tcPr>
          <w:p w:rsidR="00B215D9" w:rsidRDefault="001856D0" w14:paraId="059D7D06" w14:textId="77777777">
            <w:pPr>
              <w:jc w:val="right"/>
            </w:pPr>
            <w:r>
              <w:t xml:space="preserve"> </w:t>
            </w:r>
          </w:p>
        </w:tc>
      </w:tr>
      <w:tr w:rsidR="00B215D9" w:rsidTr="00E7153D" w14:paraId="059D7D0D" w14:textId="77777777">
        <w:tc>
          <w:tcPr>
            <w:tcW w:w="567" w:type="dxa"/>
          </w:tcPr>
          <w:p w:rsidR="00B215D9" w:rsidRDefault="001856D0" w14:paraId="059D7D08" w14:textId="77777777">
            <w:r>
              <w:t>9</w:t>
            </w:r>
          </w:p>
        </w:tc>
        <w:tc>
          <w:tcPr>
            <w:tcW w:w="6521" w:type="dxa"/>
          </w:tcPr>
          <w:p w:rsidR="00B215D9" w:rsidRDefault="001856D0" w14:paraId="059D7D09" w14:textId="77777777">
            <w:r>
              <w:t>Kan in een helder schematisch overzicht worden weergegeven welke kosten volgens de uitvoering(stoetsen) zeker aan deze wet kunnen worden toegeschreven en over welke kosten hier onduidelijkheid over is?</w:t>
            </w:r>
          </w:p>
        </w:tc>
        <w:tc>
          <w:tcPr>
            <w:tcW w:w="850" w:type="dxa"/>
          </w:tcPr>
          <w:p w:rsidR="00B215D9" w:rsidRDefault="00B215D9" w14:paraId="059D7D0A" w14:textId="77777777">
            <w:pPr>
              <w:jc w:val="right"/>
            </w:pPr>
          </w:p>
        </w:tc>
        <w:tc>
          <w:tcPr>
            <w:tcW w:w="992" w:type="dxa"/>
          </w:tcPr>
          <w:p w:rsidR="00B215D9" w:rsidRDefault="00B215D9" w14:paraId="059D7D0B" w14:textId="77777777">
            <w:pPr>
              <w:jc w:val="right"/>
            </w:pPr>
          </w:p>
        </w:tc>
        <w:tc>
          <w:tcPr>
            <w:tcW w:w="567" w:type="dxa"/>
            <w:tcBorders>
              <w:left w:val="nil"/>
            </w:tcBorders>
          </w:tcPr>
          <w:p w:rsidR="00B215D9" w:rsidRDefault="001856D0" w14:paraId="059D7D0C" w14:textId="77777777">
            <w:pPr>
              <w:jc w:val="right"/>
            </w:pPr>
            <w:r>
              <w:t xml:space="preserve"> </w:t>
            </w:r>
          </w:p>
        </w:tc>
      </w:tr>
      <w:tr w:rsidR="00B215D9" w:rsidTr="00E7153D" w14:paraId="059D7D13" w14:textId="77777777">
        <w:tc>
          <w:tcPr>
            <w:tcW w:w="567" w:type="dxa"/>
          </w:tcPr>
          <w:p w:rsidR="00B215D9" w:rsidRDefault="001856D0" w14:paraId="059D7D0E" w14:textId="77777777">
            <w:r>
              <w:t>10</w:t>
            </w:r>
          </w:p>
        </w:tc>
        <w:tc>
          <w:tcPr>
            <w:tcW w:w="6521" w:type="dxa"/>
          </w:tcPr>
          <w:p w:rsidR="00B215D9" w:rsidRDefault="001856D0" w14:paraId="059D7D0F" w14:textId="77777777">
            <w:r>
              <w:t>Is de aanpassing van wetsvoorstel primair gestoeld op de financiële kaders?</w:t>
            </w:r>
          </w:p>
        </w:tc>
        <w:tc>
          <w:tcPr>
            <w:tcW w:w="850" w:type="dxa"/>
          </w:tcPr>
          <w:p w:rsidR="00B215D9" w:rsidRDefault="00B215D9" w14:paraId="059D7D10" w14:textId="77777777">
            <w:pPr>
              <w:jc w:val="right"/>
            </w:pPr>
          </w:p>
        </w:tc>
        <w:tc>
          <w:tcPr>
            <w:tcW w:w="992" w:type="dxa"/>
          </w:tcPr>
          <w:p w:rsidR="00B215D9" w:rsidRDefault="00B215D9" w14:paraId="059D7D11" w14:textId="77777777">
            <w:pPr>
              <w:jc w:val="right"/>
            </w:pPr>
          </w:p>
        </w:tc>
        <w:tc>
          <w:tcPr>
            <w:tcW w:w="567" w:type="dxa"/>
            <w:tcBorders>
              <w:left w:val="nil"/>
            </w:tcBorders>
          </w:tcPr>
          <w:p w:rsidR="00B215D9" w:rsidRDefault="001856D0" w14:paraId="059D7D12" w14:textId="77777777">
            <w:pPr>
              <w:jc w:val="right"/>
            </w:pPr>
            <w:r>
              <w:t xml:space="preserve"> </w:t>
            </w:r>
          </w:p>
        </w:tc>
      </w:tr>
      <w:tr w:rsidR="00B215D9" w:rsidTr="00E7153D" w14:paraId="059D7D19" w14:textId="77777777">
        <w:tc>
          <w:tcPr>
            <w:tcW w:w="567" w:type="dxa"/>
          </w:tcPr>
          <w:p w:rsidR="00B215D9" w:rsidRDefault="001856D0" w14:paraId="059D7D14" w14:textId="77777777">
            <w:r>
              <w:t>11</w:t>
            </w:r>
          </w:p>
        </w:tc>
        <w:tc>
          <w:tcPr>
            <w:tcW w:w="6521" w:type="dxa"/>
          </w:tcPr>
          <w:p w:rsidR="00B215D9" w:rsidRDefault="001856D0" w14:paraId="059D7D15" w14:textId="77777777">
            <w:r>
              <w:t>Hoe wordt precies afgewogen wat een ‘uitvoerbaar’ wetsvoorstel is? Welke toetsingscriteria worden hierbij gebruikt?</w:t>
            </w:r>
          </w:p>
        </w:tc>
        <w:tc>
          <w:tcPr>
            <w:tcW w:w="850" w:type="dxa"/>
          </w:tcPr>
          <w:p w:rsidR="00B215D9" w:rsidRDefault="00B215D9" w14:paraId="059D7D16" w14:textId="77777777">
            <w:pPr>
              <w:jc w:val="right"/>
            </w:pPr>
          </w:p>
        </w:tc>
        <w:tc>
          <w:tcPr>
            <w:tcW w:w="992" w:type="dxa"/>
          </w:tcPr>
          <w:p w:rsidR="00B215D9" w:rsidRDefault="00B215D9" w14:paraId="059D7D17" w14:textId="77777777">
            <w:pPr>
              <w:jc w:val="right"/>
            </w:pPr>
          </w:p>
        </w:tc>
        <w:tc>
          <w:tcPr>
            <w:tcW w:w="567" w:type="dxa"/>
            <w:tcBorders>
              <w:left w:val="nil"/>
            </w:tcBorders>
          </w:tcPr>
          <w:p w:rsidR="00B215D9" w:rsidRDefault="001856D0" w14:paraId="059D7D18" w14:textId="77777777">
            <w:pPr>
              <w:jc w:val="right"/>
            </w:pPr>
            <w:r>
              <w:t xml:space="preserve"> </w:t>
            </w:r>
          </w:p>
        </w:tc>
      </w:tr>
      <w:tr w:rsidR="00B215D9" w:rsidTr="00E7153D" w14:paraId="059D7D1F" w14:textId="77777777">
        <w:tc>
          <w:tcPr>
            <w:tcW w:w="567" w:type="dxa"/>
          </w:tcPr>
          <w:p w:rsidR="00B215D9" w:rsidRDefault="001856D0" w14:paraId="059D7D1A" w14:textId="77777777">
            <w:r>
              <w:t>12</w:t>
            </w:r>
          </w:p>
        </w:tc>
        <w:tc>
          <w:tcPr>
            <w:tcW w:w="6521" w:type="dxa"/>
          </w:tcPr>
          <w:p w:rsidR="00B215D9" w:rsidRDefault="001856D0" w14:paraId="059D7D1B" w14:textId="77777777">
            <w:r>
              <w:t xml:space="preserve">Kan het aangepaste wetsvoorstel met de Kamer worden gedeeld? Zo nee, </w:t>
            </w:r>
            <w:r>
              <w:lastRenderedPageBreak/>
              <w:t>waarom niet?</w:t>
            </w:r>
          </w:p>
        </w:tc>
        <w:tc>
          <w:tcPr>
            <w:tcW w:w="850" w:type="dxa"/>
          </w:tcPr>
          <w:p w:rsidR="00B215D9" w:rsidRDefault="00B215D9" w14:paraId="059D7D1C" w14:textId="77777777">
            <w:pPr>
              <w:jc w:val="right"/>
            </w:pPr>
          </w:p>
        </w:tc>
        <w:tc>
          <w:tcPr>
            <w:tcW w:w="992" w:type="dxa"/>
          </w:tcPr>
          <w:p w:rsidR="00B215D9" w:rsidRDefault="00B215D9" w14:paraId="059D7D1D" w14:textId="77777777">
            <w:pPr>
              <w:jc w:val="right"/>
            </w:pPr>
          </w:p>
        </w:tc>
        <w:tc>
          <w:tcPr>
            <w:tcW w:w="567" w:type="dxa"/>
            <w:tcBorders>
              <w:left w:val="nil"/>
            </w:tcBorders>
          </w:tcPr>
          <w:p w:rsidR="00B215D9" w:rsidRDefault="001856D0" w14:paraId="059D7D1E" w14:textId="77777777">
            <w:pPr>
              <w:jc w:val="right"/>
            </w:pPr>
            <w:r>
              <w:t xml:space="preserve"> </w:t>
            </w:r>
          </w:p>
        </w:tc>
      </w:tr>
      <w:tr w:rsidR="00B215D9" w:rsidTr="00E7153D" w14:paraId="059D7D25" w14:textId="77777777">
        <w:tc>
          <w:tcPr>
            <w:tcW w:w="567" w:type="dxa"/>
          </w:tcPr>
          <w:p w:rsidR="00B215D9" w:rsidRDefault="001856D0" w14:paraId="059D7D20" w14:textId="77777777">
            <w:r>
              <w:t>13</w:t>
            </w:r>
          </w:p>
        </w:tc>
        <w:tc>
          <w:tcPr>
            <w:tcW w:w="6521" w:type="dxa"/>
          </w:tcPr>
          <w:p w:rsidR="00B215D9" w:rsidRDefault="001856D0" w14:paraId="059D7D21" w14:textId="77777777">
            <w:r>
              <w:t>Kunnen de onderliggende beslisnota’s om te komen tot een aanpassing van het wetsvoorstel met de Kamer worden gedeeld? Zo nee, waarom niet?</w:t>
            </w:r>
          </w:p>
        </w:tc>
        <w:tc>
          <w:tcPr>
            <w:tcW w:w="850" w:type="dxa"/>
          </w:tcPr>
          <w:p w:rsidR="00B215D9" w:rsidRDefault="00B215D9" w14:paraId="059D7D22" w14:textId="77777777">
            <w:pPr>
              <w:jc w:val="right"/>
            </w:pPr>
          </w:p>
        </w:tc>
        <w:tc>
          <w:tcPr>
            <w:tcW w:w="992" w:type="dxa"/>
          </w:tcPr>
          <w:p w:rsidR="00B215D9" w:rsidRDefault="00B215D9" w14:paraId="059D7D23" w14:textId="77777777">
            <w:pPr>
              <w:jc w:val="right"/>
            </w:pPr>
          </w:p>
        </w:tc>
        <w:tc>
          <w:tcPr>
            <w:tcW w:w="567" w:type="dxa"/>
            <w:tcBorders>
              <w:left w:val="nil"/>
            </w:tcBorders>
          </w:tcPr>
          <w:p w:rsidR="00B215D9" w:rsidRDefault="001856D0" w14:paraId="059D7D24" w14:textId="77777777">
            <w:pPr>
              <w:jc w:val="right"/>
            </w:pPr>
            <w:r>
              <w:t xml:space="preserve"> </w:t>
            </w:r>
          </w:p>
        </w:tc>
      </w:tr>
      <w:tr w:rsidR="00B215D9" w:rsidTr="00E7153D" w14:paraId="059D7D2B" w14:textId="77777777">
        <w:tc>
          <w:tcPr>
            <w:tcW w:w="567" w:type="dxa"/>
          </w:tcPr>
          <w:p w:rsidR="00B215D9" w:rsidRDefault="001856D0" w14:paraId="059D7D26" w14:textId="77777777">
            <w:r>
              <w:t>14</w:t>
            </w:r>
          </w:p>
        </w:tc>
        <w:tc>
          <w:tcPr>
            <w:tcW w:w="6521" w:type="dxa"/>
          </w:tcPr>
          <w:p w:rsidR="00B215D9" w:rsidRDefault="001856D0" w14:paraId="059D7D27" w14:textId="77777777">
            <w:r>
              <w:t>Wat betekent het aanpassen van het wetsvoorstel voor het evenredigheidsbeginsel?</w:t>
            </w:r>
          </w:p>
        </w:tc>
        <w:tc>
          <w:tcPr>
            <w:tcW w:w="850" w:type="dxa"/>
          </w:tcPr>
          <w:p w:rsidR="00B215D9" w:rsidRDefault="00B215D9" w14:paraId="059D7D28" w14:textId="77777777">
            <w:pPr>
              <w:jc w:val="right"/>
            </w:pPr>
          </w:p>
        </w:tc>
        <w:tc>
          <w:tcPr>
            <w:tcW w:w="992" w:type="dxa"/>
          </w:tcPr>
          <w:p w:rsidR="00B215D9" w:rsidRDefault="00B215D9" w14:paraId="059D7D29" w14:textId="77777777">
            <w:pPr>
              <w:jc w:val="right"/>
            </w:pPr>
          </w:p>
        </w:tc>
        <w:tc>
          <w:tcPr>
            <w:tcW w:w="567" w:type="dxa"/>
            <w:tcBorders>
              <w:left w:val="nil"/>
            </w:tcBorders>
          </w:tcPr>
          <w:p w:rsidR="00B215D9" w:rsidRDefault="001856D0" w14:paraId="059D7D2A" w14:textId="77777777">
            <w:pPr>
              <w:jc w:val="right"/>
            </w:pPr>
            <w:r>
              <w:t xml:space="preserve"> </w:t>
            </w:r>
          </w:p>
        </w:tc>
      </w:tr>
      <w:tr w:rsidR="00B215D9" w:rsidTr="00E7153D" w14:paraId="059D7D31" w14:textId="77777777">
        <w:tc>
          <w:tcPr>
            <w:tcW w:w="567" w:type="dxa"/>
          </w:tcPr>
          <w:p w:rsidR="00B215D9" w:rsidRDefault="001856D0" w14:paraId="059D7D2C" w14:textId="77777777">
            <w:r>
              <w:t>15</w:t>
            </w:r>
          </w:p>
        </w:tc>
        <w:tc>
          <w:tcPr>
            <w:tcW w:w="6521" w:type="dxa"/>
          </w:tcPr>
          <w:p w:rsidR="00B215D9" w:rsidRDefault="001856D0" w14:paraId="059D7D2D" w14:textId="77777777">
            <w:r>
              <w:t>Klopt het dat het aanpassen van het evenredigheidsbeginsel van groot belang is om in de toekomst situaties als die van de kinderopvangtoeslagenaffaire te voorkomen?</w:t>
            </w:r>
          </w:p>
        </w:tc>
        <w:tc>
          <w:tcPr>
            <w:tcW w:w="850" w:type="dxa"/>
          </w:tcPr>
          <w:p w:rsidR="00B215D9" w:rsidRDefault="00B215D9" w14:paraId="059D7D2E" w14:textId="77777777">
            <w:pPr>
              <w:jc w:val="right"/>
            </w:pPr>
          </w:p>
        </w:tc>
        <w:tc>
          <w:tcPr>
            <w:tcW w:w="992" w:type="dxa"/>
          </w:tcPr>
          <w:p w:rsidR="00B215D9" w:rsidRDefault="00B215D9" w14:paraId="059D7D2F" w14:textId="77777777">
            <w:pPr>
              <w:jc w:val="right"/>
            </w:pPr>
          </w:p>
        </w:tc>
        <w:tc>
          <w:tcPr>
            <w:tcW w:w="567" w:type="dxa"/>
            <w:tcBorders>
              <w:left w:val="nil"/>
            </w:tcBorders>
          </w:tcPr>
          <w:p w:rsidR="00B215D9" w:rsidRDefault="001856D0" w14:paraId="059D7D30" w14:textId="77777777">
            <w:pPr>
              <w:jc w:val="right"/>
            </w:pPr>
            <w:r>
              <w:t xml:space="preserve"> </w:t>
            </w:r>
          </w:p>
        </w:tc>
      </w:tr>
      <w:tr w:rsidR="00B215D9" w:rsidTr="00E7153D" w14:paraId="059D7D37" w14:textId="77777777">
        <w:tc>
          <w:tcPr>
            <w:tcW w:w="567" w:type="dxa"/>
          </w:tcPr>
          <w:p w:rsidR="00B215D9" w:rsidRDefault="001856D0" w14:paraId="059D7D32" w14:textId="77777777">
            <w:r>
              <w:t>16</w:t>
            </w:r>
          </w:p>
        </w:tc>
        <w:tc>
          <w:tcPr>
            <w:tcW w:w="6521" w:type="dxa"/>
          </w:tcPr>
          <w:p w:rsidR="00B215D9" w:rsidRDefault="001856D0" w14:paraId="059D7D33" w14:textId="77777777">
            <w:r>
              <w:t>Klopt het dat het ontbreken van goede rechtsbescherming, zoals het goed verankeren van het evenredigheidsbeginsel, de staat nu veel geld kost aan herstel van de kinderopvangtoeslagenaffaire? Had dit voorkomen kunnen worden als het evenredigheidsbeginsel destijds beter had kunnen worden toegepast?</w:t>
            </w:r>
          </w:p>
        </w:tc>
        <w:tc>
          <w:tcPr>
            <w:tcW w:w="850" w:type="dxa"/>
          </w:tcPr>
          <w:p w:rsidR="00B215D9" w:rsidRDefault="00B215D9" w14:paraId="059D7D34" w14:textId="77777777">
            <w:pPr>
              <w:jc w:val="right"/>
            </w:pPr>
          </w:p>
        </w:tc>
        <w:tc>
          <w:tcPr>
            <w:tcW w:w="992" w:type="dxa"/>
          </w:tcPr>
          <w:p w:rsidR="00B215D9" w:rsidRDefault="00B215D9" w14:paraId="059D7D35" w14:textId="77777777">
            <w:pPr>
              <w:jc w:val="right"/>
            </w:pPr>
          </w:p>
        </w:tc>
        <w:tc>
          <w:tcPr>
            <w:tcW w:w="567" w:type="dxa"/>
            <w:tcBorders>
              <w:left w:val="nil"/>
            </w:tcBorders>
          </w:tcPr>
          <w:p w:rsidR="00B215D9" w:rsidRDefault="001856D0" w14:paraId="059D7D36" w14:textId="77777777">
            <w:pPr>
              <w:jc w:val="right"/>
            </w:pPr>
            <w:r>
              <w:t xml:space="preserve"> </w:t>
            </w:r>
          </w:p>
        </w:tc>
      </w:tr>
      <w:tr w:rsidR="00B215D9" w:rsidTr="00E7153D" w14:paraId="059D7D3D" w14:textId="77777777">
        <w:tc>
          <w:tcPr>
            <w:tcW w:w="567" w:type="dxa"/>
          </w:tcPr>
          <w:p w:rsidR="00B215D9" w:rsidRDefault="001856D0" w14:paraId="059D7D38" w14:textId="77777777">
            <w:r>
              <w:t>17</w:t>
            </w:r>
          </w:p>
        </w:tc>
        <w:tc>
          <w:tcPr>
            <w:tcW w:w="6521" w:type="dxa"/>
          </w:tcPr>
          <w:p w:rsidR="00B215D9" w:rsidRDefault="001856D0" w14:paraId="059D7D39" w14:textId="77777777">
            <w:r>
              <w:t>Wordt het aangepaste wetsvoorstel naast aan uitvoeringsorganisaties ook voorgelegd aan (organisaties van) burgers die in de knel zijn gekomen door falend overheidshandelen? Zo nee, waarom niet?</w:t>
            </w:r>
          </w:p>
        </w:tc>
        <w:tc>
          <w:tcPr>
            <w:tcW w:w="850" w:type="dxa"/>
          </w:tcPr>
          <w:p w:rsidR="00B215D9" w:rsidRDefault="00B215D9" w14:paraId="059D7D3A" w14:textId="77777777">
            <w:pPr>
              <w:jc w:val="right"/>
            </w:pPr>
          </w:p>
        </w:tc>
        <w:tc>
          <w:tcPr>
            <w:tcW w:w="992" w:type="dxa"/>
          </w:tcPr>
          <w:p w:rsidR="00B215D9" w:rsidRDefault="00B215D9" w14:paraId="059D7D3B" w14:textId="77777777">
            <w:pPr>
              <w:jc w:val="right"/>
            </w:pPr>
          </w:p>
        </w:tc>
        <w:tc>
          <w:tcPr>
            <w:tcW w:w="567" w:type="dxa"/>
            <w:tcBorders>
              <w:left w:val="nil"/>
            </w:tcBorders>
          </w:tcPr>
          <w:p w:rsidR="00B215D9" w:rsidRDefault="001856D0" w14:paraId="059D7D3C" w14:textId="77777777">
            <w:pPr>
              <w:jc w:val="right"/>
            </w:pPr>
            <w:r>
              <w:t xml:space="preserve"> </w:t>
            </w:r>
          </w:p>
        </w:tc>
      </w:tr>
      <w:tr w:rsidR="00B215D9" w:rsidTr="00E7153D" w14:paraId="059D7D43" w14:textId="77777777">
        <w:tc>
          <w:tcPr>
            <w:tcW w:w="567" w:type="dxa"/>
          </w:tcPr>
          <w:p w:rsidR="00B215D9" w:rsidRDefault="001856D0" w14:paraId="059D7D3E" w14:textId="77777777">
            <w:r>
              <w:t>18</w:t>
            </w:r>
          </w:p>
        </w:tc>
        <w:tc>
          <w:tcPr>
            <w:tcW w:w="6521" w:type="dxa"/>
          </w:tcPr>
          <w:p w:rsidR="00B215D9" w:rsidRDefault="001856D0" w14:paraId="059D7D3F" w14:textId="77777777">
            <w:r>
              <w:t>Hoe verhoudt het feit dat het kabinet dit wetsvoorstel van dusdanig belang vindt zich tot de financiële kaders die bij lange na niet toereikend zijn op basis van de uitvoeringstoetsen?</w:t>
            </w:r>
          </w:p>
        </w:tc>
        <w:tc>
          <w:tcPr>
            <w:tcW w:w="850" w:type="dxa"/>
          </w:tcPr>
          <w:p w:rsidR="00B215D9" w:rsidRDefault="00B215D9" w14:paraId="059D7D40" w14:textId="77777777">
            <w:pPr>
              <w:jc w:val="right"/>
            </w:pPr>
          </w:p>
        </w:tc>
        <w:tc>
          <w:tcPr>
            <w:tcW w:w="992" w:type="dxa"/>
          </w:tcPr>
          <w:p w:rsidR="00B215D9" w:rsidRDefault="00B215D9" w14:paraId="059D7D41" w14:textId="77777777">
            <w:pPr>
              <w:jc w:val="right"/>
            </w:pPr>
          </w:p>
        </w:tc>
        <w:tc>
          <w:tcPr>
            <w:tcW w:w="567" w:type="dxa"/>
            <w:tcBorders>
              <w:left w:val="nil"/>
            </w:tcBorders>
          </w:tcPr>
          <w:p w:rsidR="00B215D9" w:rsidRDefault="001856D0" w14:paraId="059D7D42" w14:textId="77777777">
            <w:pPr>
              <w:jc w:val="right"/>
            </w:pPr>
            <w:r>
              <w:t xml:space="preserve"> </w:t>
            </w:r>
          </w:p>
        </w:tc>
      </w:tr>
      <w:tr w:rsidR="00B215D9" w:rsidTr="00E7153D" w14:paraId="059D7D49" w14:textId="77777777">
        <w:tc>
          <w:tcPr>
            <w:tcW w:w="567" w:type="dxa"/>
          </w:tcPr>
          <w:p w:rsidR="00B215D9" w:rsidRDefault="001856D0" w14:paraId="059D7D44" w14:textId="77777777">
            <w:r>
              <w:t>19</w:t>
            </w:r>
          </w:p>
        </w:tc>
        <w:tc>
          <w:tcPr>
            <w:tcW w:w="6521" w:type="dxa"/>
          </w:tcPr>
          <w:p w:rsidR="00B215D9" w:rsidRDefault="001856D0" w14:paraId="059D7D45" w14:textId="6320359D">
            <w:r>
              <w:t>Wat is de beoogde datum voor het aanvragen van advies bij de Afdeling Advisering van de Raad van State voor het aangepaste wetsvoorstel?</w:t>
            </w:r>
          </w:p>
        </w:tc>
        <w:tc>
          <w:tcPr>
            <w:tcW w:w="850" w:type="dxa"/>
          </w:tcPr>
          <w:p w:rsidR="00B215D9" w:rsidRDefault="00B215D9" w14:paraId="059D7D46" w14:textId="77777777">
            <w:pPr>
              <w:jc w:val="right"/>
            </w:pPr>
          </w:p>
        </w:tc>
        <w:tc>
          <w:tcPr>
            <w:tcW w:w="992" w:type="dxa"/>
          </w:tcPr>
          <w:p w:rsidR="00B215D9" w:rsidRDefault="00B215D9" w14:paraId="059D7D47" w14:textId="77777777">
            <w:pPr>
              <w:jc w:val="right"/>
            </w:pPr>
          </w:p>
        </w:tc>
        <w:tc>
          <w:tcPr>
            <w:tcW w:w="567" w:type="dxa"/>
            <w:tcBorders>
              <w:left w:val="nil"/>
            </w:tcBorders>
          </w:tcPr>
          <w:p w:rsidR="00B215D9" w:rsidRDefault="001856D0" w14:paraId="059D7D48" w14:textId="77777777">
            <w:pPr>
              <w:jc w:val="right"/>
            </w:pPr>
            <w:r>
              <w:t xml:space="preserve"> </w:t>
            </w:r>
          </w:p>
        </w:tc>
      </w:tr>
      <w:tr w:rsidR="00B215D9" w:rsidTr="00E7153D" w14:paraId="059D7D4F" w14:textId="77777777">
        <w:tc>
          <w:tcPr>
            <w:tcW w:w="567" w:type="dxa"/>
          </w:tcPr>
          <w:p w:rsidR="00B215D9" w:rsidRDefault="001856D0" w14:paraId="059D7D4A" w14:textId="77777777">
            <w:r>
              <w:t>20</w:t>
            </w:r>
          </w:p>
        </w:tc>
        <w:tc>
          <w:tcPr>
            <w:tcW w:w="6521" w:type="dxa"/>
          </w:tcPr>
          <w:p w:rsidR="00B215D9" w:rsidRDefault="001856D0" w14:paraId="059D7D4B" w14:textId="65B5C011">
            <w:r>
              <w:t>Wat is de beoogde datum voor het aanhangig maken bij de Tweede Kamer van het aangepaste wetsvoorstel?</w:t>
            </w:r>
          </w:p>
        </w:tc>
        <w:tc>
          <w:tcPr>
            <w:tcW w:w="850" w:type="dxa"/>
          </w:tcPr>
          <w:p w:rsidR="00B215D9" w:rsidRDefault="00B215D9" w14:paraId="059D7D4C" w14:textId="77777777">
            <w:pPr>
              <w:jc w:val="right"/>
            </w:pPr>
          </w:p>
        </w:tc>
        <w:tc>
          <w:tcPr>
            <w:tcW w:w="992" w:type="dxa"/>
          </w:tcPr>
          <w:p w:rsidR="00B215D9" w:rsidRDefault="00B215D9" w14:paraId="059D7D4D" w14:textId="77777777">
            <w:pPr>
              <w:jc w:val="right"/>
            </w:pPr>
          </w:p>
        </w:tc>
        <w:tc>
          <w:tcPr>
            <w:tcW w:w="567" w:type="dxa"/>
            <w:tcBorders>
              <w:left w:val="nil"/>
            </w:tcBorders>
          </w:tcPr>
          <w:p w:rsidR="00B215D9" w:rsidRDefault="001856D0" w14:paraId="059D7D4E" w14:textId="77777777">
            <w:pPr>
              <w:jc w:val="right"/>
            </w:pPr>
            <w:r>
              <w:t xml:space="preserve"> </w:t>
            </w:r>
          </w:p>
        </w:tc>
      </w:tr>
      <w:tr w:rsidR="00B215D9" w:rsidTr="00E7153D" w14:paraId="059D7D55" w14:textId="77777777">
        <w:tc>
          <w:tcPr>
            <w:tcW w:w="567" w:type="dxa"/>
          </w:tcPr>
          <w:p w:rsidR="00B215D9" w:rsidRDefault="001856D0" w14:paraId="059D7D50" w14:textId="77777777">
            <w:r>
              <w:t>21</w:t>
            </w:r>
          </w:p>
        </w:tc>
        <w:tc>
          <w:tcPr>
            <w:tcW w:w="6521" w:type="dxa"/>
          </w:tcPr>
          <w:p w:rsidR="00B215D9" w:rsidRDefault="001856D0" w14:paraId="059D7D51" w14:textId="77777777">
            <w:r>
              <w:t>Welke onderdelen van het wetsvoorstel dat in 2024 in (internet)consultatie is geweest, zijn niet langer opgenomen in het aangepaste wetsvoorstel dat nu voor aanvullende uitvoeringstoetsen is voorgelegd aan uitvoeringsorganisaties, medeoverheden en de rechtspraak?</w:t>
            </w:r>
          </w:p>
        </w:tc>
        <w:tc>
          <w:tcPr>
            <w:tcW w:w="850" w:type="dxa"/>
          </w:tcPr>
          <w:p w:rsidR="00B215D9" w:rsidRDefault="00B215D9" w14:paraId="059D7D52" w14:textId="77777777">
            <w:pPr>
              <w:jc w:val="right"/>
            </w:pPr>
          </w:p>
        </w:tc>
        <w:tc>
          <w:tcPr>
            <w:tcW w:w="992" w:type="dxa"/>
          </w:tcPr>
          <w:p w:rsidR="00B215D9" w:rsidRDefault="00B215D9" w14:paraId="059D7D53" w14:textId="77777777">
            <w:pPr>
              <w:jc w:val="right"/>
            </w:pPr>
          </w:p>
        </w:tc>
        <w:tc>
          <w:tcPr>
            <w:tcW w:w="567" w:type="dxa"/>
            <w:tcBorders>
              <w:left w:val="nil"/>
            </w:tcBorders>
          </w:tcPr>
          <w:p w:rsidR="00B215D9" w:rsidRDefault="001856D0" w14:paraId="059D7D54" w14:textId="77777777">
            <w:pPr>
              <w:jc w:val="right"/>
            </w:pPr>
            <w:r>
              <w:t xml:space="preserve"> </w:t>
            </w:r>
          </w:p>
        </w:tc>
      </w:tr>
      <w:tr w:rsidR="00B215D9" w:rsidTr="00E7153D" w14:paraId="059D7D5B" w14:textId="77777777">
        <w:tc>
          <w:tcPr>
            <w:tcW w:w="567" w:type="dxa"/>
          </w:tcPr>
          <w:p w:rsidR="00B215D9" w:rsidRDefault="001856D0" w14:paraId="059D7D56" w14:textId="77777777">
            <w:r>
              <w:t>22</w:t>
            </w:r>
          </w:p>
        </w:tc>
        <w:tc>
          <w:tcPr>
            <w:tcW w:w="6521" w:type="dxa"/>
          </w:tcPr>
          <w:p w:rsidR="00B215D9" w:rsidRDefault="001856D0" w14:paraId="059D7D57" w14:textId="08964BEF">
            <w:r>
              <w:t>Wat zijn de geraamde incidentele en structurele uitvoeringskosten</w:t>
            </w:r>
            <w:r w:rsidR="00805FA7">
              <w:t>,</w:t>
            </w:r>
            <w:r>
              <w:t xml:space="preserve"> en de verwachte financiële en maatschappelijke baten van de verruiming van de verschoonbaarheid van termijnoverschrijding in bezwaar en beroep in de Awb?</w:t>
            </w:r>
          </w:p>
        </w:tc>
        <w:tc>
          <w:tcPr>
            <w:tcW w:w="850" w:type="dxa"/>
          </w:tcPr>
          <w:p w:rsidR="00B215D9" w:rsidRDefault="00B215D9" w14:paraId="059D7D58" w14:textId="77777777">
            <w:pPr>
              <w:jc w:val="right"/>
            </w:pPr>
          </w:p>
        </w:tc>
        <w:tc>
          <w:tcPr>
            <w:tcW w:w="992" w:type="dxa"/>
          </w:tcPr>
          <w:p w:rsidR="00B215D9" w:rsidRDefault="00B215D9" w14:paraId="059D7D59" w14:textId="77777777">
            <w:pPr>
              <w:jc w:val="right"/>
            </w:pPr>
          </w:p>
        </w:tc>
        <w:tc>
          <w:tcPr>
            <w:tcW w:w="567" w:type="dxa"/>
            <w:tcBorders>
              <w:left w:val="nil"/>
            </w:tcBorders>
          </w:tcPr>
          <w:p w:rsidR="00B215D9" w:rsidRDefault="001856D0" w14:paraId="059D7D5A" w14:textId="77777777">
            <w:pPr>
              <w:jc w:val="right"/>
            </w:pPr>
            <w:r>
              <w:t xml:space="preserve"> </w:t>
            </w:r>
          </w:p>
        </w:tc>
      </w:tr>
      <w:tr w:rsidR="00B215D9" w:rsidTr="00E7153D" w14:paraId="059D7D61" w14:textId="77777777">
        <w:tc>
          <w:tcPr>
            <w:tcW w:w="567" w:type="dxa"/>
          </w:tcPr>
          <w:p w:rsidR="00B215D9" w:rsidRDefault="001856D0" w14:paraId="059D7D5C" w14:textId="77777777">
            <w:r>
              <w:t>23</w:t>
            </w:r>
          </w:p>
        </w:tc>
        <w:tc>
          <w:tcPr>
            <w:tcW w:w="6521" w:type="dxa"/>
          </w:tcPr>
          <w:p w:rsidR="00B215D9" w:rsidRDefault="001856D0" w14:paraId="059D7D5D" w14:textId="77777777">
            <w:r>
              <w:t>Wat zijn de geraamde incidentele en structurele uitvoeringskosten en de verwachte financiële en maatschappelijke baten van de aanpassing van de geldschuldentitel in de Awb?</w:t>
            </w:r>
          </w:p>
        </w:tc>
        <w:tc>
          <w:tcPr>
            <w:tcW w:w="850" w:type="dxa"/>
          </w:tcPr>
          <w:p w:rsidR="00B215D9" w:rsidRDefault="00B215D9" w14:paraId="059D7D5E" w14:textId="77777777">
            <w:pPr>
              <w:jc w:val="right"/>
            </w:pPr>
          </w:p>
        </w:tc>
        <w:tc>
          <w:tcPr>
            <w:tcW w:w="992" w:type="dxa"/>
          </w:tcPr>
          <w:p w:rsidR="00B215D9" w:rsidRDefault="00B215D9" w14:paraId="059D7D5F" w14:textId="77777777">
            <w:pPr>
              <w:jc w:val="right"/>
            </w:pPr>
          </w:p>
        </w:tc>
        <w:tc>
          <w:tcPr>
            <w:tcW w:w="567" w:type="dxa"/>
            <w:tcBorders>
              <w:left w:val="nil"/>
            </w:tcBorders>
          </w:tcPr>
          <w:p w:rsidR="00B215D9" w:rsidRDefault="001856D0" w14:paraId="059D7D60" w14:textId="77777777">
            <w:pPr>
              <w:jc w:val="right"/>
            </w:pPr>
            <w:r>
              <w:t xml:space="preserve"> </w:t>
            </w:r>
          </w:p>
        </w:tc>
      </w:tr>
      <w:tr w:rsidR="00B215D9" w:rsidTr="00E7153D" w14:paraId="059D7D67" w14:textId="77777777">
        <w:tc>
          <w:tcPr>
            <w:tcW w:w="567" w:type="dxa"/>
          </w:tcPr>
          <w:p w:rsidR="00B215D9" w:rsidRDefault="001856D0" w14:paraId="059D7D62" w14:textId="77777777">
            <w:r>
              <w:t>24</w:t>
            </w:r>
          </w:p>
        </w:tc>
        <w:tc>
          <w:tcPr>
            <w:tcW w:w="6521" w:type="dxa"/>
          </w:tcPr>
          <w:p w:rsidR="00B215D9" w:rsidRDefault="001856D0" w14:paraId="059D7D63" w14:textId="77777777">
            <w:r>
              <w:t>Wat zijn de geraamde incidentele en structurele uitvoeringskosten en de verwachte financiële en maatschappelijke baten van de codificatie van jurisprudentie over het evenredigheidsbeginsel bij beleidsregels en boetes in de Awb?</w:t>
            </w:r>
          </w:p>
        </w:tc>
        <w:tc>
          <w:tcPr>
            <w:tcW w:w="850" w:type="dxa"/>
          </w:tcPr>
          <w:p w:rsidR="00B215D9" w:rsidRDefault="00B215D9" w14:paraId="059D7D64" w14:textId="77777777">
            <w:pPr>
              <w:jc w:val="right"/>
            </w:pPr>
          </w:p>
        </w:tc>
        <w:tc>
          <w:tcPr>
            <w:tcW w:w="992" w:type="dxa"/>
          </w:tcPr>
          <w:p w:rsidR="00B215D9" w:rsidRDefault="00B215D9" w14:paraId="059D7D65" w14:textId="77777777">
            <w:pPr>
              <w:jc w:val="right"/>
            </w:pPr>
          </w:p>
        </w:tc>
        <w:tc>
          <w:tcPr>
            <w:tcW w:w="567" w:type="dxa"/>
            <w:tcBorders>
              <w:left w:val="nil"/>
            </w:tcBorders>
          </w:tcPr>
          <w:p w:rsidR="00B215D9" w:rsidRDefault="001856D0" w14:paraId="059D7D66" w14:textId="77777777">
            <w:pPr>
              <w:jc w:val="right"/>
            </w:pPr>
            <w:r>
              <w:t xml:space="preserve"> </w:t>
            </w:r>
          </w:p>
        </w:tc>
      </w:tr>
      <w:tr w:rsidR="00B215D9" w:rsidTr="00E7153D" w14:paraId="059D7D6D" w14:textId="77777777">
        <w:tc>
          <w:tcPr>
            <w:tcW w:w="567" w:type="dxa"/>
          </w:tcPr>
          <w:p w:rsidR="00B215D9" w:rsidRDefault="001856D0" w14:paraId="059D7D68" w14:textId="77777777">
            <w:r>
              <w:t>25</w:t>
            </w:r>
          </w:p>
        </w:tc>
        <w:tc>
          <w:tcPr>
            <w:tcW w:w="6521" w:type="dxa"/>
          </w:tcPr>
          <w:p w:rsidR="00B215D9" w:rsidRDefault="001856D0" w14:paraId="059D7D69" w14:textId="77777777">
            <w:r>
              <w:t>Wat zijn de geraamde incidentele en structurele uitvoeringskosten en de verwachte financiële en maatschappelijke baten van de invoering van de burgerlus in de Awb?</w:t>
            </w:r>
          </w:p>
        </w:tc>
        <w:tc>
          <w:tcPr>
            <w:tcW w:w="850" w:type="dxa"/>
          </w:tcPr>
          <w:p w:rsidR="00B215D9" w:rsidRDefault="00B215D9" w14:paraId="059D7D6A" w14:textId="77777777">
            <w:pPr>
              <w:jc w:val="right"/>
            </w:pPr>
          </w:p>
        </w:tc>
        <w:tc>
          <w:tcPr>
            <w:tcW w:w="992" w:type="dxa"/>
          </w:tcPr>
          <w:p w:rsidR="00B215D9" w:rsidRDefault="00B215D9" w14:paraId="059D7D6B" w14:textId="77777777">
            <w:pPr>
              <w:jc w:val="right"/>
            </w:pPr>
          </w:p>
        </w:tc>
        <w:tc>
          <w:tcPr>
            <w:tcW w:w="567" w:type="dxa"/>
            <w:tcBorders>
              <w:left w:val="nil"/>
            </w:tcBorders>
          </w:tcPr>
          <w:p w:rsidR="00B215D9" w:rsidRDefault="001856D0" w14:paraId="059D7D6C" w14:textId="77777777">
            <w:pPr>
              <w:jc w:val="right"/>
            </w:pPr>
            <w:r>
              <w:t xml:space="preserve"> </w:t>
            </w:r>
          </w:p>
        </w:tc>
      </w:tr>
      <w:tr w:rsidR="00B215D9" w:rsidTr="00E7153D" w14:paraId="059D7D73" w14:textId="77777777">
        <w:tc>
          <w:tcPr>
            <w:tcW w:w="567" w:type="dxa"/>
          </w:tcPr>
          <w:p w:rsidR="00B215D9" w:rsidRDefault="001856D0" w14:paraId="059D7D6E" w14:textId="77777777">
            <w:r>
              <w:t>26</w:t>
            </w:r>
          </w:p>
        </w:tc>
        <w:tc>
          <w:tcPr>
            <w:tcW w:w="6521" w:type="dxa"/>
          </w:tcPr>
          <w:p w:rsidR="00B215D9" w:rsidRDefault="001856D0" w14:paraId="059D7D6F" w14:textId="77777777">
            <w:r>
              <w:t>Wat zijn de geraamde incidentele en structurele uitvoeringskosten en de verwachte financiële en maatschappelijke baten van het verplicht stellen van contact met de bezwaarmaker in de Awb?</w:t>
            </w:r>
          </w:p>
        </w:tc>
        <w:tc>
          <w:tcPr>
            <w:tcW w:w="850" w:type="dxa"/>
          </w:tcPr>
          <w:p w:rsidR="00B215D9" w:rsidRDefault="00B215D9" w14:paraId="059D7D70" w14:textId="77777777">
            <w:pPr>
              <w:jc w:val="right"/>
            </w:pPr>
          </w:p>
        </w:tc>
        <w:tc>
          <w:tcPr>
            <w:tcW w:w="992" w:type="dxa"/>
          </w:tcPr>
          <w:p w:rsidR="00B215D9" w:rsidRDefault="00B215D9" w14:paraId="059D7D71" w14:textId="77777777">
            <w:pPr>
              <w:jc w:val="right"/>
            </w:pPr>
          </w:p>
        </w:tc>
        <w:tc>
          <w:tcPr>
            <w:tcW w:w="567" w:type="dxa"/>
            <w:tcBorders>
              <w:left w:val="nil"/>
            </w:tcBorders>
          </w:tcPr>
          <w:p w:rsidR="00B215D9" w:rsidRDefault="001856D0" w14:paraId="059D7D72" w14:textId="77777777">
            <w:pPr>
              <w:jc w:val="right"/>
            </w:pPr>
            <w:r>
              <w:t xml:space="preserve"> </w:t>
            </w:r>
          </w:p>
        </w:tc>
      </w:tr>
      <w:tr w:rsidR="00B215D9" w:rsidTr="00E7153D" w14:paraId="059D7D79" w14:textId="77777777">
        <w:tc>
          <w:tcPr>
            <w:tcW w:w="567" w:type="dxa"/>
          </w:tcPr>
          <w:p w:rsidR="00B215D9" w:rsidRDefault="001856D0" w14:paraId="059D7D74" w14:textId="77777777">
            <w:r>
              <w:t>27</w:t>
            </w:r>
          </w:p>
        </w:tc>
        <w:tc>
          <w:tcPr>
            <w:tcW w:w="6521" w:type="dxa"/>
          </w:tcPr>
          <w:p w:rsidR="00B215D9" w:rsidRDefault="001856D0" w14:paraId="059D7D75" w14:textId="77777777">
            <w:r>
              <w:t>Wat zijn de geraamde incidentele en structurele uitvoeringskosten en de verwachte financiële en maatschappelijke baten van de uitbreiding van de hoorplicht in de primaire fase in de Awb?</w:t>
            </w:r>
          </w:p>
        </w:tc>
        <w:tc>
          <w:tcPr>
            <w:tcW w:w="850" w:type="dxa"/>
          </w:tcPr>
          <w:p w:rsidR="00B215D9" w:rsidRDefault="00B215D9" w14:paraId="059D7D76" w14:textId="77777777">
            <w:pPr>
              <w:jc w:val="right"/>
            </w:pPr>
          </w:p>
        </w:tc>
        <w:tc>
          <w:tcPr>
            <w:tcW w:w="992" w:type="dxa"/>
          </w:tcPr>
          <w:p w:rsidR="00B215D9" w:rsidRDefault="00B215D9" w14:paraId="059D7D77" w14:textId="77777777">
            <w:pPr>
              <w:jc w:val="right"/>
            </w:pPr>
          </w:p>
        </w:tc>
        <w:tc>
          <w:tcPr>
            <w:tcW w:w="567" w:type="dxa"/>
            <w:tcBorders>
              <w:left w:val="nil"/>
            </w:tcBorders>
          </w:tcPr>
          <w:p w:rsidR="00B215D9" w:rsidRDefault="001856D0" w14:paraId="059D7D78" w14:textId="77777777">
            <w:pPr>
              <w:jc w:val="right"/>
            </w:pPr>
            <w:r>
              <w:t xml:space="preserve"> </w:t>
            </w:r>
          </w:p>
        </w:tc>
      </w:tr>
      <w:tr w:rsidR="00B215D9" w:rsidTr="00E7153D" w14:paraId="059D7D7F" w14:textId="77777777">
        <w:tc>
          <w:tcPr>
            <w:tcW w:w="567" w:type="dxa"/>
          </w:tcPr>
          <w:p w:rsidR="00B215D9" w:rsidRDefault="001856D0" w14:paraId="059D7D7A" w14:textId="77777777">
            <w:r>
              <w:t>28</w:t>
            </w:r>
          </w:p>
        </w:tc>
        <w:tc>
          <w:tcPr>
            <w:tcW w:w="6521" w:type="dxa"/>
          </w:tcPr>
          <w:p w:rsidR="00B215D9" w:rsidRDefault="001856D0" w14:paraId="059D7D7B" w14:textId="77777777">
            <w:r>
              <w:t>Wat zijn de geraamde incidentele en structurele uitvoeringskosten en de verwachte financiële en maatschappelijke baten van het opnemen van de mogelijkheid tot herstel van kennelijke fouten in de Awb?</w:t>
            </w:r>
          </w:p>
        </w:tc>
        <w:tc>
          <w:tcPr>
            <w:tcW w:w="850" w:type="dxa"/>
          </w:tcPr>
          <w:p w:rsidR="00B215D9" w:rsidRDefault="00B215D9" w14:paraId="059D7D7C" w14:textId="77777777">
            <w:pPr>
              <w:jc w:val="right"/>
            </w:pPr>
          </w:p>
        </w:tc>
        <w:tc>
          <w:tcPr>
            <w:tcW w:w="992" w:type="dxa"/>
          </w:tcPr>
          <w:p w:rsidR="00B215D9" w:rsidRDefault="00B215D9" w14:paraId="059D7D7D" w14:textId="77777777">
            <w:pPr>
              <w:jc w:val="right"/>
            </w:pPr>
          </w:p>
        </w:tc>
        <w:tc>
          <w:tcPr>
            <w:tcW w:w="567" w:type="dxa"/>
            <w:tcBorders>
              <w:left w:val="nil"/>
            </w:tcBorders>
          </w:tcPr>
          <w:p w:rsidR="00B215D9" w:rsidRDefault="001856D0" w14:paraId="059D7D7E" w14:textId="77777777">
            <w:pPr>
              <w:jc w:val="right"/>
            </w:pPr>
            <w:r>
              <w:t xml:space="preserve"> </w:t>
            </w:r>
          </w:p>
        </w:tc>
      </w:tr>
      <w:tr w:rsidR="00B215D9" w:rsidTr="00E7153D" w14:paraId="059D7D85" w14:textId="77777777">
        <w:tc>
          <w:tcPr>
            <w:tcW w:w="567" w:type="dxa"/>
          </w:tcPr>
          <w:p w:rsidR="00B215D9" w:rsidRDefault="001856D0" w14:paraId="059D7D80" w14:textId="77777777">
            <w:r>
              <w:t>29</w:t>
            </w:r>
          </w:p>
        </w:tc>
        <w:tc>
          <w:tcPr>
            <w:tcW w:w="6521" w:type="dxa"/>
          </w:tcPr>
          <w:p w:rsidR="00B215D9" w:rsidRDefault="001856D0" w14:paraId="059D7D81" w14:textId="77777777">
            <w:r>
              <w:t>Wat zijn de geraamde incidentele en structurele uitvoeringskosten en de verwachte financiële en maatschappelijke baten van de verruiming van de evenredigheidstoets bij wetten in formele zin in de Awb?</w:t>
            </w:r>
          </w:p>
        </w:tc>
        <w:tc>
          <w:tcPr>
            <w:tcW w:w="850" w:type="dxa"/>
          </w:tcPr>
          <w:p w:rsidR="00B215D9" w:rsidRDefault="00B215D9" w14:paraId="059D7D82" w14:textId="77777777">
            <w:pPr>
              <w:jc w:val="right"/>
            </w:pPr>
          </w:p>
        </w:tc>
        <w:tc>
          <w:tcPr>
            <w:tcW w:w="992" w:type="dxa"/>
          </w:tcPr>
          <w:p w:rsidR="00B215D9" w:rsidRDefault="00B215D9" w14:paraId="059D7D83" w14:textId="77777777">
            <w:pPr>
              <w:jc w:val="right"/>
            </w:pPr>
          </w:p>
        </w:tc>
        <w:tc>
          <w:tcPr>
            <w:tcW w:w="567" w:type="dxa"/>
            <w:tcBorders>
              <w:left w:val="nil"/>
            </w:tcBorders>
          </w:tcPr>
          <w:p w:rsidR="00B215D9" w:rsidRDefault="001856D0" w14:paraId="059D7D84" w14:textId="77777777">
            <w:pPr>
              <w:jc w:val="right"/>
            </w:pPr>
            <w:r>
              <w:t xml:space="preserve"> </w:t>
            </w:r>
          </w:p>
        </w:tc>
      </w:tr>
      <w:tr w:rsidR="00B215D9" w:rsidTr="00E7153D" w14:paraId="059D7D8B" w14:textId="77777777">
        <w:tc>
          <w:tcPr>
            <w:tcW w:w="567" w:type="dxa"/>
          </w:tcPr>
          <w:p w:rsidR="00B215D9" w:rsidRDefault="001856D0" w14:paraId="059D7D86" w14:textId="77777777">
            <w:r>
              <w:lastRenderedPageBreak/>
              <w:t>30</w:t>
            </w:r>
          </w:p>
        </w:tc>
        <w:tc>
          <w:tcPr>
            <w:tcW w:w="6521" w:type="dxa"/>
          </w:tcPr>
          <w:p w:rsidR="00B215D9" w:rsidRDefault="001856D0" w14:paraId="059D7D87" w14:textId="77777777">
            <w:r>
              <w:t>Kan bij de beantwoording van de vragen 22 tot en met 29 per maatregel worden aangegeven welke kosten en baten bij burgers, bedrijven, uitvoeringsorganisaties en de rechtspraak terechtkomen, op welke termijn deze worden verwacht en waarop de ramingen zijn gebaseerd? Kunnen baten die niet financieel kunnen worden gekwantificeerd afzonderlijk worden beschreven?</w:t>
            </w:r>
          </w:p>
        </w:tc>
        <w:tc>
          <w:tcPr>
            <w:tcW w:w="850" w:type="dxa"/>
          </w:tcPr>
          <w:p w:rsidR="00B215D9" w:rsidRDefault="00B215D9" w14:paraId="059D7D88" w14:textId="77777777">
            <w:pPr>
              <w:jc w:val="right"/>
            </w:pPr>
          </w:p>
        </w:tc>
        <w:tc>
          <w:tcPr>
            <w:tcW w:w="992" w:type="dxa"/>
          </w:tcPr>
          <w:p w:rsidR="00B215D9" w:rsidRDefault="00B215D9" w14:paraId="059D7D89" w14:textId="77777777">
            <w:pPr>
              <w:jc w:val="right"/>
            </w:pPr>
          </w:p>
        </w:tc>
        <w:tc>
          <w:tcPr>
            <w:tcW w:w="567" w:type="dxa"/>
            <w:tcBorders>
              <w:left w:val="nil"/>
            </w:tcBorders>
          </w:tcPr>
          <w:p w:rsidR="00B215D9" w:rsidRDefault="001856D0" w14:paraId="059D7D8A" w14:textId="77777777">
            <w:pPr>
              <w:jc w:val="right"/>
            </w:pPr>
            <w:r>
              <w:t xml:space="preserve"> </w:t>
            </w:r>
          </w:p>
        </w:tc>
      </w:tr>
      <w:tr w:rsidR="00B215D9" w:rsidTr="00E7153D" w14:paraId="059D7D91" w14:textId="77777777">
        <w:tc>
          <w:tcPr>
            <w:tcW w:w="567" w:type="dxa"/>
          </w:tcPr>
          <w:p w:rsidR="00B215D9" w:rsidRDefault="001856D0" w14:paraId="059D7D8C" w14:textId="77777777">
            <w:r>
              <w:t>31</w:t>
            </w:r>
          </w:p>
        </w:tc>
        <w:tc>
          <w:tcPr>
            <w:tcW w:w="6521" w:type="dxa"/>
          </w:tcPr>
          <w:p w:rsidR="00B215D9" w:rsidRDefault="001856D0" w14:paraId="059D7D8D" w14:textId="77777777">
            <w:r>
              <w:t>In hoeverre is bij de ramingen van de uitvoeringskosten rekening gehouden met mogelijke besparingen door minder bezwaar- en beroepsprocedures, minder herstelwerkzaamheden en kortere doorlooptijden? Is er een maatschappelijke kosten en batenanalyse verricht voor het oorspronkelijke voorstel? Zo ja, kan deze met de Kamer gedeeld worden? Zo nee, kan deze alsnog worden verricht?</w:t>
            </w:r>
          </w:p>
        </w:tc>
        <w:tc>
          <w:tcPr>
            <w:tcW w:w="850" w:type="dxa"/>
          </w:tcPr>
          <w:p w:rsidR="00B215D9" w:rsidRDefault="00B215D9" w14:paraId="059D7D8E" w14:textId="77777777">
            <w:pPr>
              <w:jc w:val="right"/>
            </w:pPr>
          </w:p>
        </w:tc>
        <w:tc>
          <w:tcPr>
            <w:tcW w:w="992" w:type="dxa"/>
          </w:tcPr>
          <w:p w:rsidR="00B215D9" w:rsidRDefault="00B215D9" w14:paraId="059D7D8F" w14:textId="77777777">
            <w:pPr>
              <w:jc w:val="right"/>
            </w:pPr>
          </w:p>
        </w:tc>
        <w:tc>
          <w:tcPr>
            <w:tcW w:w="567" w:type="dxa"/>
            <w:tcBorders>
              <w:left w:val="nil"/>
            </w:tcBorders>
          </w:tcPr>
          <w:p w:rsidR="00B215D9" w:rsidRDefault="001856D0" w14:paraId="059D7D90" w14:textId="77777777">
            <w:pPr>
              <w:jc w:val="right"/>
            </w:pPr>
            <w:r>
              <w:t xml:space="preserve"> </w:t>
            </w:r>
          </w:p>
        </w:tc>
      </w:tr>
      <w:tr w:rsidR="00B215D9" w:rsidTr="00E7153D" w14:paraId="059D7D97" w14:textId="77777777">
        <w:tc>
          <w:tcPr>
            <w:tcW w:w="567" w:type="dxa"/>
          </w:tcPr>
          <w:p w:rsidR="00B215D9" w:rsidRDefault="001856D0" w14:paraId="059D7D92" w14:textId="77777777">
            <w:r>
              <w:t>32</w:t>
            </w:r>
          </w:p>
        </w:tc>
        <w:tc>
          <w:tcPr>
            <w:tcW w:w="6521" w:type="dxa"/>
          </w:tcPr>
          <w:p w:rsidR="00B215D9" w:rsidRDefault="001856D0" w14:paraId="059D7D93" w14:textId="77777777">
            <w:r>
              <w:t>Is er ten aanzien van het gewijzigde voorstel een maatschappelijke kosten en batenanalyse verricht? Zo ja, kan deze met de Kamer gedeeld worden? Zo nee, kan deze alsnog worden verricht?</w:t>
            </w:r>
          </w:p>
        </w:tc>
        <w:tc>
          <w:tcPr>
            <w:tcW w:w="850" w:type="dxa"/>
          </w:tcPr>
          <w:p w:rsidR="00B215D9" w:rsidRDefault="00B215D9" w14:paraId="059D7D94" w14:textId="77777777">
            <w:pPr>
              <w:jc w:val="right"/>
            </w:pPr>
          </w:p>
        </w:tc>
        <w:tc>
          <w:tcPr>
            <w:tcW w:w="992" w:type="dxa"/>
          </w:tcPr>
          <w:p w:rsidR="00B215D9" w:rsidRDefault="00B215D9" w14:paraId="059D7D95" w14:textId="77777777">
            <w:pPr>
              <w:jc w:val="right"/>
            </w:pPr>
          </w:p>
        </w:tc>
        <w:tc>
          <w:tcPr>
            <w:tcW w:w="567" w:type="dxa"/>
            <w:tcBorders>
              <w:left w:val="nil"/>
            </w:tcBorders>
          </w:tcPr>
          <w:p w:rsidR="00B215D9" w:rsidRDefault="001856D0" w14:paraId="059D7D96" w14:textId="77777777">
            <w:pPr>
              <w:jc w:val="right"/>
            </w:pPr>
            <w:r>
              <w:t xml:space="preserve"> </w:t>
            </w:r>
          </w:p>
        </w:tc>
      </w:tr>
      <w:tr w:rsidR="00B215D9" w:rsidTr="00E7153D" w14:paraId="059D7D9D" w14:textId="77777777">
        <w:tc>
          <w:tcPr>
            <w:tcW w:w="567" w:type="dxa"/>
          </w:tcPr>
          <w:p w:rsidR="00B215D9" w:rsidRDefault="001856D0" w14:paraId="059D7D98" w14:textId="77777777">
            <w:r>
              <w:t>33</w:t>
            </w:r>
          </w:p>
        </w:tc>
        <w:tc>
          <w:tcPr>
            <w:tcW w:w="6521" w:type="dxa"/>
          </w:tcPr>
          <w:p w:rsidR="00B215D9" w:rsidRDefault="001856D0" w14:paraId="059D7D99" w14:textId="77777777">
            <w:r>
              <w:t>Welke probleemanalyse lag ten grondslag aan de afzonderlijke maatregelen in het wetsvoorstel dat in 2024 in (internet)consultatie is geweest? Kan per maatregel worden aangegeven welk concreet probleem daarmee werd beoogd op te lossen, wat bekend was over de omvang en frequentie van dat probleem en welke gevolgen dit had voor de betrokken burgers en bedrijven?</w:t>
            </w:r>
          </w:p>
        </w:tc>
        <w:tc>
          <w:tcPr>
            <w:tcW w:w="850" w:type="dxa"/>
          </w:tcPr>
          <w:p w:rsidR="00B215D9" w:rsidRDefault="00B215D9" w14:paraId="059D7D9A" w14:textId="77777777">
            <w:pPr>
              <w:jc w:val="right"/>
            </w:pPr>
          </w:p>
        </w:tc>
        <w:tc>
          <w:tcPr>
            <w:tcW w:w="992" w:type="dxa"/>
          </w:tcPr>
          <w:p w:rsidR="00B215D9" w:rsidRDefault="00B215D9" w14:paraId="059D7D9B" w14:textId="77777777">
            <w:pPr>
              <w:jc w:val="right"/>
            </w:pPr>
          </w:p>
        </w:tc>
        <w:tc>
          <w:tcPr>
            <w:tcW w:w="567" w:type="dxa"/>
            <w:tcBorders>
              <w:left w:val="nil"/>
            </w:tcBorders>
          </w:tcPr>
          <w:p w:rsidR="00B215D9" w:rsidRDefault="001856D0" w14:paraId="059D7D9C" w14:textId="77777777">
            <w:pPr>
              <w:jc w:val="right"/>
            </w:pPr>
            <w:r>
              <w:t xml:space="preserve"> </w:t>
            </w:r>
          </w:p>
        </w:tc>
      </w:tr>
      <w:tr w:rsidR="00B215D9" w:rsidTr="00E7153D" w14:paraId="059D7DA3" w14:textId="77777777">
        <w:tc>
          <w:tcPr>
            <w:tcW w:w="567" w:type="dxa"/>
          </w:tcPr>
          <w:p w:rsidR="00B215D9" w:rsidRDefault="001856D0" w14:paraId="059D7D9E" w14:textId="77777777">
            <w:r>
              <w:t>34</w:t>
            </w:r>
          </w:p>
        </w:tc>
        <w:tc>
          <w:tcPr>
            <w:tcW w:w="6521" w:type="dxa"/>
          </w:tcPr>
          <w:p w:rsidR="00B215D9" w:rsidRDefault="001856D0" w14:paraId="059D7D9F" w14:textId="77777777">
            <w:r>
              <w:t>Op welke onderzoeken, evaluaties, rechterlijke uitspraken en signalen van burgers, uitvoeringsorganisaties en de rechtspraak waren deze probleemanalyses gebaseerd? Kunnen de onderliggende analyses en onderzoeken aan de Kamer worden verstrekt?</w:t>
            </w:r>
          </w:p>
        </w:tc>
        <w:tc>
          <w:tcPr>
            <w:tcW w:w="850" w:type="dxa"/>
          </w:tcPr>
          <w:p w:rsidR="00B215D9" w:rsidRDefault="00B215D9" w14:paraId="059D7DA0" w14:textId="77777777">
            <w:pPr>
              <w:jc w:val="right"/>
            </w:pPr>
          </w:p>
        </w:tc>
        <w:tc>
          <w:tcPr>
            <w:tcW w:w="992" w:type="dxa"/>
          </w:tcPr>
          <w:p w:rsidR="00B215D9" w:rsidRDefault="00B215D9" w14:paraId="059D7DA1" w14:textId="77777777">
            <w:pPr>
              <w:jc w:val="right"/>
            </w:pPr>
          </w:p>
        </w:tc>
        <w:tc>
          <w:tcPr>
            <w:tcW w:w="567" w:type="dxa"/>
            <w:tcBorders>
              <w:left w:val="nil"/>
            </w:tcBorders>
          </w:tcPr>
          <w:p w:rsidR="00B215D9" w:rsidRDefault="001856D0" w14:paraId="059D7DA2" w14:textId="77777777">
            <w:pPr>
              <w:jc w:val="right"/>
            </w:pPr>
            <w:r>
              <w:t xml:space="preserve"> </w:t>
            </w:r>
          </w:p>
        </w:tc>
      </w:tr>
      <w:tr w:rsidR="00B215D9" w:rsidTr="00E7153D" w14:paraId="059D7DA9" w14:textId="77777777">
        <w:tc>
          <w:tcPr>
            <w:tcW w:w="567" w:type="dxa"/>
          </w:tcPr>
          <w:p w:rsidR="00B215D9" w:rsidRDefault="001856D0" w14:paraId="059D7DA4" w14:textId="77777777">
            <w:r>
              <w:t>35</w:t>
            </w:r>
          </w:p>
        </w:tc>
        <w:tc>
          <w:tcPr>
            <w:tcW w:w="6521" w:type="dxa"/>
          </w:tcPr>
          <w:p w:rsidR="00B215D9" w:rsidRDefault="001856D0" w14:paraId="059D7DA5" w14:textId="77777777">
            <w:r>
              <w:t>Welke tekortkomingen in de bestaande wetgeving en uitvoeringspraktijk zijn bij deze probleemanalyses vastgesteld? Kan per maatregel worden toegelicht waarom een wetswijziging nodig werd geacht en welke alternatieven, zoals aanpassing van beleid of verbetering van de uitvoering, zijn onderzocht?</w:t>
            </w:r>
          </w:p>
        </w:tc>
        <w:tc>
          <w:tcPr>
            <w:tcW w:w="850" w:type="dxa"/>
          </w:tcPr>
          <w:p w:rsidR="00B215D9" w:rsidRDefault="00B215D9" w14:paraId="059D7DA6" w14:textId="77777777">
            <w:pPr>
              <w:jc w:val="right"/>
            </w:pPr>
          </w:p>
        </w:tc>
        <w:tc>
          <w:tcPr>
            <w:tcW w:w="992" w:type="dxa"/>
          </w:tcPr>
          <w:p w:rsidR="00B215D9" w:rsidRDefault="00B215D9" w14:paraId="059D7DA7" w14:textId="77777777">
            <w:pPr>
              <w:jc w:val="right"/>
            </w:pPr>
          </w:p>
        </w:tc>
        <w:tc>
          <w:tcPr>
            <w:tcW w:w="567" w:type="dxa"/>
            <w:tcBorders>
              <w:left w:val="nil"/>
            </w:tcBorders>
          </w:tcPr>
          <w:p w:rsidR="00B215D9" w:rsidRDefault="001856D0" w14:paraId="059D7DA8" w14:textId="77777777">
            <w:pPr>
              <w:jc w:val="right"/>
            </w:pPr>
            <w:r>
              <w:t xml:space="preserve"> </w:t>
            </w:r>
          </w:p>
        </w:tc>
      </w:tr>
      <w:tr w:rsidR="00B215D9" w:rsidTr="00E7153D" w14:paraId="059D7DAF" w14:textId="77777777">
        <w:tc>
          <w:tcPr>
            <w:tcW w:w="567" w:type="dxa"/>
          </w:tcPr>
          <w:p w:rsidR="00B215D9" w:rsidRDefault="001856D0" w14:paraId="059D7DAA" w14:textId="77777777">
            <w:r>
              <w:t>36</w:t>
            </w:r>
          </w:p>
        </w:tc>
        <w:tc>
          <w:tcPr>
            <w:tcW w:w="6521" w:type="dxa"/>
          </w:tcPr>
          <w:p w:rsidR="00B215D9" w:rsidRDefault="001856D0" w14:paraId="059D7DAB" w14:textId="77777777">
            <w:r>
              <w:t>In hoeverre bestaan de problemen die aanleiding waren voor de oorspronkelijk voorgestelde maatregelen nog steeds? Kan per maatregel worden aangegeven of de oorspronkelijke probleemanalyse sindsdien is gewijzigd en, zo ja, op basis van welke nieuwe gegevens of inzichten?</w:t>
            </w:r>
          </w:p>
        </w:tc>
        <w:tc>
          <w:tcPr>
            <w:tcW w:w="850" w:type="dxa"/>
          </w:tcPr>
          <w:p w:rsidR="00B215D9" w:rsidRDefault="00B215D9" w14:paraId="059D7DAC" w14:textId="77777777">
            <w:pPr>
              <w:jc w:val="right"/>
            </w:pPr>
          </w:p>
        </w:tc>
        <w:tc>
          <w:tcPr>
            <w:tcW w:w="992" w:type="dxa"/>
          </w:tcPr>
          <w:p w:rsidR="00B215D9" w:rsidRDefault="00B215D9" w14:paraId="059D7DAD" w14:textId="77777777">
            <w:pPr>
              <w:jc w:val="right"/>
            </w:pPr>
          </w:p>
        </w:tc>
        <w:tc>
          <w:tcPr>
            <w:tcW w:w="567" w:type="dxa"/>
            <w:tcBorders>
              <w:left w:val="nil"/>
            </w:tcBorders>
          </w:tcPr>
          <w:p w:rsidR="00B215D9" w:rsidRDefault="001856D0" w14:paraId="059D7DAE" w14:textId="77777777">
            <w:pPr>
              <w:jc w:val="right"/>
            </w:pPr>
            <w:r>
              <w:t xml:space="preserve"> </w:t>
            </w:r>
          </w:p>
        </w:tc>
      </w:tr>
      <w:tr w:rsidR="00B215D9" w:rsidTr="00E7153D" w14:paraId="059D7DB5" w14:textId="77777777">
        <w:tc>
          <w:tcPr>
            <w:tcW w:w="567" w:type="dxa"/>
          </w:tcPr>
          <w:p w:rsidR="00B215D9" w:rsidRDefault="001856D0" w14:paraId="059D7DB0" w14:textId="77777777">
            <w:r>
              <w:t>37</w:t>
            </w:r>
          </w:p>
        </w:tc>
        <w:tc>
          <w:tcPr>
            <w:tcW w:w="6521" w:type="dxa"/>
          </w:tcPr>
          <w:p w:rsidR="00B215D9" w:rsidRDefault="001856D0" w14:paraId="059D7DB1" w14:textId="77777777">
            <w:r>
              <w:t>Kan voor iedere maatregel die is aangepast of niet langer in het wetsvoorstel is opgenomen, worden aangegeven welk deel van het oorspronkelijk vastgestelde probleem met het aangepaste voorstel wordt ondervangen, welk deel mogelijk blijft bestaan en welke andere maatregelen daarvoor zijn voorzien?</w:t>
            </w:r>
          </w:p>
        </w:tc>
        <w:tc>
          <w:tcPr>
            <w:tcW w:w="850" w:type="dxa"/>
          </w:tcPr>
          <w:p w:rsidR="00B215D9" w:rsidRDefault="00B215D9" w14:paraId="059D7DB2" w14:textId="77777777">
            <w:pPr>
              <w:jc w:val="right"/>
            </w:pPr>
          </w:p>
        </w:tc>
        <w:tc>
          <w:tcPr>
            <w:tcW w:w="992" w:type="dxa"/>
          </w:tcPr>
          <w:p w:rsidR="00B215D9" w:rsidRDefault="00B215D9" w14:paraId="059D7DB3" w14:textId="77777777">
            <w:pPr>
              <w:jc w:val="right"/>
            </w:pPr>
          </w:p>
        </w:tc>
        <w:tc>
          <w:tcPr>
            <w:tcW w:w="567" w:type="dxa"/>
            <w:tcBorders>
              <w:left w:val="nil"/>
            </w:tcBorders>
          </w:tcPr>
          <w:p w:rsidR="00B215D9" w:rsidRDefault="001856D0" w14:paraId="059D7DB4" w14:textId="77777777">
            <w:pPr>
              <w:jc w:val="right"/>
            </w:pPr>
            <w:r>
              <w:t xml:space="preserve"> </w:t>
            </w:r>
          </w:p>
        </w:tc>
      </w:tr>
      <w:tr w:rsidR="00B215D9" w:rsidTr="00E7153D" w14:paraId="059D7DBB" w14:textId="77777777">
        <w:tc>
          <w:tcPr>
            <w:tcW w:w="567" w:type="dxa"/>
          </w:tcPr>
          <w:p w:rsidR="00B215D9" w:rsidRDefault="001856D0" w14:paraId="059D7DB6" w14:textId="77777777">
            <w:r>
              <w:t>38</w:t>
            </w:r>
          </w:p>
        </w:tc>
        <w:tc>
          <w:tcPr>
            <w:tcW w:w="6521" w:type="dxa"/>
          </w:tcPr>
          <w:p w:rsidR="00B215D9" w:rsidRDefault="001856D0" w14:paraId="059D7DB7" w14:textId="77777777">
            <w:r>
              <w:t>Wat betekent het aanpassen van het wetsvoorstel voor het evenredigheidsbeginsel?</w:t>
            </w:r>
          </w:p>
        </w:tc>
        <w:tc>
          <w:tcPr>
            <w:tcW w:w="850" w:type="dxa"/>
          </w:tcPr>
          <w:p w:rsidR="00B215D9" w:rsidRDefault="00B215D9" w14:paraId="059D7DB8" w14:textId="77777777">
            <w:pPr>
              <w:jc w:val="right"/>
            </w:pPr>
          </w:p>
        </w:tc>
        <w:tc>
          <w:tcPr>
            <w:tcW w:w="992" w:type="dxa"/>
          </w:tcPr>
          <w:p w:rsidR="00B215D9" w:rsidRDefault="00B215D9" w14:paraId="059D7DB9" w14:textId="77777777">
            <w:pPr>
              <w:jc w:val="right"/>
            </w:pPr>
          </w:p>
        </w:tc>
        <w:tc>
          <w:tcPr>
            <w:tcW w:w="567" w:type="dxa"/>
            <w:tcBorders>
              <w:left w:val="nil"/>
            </w:tcBorders>
          </w:tcPr>
          <w:p w:rsidR="00B215D9" w:rsidRDefault="001856D0" w14:paraId="059D7DBA" w14:textId="77777777">
            <w:pPr>
              <w:jc w:val="right"/>
            </w:pPr>
            <w:r>
              <w:t xml:space="preserve"> </w:t>
            </w:r>
          </w:p>
        </w:tc>
      </w:tr>
      <w:tr w:rsidR="00B215D9" w:rsidTr="00E7153D" w14:paraId="059D7DC1" w14:textId="77777777">
        <w:tc>
          <w:tcPr>
            <w:tcW w:w="567" w:type="dxa"/>
          </w:tcPr>
          <w:p w:rsidR="00B215D9" w:rsidRDefault="001856D0" w14:paraId="059D7DBC" w14:textId="77777777">
            <w:r>
              <w:t>39</w:t>
            </w:r>
          </w:p>
        </w:tc>
        <w:tc>
          <w:tcPr>
            <w:tcW w:w="6521" w:type="dxa"/>
          </w:tcPr>
          <w:p w:rsidR="00B215D9" w:rsidRDefault="001856D0" w14:paraId="059D7DBD" w14:textId="77777777">
            <w:r>
              <w:t>Hoe is de raming van ten minste 300 miljoen euro aan jaarlijkse uitvoeringskosten opgebouwd, uitgesplitst naar de belangrijkste onderdelen van het oorspronkelijke wetsvoorstel?</w:t>
            </w:r>
          </w:p>
        </w:tc>
        <w:tc>
          <w:tcPr>
            <w:tcW w:w="850" w:type="dxa"/>
          </w:tcPr>
          <w:p w:rsidR="00B215D9" w:rsidRDefault="00B215D9" w14:paraId="059D7DBE" w14:textId="77777777">
            <w:pPr>
              <w:jc w:val="right"/>
            </w:pPr>
          </w:p>
        </w:tc>
        <w:tc>
          <w:tcPr>
            <w:tcW w:w="992" w:type="dxa"/>
          </w:tcPr>
          <w:p w:rsidR="00B215D9" w:rsidRDefault="001856D0" w14:paraId="059D7DBF" w14:textId="77777777">
            <w:pPr>
              <w:jc w:val="right"/>
            </w:pPr>
            <w:r>
              <w:t>3</w:t>
            </w:r>
          </w:p>
        </w:tc>
        <w:tc>
          <w:tcPr>
            <w:tcW w:w="567" w:type="dxa"/>
            <w:tcBorders>
              <w:left w:val="nil"/>
            </w:tcBorders>
          </w:tcPr>
          <w:p w:rsidR="00B215D9" w:rsidRDefault="001856D0" w14:paraId="059D7DC0" w14:textId="77777777">
            <w:pPr>
              <w:jc w:val="right"/>
            </w:pPr>
            <w:r>
              <w:t xml:space="preserve">4 </w:t>
            </w:r>
          </w:p>
        </w:tc>
      </w:tr>
      <w:tr w:rsidR="00B215D9" w:rsidTr="00E7153D" w14:paraId="059D7DC7" w14:textId="77777777">
        <w:tc>
          <w:tcPr>
            <w:tcW w:w="567" w:type="dxa"/>
          </w:tcPr>
          <w:p w:rsidR="00B215D9" w:rsidRDefault="001856D0" w14:paraId="059D7DC2" w14:textId="77777777">
            <w:r>
              <w:t>40</w:t>
            </w:r>
          </w:p>
        </w:tc>
        <w:tc>
          <w:tcPr>
            <w:tcW w:w="6521" w:type="dxa"/>
          </w:tcPr>
          <w:p w:rsidR="00B215D9" w:rsidRDefault="001856D0" w14:paraId="059D7DC3" w14:textId="77777777">
            <w:r>
              <w:t>Hoe wordt het evenredigheidsbeginsel door het kabinet uitgelegd?</w:t>
            </w:r>
          </w:p>
        </w:tc>
        <w:tc>
          <w:tcPr>
            <w:tcW w:w="850" w:type="dxa"/>
          </w:tcPr>
          <w:p w:rsidR="00B215D9" w:rsidRDefault="00B215D9" w14:paraId="059D7DC4" w14:textId="77777777">
            <w:pPr>
              <w:jc w:val="right"/>
            </w:pPr>
          </w:p>
        </w:tc>
        <w:tc>
          <w:tcPr>
            <w:tcW w:w="992" w:type="dxa"/>
          </w:tcPr>
          <w:p w:rsidR="00B215D9" w:rsidRDefault="001856D0" w14:paraId="059D7DC5" w14:textId="77777777">
            <w:pPr>
              <w:jc w:val="right"/>
            </w:pPr>
            <w:r>
              <w:t>4</w:t>
            </w:r>
          </w:p>
        </w:tc>
        <w:tc>
          <w:tcPr>
            <w:tcW w:w="567" w:type="dxa"/>
            <w:tcBorders>
              <w:left w:val="nil"/>
            </w:tcBorders>
          </w:tcPr>
          <w:p w:rsidR="00B215D9" w:rsidRDefault="001856D0" w14:paraId="059D7DC6" w14:textId="77777777">
            <w:pPr>
              <w:jc w:val="right"/>
            </w:pPr>
            <w:r>
              <w:t xml:space="preserve"> </w:t>
            </w:r>
          </w:p>
        </w:tc>
      </w:tr>
      <w:tr w:rsidR="00B215D9" w:rsidTr="00E7153D" w14:paraId="059D7DCD" w14:textId="77777777">
        <w:tc>
          <w:tcPr>
            <w:tcW w:w="567" w:type="dxa"/>
          </w:tcPr>
          <w:p w:rsidR="00B215D9" w:rsidRDefault="001856D0" w14:paraId="059D7DC8" w14:textId="77777777">
            <w:r>
              <w:t>41</w:t>
            </w:r>
          </w:p>
        </w:tc>
        <w:tc>
          <w:tcPr>
            <w:tcW w:w="6521" w:type="dxa"/>
          </w:tcPr>
          <w:p w:rsidR="00B215D9" w:rsidRDefault="001856D0" w14:paraId="059D7DC9" w14:textId="77777777">
            <w:r>
              <w:t>Wat wordt bedoeld met de “aanpassing van het evenredigheidsbeginsel”, een en ander in relatie tot het wetsvoorstel Wet versterking waarborgfunctie Awb? In hoeverre zal het evenredigheidsbeginsel worden verruimd dan wel beperkt?</w:t>
            </w:r>
          </w:p>
        </w:tc>
        <w:tc>
          <w:tcPr>
            <w:tcW w:w="850" w:type="dxa"/>
          </w:tcPr>
          <w:p w:rsidR="00B215D9" w:rsidRDefault="00B215D9" w14:paraId="059D7DCA" w14:textId="77777777">
            <w:pPr>
              <w:jc w:val="right"/>
            </w:pPr>
          </w:p>
        </w:tc>
        <w:tc>
          <w:tcPr>
            <w:tcW w:w="992" w:type="dxa"/>
          </w:tcPr>
          <w:p w:rsidR="00B215D9" w:rsidRDefault="001856D0" w14:paraId="059D7DCB" w14:textId="77777777">
            <w:pPr>
              <w:jc w:val="right"/>
            </w:pPr>
            <w:r>
              <w:t>4</w:t>
            </w:r>
          </w:p>
        </w:tc>
        <w:tc>
          <w:tcPr>
            <w:tcW w:w="567" w:type="dxa"/>
            <w:tcBorders>
              <w:left w:val="nil"/>
            </w:tcBorders>
          </w:tcPr>
          <w:p w:rsidR="00B215D9" w:rsidRDefault="001856D0" w14:paraId="059D7DCC" w14:textId="77777777">
            <w:pPr>
              <w:jc w:val="right"/>
            </w:pPr>
            <w:r>
              <w:t xml:space="preserve"> </w:t>
            </w:r>
          </w:p>
        </w:tc>
      </w:tr>
    </w:tbl>
    <w:p w:rsidR="00B215D9" w:rsidRDefault="00B215D9" w14:paraId="059D7DCE" w14:textId="77777777"/>
    <w:sectPr w:rsidR="00B215D9" w:rsidSect="00B915EC">
      <w:pgSz w:w="11900" w:h="16840"/>
      <w:pgMar w:top="1440" w:right="1800" w:bottom="1440" w:left="180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5ADFE" w14:textId="77777777" w:rsidR="00ED10A2" w:rsidRDefault="00ED10A2">
      <w:pPr>
        <w:spacing w:before="0" w:after="0"/>
      </w:pPr>
      <w:r>
        <w:separator/>
      </w:r>
    </w:p>
  </w:endnote>
  <w:endnote w:type="continuationSeparator" w:id="0">
    <w:p w14:paraId="1CE31D33" w14:textId="77777777" w:rsidR="00ED10A2" w:rsidRDefault="00ED10A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85E9B" w14:textId="77777777" w:rsidR="00ED10A2" w:rsidRDefault="00ED10A2">
      <w:pPr>
        <w:spacing w:before="0" w:after="0"/>
      </w:pPr>
      <w:r>
        <w:separator/>
      </w:r>
    </w:p>
  </w:footnote>
  <w:footnote w:type="continuationSeparator" w:id="0">
    <w:p w14:paraId="2F311716" w14:textId="77777777" w:rsidR="00ED10A2" w:rsidRDefault="00ED10A2">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77C3E"/>
    <w:rsid w:val="00052FD1"/>
    <w:rsid w:val="001856D0"/>
    <w:rsid w:val="001A47AF"/>
    <w:rsid w:val="001A56AB"/>
    <w:rsid w:val="0035633A"/>
    <w:rsid w:val="003B599C"/>
    <w:rsid w:val="003D44DD"/>
    <w:rsid w:val="005543A7"/>
    <w:rsid w:val="005736D8"/>
    <w:rsid w:val="005F2B2A"/>
    <w:rsid w:val="007557D0"/>
    <w:rsid w:val="00805FA7"/>
    <w:rsid w:val="00894624"/>
    <w:rsid w:val="00997B4B"/>
    <w:rsid w:val="00A77C3E"/>
    <w:rsid w:val="00B215D9"/>
    <w:rsid w:val="00B915EC"/>
    <w:rsid w:val="00C23116"/>
    <w:rsid w:val="00D25D6F"/>
    <w:rsid w:val="00E7153D"/>
    <w:rsid w:val="00EC16F4"/>
    <w:rsid w:val="00ED10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59D7CC4"/>
  <w15:docId w15:val="{A76FFCB0-E7B7-4356-B560-2E4C085AF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915EC"/>
    <w:pPr>
      <w:tabs>
        <w:tab w:val="center" w:pos="4513"/>
        <w:tab w:val="right" w:pos="9026"/>
      </w:tabs>
      <w:spacing w:before="0" w:after="0"/>
    </w:pPr>
  </w:style>
  <w:style w:type="character" w:customStyle="1" w:styleId="KoptekstChar">
    <w:name w:val="Koptekst Char"/>
    <w:basedOn w:val="Standaardalinea-lettertype"/>
    <w:link w:val="Koptekst"/>
    <w:uiPriority w:val="99"/>
    <w:rsid w:val="00B915EC"/>
    <w:rPr>
      <w:rFonts w:ascii="Times New Roman" w:eastAsia="Times New Roman" w:hAnsi="Times New Roman" w:cs="Times New Roman"/>
      <w:sz w:val="20"/>
      <w:szCs w:val="20"/>
      <w:lang w:val="nl-NL" w:eastAsia="nl-NL"/>
    </w:rPr>
  </w:style>
  <w:style w:type="paragraph" w:styleId="Voettekst">
    <w:name w:val="footer"/>
    <w:basedOn w:val="Standaard"/>
    <w:link w:val="VoettekstChar"/>
    <w:uiPriority w:val="99"/>
    <w:unhideWhenUsed/>
    <w:rsid w:val="00B915EC"/>
    <w:pPr>
      <w:tabs>
        <w:tab w:val="center" w:pos="4513"/>
        <w:tab w:val="right" w:pos="9026"/>
      </w:tabs>
      <w:spacing w:before="0" w:after="0"/>
    </w:pPr>
  </w:style>
  <w:style w:type="character" w:customStyle="1" w:styleId="VoettekstChar">
    <w:name w:val="Voettekst Char"/>
    <w:basedOn w:val="Standaardalinea-lettertype"/>
    <w:link w:val="Voettekst"/>
    <w:uiPriority w:val="99"/>
    <w:rsid w:val="00B915EC"/>
    <w:rPr>
      <w:rFonts w:ascii="Times New Roman" w:eastAsia="Times New Roman" w:hAnsi="Times New Roman" w:cs="Times New Roman"/>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endnotes" Target="endnotes.xml" Id="rId10" /><Relationship Type="http://schemas.openxmlformats.org/officeDocument/2006/relationships/footnotes" Target="foot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vt="http://schemas.openxmlformats.org/officeDocument/2006/docPropsVTypes" xmlns:ap="http://schemas.openxmlformats.org/officeDocument/2006/extended-properties">
  <ap:Pages>3</ap:Pages>
  <ap:Words>1319</ap:Words>
  <ap:Characters>7809</ap:Characters>
  <ap:DocSecurity>0</ap:DocSecurity>
  <ap:Lines>325</ap:Lines>
  <ap:Paragraphs>118</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9010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2015-03-16T09:52:00.0000000Z</dcterms:created>
  <dcterms:modified xsi:type="dcterms:W3CDTF">2026-10-02T12:25:00.0000000Z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0x010100652B67EEE1A68642A5D50A61AFC143750064FD20BE5E9B564298C1DA2247AC051F</vt:lpwstr>
  </property>
  <property fmtid="{D5CDD505-2E9C-101B-9397-08002B2CF9AE}" pid="3" name="Selectielijstproces">
    <vt:lpwstr>1;#48. Het doen van (archief)onderzoek in de parlementaire archieven en informatiebronnen en het verzamelen van informatie in de breedste zin van het woord ten behoeve van het politieke proces|92166783-effb-49b3-9c73-77925a64cd88</vt:lpwstr>
  </property>
  <property fmtid="{D5CDD505-2E9C-101B-9397-08002B2CF9AE}" pid="4" name="Beperking">
    <vt:lpwstr/>
  </property>
  <property fmtid="{D5CDD505-2E9C-101B-9397-08002B2CF9AE}" pid="5" name="_dlc_DocIdItemGuid">
    <vt:lpwstr>56bd6808-0583-4e4c-ac42-b7282e807f3b</vt:lpwstr>
  </property>
  <property fmtid="{D5CDD505-2E9C-101B-9397-08002B2CF9AE}" pid="6" name="docLang">
    <vt:lpwstr>nl</vt:lpwstr>
  </property>
</Properties>
</file>