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90F99" w:rsidR="005A7A16" w:rsidP="005A7A16" w:rsidRDefault="005A7A16" w14:paraId="1A9143F1" w14:textId="77777777">
      <w:pPr>
        <w:spacing w:line="276" w:lineRule="auto"/>
        <w:rPr>
          <w:rFonts w:ascii="Verdana" w:hAnsi="Verdana" w:cs="Arial"/>
          <w:sz w:val="18"/>
          <w:szCs w:val="18"/>
        </w:rPr>
      </w:pPr>
      <w:r w:rsidRPr="00590F99">
        <w:rPr>
          <w:rFonts w:ascii="Verdana" w:hAnsi="Verdana" w:cs="Arial"/>
          <w:sz w:val="18"/>
          <w:szCs w:val="18"/>
        </w:rPr>
        <w:t>Deze bijlage bevat een gedetailleerde toelichting op de IPA, evenals een appreciatie van het akkoord. Met de volgende opbouw:</w:t>
      </w:r>
      <w:r>
        <w:rPr>
          <w:rFonts w:ascii="Verdana" w:hAnsi="Verdana" w:cs="Arial"/>
          <w:sz w:val="18"/>
          <w:szCs w:val="18"/>
        </w:rPr>
        <w:t xml:space="preserve"> </w:t>
      </w:r>
    </w:p>
    <w:p w:rsidRPr="00B348A3" w:rsidR="005A7A16" w:rsidP="005A7A16" w:rsidRDefault="005A7A16" w14:paraId="51E8257B" w14:textId="77777777">
      <w:pPr>
        <w:pStyle w:val="Lijstalinea"/>
        <w:numPr>
          <w:ilvl w:val="0"/>
          <w:numId w:val="1"/>
        </w:numPr>
        <w:autoSpaceDN w:val="0"/>
        <w:spacing w:after="0" w:line="276" w:lineRule="auto"/>
        <w:textAlignment w:val="baseline"/>
        <w:rPr>
          <w:rFonts w:ascii="Verdana" w:hAnsi="Verdana" w:cs="Arial"/>
          <w:sz w:val="18"/>
          <w:szCs w:val="18"/>
        </w:rPr>
      </w:pPr>
      <w:r w:rsidRPr="004976C5">
        <w:rPr>
          <w:rFonts w:ascii="Verdana" w:hAnsi="Verdana" w:cs="Arial"/>
          <w:sz w:val="18"/>
          <w:szCs w:val="18"/>
        </w:rPr>
        <w:t>Kabinetsinzet en voorgenomen positie</w:t>
      </w:r>
    </w:p>
    <w:p w:rsidRPr="00590F99" w:rsidR="005A7A16" w:rsidP="005A7A16" w:rsidRDefault="005A7A16" w14:paraId="51F2B61D" w14:textId="77777777">
      <w:pPr>
        <w:pStyle w:val="Lijstalinea"/>
        <w:numPr>
          <w:ilvl w:val="0"/>
          <w:numId w:val="1"/>
        </w:numPr>
        <w:autoSpaceDN w:val="0"/>
        <w:spacing w:after="0" w:line="276" w:lineRule="auto"/>
        <w:textAlignment w:val="baseline"/>
        <w:rPr>
          <w:rFonts w:ascii="Verdana" w:hAnsi="Verdana" w:cs="Arial"/>
          <w:sz w:val="18"/>
          <w:szCs w:val="18"/>
        </w:rPr>
      </w:pPr>
      <w:r w:rsidRPr="00590F99">
        <w:rPr>
          <w:rFonts w:ascii="Verdana" w:hAnsi="Verdana" w:cs="Arial"/>
          <w:sz w:val="18"/>
          <w:szCs w:val="18"/>
        </w:rPr>
        <w:t>Inhoud van IPA</w:t>
      </w:r>
    </w:p>
    <w:p w:rsidRPr="00590F99" w:rsidR="005A7A16" w:rsidP="005A7A16" w:rsidRDefault="005A7A16" w14:paraId="67415132" w14:textId="77777777">
      <w:pPr>
        <w:pStyle w:val="Lijstalinea"/>
        <w:numPr>
          <w:ilvl w:val="0"/>
          <w:numId w:val="1"/>
        </w:numPr>
        <w:autoSpaceDN w:val="0"/>
        <w:spacing w:after="0" w:line="276" w:lineRule="auto"/>
        <w:textAlignment w:val="baseline"/>
        <w:rPr>
          <w:rFonts w:ascii="Verdana" w:hAnsi="Verdana" w:cs="Arial"/>
          <w:sz w:val="18"/>
          <w:szCs w:val="18"/>
        </w:rPr>
      </w:pPr>
      <w:r w:rsidRPr="00590F99">
        <w:rPr>
          <w:rFonts w:ascii="Verdana" w:hAnsi="Verdana" w:cs="Arial"/>
          <w:sz w:val="18"/>
          <w:szCs w:val="18"/>
        </w:rPr>
        <w:t xml:space="preserve">Kabinetsappreciatie </w:t>
      </w:r>
    </w:p>
    <w:p w:rsidRPr="006D6168" w:rsidR="005A7A16" w:rsidP="005A7A16" w:rsidRDefault="005A7A16" w14:paraId="4FD4E320" w14:textId="77777777">
      <w:pPr>
        <w:pStyle w:val="Lijstalinea"/>
        <w:numPr>
          <w:ilvl w:val="0"/>
          <w:numId w:val="1"/>
        </w:numPr>
        <w:autoSpaceDN w:val="0"/>
        <w:spacing w:after="0" w:line="276" w:lineRule="auto"/>
        <w:textAlignment w:val="baseline"/>
        <w:rPr>
          <w:rFonts w:ascii="Verdana" w:hAnsi="Verdana" w:cs="Arial"/>
          <w:sz w:val="18"/>
          <w:szCs w:val="18"/>
        </w:rPr>
      </w:pPr>
      <w:r w:rsidRPr="006D6168">
        <w:rPr>
          <w:rFonts w:ascii="Verdana" w:hAnsi="Verdana" w:cs="Arial"/>
          <w:sz w:val="18"/>
          <w:szCs w:val="18"/>
        </w:rPr>
        <w:t xml:space="preserve">Besluitvormingsproces </w:t>
      </w:r>
    </w:p>
    <w:p w:rsidR="005A7A16" w:rsidP="005A7A16" w:rsidRDefault="005A7A16" w14:paraId="351A150C" w14:textId="77777777">
      <w:pPr>
        <w:spacing w:line="276" w:lineRule="auto"/>
        <w:rPr>
          <w:rFonts w:ascii="Verdana" w:hAnsi="Verdana" w:cs="Arial"/>
          <w:b/>
          <w:sz w:val="18"/>
          <w:szCs w:val="18"/>
        </w:rPr>
      </w:pPr>
      <w:bookmarkStart w:name="_Hlk236650209" w:id="0"/>
    </w:p>
    <w:p w:rsidRPr="00853A04" w:rsidR="005A7A16" w:rsidP="005A7A16" w:rsidRDefault="005A7A16" w14:paraId="44A63FB5" w14:textId="77777777">
      <w:pPr>
        <w:pStyle w:val="Lijstalinea"/>
        <w:numPr>
          <w:ilvl w:val="0"/>
          <w:numId w:val="6"/>
        </w:numPr>
        <w:spacing w:line="276" w:lineRule="auto"/>
        <w:rPr>
          <w:rFonts w:ascii="Verdana" w:hAnsi="Verdana" w:eastAsia="DejaVu Sans" w:cs="Lohit Hindi"/>
          <w:b/>
          <w:bCs/>
          <w:color w:val="000000"/>
          <w:kern w:val="0"/>
          <w:sz w:val="18"/>
          <w:szCs w:val="18"/>
          <w:lang w:eastAsia="nl-NL"/>
          <w14:ligatures w14:val="none"/>
        </w:rPr>
      </w:pPr>
      <w:r w:rsidRPr="001F6478">
        <w:rPr>
          <w:rFonts w:ascii="Verdana" w:hAnsi="Verdana" w:eastAsia="DejaVu Sans" w:cs="Lohit Hindi"/>
          <w:b/>
          <w:bCs/>
          <w:color w:val="000000"/>
          <w:kern w:val="0"/>
          <w:sz w:val="18"/>
          <w:szCs w:val="18"/>
          <w:lang w:eastAsia="nl-NL"/>
          <w14:ligatures w14:val="none"/>
        </w:rPr>
        <w:t>Kabinetsinzet en voorgenomen positie</w:t>
      </w:r>
    </w:p>
    <w:p w:rsidRPr="00590F99" w:rsidR="005A7A16" w:rsidP="005A7A16" w:rsidRDefault="005A7A16" w14:paraId="38E6CE22" w14:textId="77777777">
      <w:pPr>
        <w:spacing w:line="276" w:lineRule="auto"/>
        <w:rPr>
          <w:rFonts w:ascii="Verdana" w:hAnsi="Verdana" w:cs="Arial"/>
          <w:sz w:val="18"/>
          <w:szCs w:val="18"/>
        </w:rPr>
      </w:pPr>
      <w:r w:rsidRPr="00590F99">
        <w:rPr>
          <w:rFonts w:ascii="Verdana" w:hAnsi="Verdana" w:cs="Arial"/>
          <w:sz w:val="18"/>
          <w:szCs w:val="18"/>
        </w:rPr>
        <w:t>Het kabinet zet in op gemoderniseerde investeringsbeschermings</w:t>
      </w:r>
      <w:r>
        <w:rPr>
          <w:rFonts w:ascii="Verdana" w:hAnsi="Verdana" w:cs="Arial"/>
          <w:sz w:val="18"/>
          <w:szCs w:val="18"/>
        </w:rPr>
        <w:t>akkoorden</w:t>
      </w:r>
      <w:r>
        <w:rPr>
          <w:rStyle w:val="Voetnootmarkering"/>
          <w:rFonts w:ascii="Verdana" w:hAnsi="Verdana" w:cs="Arial"/>
          <w:sz w:val="18"/>
          <w:szCs w:val="18"/>
        </w:rPr>
        <w:footnoteReference w:id="1"/>
      </w:r>
      <w:r w:rsidRPr="00590F99">
        <w:rPr>
          <w:rFonts w:ascii="Verdana" w:hAnsi="Verdana" w:cs="Arial"/>
          <w:sz w:val="18"/>
          <w:szCs w:val="18"/>
        </w:rPr>
        <w:t xml:space="preserve">. </w:t>
      </w:r>
      <w:r>
        <w:rPr>
          <w:rFonts w:ascii="Verdana" w:hAnsi="Verdana" w:cs="Arial"/>
          <w:sz w:val="18"/>
          <w:szCs w:val="18"/>
        </w:rPr>
        <w:t>Het akkoord</w:t>
      </w:r>
      <w:r w:rsidRPr="00590F99">
        <w:rPr>
          <w:rFonts w:ascii="Verdana" w:hAnsi="Verdana" w:cs="Arial"/>
          <w:sz w:val="18"/>
          <w:szCs w:val="18"/>
        </w:rPr>
        <w:t xml:space="preserve"> met Indonesië bevat veel van deze gemoderniseerde elementen, </w:t>
      </w:r>
      <w:r>
        <w:rPr>
          <w:rFonts w:ascii="Verdana" w:hAnsi="Verdana" w:cs="Arial"/>
          <w:sz w:val="18"/>
          <w:szCs w:val="18"/>
        </w:rPr>
        <w:t>die</w:t>
      </w:r>
      <w:r w:rsidRPr="00590F99">
        <w:rPr>
          <w:rFonts w:ascii="Verdana" w:hAnsi="Verdana" w:cs="Arial"/>
          <w:sz w:val="18"/>
          <w:szCs w:val="18"/>
        </w:rPr>
        <w:t xml:space="preserve"> het kabinet als positief beschouwt. De Nederlandse inzet bij de modernisering van investeringsbescherming is onder andere gericht op het expliciet waarborgen van de reguleringsruimte van staten, het versterken van bepalingen over duurzame ontwikkeling en het inzetten op een meer structureel, transparant en onafhankelijk geschillenbeslechtingsmechanisme.</w:t>
      </w:r>
    </w:p>
    <w:p w:rsidRPr="008C2DF2" w:rsidR="005A7A16" w:rsidP="005A7A16" w:rsidRDefault="005A7A16" w14:paraId="097EBDDB" w14:textId="0CF4913C">
      <w:pPr>
        <w:spacing w:line="276" w:lineRule="auto"/>
        <w:rPr>
          <w:rFonts w:ascii="Verdana" w:hAnsi="Verdana" w:cs="Arial"/>
          <w:sz w:val="18"/>
          <w:szCs w:val="18"/>
        </w:rPr>
      </w:pPr>
      <w:bookmarkStart w:name="_Hlk240923052" w:id="1"/>
      <w:r w:rsidRPr="00B969BA">
        <w:rPr>
          <w:rFonts w:ascii="Verdana" w:hAnsi="Verdana" w:cs="Arial"/>
          <w:sz w:val="18"/>
          <w:szCs w:val="18"/>
        </w:rPr>
        <w:t>Tijdens de onderhandelingen heeft het kabinet ingezet op een moderne investeringsbeschermingsovereenkomst die aansluit bij de door Nederland gestelde ambities, zoals hier</w:t>
      </w:r>
      <w:r>
        <w:rPr>
          <w:rFonts w:ascii="Verdana" w:hAnsi="Verdana" w:cs="Arial"/>
          <w:sz w:val="18"/>
          <w:szCs w:val="18"/>
        </w:rPr>
        <w:t>onder nader wordt toegelicht</w:t>
      </w:r>
      <w:r w:rsidR="001818FE">
        <w:rPr>
          <w:rFonts w:ascii="Verdana" w:hAnsi="Verdana" w:cs="Arial"/>
          <w:sz w:val="18"/>
          <w:szCs w:val="18"/>
        </w:rPr>
        <w:t>, maar heeft niet de volledige inzet kunnen realiseren. Zo constateert h</w:t>
      </w:r>
      <w:r w:rsidRPr="00B969BA">
        <w:rPr>
          <w:rFonts w:ascii="Verdana" w:hAnsi="Verdana" w:cs="Arial"/>
          <w:sz w:val="18"/>
          <w:szCs w:val="18"/>
        </w:rPr>
        <w:t xml:space="preserve">et kabinet </w:t>
      </w:r>
      <w:r>
        <w:rPr>
          <w:rFonts w:ascii="Verdana" w:hAnsi="Verdana" w:cs="Arial"/>
          <w:sz w:val="18"/>
          <w:szCs w:val="18"/>
        </w:rPr>
        <w:t>dat in het</w:t>
      </w:r>
      <w:r w:rsidRPr="00B969BA">
        <w:rPr>
          <w:rFonts w:ascii="Verdana" w:hAnsi="Verdana" w:cs="Arial"/>
          <w:sz w:val="18"/>
          <w:szCs w:val="18"/>
        </w:rPr>
        <w:t xml:space="preserve"> </w:t>
      </w:r>
      <w:r>
        <w:rPr>
          <w:rFonts w:ascii="Verdana" w:hAnsi="Verdana" w:cs="Arial"/>
          <w:sz w:val="18"/>
          <w:szCs w:val="18"/>
        </w:rPr>
        <w:t xml:space="preserve">voorliggende </w:t>
      </w:r>
      <w:r w:rsidRPr="00B969BA">
        <w:rPr>
          <w:rFonts w:ascii="Verdana" w:hAnsi="Verdana" w:cs="Arial"/>
          <w:sz w:val="18"/>
          <w:szCs w:val="18"/>
        </w:rPr>
        <w:t xml:space="preserve">akkoord </w:t>
      </w:r>
      <w:r>
        <w:rPr>
          <w:rFonts w:ascii="Verdana" w:hAnsi="Verdana" w:cs="Arial"/>
          <w:sz w:val="18"/>
          <w:szCs w:val="18"/>
        </w:rPr>
        <w:t xml:space="preserve">nog </w:t>
      </w:r>
      <w:r w:rsidRPr="00B969BA">
        <w:rPr>
          <w:rFonts w:ascii="Verdana" w:hAnsi="Verdana" w:cs="Arial"/>
          <w:sz w:val="18"/>
          <w:szCs w:val="18"/>
        </w:rPr>
        <w:t>geen modern investeerder</w:t>
      </w:r>
      <w:r w:rsidRPr="00B969BA">
        <w:rPr>
          <w:rFonts w:ascii="Verdana" w:hAnsi="Verdana" w:cs="Arial"/>
          <w:sz w:val="18"/>
          <w:szCs w:val="18"/>
        </w:rPr>
        <w:noBreakHyphen/>
        <w:t xml:space="preserve">staatgeschillenbeslechtingsmechanisme is opgenomen. </w:t>
      </w:r>
      <w:bookmarkEnd w:id="1"/>
      <w:r w:rsidRPr="00B969BA">
        <w:rPr>
          <w:rFonts w:ascii="Verdana" w:hAnsi="Verdana" w:cs="Arial"/>
          <w:sz w:val="18"/>
          <w:szCs w:val="18"/>
        </w:rPr>
        <w:t xml:space="preserve">Ook het </w:t>
      </w:r>
      <w:r>
        <w:rPr>
          <w:rFonts w:ascii="Verdana" w:hAnsi="Verdana" w:cs="Arial"/>
          <w:sz w:val="18"/>
          <w:szCs w:val="18"/>
        </w:rPr>
        <w:t>niet</w:t>
      </w:r>
      <w:r w:rsidRPr="00B969BA">
        <w:rPr>
          <w:rFonts w:ascii="Verdana" w:hAnsi="Verdana" w:cs="Arial"/>
          <w:sz w:val="18"/>
          <w:szCs w:val="18"/>
        </w:rPr>
        <w:t xml:space="preserve"> opnemen van portfolio</w:t>
      </w:r>
      <w:r w:rsidRPr="00B969BA">
        <w:rPr>
          <w:rFonts w:ascii="Verdana" w:hAnsi="Verdana" w:cs="Arial"/>
          <w:sz w:val="18"/>
          <w:szCs w:val="18"/>
        </w:rPr>
        <w:noBreakHyphen/>
        <w:t xml:space="preserve">investeringen in het toepassingsgebied </w:t>
      </w:r>
      <w:r>
        <w:rPr>
          <w:rFonts w:ascii="Verdana" w:hAnsi="Verdana" w:cs="Arial"/>
          <w:sz w:val="18"/>
          <w:szCs w:val="18"/>
        </w:rPr>
        <w:t xml:space="preserve">van het akkoord </w:t>
      </w:r>
      <w:r w:rsidRPr="00B969BA">
        <w:rPr>
          <w:rFonts w:ascii="Verdana" w:hAnsi="Verdana" w:cs="Arial"/>
          <w:sz w:val="18"/>
          <w:szCs w:val="18"/>
        </w:rPr>
        <w:t>wijkt af van de inzet</w:t>
      </w:r>
      <w:r>
        <w:rPr>
          <w:rFonts w:ascii="Verdana" w:hAnsi="Verdana" w:cs="Arial"/>
          <w:sz w:val="18"/>
          <w:szCs w:val="18"/>
        </w:rPr>
        <w:t xml:space="preserve"> van het kabinet</w:t>
      </w:r>
      <w:r w:rsidRPr="00B969BA">
        <w:rPr>
          <w:rFonts w:ascii="Verdana" w:hAnsi="Verdana" w:cs="Arial"/>
          <w:sz w:val="18"/>
          <w:szCs w:val="18"/>
        </w:rPr>
        <w:t>.</w:t>
      </w:r>
      <w:r>
        <w:rPr>
          <w:rFonts w:ascii="Verdana" w:hAnsi="Verdana" w:cs="Arial"/>
          <w:sz w:val="18"/>
          <w:szCs w:val="18"/>
        </w:rPr>
        <w:t xml:space="preserve"> Het kabinet neemt in de stembepaling mee dat er momenteel geen investeringsbeschermingsakkoord in werking is tussen Nederland en Indonesië, waardoor dit akkoord zal zorgen voor een aanvulling van het niveau van investeringsbescherming ten opzichte van de uitgangsituatie. Daarnaast kijkt het kabinet ook naar de bredere betrekkingen tussen Nederland en Indonesië, die niet alleen van economisch maar ook van geopolitiek belang zijn</w:t>
      </w:r>
      <w:r w:rsidRPr="008C2DF2">
        <w:rPr>
          <w:rFonts w:ascii="Verdana" w:hAnsi="Verdana" w:cs="Arial"/>
          <w:sz w:val="18"/>
          <w:szCs w:val="18"/>
        </w:rPr>
        <w:t>. Alles overwegende, is het kabinet dan ook voornemens in de EU in te stemmen met het voorgestelde Raadsbesluit.</w:t>
      </w:r>
    </w:p>
    <w:p w:rsidRPr="001F6478" w:rsidR="005A7A16" w:rsidP="005A7A16" w:rsidRDefault="005A7A16" w14:paraId="5E462351" w14:textId="77777777">
      <w:pPr>
        <w:pStyle w:val="Lijstalinea"/>
        <w:spacing w:line="276" w:lineRule="auto"/>
        <w:rPr>
          <w:rFonts w:ascii="Verdana" w:hAnsi="Verdana" w:eastAsia="DejaVu Sans" w:cs="Lohit Hindi"/>
          <w:b/>
          <w:bCs/>
          <w:color w:val="000000"/>
          <w:kern w:val="0"/>
          <w:sz w:val="18"/>
          <w:szCs w:val="18"/>
          <w:lang w:eastAsia="nl-NL"/>
          <w14:ligatures w14:val="none"/>
        </w:rPr>
      </w:pPr>
    </w:p>
    <w:p w:rsidRPr="001F6478" w:rsidR="005A7A16" w:rsidP="005A7A16" w:rsidRDefault="005A7A16" w14:paraId="43C5D36F" w14:textId="77777777">
      <w:pPr>
        <w:pStyle w:val="Lijstalinea"/>
        <w:numPr>
          <w:ilvl w:val="0"/>
          <w:numId w:val="6"/>
        </w:numPr>
        <w:spacing w:line="276" w:lineRule="auto"/>
        <w:rPr>
          <w:rFonts w:ascii="Verdana" w:hAnsi="Verdana" w:eastAsia="DejaVu Sans" w:cs="Lohit Hindi"/>
          <w:b/>
          <w:bCs/>
          <w:color w:val="000000"/>
          <w:kern w:val="0"/>
          <w:sz w:val="18"/>
          <w:szCs w:val="18"/>
          <w:lang w:eastAsia="nl-NL"/>
          <w14:ligatures w14:val="none"/>
        </w:rPr>
      </w:pPr>
      <w:r w:rsidRPr="001F6478">
        <w:rPr>
          <w:rFonts w:ascii="Verdana" w:hAnsi="Verdana" w:eastAsia="DejaVu Sans" w:cs="Lohit Hindi"/>
          <w:b/>
          <w:bCs/>
          <w:color w:val="000000"/>
          <w:kern w:val="0"/>
          <w:sz w:val="18"/>
          <w:szCs w:val="18"/>
          <w:lang w:eastAsia="nl-NL"/>
          <w14:ligatures w14:val="none"/>
        </w:rPr>
        <w:t>Inhoudelijke beschrijving van het akkoord</w:t>
      </w:r>
    </w:p>
    <w:p w:rsidRPr="00590F99" w:rsidR="005A7A16" w:rsidP="005A7A16" w:rsidRDefault="005A7A16" w14:paraId="174D3094" w14:textId="77777777">
      <w:pPr>
        <w:spacing w:line="276" w:lineRule="auto"/>
        <w:rPr>
          <w:rFonts w:ascii="Verdana" w:hAnsi="Verdana" w:cs="Arial"/>
          <w:sz w:val="18"/>
          <w:szCs w:val="18"/>
        </w:rPr>
      </w:pPr>
      <w:r w:rsidRPr="00590F99">
        <w:rPr>
          <w:rFonts w:ascii="Verdana" w:hAnsi="Verdana" w:cs="Arial"/>
          <w:sz w:val="18"/>
          <w:szCs w:val="18"/>
        </w:rPr>
        <w:t>Het eerste hoofdstuk van het investeringsbeschermingsakkoord tussen de Europese Unie en Indonesië (“</w:t>
      </w:r>
      <w:r w:rsidRPr="00590F99">
        <w:rPr>
          <w:rFonts w:ascii="Verdana" w:hAnsi="Verdana" w:cs="Arial"/>
          <w:i/>
          <w:sz w:val="18"/>
          <w:szCs w:val="18"/>
        </w:rPr>
        <w:t>Investment Protection Agreement between the Republic of Indonesia and the European Union</w:t>
      </w:r>
      <w:r w:rsidRPr="00590F99">
        <w:rPr>
          <w:rFonts w:ascii="Verdana" w:hAnsi="Verdana" w:cs="Arial"/>
          <w:sz w:val="18"/>
          <w:szCs w:val="18"/>
        </w:rPr>
        <w:t>”)</w:t>
      </w:r>
      <w:r>
        <w:rPr>
          <w:rFonts w:ascii="Verdana" w:hAnsi="Verdana" w:cs="Arial"/>
          <w:sz w:val="18"/>
          <w:szCs w:val="18"/>
        </w:rPr>
        <w:t xml:space="preserve"> (hierna: ‘het akkoord’)</w:t>
      </w:r>
      <w:r w:rsidRPr="00590F99">
        <w:rPr>
          <w:rFonts w:ascii="Verdana" w:hAnsi="Verdana" w:cs="Arial"/>
          <w:sz w:val="18"/>
          <w:szCs w:val="18"/>
        </w:rPr>
        <w:t xml:space="preserve"> </w:t>
      </w:r>
      <w:r>
        <w:rPr>
          <w:rFonts w:ascii="Verdana" w:hAnsi="Verdana" w:cs="Arial"/>
          <w:sz w:val="18"/>
          <w:szCs w:val="18"/>
        </w:rPr>
        <w:t xml:space="preserve">legt </w:t>
      </w:r>
      <w:r w:rsidRPr="00590F99">
        <w:rPr>
          <w:rFonts w:ascii="Verdana" w:hAnsi="Verdana" w:cs="Arial"/>
          <w:sz w:val="18"/>
          <w:szCs w:val="18"/>
        </w:rPr>
        <w:t xml:space="preserve">de doelstelling en de basisbegrippen vast. De partijen bevestigen daarin hun gezamenlijke inzet om een voorspelbaar en veilig klimaat voor investeringen te creëren en de noodzakelijke afspraken te maken voor een effectieve bescherming van investeringen. In het hoofdstuk worden de verschillende definities </w:t>
      </w:r>
      <w:r>
        <w:rPr>
          <w:rFonts w:ascii="Verdana" w:hAnsi="Verdana" w:cs="Arial"/>
          <w:sz w:val="18"/>
          <w:szCs w:val="18"/>
        </w:rPr>
        <w:t>gegeven</w:t>
      </w:r>
      <w:r w:rsidRPr="00590F99">
        <w:rPr>
          <w:rFonts w:ascii="Verdana" w:hAnsi="Verdana" w:cs="Arial"/>
          <w:sz w:val="18"/>
          <w:szCs w:val="18"/>
        </w:rPr>
        <w:t xml:space="preserve"> </w:t>
      </w:r>
      <w:r>
        <w:rPr>
          <w:rFonts w:ascii="Verdana" w:hAnsi="Verdana" w:cs="Arial"/>
          <w:sz w:val="18"/>
          <w:szCs w:val="18"/>
        </w:rPr>
        <w:t>zoals die in het</w:t>
      </w:r>
      <w:r w:rsidRPr="00590F99">
        <w:rPr>
          <w:rFonts w:ascii="Verdana" w:hAnsi="Verdana" w:cs="Arial"/>
          <w:sz w:val="18"/>
          <w:szCs w:val="18"/>
        </w:rPr>
        <w:t xml:space="preserve"> akkoord </w:t>
      </w:r>
      <w:r>
        <w:rPr>
          <w:rFonts w:ascii="Verdana" w:hAnsi="Verdana" w:cs="Arial"/>
          <w:sz w:val="18"/>
          <w:szCs w:val="18"/>
        </w:rPr>
        <w:t>worden gehanteerd</w:t>
      </w:r>
      <w:r w:rsidRPr="00590F99">
        <w:rPr>
          <w:rFonts w:ascii="Verdana" w:hAnsi="Verdana" w:cs="Arial"/>
          <w:sz w:val="18"/>
          <w:szCs w:val="18"/>
        </w:rPr>
        <w:t xml:space="preserve">. Opvallend is dat portfolio-investeringen zijn uitgesloten van bescherming onder het akkoord. Portfolio-investeringen zijn investeringen die geen </w:t>
      </w:r>
      <w:r>
        <w:rPr>
          <w:rFonts w:ascii="Verdana" w:hAnsi="Verdana" w:cs="Arial"/>
          <w:sz w:val="18"/>
          <w:szCs w:val="18"/>
        </w:rPr>
        <w:t>zeggenschap</w:t>
      </w:r>
      <w:r w:rsidRPr="00590F99">
        <w:rPr>
          <w:rFonts w:ascii="Verdana" w:hAnsi="Verdana" w:cs="Arial"/>
          <w:sz w:val="18"/>
          <w:szCs w:val="18"/>
        </w:rPr>
        <w:t xml:space="preserve"> </w:t>
      </w:r>
      <w:r>
        <w:rPr>
          <w:rFonts w:ascii="Verdana" w:hAnsi="Verdana" w:cs="Arial"/>
          <w:sz w:val="18"/>
          <w:szCs w:val="18"/>
        </w:rPr>
        <w:t xml:space="preserve">opleveren </w:t>
      </w:r>
      <w:r w:rsidRPr="00590F99">
        <w:rPr>
          <w:rFonts w:ascii="Verdana" w:hAnsi="Verdana" w:cs="Arial"/>
          <w:sz w:val="18"/>
          <w:szCs w:val="18"/>
        </w:rPr>
        <w:t>of duurzaam</w:t>
      </w:r>
      <w:r>
        <w:rPr>
          <w:rFonts w:ascii="Verdana" w:hAnsi="Verdana" w:cs="Arial"/>
          <w:sz w:val="18"/>
          <w:szCs w:val="18"/>
        </w:rPr>
        <w:t xml:space="preserve"> </w:t>
      </w:r>
      <w:r w:rsidRPr="00590F99">
        <w:rPr>
          <w:rFonts w:ascii="Verdana" w:hAnsi="Verdana" w:cs="Arial"/>
          <w:sz w:val="18"/>
          <w:szCs w:val="18"/>
        </w:rPr>
        <w:t>belang geven</w:t>
      </w:r>
      <w:r>
        <w:rPr>
          <w:rFonts w:ascii="Verdana" w:hAnsi="Verdana" w:cs="Arial"/>
          <w:sz w:val="18"/>
          <w:szCs w:val="18"/>
        </w:rPr>
        <w:t xml:space="preserve"> </w:t>
      </w:r>
      <w:r w:rsidRPr="0014388D">
        <w:rPr>
          <w:rFonts w:ascii="Verdana" w:hAnsi="Verdana" w:cs="Arial"/>
          <w:sz w:val="18"/>
          <w:szCs w:val="18"/>
        </w:rPr>
        <w:t>in een rechtspersoon van de andere partij</w:t>
      </w:r>
      <w:r w:rsidRPr="00590F99">
        <w:rPr>
          <w:rFonts w:ascii="Verdana" w:hAnsi="Verdana" w:cs="Arial"/>
          <w:sz w:val="18"/>
          <w:szCs w:val="18"/>
        </w:rPr>
        <w:t>.</w:t>
      </w:r>
    </w:p>
    <w:p w:rsidRPr="00590F99" w:rsidR="005A7A16" w:rsidP="005A7A16" w:rsidRDefault="005A7A16" w14:paraId="074D5CC9" w14:textId="77777777">
      <w:pPr>
        <w:spacing w:line="276" w:lineRule="auto"/>
        <w:rPr>
          <w:rFonts w:ascii="Verdana" w:hAnsi="Verdana" w:cs="Arial"/>
          <w:sz w:val="18"/>
          <w:szCs w:val="18"/>
        </w:rPr>
      </w:pPr>
      <w:bookmarkStart w:name="_Hlk236650989" w:id="2"/>
      <w:bookmarkEnd w:id="0"/>
      <w:r w:rsidRPr="00590F99">
        <w:rPr>
          <w:rFonts w:ascii="Verdana" w:hAnsi="Verdana" w:cs="Arial"/>
          <w:sz w:val="18"/>
          <w:szCs w:val="18"/>
        </w:rPr>
        <w:t>Het tweede hoofdstuk bevat de materiële bepalingen over investeringsbescherming</w:t>
      </w:r>
      <w:r>
        <w:rPr>
          <w:rFonts w:ascii="Verdana" w:hAnsi="Verdana" w:cs="Arial"/>
          <w:sz w:val="18"/>
          <w:szCs w:val="18"/>
        </w:rPr>
        <w:t xml:space="preserve"> en legt  de reikwijdte van het akkoord vast</w:t>
      </w:r>
      <w:r w:rsidRPr="00590F99">
        <w:rPr>
          <w:rFonts w:ascii="Verdana" w:hAnsi="Verdana" w:cs="Arial"/>
          <w:sz w:val="18"/>
          <w:szCs w:val="18"/>
        </w:rPr>
        <w:t xml:space="preserve">. Een belangrijk onderdeel van het hoofdstuk is de bevestiging dat beide partijen het recht </w:t>
      </w:r>
      <w:r>
        <w:rPr>
          <w:rFonts w:ascii="Verdana" w:hAnsi="Verdana" w:cs="Arial"/>
          <w:sz w:val="18"/>
          <w:szCs w:val="18"/>
        </w:rPr>
        <w:t>be</w:t>
      </w:r>
      <w:r w:rsidRPr="00590F99">
        <w:rPr>
          <w:rFonts w:ascii="Verdana" w:hAnsi="Verdana" w:cs="Arial"/>
          <w:sz w:val="18"/>
          <w:szCs w:val="18"/>
        </w:rPr>
        <w:t xml:space="preserve">houden om </w:t>
      </w:r>
      <w:r>
        <w:rPr>
          <w:rFonts w:ascii="Verdana" w:hAnsi="Verdana" w:cs="Arial"/>
          <w:sz w:val="18"/>
          <w:szCs w:val="18"/>
        </w:rPr>
        <w:t>maatregelen te nemen</w:t>
      </w:r>
      <w:r w:rsidRPr="00590F99">
        <w:rPr>
          <w:rFonts w:ascii="Verdana" w:hAnsi="Verdana" w:cs="Arial"/>
          <w:sz w:val="18"/>
          <w:szCs w:val="18"/>
        </w:rPr>
        <w:t xml:space="preserve"> ter bescherming van legitieme beleidsdoelen, zoals volksgezondheid, veiligheid</w:t>
      </w:r>
      <w:r>
        <w:rPr>
          <w:rFonts w:ascii="Verdana" w:hAnsi="Verdana" w:cs="Arial"/>
          <w:sz w:val="18"/>
          <w:szCs w:val="18"/>
        </w:rPr>
        <w:t xml:space="preserve"> en</w:t>
      </w:r>
      <w:r w:rsidRPr="00590F99">
        <w:rPr>
          <w:rFonts w:ascii="Verdana" w:hAnsi="Verdana" w:cs="Arial"/>
          <w:sz w:val="18"/>
          <w:szCs w:val="18"/>
        </w:rPr>
        <w:t xml:space="preserve"> milieu en klimaat. </w:t>
      </w:r>
      <w:r>
        <w:rPr>
          <w:rFonts w:ascii="Verdana" w:hAnsi="Verdana" w:cs="Arial"/>
          <w:sz w:val="18"/>
          <w:szCs w:val="18"/>
        </w:rPr>
        <w:t>In het hoofdstuk</w:t>
      </w:r>
      <w:r w:rsidRPr="00590F99">
        <w:rPr>
          <w:rFonts w:ascii="Verdana" w:hAnsi="Verdana" w:cs="Arial"/>
          <w:sz w:val="18"/>
          <w:szCs w:val="18"/>
        </w:rPr>
        <w:t xml:space="preserve"> </w:t>
      </w:r>
      <w:r>
        <w:rPr>
          <w:rFonts w:ascii="Verdana" w:hAnsi="Verdana" w:cs="Arial"/>
          <w:sz w:val="18"/>
          <w:szCs w:val="18"/>
        </w:rPr>
        <w:t xml:space="preserve">wordt </w:t>
      </w:r>
      <w:r w:rsidRPr="00590F99">
        <w:rPr>
          <w:rFonts w:ascii="Verdana" w:hAnsi="Verdana" w:cs="Arial"/>
          <w:sz w:val="18"/>
          <w:szCs w:val="18"/>
        </w:rPr>
        <w:t>duidelijk gemaakt dat het akkoord niet garandeert dat wet</w:t>
      </w:r>
      <w:r w:rsidRPr="00590F99">
        <w:rPr>
          <w:rFonts w:ascii="Verdana" w:hAnsi="Verdana" w:cs="Arial"/>
          <w:sz w:val="18"/>
          <w:szCs w:val="18"/>
        </w:rPr>
        <w:noBreakHyphen/>
        <w:t xml:space="preserve"> en regelgeving onveranderd blijft, ook niet als wijzigingen nadelige gevolgen hebben voor investeringen of winstverwachtingen. </w:t>
      </w:r>
      <w:r>
        <w:rPr>
          <w:rFonts w:ascii="Verdana" w:hAnsi="Verdana" w:cs="Arial"/>
          <w:sz w:val="18"/>
          <w:szCs w:val="18"/>
        </w:rPr>
        <w:t xml:space="preserve">Dit is het zogenoemde ‘recht om te reguleren’. </w:t>
      </w:r>
      <w:r w:rsidRPr="00590F99">
        <w:rPr>
          <w:rFonts w:ascii="Verdana" w:hAnsi="Verdana" w:cs="Arial"/>
          <w:sz w:val="18"/>
          <w:szCs w:val="18"/>
        </w:rPr>
        <w:t xml:space="preserve">Het hoofdstuk legt ook verplichtingen vast voor nationale behandeling en </w:t>
      </w:r>
      <w:r>
        <w:rPr>
          <w:rFonts w:ascii="Verdana" w:hAnsi="Verdana" w:cs="Arial"/>
          <w:sz w:val="18"/>
          <w:szCs w:val="18"/>
        </w:rPr>
        <w:t xml:space="preserve">het </w:t>
      </w:r>
      <w:r w:rsidRPr="00590F99">
        <w:rPr>
          <w:rFonts w:ascii="Verdana" w:hAnsi="Verdana" w:cs="Arial"/>
          <w:sz w:val="18"/>
          <w:szCs w:val="18"/>
        </w:rPr>
        <w:t>meestbegunstig</w:t>
      </w:r>
      <w:r>
        <w:rPr>
          <w:rFonts w:ascii="Verdana" w:hAnsi="Verdana" w:cs="Arial"/>
          <w:sz w:val="18"/>
          <w:szCs w:val="18"/>
        </w:rPr>
        <w:t>ingsprincipe</w:t>
      </w:r>
      <w:r w:rsidRPr="00590F99">
        <w:rPr>
          <w:rFonts w:ascii="Verdana" w:hAnsi="Verdana" w:cs="Arial"/>
          <w:sz w:val="18"/>
          <w:szCs w:val="18"/>
        </w:rPr>
        <w:t xml:space="preserve">: investeerders en </w:t>
      </w:r>
      <w:r>
        <w:rPr>
          <w:rFonts w:ascii="Verdana" w:hAnsi="Verdana" w:cs="Arial"/>
          <w:sz w:val="18"/>
          <w:szCs w:val="18"/>
        </w:rPr>
        <w:t>onder het akkoord vallende</w:t>
      </w:r>
      <w:r w:rsidRPr="00590F99">
        <w:rPr>
          <w:rFonts w:ascii="Verdana" w:hAnsi="Verdana" w:cs="Arial"/>
          <w:sz w:val="18"/>
          <w:szCs w:val="18"/>
        </w:rPr>
        <w:t xml:space="preserve"> investeringen </w:t>
      </w:r>
      <w:r>
        <w:rPr>
          <w:rFonts w:ascii="Verdana" w:hAnsi="Verdana" w:cs="Arial"/>
          <w:sz w:val="18"/>
          <w:szCs w:val="18"/>
        </w:rPr>
        <w:t xml:space="preserve">(‘gedekte investeringen’) </w:t>
      </w:r>
      <w:r w:rsidRPr="00590F99">
        <w:rPr>
          <w:rFonts w:ascii="Verdana" w:hAnsi="Verdana" w:cs="Arial"/>
          <w:sz w:val="18"/>
          <w:szCs w:val="18"/>
        </w:rPr>
        <w:t xml:space="preserve">van de andere partij mogen in vergelijkbare situaties niet ongunstiger worden behandeld dan respectievelijk eigen investeerders en investeerders uit derde </w:t>
      </w:r>
      <w:r w:rsidRPr="00590F99">
        <w:rPr>
          <w:rFonts w:ascii="Verdana" w:hAnsi="Verdana" w:cs="Arial"/>
          <w:sz w:val="18"/>
          <w:szCs w:val="18"/>
        </w:rPr>
        <w:lastRenderedPageBreak/>
        <w:t xml:space="preserve">landen. Een </w:t>
      </w:r>
      <w:r>
        <w:rPr>
          <w:rFonts w:ascii="Verdana" w:hAnsi="Verdana" w:cs="Arial"/>
          <w:sz w:val="18"/>
          <w:szCs w:val="18"/>
        </w:rPr>
        <w:t xml:space="preserve">ander </w:t>
      </w:r>
      <w:r w:rsidRPr="00590F99">
        <w:rPr>
          <w:rFonts w:ascii="Verdana" w:hAnsi="Verdana" w:cs="Arial"/>
          <w:sz w:val="18"/>
          <w:szCs w:val="18"/>
        </w:rPr>
        <w:t xml:space="preserve">belangrijk onderdeel is de bepaling over eerlijke en billijke behandeling en volledige bescherming en veiligheid. Het akkoord concretiseert wanneer deze standaard wordt geschonden, bijvoorbeeld bij ontzegging van gerechtigheid en discriminatie op duidelijk onrechtmatige gronden. Zoals gebruikelijk bij dit soort </w:t>
      </w:r>
      <w:r>
        <w:rPr>
          <w:rFonts w:ascii="Verdana" w:hAnsi="Verdana" w:cs="Arial"/>
          <w:sz w:val="18"/>
          <w:szCs w:val="18"/>
        </w:rPr>
        <w:t>akkoorden</w:t>
      </w:r>
      <w:r w:rsidRPr="00590F99">
        <w:rPr>
          <w:rFonts w:ascii="Verdana" w:hAnsi="Verdana" w:cs="Arial"/>
          <w:sz w:val="18"/>
          <w:szCs w:val="18"/>
        </w:rPr>
        <w:t xml:space="preserve"> is er ook een artikel opgenomen over onteigening. Onteigening is alleen toegestaan voor een publiek doel, </w:t>
      </w:r>
      <w:r>
        <w:rPr>
          <w:rFonts w:ascii="Verdana" w:hAnsi="Verdana" w:cs="Arial"/>
          <w:sz w:val="18"/>
          <w:szCs w:val="18"/>
        </w:rPr>
        <w:t>met en inachtneming van een eerlijke rechtsgang.</w:t>
      </w:r>
      <w:r w:rsidRPr="00C70F45">
        <w:rPr>
          <w:rFonts w:ascii="Verdana" w:hAnsi="Verdana" w:cs="Arial"/>
          <w:sz w:val="18"/>
          <w:szCs w:val="18"/>
        </w:rPr>
        <w:t xml:space="preserve"> </w:t>
      </w:r>
      <w:r>
        <w:rPr>
          <w:rFonts w:ascii="Verdana" w:hAnsi="Verdana" w:cs="Arial"/>
          <w:sz w:val="18"/>
          <w:szCs w:val="18"/>
        </w:rPr>
        <w:t xml:space="preserve">Onteigening moet bovendien op </w:t>
      </w:r>
      <w:r w:rsidRPr="00590F99">
        <w:rPr>
          <w:rFonts w:ascii="Verdana" w:hAnsi="Verdana" w:cs="Arial"/>
          <w:sz w:val="18"/>
          <w:szCs w:val="18"/>
        </w:rPr>
        <w:t>niet</w:t>
      </w:r>
      <w:r w:rsidRPr="00590F99">
        <w:rPr>
          <w:rFonts w:ascii="Verdana" w:hAnsi="Verdana" w:cs="Arial"/>
          <w:sz w:val="18"/>
          <w:szCs w:val="18"/>
        </w:rPr>
        <w:noBreakHyphen/>
        <w:t xml:space="preserve">discriminerende wijze </w:t>
      </w:r>
      <w:r>
        <w:rPr>
          <w:rFonts w:ascii="Verdana" w:hAnsi="Verdana" w:cs="Arial"/>
          <w:sz w:val="18"/>
          <w:szCs w:val="18"/>
        </w:rPr>
        <w:t xml:space="preserve">geschieden </w:t>
      </w:r>
      <w:r w:rsidRPr="00590F99">
        <w:rPr>
          <w:rFonts w:ascii="Verdana" w:hAnsi="Verdana" w:cs="Arial"/>
          <w:sz w:val="18"/>
          <w:szCs w:val="18"/>
        </w:rPr>
        <w:t xml:space="preserve">en tegen marktconforme compensatie. Het hoofdstuk bevat ook regels over de vrije overdracht van kapitaal en opbrengsten die samenhangen met gedekte investeringen. </w:t>
      </w:r>
    </w:p>
    <w:bookmarkEnd w:id="2"/>
    <w:p w:rsidRPr="00590F99" w:rsidR="005A7A16" w:rsidP="005A7A16" w:rsidRDefault="005A7A16" w14:paraId="3DED3548" w14:textId="77777777">
      <w:pPr>
        <w:spacing w:line="276" w:lineRule="auto"/>
        <w:rPr>
          <w:rFonts w:ascii="Verdana" w:hAnsi="Verdana" w:cs="Arial"/>
          <w:sz w:val="18"/>
          <w:szCs w:val="18"/>
        </w:rPr>
      </w:pPr>
      <w:r>
        <w:rPr>
          <w:rFonts w:ascii="Verdana" w:hAnsi="Verdana" w:cs="Arial"/>
          <w:sz w:val="18"/>
          <w:szCs w:val="18"/>
        </w:rPr>
        <w:t>In het derde hoofdstuk wordt er een  bemiddelingsmechanisme opgericht. Dit bemiddelingsmechanisme heeft als doel om bij geschillen tussen een investeerder en een Verdragspartij relatief snel en op een informele manier tot een onderlinge oplossing te komen.</w:t>
      </w:r>
      <w:r w:rsidRPr="00590F99">
        <w:rPr>
          <w:rFonts w:ascii="Verdana" w:hAnsi="Verdana" w:cs="Arial"/>
          <w:sz w:val="18"/>
          <w:szCs w:val="18"/>
        </w:rPr>
        <w:t xml:space="preserve"> Beide partijen kunnen op elk moment om bemiddeling vragen</w:t>
      </w:r>
      <w:r>
        <w:rPr>
          <w:rFonts w:ascii="Verdana" w:hAnsi="Verdana" w:cs="Arial"/>
          <w:sz w:val="18"/>
          <w:szCs w:val="18"/>
        </w:rPr>
        <w:t>, waarbij het akkoord voorziet in een procedure hiervoor.</w:t>
      </w:r>
      <w:r w:rsidRPr="00590F99">
        <w:rPr>
          <w:rFonts w:ascii="Verdana" w:hAnsi="Verdana" w:cs="Arial"/>
          <w:sz w:val="18"/>
          <w:szCs w:val="18"/>
        </w:rPr>
        <w:t xml:space="preserve"> </w:t>
      </w:r>
      <w:r>
        <w:rPr>
          <w:rFonts w:ascii="Verdana" w:hAnsi="Verdana" w:cs="Arial"/>
          <w:sz w:val="18"/>
          <w:szCs w:val="18"/>
        </w:rPr>
        <w:t xml:space="preserve">De </w:t>
      </w:r>
      <w:r w:rsidRPr="00590F99">
        <w:rPr>
          <w:rFonts w:ascii="Verdana" w:hAnsi="Verdana" w:cs="Arial"/>
          <w:sz w:val="18"/>
          <w:szCs w:val="18"/>
        </w:rPr>
        <w:t>uitkomst is niet</w:t>
      </w:r>
      <w:r>
        <w:rPr>
          <w:rFonts w:ascii="Verdana" w:hAnsi="Verdana" w:cs="Arial"/>
          <w:sz w:val="18"/>
          <w:szCs w:val="18"/>
        </w:rPr>
        <w:t>-</w:t>
      </w:r>
      <w:r w:rsidRPr="00590F99">
        <w:rPr>
          <w:rFonts w:ascii="Verdana" w:hAnsi="Verdana" w:cs="Arial"/>
          <w:sz w:val="18"/>
          <w:szCs w:val="18"/>
        </w:rPr>
        <w:t>bindend, maar als er een oplossing wordt bereikt, moeten beide partijen die binnen de afgesproken termijn uitvoeren. In het akkoord is geen investeerder</w:t>
      </w:r>
      <w:r w:rsidRPr="00590F99">
        <w:rPr>
          <w:rFonts w:ascii="Verdana" w:hAnsi="Verdana" w:cs="Arial"/>
          <w:sz w:val="18"/>
          <w:szCs w:val="18"/>
        </w:rPr>
        <w:noBreakHyphen/>
        <w:t>staat</w:t>
      </w:r>
      <w:r w:rsidRPr="00590F99">
        <w:rPr>
          <w:rFonts w:ascii="Verdana" w:hAnsi="Verdana" w:cs="Arial"/>
          <w:sz w:val="18"/>
          <w:szCs w:val="18"/>
        </w:rPr>
        <w:noBreakHyphen/>
        <w:t>geschillenbeslechtingsmechanisme</w:t>
      </w:r>
      <w:r>
        <w:rPr>
          <w:rFonts w:ascii="Verdana" w:hAnsi="Verdana" w:cs="Arial"/>
          <w:sz w:val="18"/>
          <w:szCs w:val="18"/>
        </w:rPr>
        <w:t xml:space="preserve"> (ISDS)</w:t>
      </w:r>
      <w:r w:rsidRPr="00590F99">
        <w:rPr>
          <w:rFonts w:ascii="Verdana" w:hAnsi="Verdana" w:cs="Arial"/>
          <w:sz w:val="18"/>
          <w:szCs w:val="18"/>
        </w:rPr>
        <w:t xml:space="preserve"> opgenomen. In het zesde hoofdstuk wordt toegelicht dat beide partijen na het sluiten van deze overeenkomst zullen toewerken naar een zo modern mogelijk vormgegeven investeerder</w:t>
      </w:r>
      <w:r w:rsidRPr="00590F99">
        <w:rPr>
          <w:rFonts w:ascii="Verdana" w:hAnsi="Verdana" w:cs="Arial"/>
          <w:sz w:val="18"/>
          <w:szCs w:val="18"/>
        </w:rPr>
        <w:noBreakHyphen/>
        <w:t>staat</w:t>
      </w:r>
      <w:r w:rsidRPr="00590F99">
        <w:rPr>
          <w:rFonts w:ascii="Verdana" w:hAnsi="Verdana" w:cs="Arial"/>
          <w:sz w:val="18"/>
          <w:szCs w:val="18"/>
        </w:rPr>
        <w:noBreakHyphen/>
        <w:t>geschillenbeslechtingsmechanisme, waarbij zij rekening houden met de voortgang van hervormingen op het gebied van investeringsgeschillenbeslechting in internationale fora.</w:t>
      </w:r>
      <w:r>
        <w:rPr>
          <w:rFonts w:ascii="Verdana" w:hAnsi="Verdana" w:cs="Arial"/>
          <w:sz w:val="18"/>
          <w:szCs w:val="18"/>
        </w:rPr>
        <w:t xml:space="preserve"> </w:t>
      </w:r>
    </w:p>
    <w:p w:rsidRPr="00590F99" w:rsidR="005A7A16" w:rsidP="005A7A16" w:rsidRDefault="005A7A16" w14:paraId="5021CFB7" w14:textId="77777777">
      <w:pPr>
        <w:pStyle w:val="Lijstalinea"/>
        <w:numPr>
          <w:ilvl w:val="0"/>
          <w:numId w:val="3"/>
        </w:numPr>
        <w:pBdr>
          <w:bottom w:val="single" w:color="auto" w:sz="6" w:space="1"/>
        </w:pBdr>
        <w:spacing w:after="0" w:line="240" w:lineRule="auto"/>
        <w:jc w:val="center"/>
        <w:rPr>
          <w:rFonts w:ascii="Verdana" w:hAnsi="Verdana" w:eastAsia="Times New Roman" w:cs="Arial"/>
          <w:vanish/>
          <w:kern w:val="0"/>
          <w:sz w:val="18"/>
          <w:szCs w:val="18"/>
          <w:lang w:eastAsia="nl-NL"/>
          <w14:ligatures w14:val="none"/>
        </w:rPr>
      </w:pPr>
      <w:r w:rsidRPr="00590F99">
        <w:rPr>
          <w:rFonts w:ascii="Verdana" w:hAnsi="Verdana" w:eastAsia="Times New Roman" w:cs="Arial"/>
          <w:vanish/>
          <w:kern w:val="0"/>
          <w:sz w:val="18"/>
          <w:szCs w:val="18"/>
          <w:lang w:eastAsia="nl-NL"/>
          <w14:ligatures w14:val="none"/>
        </w:rPr>
        <w:t>Bovenkant formulier</w:t>
      </w:r>
    </w:p>
    <w:p w:rsidRPr="00590F99" w:rsidR="005A7A16" w:rsidP="005A7A16" w:rsidRDefault="005A7A16" w14:paraId="3C2A810A" w14:textId="77777777">
      <w:pPr>
        <w:pStyle w:val="Lijstalinea"/>
        <w:numPr>
          <w:ilvl w:val="0"/>
          <w:numId w:val="3"/>
        </w:numPr>
        <w:pBdr>
          <w:top w:val="single" w:color="auto" w:sz="6" w:space="1"/>
        </w:pBdr>
        <w:spacing w:after="0" w:line="240" w:lineRule="auto"/>
        <w:jc w:val="center"/>
        <w:rPr>
          <w:rFonts w:ascii="Verdana" w:hAnsi="Verdana" w:eastAsia="Times New Roman" w:cs="Arial"/>
          <w:vanish/>
          <w:kern w:val="0"/>
          <w:sz w:val="18"/>
          <w:szCs w:val="18"/>
          <w:lang w:eastAsia="nl-NL"/>
          <w14:ligatures w14:val="none"/>
        </w:rPr>
      </w:pPr>
      <w:r w:rsidRPr="00590F99">
        <w:rPr>
          <w:rFonts w:ascii="Verdana" w:hAnsi="Verdana" w:eastAsia="Times New Roman" w:cs="Arial"/>
          <w:vanish/>
          <w:kern w:val="0"/>
          <w:sz w:val="18"/>
          <w:szCs w:val="18"/>
          <w:lang w:eastAsia="nl-NL"/>
          <w14:ligatures w14:val="none"/>
        </w:rPr>
        <w:t>Onderkant formulier</w:t>
      </w:r>
    </w:p>
    <w:p w:rsidRPr="00590F99" w:rsidR="005A7A16" w:rsidP="005A7A16" w:rsidRDefault="005A7A16" w14:paraId="45A52324" w14:textId="77777777">
      <w:pPr>
        <w:spacing w:line="276" w:lineRule="auto"/>
        <w:rPr>
          <w:rFonts w:ascii="Verdana" w:hAnsi="Verdana" w:cs="Arial"/>
          <w:b/>
          <w:sz w:val="18"/>
          <w:szCs w:val="18"/>
        </w:rPr>
      </w:pPr>
      <w:r w:rsidRPr="00590F99">
        <w:rPr>
          <w:rFonts w:ascii="Verdana" w:hAnsi="Verdana" w:cs="Arial"/>
          <w:sz w:val="18"/>
          <w:szCs w:val="18"/>
        </w:rPr>
        <w:t>Het vierde hoofdstuk introduceert een geschillenbeslechtingsmechanisme tussen de twee verdragspartijen. Het is een zogenoemd staat</w:t>
      </w:r>
      <w:r w:rsidRPr="00590F99">
        <w:rPr>
          <w:rFonts w:ascii="Verdana" w:hAnsi="Verdana" w:cs="Arial"/>
          <w:sz w:val="18"/>
          <w:szCs w:val="18"/>
        </w:rPr>
        <w:noBreakHyphen/>
        <w:t>tot</w:t>
      </w:r>
      <w:r w:rsidRPr="00590F99">
        <w:rPr>
          <w:rFonts w:ascii="Verdana" w:hAnsi="Verdana" w:cs="Arial"/>
          <w:sz w:val="18"/>
          <w:szCs w:val="18"/>
        </w:rPr>
        <w:noBreakHyphen/>
        <w:t>staat</w:t>
      </w:r>
      <w:r w:rsidRPr="00590F99">
        <w:rPr>
          <w:rFonts w:ascii="Verdana" w:hAnsi="Verdana" w:cs="Arial"/>
          <w:sz w:val="18"/>
          <w:szCs w:val="18"/>
        </w:rPr>
        <w:noBreakHyphen/>
        <w:t xml:space="preserve">geschillenbeslechtingsmechanisme. De partijen moeten een geschil eerst via consultaties proberen op te lossen. Als consultaties niet tot een oplossing leiden, kan een arbitragepanel van drie onafhankelijke </w:t>
      </w:r>
      <w:r>
        <w:rPr>
          <w:rFonts w:ascii="Verdana" w:hAnsi="Verdana" w:cs="Arial"/>
          <w:sz w:val="18"/>
          <w:szCs w:val="18"/>
        </w:rPr>
        <w:t>leden</w:t>
      </w:r>
      <w:r w:rsidRPr="00590F99">
        <w:rPr>
          <w:rFonts w:ascii="Verdana" w:hAnsi="Verdana" w:cs="Arial"/>
          <w:sz w:val="18"/>
          <w:szCs w:val="18"/>
        </w:rPr>
        <w:t xml:space="preserve"> worden ingesteld. Het hoofdstuk regelt de selectie, vereisten en onafhankelijkheid van panel</w:t>
      </w:r>
      <w:r>
        <w:rPr>
          <w:rFonts w:ascii="Verdana" w:hAnsi="Verdana" w:cs="Arial"/>
          <w:sz w:val="18"/>
          <w:szCs w:val="18"/>
        </w:rPr>
        <w:t>leden</w:t>
      </w:r>
      <w:r w:rsidRPr="00590F99">
        <w:rPr>
          <w:rFonts w:ascii="Verdana" w:hAnsi="Verdana" w:cs="Arial"/>
          <w:sz w:val="18"/>
          <w:szCs w:val="18"/>
        </w:rPr>
        <w:t>, de taak van het panel, en de termijnen voor een interim</w:t>
      </w:r>
      <w:r w:rsidRPr="00590F99">
        <w:rPr>
          <w:rFonts w:ascii="Verdana" w:hAnsi="Verdana" w:cs="Arial"/>
          <w:sz w:val="18"/>
          <w:szCs w:val="18"/>
        </w:rPr>
        <w:noBreakHyphen/>
        <w:t xml:space="preserve"> en eindrapport. Na het eindrapport moet de partij die in strijd met het akkoord handelt zelf maatregelen nemen om binnen een redelijke termijn</w:t>
      </w:r>
      <w:r>
        <w:rPr>
          <w:rFonts w:ascii="Verdana" w:hAnsi="Verdana" w:cs="Arial"/>
          <w:sz w:val="18"/>
          <w:szCs w:val="18"/>
        </w:rPr>
        <w:t xml:space="preserve"> </w:t>
      </w:r>
      <w:r w:rsidRPr="00590F99">
        <w:rPr>
          <w:rFonts w:ascii="Verdana" w:hAnsi="Verdana" w:cs="Arial"/>
          <w:sz w:val="18"/>
          <w:szCs w:val="18"/>
        </w:rPr>
        <w:t>weer in overeenstemming</w:t>
      </w:r>
      <w:r>
        <w:rPr>
          <w:rFonts w:ascii="Verdana" w:hAnsi="Verdana" w:cs="Arial"/>
          <w:sz w:val="18"/>
          <w:szCs w:val="18"/>
        </w:rPr>
        <w:t xml:space="preserve"> met het akkoord</w:t>
      </w:r>
      <w:r w:rsidRPr="00590F99">
        <w:rPr>
          <w:rFonts w:ascii="Verdana" w:hAnsi="Verdana" w:cs="Arial"/>
          <w:sz w:val="18"/>
          <w:szCs w:val="18"/>
        </w:rPr>
        <w:t xml:space="preserve"> te </w:t>
      </w:r>
      <w:r>
        <w:rPr>
          <w:rFonts w:ascii="Verdana" w:hAnsi="Verdana" w:cs="Arial"/>
          <w:sz w:val="18"/>
          <w:szCs w:val="18"/>
        </w:rPr>
        <w:t>handelen</w:t>
      </w:r>
      <w:r w:rsidRPr="00590F99">
        <w:rPr>
          <w:rFonts w:ascii="Verdana" w:hAnsi="Verdana" w:cs="Arial"/>
          <w:sz w:val="18"/>
          <w:szCs w:val="18"/>
        </w:rPr>
        <w:t xml:space="preserve">. Als het panel oordeelt dat er geen of onvoldoende naleving is, kan de in het gelijk gestelde partij tijdelijke maatregelen </w:t>
      </w:r>
      <w:r>
        <w:rPr>
          <w:rFonts w:ascii="Verdana" w:hAnsi="Verdana" w:cs="Arial"/>
          <w:sz w:val="18"/>
          <w:szCs w:val="18"/>
        </w:rPr>
        <w:t>nemen. Dit kan zijn</w:t>
      </w:r>
      <w:r w:rsidRPr="00590F99">
        <w:rPr>
          <w:rFonts w:ascii="Verdana" w:hAnsi="Verdana" w:cs="Arial"/>
          <w:sz w:val="18"/>
          <w:szCs w:val="18"/>
        </w:rPr>
        <w:t xml:space="preserve"> het aanbieden of vragen van compensatie, of, als uiterste middel, het (evenredig) opschorten van verplichtingen onder het akkoord. Zodra het panel heeft vastgesteld dat naleving is hersteld of partijen een onderlinge oplossing hebben bereikt, moeten deze tijdelijke maatregelen worden beëindigd. Naast consultaties en het formele geschillenbeslechtingsmechanisme regelt hoofdstuk vier ook een aanvullende vorm van bemiddeling tussen de partijen. Dit bemiddelingsmechanisme stelt hen in staat om, onder begeleiding van een onafhankelijke mediator, op een gestructureerde wijze tot een onderlinge oplossing te komen. Tot slot bevat het akkoord enkele gemeenschappelijke bepalingen rond geschillenbeslechting. Daarnaast worden regels opgenomen over onder andere transparantie en de mogelijkheid voor derden om als </w:t>
      </w:r>
      <w:r w:rsidRPr="00590F99">
        <w:rPr>
          <w:rFonts w:ascii="Verdana" w:hAnsi="Verdana" w:cs="Arial"/>
          <w:i/>
          <w:sz w:val="18"/>
          <w:szCs w:val="18"/>
        </w:rPr>
        <w:t>amicus curiae</w:t>
      </w:r>
      <w:r w:rsidRPr="00590F99">
        <w:rPr>
          <w:rFonts w:ascii="Verdana" w:hAnsi="Verdana" w:cs="Arial"/>
          <w:sz w:val="18"/>
          <w:szCs w:val="18"/>
        </w:rPr>
        <w:t xml:space="preserve"> schriftelijke inbreng te leveren</w:t>
      </w:r>
      <w:r>
        <w:rPr>
          <w:rFonts w:ascii="Verdana" w:hAnsi="Verdana" w:cs="Arial"/>
          <w:sz w:val="18"/>
          <w:szCs w:val="18"/>
        </w:rPr>
        <w:t xml:space="preserve"> in de geschillenbeslechtingsprocedure</w:t>
      </w:r>
      <w:r w:rsidRPr="00590F99">
        <w:rPr>
          <w:rFonts w:ascii="Verdana" w:hAnsi="Verdana" w:cs="Arial"/>
          <w:sz w:val="18"/>
          <w:szCs w:val="18"/>
        </w:rPr>
        <w:t>. Deze mogelijkheid staat open voor natuurlijke personen en rechtspersonen uit de EU en Indonesië die onafhankelijk zijn van de regeringen</w:t>
      </w:r>
      <w:r>
        <w:rPr>
          <w:rFonts w:ascii="Verdana" w:hAnsi="Verdana" w:cs="Arial"/>
          <w:sz w:val="18"/>
          <w:szCs w:val="18"/>
        </w:rPr>
        <w:t xml:space="preserve"> </w:t>
      </w:r>
      <w:r w:rsidRPr="00590F99">
        <w:rPr>
          <w:rFonts w:ascii="Verdana" w:hAnsi="Verdana" w:cs="Arial"/>
          <w:sz w:val="18"/>
          <w:szCs w:val="18"/>
        </w:rPr>
        <w:t xml:space="preserve">binnen de in de procesregels </w:t>
      </w:r>
      <w:r>
        <w:rPr>
          <w:rFonts w:ascii="Verdana" w:hAnsi="Verdana" w:cs="Arial"/>
          <w:sz w:val="18"/>
          <w:szCs w:val="18"/>
        </w:rPr>
        <w:t xml:space="preserve">van het panel </w:t>
      </w:r>
      <w:r w:rsidRPr="00590F99">
        <w:rPr>
          <w:rFonts w:ascii="Verdana" w:hAnsi="Verdana" w:cs="Arial"/>
          <w:sz w:val="18"/>
          <w:szCs w:val="18"/>
        </w:rPr>
        <w:t xml:space="preserve">vastgelegde voorwaarden. </w:t>
      </w:r>
    </w:p>
    <w:p w:rsidRPr="00590F99" w:rsidR="005A7A16" w:rsidP="005A7A16" w:rsidRDefault="005A7A16" w14:paraId="6B41F2FE" w14:textId="77777777">
      <w:pPr>
        <w:spacing w:line="276" w:lineRule="auto"/>
        <w:rPr>
          <w:rFonts w:ascii="Verdana" w:hAnsi="Verdana" w:cs="Arial"/>
          <w:sz w:val="18"/>
          <w:szCs w:val="18"/>
        </w:rPr>
      </w:pPr>
      <w:r w:rsidRPr="00590F99">
        <w:rPr>
          <w:rFonts w:ascii="Verdana" w:hAnsi="Verdana" w:cs="Arial"/>
          <w:sz w:val="18"/>
          <w:szCs w:val="18"/>
        </w:rPr>
        <w:t xml:space="preserve">Het vijfde hoofdstuk bevat uitzonderingsbepalingen van het akkoord. </w:t>
      </w:r>
      <w:r>
        <w:rPr>
          <w:rFonts w:ascii="Verdana" w:hAnsi="Verdana" w:cs="Arial"/>
          <w:sz w:val="18"/>
          <w:szCs w:val="18"/>
        </w:rPr>
        <w:t xml:space="preserve">Zo wordt onder andere bepaald dat </w:t>
      </w:r>
      <w:r w:rsidRPr="00590F99">
        <w:rPr>
          <w:rFonts w:ascii="Verdana" w:hAnsi="Verdana" w:cs="Arial"/>
          <w:sz w:val="18"/>
          <w:szCs w:val="18"/>
        </w:rPr>
        <w:t xml:space="preserve">partijen de mogelijkheid </w:t>
      </w:r>
      <w:r>
        <w:rPr>
          <w:rFonts w:ascii="Verdana" w:hAnsi="Verdana" w:cs="Arial"/>
          <w:sz w:val="18"/>
          <w:szCs w:val="18"/>
        </w:rPr>
        <w:t xml:space="preserve">hebben </w:t>
      </w:r>
      <w:r w:rsidRPr="00590F99">
        <w:rPr>
          <w:rFonts w:ascii="Verdana" w:hAnsi="Verdana" w:cs="Arial"/>
          <w:sz w:val="18"/>
          <w:szCs w:val="18"/>
        </w:rPr>
        <w:t xml:space="preserve">om in specifieke gevallen de voordelen van het akkoord te </w:t>
      </w:r>
      <w:r>
        <w:rPr>
          <w:rFonts w:ascii="Verdana" w:hAnsi="Verdana" w:cs="Arial"/>
          <w:sz w:val="18"/>
          <w:szCs w:val="18"/>
        </w:rPr>
        <w:t>ontzeggen</w:t>
      </w:r>
      <w:r w:rsidRPr="00590F99">
        <w:rPr>
          <w:rFonts w:ascii="Verdana" w:hAnsi="Verdana" w:cs="Arial"/>
          <w:sz w:val="18"/>
          <w:szCs w:val="18"/>
        </w:rPr>
        <w:t>, bijvoorbeeld bij maatregelen ter handhaving van internationale vrede en veiligheid</w:t>
      </w:r>
      <w:r>
        <w:rPr>
          <w:rFonts w:ascii="Verdana" w:hAnsi="Verdana" w:cs="Arial"/>
          <w:sz w:val="18"/>
          <w:szCs w:val="18"/>
        </w:rPr>
        <w:t xml:space="preserve">. </w:t>
      </w:r>
      <w:r w:rsidRPr="00590F99">
        <w:rPr>
          <w:rFonts w:ascii="Verdana" w:hAnsi="Verdana" w:cs="Arial"/>
          <w:sz w:val="18"/>
          <w:szCs w:val="18"/>
        </w:rPr>
        <w:t xml:space="preserve">Verder wordt </w:t>
      </w:r>
      <w:r>
        <w:rPr>
          <w:rFonts w:ascii="Verdana" w:hAnsi="Verdana" w:cs="Arial"/>
          <w:sz w:val="18"/>
          <w:szCs w:val="18"/>
        </w:rPr>
        <w:t xml:space="preserve">onder andere </w:t>
      </w:r>
      <w:r w:rsidRPr="00590F99">
        <w:rPr>
          <w:rFonts w:ascii="Verdana" w:hAnsi="Verdana" w:cs="Arial"/>
          <w:sz w:val="18"/>
          <w:szCs w:val="18"/>
        </w:rPr>
        <w:t>een prudentiële uitzondering opgenomen voor maatregelen ter bescherming van de stabiliteit en integriteit van het financiële systeem</w:t>
      </w:r>
      <w:r>
        <w:rPr>
          <w:rFonts w:ascii="Verdana" w:hAnsi="Verdana" w:cs="Arial"/>
          <w:sz w:val="18"/>
          <w:szCs w:val="18"/>
        </w:rPr>
        <w:t xml:space="preserve">. </w:t>
      </w:r>
      <w:r w:rsidRPr="00590F99">
        <w:rPr>
          <w:rFonts w:ascii="Verdana" w:hAnsi="Verdana" w:cs="Arial"/>
          <w:sz w:val="18"/>
          <w:szCs w:val="18"/>
        </w:rPr>
        <w:t xml:space="preserve"> </w:t>
      </w:r>
    </w:p>
    <w:p w:rsidRPr="00590F99" w:rsidR="005A7A16" w:rsidP="005A7A16" w:rsidRDefault="005A7A16" w14:paraId="5C13EF16" w14:textId="77777777">
      <w:pPr>
        <w:spacing w:line="276" w:lineRule="auto"/>
        <w:rPr>
          <w:rFonts w:ascii="Verdana" w:hAnsi="Verdana" w:cs="Arial"/>
          <w:sz w:val="18"/>
          <w:szCs w:val="18"/>
        </w:rPr>
      </w:pPr>
      <w:r w:rsidRPr="00590F99">
        <w:rPr>
          <w:rFonts w:ascii="Verdana" w:hAnsi="Verdana" w:cs="Arial"/>
          <w:sz w:val="18"/>
          <w:szCs w:val="18"/>
        </w:rPr>
        <w:t xml:space="preserve">Het zesde hoofdstuk regelt de institutionele structuur en </w:t>
      </w:r>
      <w:r>
        <w:rPr>
          <w:rFonts w:ascii="Verdana" w:hAnsi="Verdana" w:cs="Arial"/>
          <w:sz w:val="18"/>
          <w:szCs w:val="18"/>
        </w:rPr>
        <w:t xml:space="preserve">bevat </w:t>
      </w:r>
      <w:r w:rsidRPr="00590F99">
        <w:rPr>
          <w:rFonts w:ascii="Verdana" w:hAnsi="Verdana" w:cs="Arial"/>
          <w:sz w:val="18"/>
          <w:szCs w:val="18"/>
        </w:rPr>
        <w:t xml:space="preserve">de slotbepalingen van het akkoord. Het richt een comité op, dat de goede werking van het akkoord moet bewaken. </w:t>
      </w:r>
      <w:r>
        <w:rPr>
          <w:rFonts w:ascii="Verdana" w:hAnsi="Verdana" w:cs="Arial"/>
          <w:sz w:val="18"/>
          <w:szCs w:val="18"/>
        </w:rPr>
        <w:t>Tevens kan het comité bepaalde onderdelen van het akkoord wijzigen.</w:t>
      </w:r>
      <w:r w:rsidRPr="00590F99">
        <w:rPr>
          <w:rFonts w:ascii="Verdana" w:hAnsi="Verdana" w:cs="Arial"/>
          <w:sz w:val="18"/>
          <w:szCs w:val="18"/>
        </w:rPr>
        <w:t xml:space="preserve"> De partijen</w:t>
      </w:r>
      <w:r>
        <w:rPr>
          <w:rFonts w:ascii="Verdana" w:hAnsi="Verdana" w:cs="Arial"/>
          <w:sz w:val="18"/>
          <w:szCs w:val="18"/>
        </w:rPr>
        <w:t xml:space="preserve"> </w:t>
      </w:r>
      <w:r w:rsidRPr="00590F99">
        <w:rPr>
          <w:rFonts w:ascii="Verdana" w:hAnsi="Verdana" w:cs="Arial"/>
          <w:sz w:val="18"/>
          <w:szCs w:val="18"/>
        </w:rPr>
        <w:t>spreken</w:t>
      </w:r>
      <w:r>
        <w:rPr>
          <w:rFonts w:ascii="Verdana" w:hAnsi="Verdana" w:cs="Arial"/>
          <w:sz w:val="18"/>
          <w:szCs w:val="18"/>
        </w:rPr>
        <w:t xml:space="preserve"> daarnaast</w:t>
      </w:r>
      <w:r w:rsidRPr="00590F99">
        <w:rPr>
          <w:rFonts w:ascii="Verdana" w:hAnsi="Verdana" w:cs="Arial"/>
          <w:sz w:val="18"/>
          <w:szCs w:val="18"/>
        </w:rPr>
        <w:t xml:space="preserve"> af </w:t>
      </w:r>
      <w:r>
        <w:rPr>
          <w:rFonts w:ascii="Verdana" w:hAnsi="Verdana" w:cs="Arial"/>
          <w:sz w:val="18"/>
          <w:szCs w:val="18"/>
        </w:rPr>
        <w:t xml:space="preserve">om </w:t>
      </w:r>
      <w:r w:rsidRPr="00590F99">
        <w:rPr>
          <w:rFonts w:ascii="Verdana" w:hAnsi="Verdana" w:cs="Arial"/>
          <w:sz w:val="18"/>
          <w:szCs w:val="18"/>
        </w:rPr>
        <w:t xml:space="preserve">na inwerkingtreding </w:t>
      </w:r>
      <w:r>
        <w:rPr>
          <w:rFonts w:ascii="Verdana" w:hAnsi="Verdana" w:cs="Arial"/>
          <w:sz w:val="18"/>
          <w:szCs w:val="18"/>
        </w:rPr>
        <w:t xml:space="preserve">van het akkoord </w:t>
      </w:r>
      <w:r w:rsidRPr="00590F99">
        <w:rPr>
          <w:rFonts w:ascii="Verdana" w:hAnsi="Verdana" w:cs="Arial"/>
          <w:sz w:val="18"/>
          <w:szCs w:val="18"/>
        </w:rPr>
        <w:t>verder te onderhandelen over een modern en geavanceerd vormgegeven investeerder</w:t>
      </w:r>
      <w:r w:rsidRPr="00590F99">
        <w:rPr>
          <w:rFonts w:ascii="Verdana" w:hAnsi="Verdana" w:cs="Arial"/>
          <w:sz w:val="18"/>
          <w:szCs w:val="18"/>
        </w:rPr>
        <w:noBreakHyphen/>
        <w:t>staat</w:t>
      </w:r>
      <w:r w:rsidRPr="00590F99">
        <w:rPr>
          <w:rFonts w:ascii="Verdana" w:hAnsi="Verdana" w:cs="Arial"/>
          <w:sz w:val="18"/>
          <w:szCs w:val="18"/>
        </w:rPr>
        <w:noBreakHyphen/>
        <w:t>geschillenbeslechtingsmechanisme</w:t>
      </w:r>
      <w:r w:rsidRPr="00590F99" w:rsidDel="00223117">
        <w:rPr>
          <w:rFonts w:ascii="Verdana" w:hAnsi="Verdana" w:cs="Arial"/>
          <w:sz w:val="18"/>
          <w:szCs w:val="18"/>
        </w:rPr>
        <w:t xml:space="preserve"> </w:t>
      </w:r>
      <w:r w:rsidRPr="00590F99">
        <w:rPr>
          <w:rFonts w:ascii="Verdana" w:hAnsi="Verdana" w:cs="Arial"/>
          <w:sz w:val="18"/>
          <w:szCs w:val="18"/>
        </w:rPr>
        <w:t>voor schendingen van de investeringsbeschermingsbepalingen. Het akkoord gaat niet specifiek in op</w:t>
      </w:r>
      <w:r>
        <w:rPr>
          <w:rFonts w:ascii="Verdana" w:hAnsi="Verdana" w:cs="Arial"/>
          <w:sz w:val="18"/>
          <w:szCs w:val="18"/>
        </w:rPr>
        <w:t xml:space="preserve"> hoe</w:t>
      </w:r>
      <w:r w:rsidRPr="00590F99">
        <w:rPr>
          <w:rFonts w:ascii="Verdana" w:hAnsi="Verdana" w:cs="Arial"/>
          <w:sz w:val="18"/>
          <w:szCs w:val="18"/>
        </w:rPr>
        <w:t xml:space="preserve"> </w:t>
      </w:r>
      <w:r>
        <w:rPr>
          <w:rFonts w:ascii="Verdana" w:hAnsi="Verdana" w:cs="Arial"/>
          <w:sz w:val="18"/>
          <w:szCs w:val="18"/>
        </w:rPr>
        <w:t>dit ISDS-mechanisme</w:t>
      </w:r>
      <w:r w:rsidRPr="00590F99">
        <w:rPr>
          <w:rFonts w:ascii="Verdana" w:hAnsi="Verdana" w:cs="Arial"/>
          <w:sz w:val="18"/>
          <w:szCs w:val="18"/>
        </w:rPr>
        <w:t xml:space="preserve"> eruit moet zien, behalve dat het aan moet sluiten bij ontwikkelingen in relevante </w:t>
      </w:r>
      <w:r w:rsidRPr="00590F99">
        <w:rPr>
          <w:rFonts w:ascii="Verdana" w:hAnsi="Verdana" w:cs="Arial"/>
          <w:sz w:val="18"/>
          <w:szCs w:val="18"/>
        </w:rPr>
        <w:lastRenderedPageBreak/>
        <w:t xml:space="preserve">internationale fora. Binnen drie jaar na de inwerkingtreding van dit akkoord moeten deze onderhandelingen zijn afgerond. </w:t>
      </w:r>
    </w:p>
    <w:p w:rsidRPr="001F6478" w:rsidR="005A7A16" w:rsidP="005A7A16" w:rsidRDefault="005A7A16" w14:paraId="03C7FFBB" w14:textId="77777777">
      <w:pPr>
        <w:pStyle w:val="Lijstalinea"/>
        <w:numPr>
          <w:ilvl w:val="0"/>
          <w:numId w:val="6"/>
        </w:numPr>
        <w:spacing w:line="276" w:lineRule="auto"/>
        <w:rPr>
          <w:rFonts w:ascii="Verdana" w:hAnsi="Verdana" w:eastAsia="DejaVu Sans" w:cs="Lohit Hindi"/>
          <w:b/>
          <w:bCs/>
          <w:color w:val="000000"/>
          <w:kern w:val="0"/>
          <w:sz w:val="18"/>
          <w:szCs w:val="18"/>
          <w:lang w:eastAsia="nl-NL"/>
          <w14:ligatures w14:val="none"/>
        </w:rPr>
      </w:pPr>
      <w:r w:rsidRPr="001F6478">
        <w:rPr>
          <w:rFonts w:ascii="Verdana" w:hAnsi="Verdana" w:eastAsia="DejaVu Sans" w:cs="Lohit Hindi"/>
          <w:b/>
          <w:bCs/>
          <w:color w:val="000000"/>
          <w:kern w:val="0"/>
          <w:sz w:val="18"/>
          <w:szCs w:val="18"/>
          <w:lang w:eastAsia="nl-NL"/>
          <w14:ligatures w14:val="none"/>
        </w:rPr>
        <w:t>Kabinetsappreciatie van het akkoord</w:t>
      </w:r>
    </w:p>
    <w:p w:rsidRPr="00590F99" w:rsidR="005A7A16" w:rsidP="005A7A16" w:rsidRDefault="005A7A16" w14:paraId="2AAA4928" w14:textId="77777777">
      <w:pPr>
        <w:spacing w:line="276" w:lineRule="auto"/>
        <w:rPr>
          <w:rFonts w:ascii="Verdana" w:hAnsi="Verdana" w:cs="Arial"/>
          <w:sz w:val="18"/>
          <w:szCs w:val="18"/>
        </w:rPr>
      </w:pPr>
      <w:r>
        <w:rPr>
          <w:rFonts w:ascii="Verdana" w:hAnsi="Verdana" w:cs="Arial"/>
          <w:sz w:val="18"/>
          <w:szCs w:val="18"/>
        </w:rPr>
        <w:t xml:space="preserve">Het kabinet verwelkomt het bereiken van overeenstemming met Indonesië over afspraken over investeringsbescherming, dat bijdraagt aan de bevordering van grensoverschrijdende investeringen en zorgt voor het vergroten van rechtszekerheid. Het akkoord past binnen de bredere inzet van het kabinet om de diversificatie van handelspartners te vergroten en </w:t>
      </w:r>
      <w:r w:rsidRPr="00A0318B">
        <w:rPr>
          <w:rFonts w:ascii="Verdana" w:hAnsi="Verdana" w:cs="Arial"/>
          <w:sz w:val="18"/>
          <w:szCs w:val="18"/>
        </w:rPr>
        <w:t>versterkt de relatie tussen Nederland en Indonesië</w:t>
      </w:r>
      <w:r>
        <w:rPr>
          <w:rFonts w:ascii="Verdana" w:hAnsi="Verdana" w:cs="Arial"/>
          <w:sz w:val="18"/>
          <w:szCs w:val="18"/>
        </w:rPr>
        <w:t>. Een dergelijk akkoord is daarom niet alleen</w:t>
      </w:r>
      <w:r w:rsidRPr="00A0318B">
        <w:rPr>
          <w:rFonts w:ascii="Verdana" w:hAnsi="Verdana" w:cs="Arial"/>
          <w:sz w:val="18"/>
          <w:szCs w:val="18"/>
        </w:rPr>
        <w:t xml:space="preserve"> vanuit economisch</w:t>
      </w:r>
      <w:r>
        <w:rPr>
          <w:rFonts w:ascii="Verdana" w:hAnsi="Verdana" w:cs="Arial"/>
          <w:sz w:val="18"/>
          <w:szCs w:val="18"/>
        </w:rPr>
        <w:t>,</w:t>
      </w:r>
      <w:r w:rsidRPr="00A0318B">
        <w:rPr>
          <w:rFonts w:ascii="Verdana" w:hAnsi="Verdana" w:cs="Arial"/>
          <w:sz w:val="18"/>
          <w:szCs w:val="18"/>
        </w:rPr>
        <w:t xml:space="preserve"> maar ook vanuit geopolitiek opzicht van belang</w:t>
      </w:r>
      <w:r>
        <w:rPr>
          <w:rFonts w:ascii="Verdana" w:hAnsi="Verdana" w:cs="Arial"/>
          <w:sz w:val="18"/>
          <w:szCs w:val="18"/>
        </w:rPr>
        <w:t xml:space="preserve">. </w:t>
      </w:r>
      <w:r w:rsidRPr="00590F99">
        <w:rPr>
          <w:rFonts w:ascii="Verdana" w:hAnsi="Verdana" w:cs="Arial"/>
          <w:sz w:val="18"/>
          <w:szCs w:val="18"/>
        </w:rPr>
        <w:t>Nederland is voorstander van het moderniseren van bilaterale investeringsbeschermingsakkoorden en zet, waar mogelijk, in op investeringsbeschermingsakkoorden op Europees niveau. Het kabinet steunt de doelstelling van het investeringsbeschermingsakkoord tussen de Europese Unie en Indonesië en de inzet van beide partijen om het investeringsklimaat en de voorspelbaarheid voor wederzijdse investeerders te vergroten.</w:t>
      </w:r>
      <w:r>
        <w:rPr>
          <w:rFonts w:ascii="Verdana" w:hAnsi="Verdana" w:cs="Arial"/>
          <w:sz w:val="18"/>
          <w:szCs w:val="18"/>
        </w:rPr>
        <w:t xml:space="preserve"> </w:t>
      </w:r>
    </w:p>
    <w:p w:rsidR="005A7A16" w:rsidP="005A7A16" w:rsidRDefault="005A7A16" w14:paraId="61C53B0D" w14:textId="77777777">
      <w:pPr>
        <w:spacing w:line="276" w:lineRule="auto"/>
        <w:rPr>
          <w:rFonts w:ascii="Verdana" w:hAnsi="Verdana" w:cs="Arial"/>
          <w:sz w:val="18"/>
          <w:szCs w:val="18"/>
        </w:rPr>
      </w:pPr>
      <w:r w:rsidRPr="00590F99">
        <w:rPr>
          <w:rFonts w:ascii="Verdana" w:hAnsi="Verdana" w:cs="Arial"/>
          <w:sz w:val="18"/>
          <w:szCs w:val="18"/>
        </w:rPr>
        <w:t xml:space="preserve">Ten aanzien </w:t>
      </w:r>
      <w:r>
        <w:rPr>
          <w:rFonts w:ascii="Verdana" w:hAnsi="Verdana" w:cs="Arial"/>
          <w:sz w:val="18"/>
          <w:szCs w:val="18"/>
        </w:rPr>
        <w:t xml:space="preserve">van </w:t>
      </w:r>
      <w:r w:rsidRPr="00590F99">
        <w:rPr>
          <w:rFonts w:ascii="Verdana" w:hAnsi="Verdana" w:cs="Arial"/>
          <w:sz w:val="18"/>
          <w:szCs w:val="18"/>
        </w:rPr>
        <w:t xml:space="preserve">de materiële bepalingen inzake investeringsbescherming heeft het kabinet </w:t>
      </w:r>
      <w:r>
        <w:rPr>
          <w:rFonts w:ascii="Verdana" w:hAnsi="Verdana" w:cs="Arial"/>
          <w:sz w:val="18"/>
          <w:szCs w:val="18"/>
        </w:rPr>
        <w:t xml:space="preserve">over het algemeen </w:t>
      </w:r>
      <w:r w:rsidRPr="00590F99">
        <w:rPr>
          <w:rFonts w:ascii="Verdana" w:hAnsi="Verdana" w:cs="Arial"/>
          <w:sz w:val="18"/>
          <w:szCs w:val="18"/>
        </w:rPr>
        <w:t>een positieve grondhouding</w:t>
      </w:r>
      <w:r>
        <w:rPr>
          <w:rFonts w:ascii="Verdana" w:hAnsi="Verdana" w:cs="Arial"/>
          <w:sz w:val="18"/>
          <w:szCs w:val="18"/>
        </w:rPr>
        <w:t>, maar is wel kritisch over enkele aspecten van het akkoord</w:t>
      </w:r>
      <w:r w:rsidRPr="00590F99">
        <w:rPr>
          <w:rFonts w:ascii="Verdana" w:hAnsi="Verdana" w:cs="Arial"/>
          <w:sz w:val="18"/>
          <w:szCs w:val="18"/>
        </w:rPr>
        <w:t>.</w:t>
      </w:r>
      <w:r>
        <w:rPr>
          <w:rFonts w:ascii="Verdana" w:hAnsi="Verdana" w:cs="Arial"/>
          <w:sz w:val="18"/>
          <w:szCs w:val="18"/>
        </w:rPr>
        <w:t xml:space="preserve"> Zo is het uitsluiten van portfolio-investeringen </w:t>
      </w:r>
      <w:r w:rsidRPr="00590F99">
        <w:rPr>
          <w:rFonts w:ascii="Verdana" w:hAnsi="Verdana" w:cs="Arial"/>
          <w:sz w:val="18"/>
          <w:szCs w:val="18"/>
        </w:rPr>
        <w:t>ongebruikelijk in investeringsbeschermingsovereenkomsten</w:t>
      </w:r>
      <w:r>
        <w:rPr>
          <w:rFonts w:ascii="Verdana" w:hAnsi="Verdana" w:cs="Arial"/>
          <w:sz w:val="18"/>
          <w:szCs w:val="18"/>
        </w:rPr>
        <w:t xml:space="preserve">. Het uitsluiten van portfolio-investeringen verkleint de reikwijdte van bescherming onder het akkoord. </w:t>
      </w:r>
      <w:r w:rsidRPr="00590F99">
        <w:rPr>
          <w:rFonts w:ascii="Verdana" w:hAnsi="Verdana" w:cs="Arial"/>
          <w:sz w:val="18"/>
          <w:szCs w:val="18"/>
        </w:rPr>
        <w:t xml:space="preserve">Enerzijds </w:t>
      </w:r>
      <w:r>
        <w:rPr>
          <w:rFonts w:ascii="Verdana" w:hAnsi="Verdana" w:cs="Arial"/>
          <w:sz w:val="18"/>
          <w:szCs w:val="18"/>
        </w:rPr>
        <w:t xml:space="preserve">zorgt deze beperking van de reikwijdte voor een wederzijds lager niveau van </w:t>
      </w:r>
      <w:r w:rsidRPr="00590F99">
        <w:rPr>
          <w:rFonts w:ascii="Verdana" w:hAnsi="Verdana" w:cs="Arial"/>
          <w:sz w:val="18"/>
          <w:szCs w:val="18"/>
        </w:rPr>
        <w:t>bescherming, terwijl het anderzijds kan leiden tot additionele regeldruk</w:t>
      </w:r>
      <w:r>
        <w:rPr>
          <w:rFonts w:ascii="Verdana" w:hAnsi="Verdana" w:cs="Arial"/>
          <w:sz w:val="18"/>
          <w:szCs w:val="18"/>
        </w:rPr>
        <w:t>;</w:t>
      </w:r>
      <w:r w:rsidRPr="00590F99">
        <w:rPr>
          <w:rFonts w:ascii="Verdana" w:hAnsi="Verdana" w:cs="Arial"/>
          <w:sz w:val="18"/>
          <w:szCs w:val="18"/>
        </w:rPr>
        <w:t xml:space="preserve"> </w:t>
      </w:r>
      <w:r>
        <w:rPr>
          <w:rFonts w:ascii="Verdana" w:hAnsi="Verdana" w:cs="Arial"/>
          <w:sz w:val="18"/>
          <w:szCs w:val="18"/>
        </w:rPr>
        <w:t>h</w:t>
      </w:r>
      <w:r w:rsidRPr="00590F99">
        <w:rPr>
          <w:rFonts w:ascii="Verdana" w:hAnsi="Verdana" w:cs="Arial"/>
          <w:sz w:val="18"/>
          <w:szCs w:val="18"/>
        </w:rPr>
        <w:t xml:space="preserve">oewel het akkoord een afbakening hanteert </w:t>
      </w:r>
      <w:r>
        <w:rPr>
          <w:rFonts w:ascii="Verdana" w:hAnsi="Verdana" w:cs="Arial"/>
          <w:sz w:val="18"/>
          <w:szCs w:val="18"/>
        </w:rPr>
        <w:t xml:space="preserve">van de definitie van portfolio-investeringen, </w:t>
      </w:r>
      <w:r w:rsidRPr="00590F99">
        <w:rPr>
          <w:rFonts w:ascii="Verdana" w:hAnsi="Verdana" w:cs="Arial"/>
          <w:sz w:val="18"/>
          <w:szCs w:val="18"/>
        </w:rPr>
        <w:t>kan het in de praktijk lastig zijn om vast te stellen wanneer hiervan sprake is.</w:t>
      </w:r>
    </w:p>
    <w:p w:rsidR="005A7A16" w:rsidP="005A7A16" w:rsidRDefault="005A7A16" w14:paraId="6677526A" w14:textId="517F5691">
      <w:pPr>
        <w:spacing w:line="276" w:lineRule="auto"/>
        <w:rPr>
          <w:rFonts w:ascii="Verdana" w:hAnsi="Verdana" w:cs="Arial"/>
          <w:sz w:val="18"/>
          <w:szCs w:val="18"/>
        </w:rPr>
      </w:pPr>
      <w:bookmarkStart w:name="_Hlk240923716" w:id="3"/>
      <w:r w:rsidRPr="004A6FF6">
        <w:rPr>
          <w:rFonts w:ascii="Verdana" w:hAnsi="Verdana" w:cs="Arial"/>
          <w:sz w:val="18"/>
          <w:szCs w:val="18"/>
        </w:rPr>
        <w:t>Daarnaast is het kabinet kritisch over het niet opnemen van een investeerder-staatgeschillen</w:t>
      </w:r>
      <w:r>
        <w:rPr>
          <w:rFonts w:ascii="Verdana" w:hAnsi="Verdana" w:cs="Arial"/>
          <w:sz w:val="18"/>
          <w:szCs w:val="18"/>
        </w:rPr>
        <w:t>beslechtings</w:t>
      </w:r>
      <w:r w:rsidRPr="004A6FF6">
        <w:rPr>
          <w:rFonts w:ascii="Verdana" w:hAnsi="Verdana" w:cs="Arial"/>
          <w:sz w:val="18"/>
          <w:szCs w:val="18"/>
        </w:rPr>
        <w:t xml:space="preserve">mechanisme in het akkoord. De inzet van het kabinet is om in nieuwe </w:t>
      </w:r>
      <w:r>
        <w:rPr>
          <w:rFonts w:ascii="Verdana" w:hAnsi="Verdana" w:cs="Arial"/>
          <w:sz w:val="18"/>
          <w:szCs w:val="18"/>
        </w:rPr>
        <w:t>investeringsbeschermingsovereenkomsten</w:t>
      </w:r>
      <w:r w:rsidRPr="004A6FF6">
        <w:rPr>
          <w:rFonts w:ascii="Verdana" w:hAnsi="Verdana" w:cs="Arial"/>
          <w:sz w:val="18"/>
          <w:szCs w:val="18"/>
        </w:rPr>
        <w:t>, langs de lijnen van de gemoderniseerde Nederlandse inzet ten aanzien van ISD</w:t>
      </w:r>
      <w:r>
        <w:rPr>
          <w:rFonts w:ascii="Verdana" w:hAnsi="Verdana" w:cs="Arial"/>
          <w:sz w:val="18"/>
          <w:szCs w:val="18"/>
        </w:rPr>
        <w:t>S</w:t>
      </w:r>
      <w:r>
        <w:rPr>
          <w:rStyle w:val="Voetnootmarkering"/>
          <w:rFonts w:ascii="Verdana" w:hAnsi="Verdana" w:cs="Arial"/>
          <w:sz w:val="18"/>
          <w:szCs w:val="18"/>
        </w:rPr>
        <w:footnoteReference w:id="2"/>
      </w:r>
      <w:r w:rsidRPr="004A6FF6">
        <w:rPr>
          <w:rFonts w:ascii="Verdana" w:hAnsi="Verdana" w:cs="Arial"/>
          <w:sz w:val="18"/>
          <w:szCs w:val="18"/>
        </w:rPr>
        <w:t xml:space="preserve">, een dergelijk mechanisme op te nemen. Het kabinet zet daarbij </w:t>
      </w:r>
      <w:r>
        <w:rPr>
          <w:rFonts w:ascii="Verdana" w:hAnsi="Verdana" w:cs="Arial"/>
          <w:sz w:val="18"/>
          <w:szCs w:val="18"/>
        </w:rPr>
        <w:t xml:space="preserve">onder andere </w:t>
      </w:r>
      <w:r w:rsidRPr="004A6FF6">
        <w:rPr>
          <w:rFonts w:ascii="Verdana" w:hAnsi="Verdana" w:cs="Arial"/>
          <w:sz w:val="18"/>
          <w:szCs w:val="18"/>
        </w:rPr>
        <w:t>in op meer balans tussen bescherming van investeerders en het recht van staten om te reguleren, meer transparantie en minder ad</w:t>
      </w:r>
      <w:r w:rsidRPr="004A6FF6">
        <w:rPr>
          <w:rFonts w:ascii="Verdana" w:hAnsi="Verdana" w:cs="Arial"/>
          <w:sz w:val="18"/>
          <w:szCs w:val="18"/>
        </w:rPr>
        <w:noBreakHyphen/>
        <w:t>hoc arbitrage.</w:t>
      </w:r>
      <w:r w:rsidRPr="00F26C7A">
        <w:rPr>
          <w:rFonts w:ascii="Verdana" w:hAnsi="Verdana" w:cs="Arial"/>
          <w:sz w:val="18"/>
          <w:szCs w:val="18"/>
        </w:rPr>
        <w:t xml:space="preserve"> </w:t>
      </w:r>
      <w:r>
        <w:rPr>
          <w:rFonts w:ascii="Verdana" w:hAnsi="Verdana" w:cs="Arial"/>
          <w:sz w:val="18"/>
          <w:szCs w:val="18"/>
        </w:rPr>
        <w:t xml:space="preserve">Het akkoord bevat wel een </w:t>
      </w:r>
      <w:r w:rsidRPr="00590F99">
        <w:rPr>
          <w:rFonts w:ascii="Verdana" w:hAnsi="Verdana" w:cs="Arial"/>
          <w:sz w:val="18"/>
          <w:szCs w:val="18"/>
        </w:rPr>
        <w:t>staat</w:t>
      </w:r>
      <w:r w:rsidRPr="00590F99">
        <w:rPr>
          <w:rFonts w:ascii="Verdana" w:hAnsi="Verdana" w:cs="Arial"/>
          <w:sz w:val="18"/>
          <w:szCs w:val="18"/>
        </w:rPr>
        <w:noBreakHyphen/>
        <w:t>tot</w:t>
      </w:r>
      <w:r w:rsidRPr="00590F99">
        <w:rPr>
          <w:rFonts w:ascii="Verdana" w:hAnsi="Verdana" w:cs="Arial"/>
          <w:sz w:val="18"/>
          <w:szCs w:val="18"/>
        </w:rPr>
        <w:noBreakHyphen/>
        <w:t>staatgeschillenbeslechtingsmechanisme</w:t>
      </w:r>
      <w:r>
        <w:rPr>
          <w:rFonts w:ascii="Verdana" w:hAnsi="Verdana" w:cs="Arial"/>
          <w:sz w:val="18"/>
          <w:szCs w:val="18"/>
        </w:rPr>
        <w:t xml:space="preserve"> (SSDS)</w:t>
      </w:r>
      <w:r w:rsidRPr="00590F99">
        <w:rPr>
          <w:rFonts w:ascii="Verdana" w:hAnsi="Verdana" w:cs="Arial"/>
          <w:sz w:val="18"/>
          <w:szCs w:val="18"/>
        </w:rPr>
        <w:t xml:space="preserve">. </w:t>
      </w:r>
      <w:r>
        <w:rPr>
          <w:rFonts w:ascii="Verdana" w:hAnsi="Verdana" w:cs="Arial"/>
          <w:sz w:val="18"/>
          <w:szCs w:val="18"/>
        </w:rPr>
        <w:t xml:space="preserve">De opname van een bindend geschillenbeslechtingsmechanisme wordt als positief beoordeeld. </w:t>
      </w:r>
      <w:r w:rsidRPr="00590F99">
        <w:rPr>
          <w:rFonts w:ascii="Verdana" w:hAnsi="Verdana" w:cs="Arial"/>
          <w:sz w:val="18"/>
          <w:szCs w:val="18"/>
        </w:rPr>
        <w:t xml:space="preserve">Het is van belang dat de EU en Indonesië een duidelijk en voorspelbaar kader hebben om geschillen over de </w:t>
      </w:r>
      <w:r>
        <w:rPr>
          <w:rFonts w:ascii="Verdana" w:hAnsi="Verdana" w:cs="Arial"/>
          <w:sz w:val="18"/>
          <w:szCs w:val="18"/>
        </w:rPr>
        <w:t xml:space="preserve">interpretatie en </w:t>
      </w:r>
      <w:r w:rsidRPr="00590F99">
        <w:rPr>
          <w:rFonts w:ascii="Verdana" w:hAnsi="Verdana" w:cs="Arial"/>
          <w:sz w:val="18"/>
          <w:szCs w:val="18"/>
        </w:rPr>
        <w:t>toepassing van het akkoord op te lossen.</w:t>
      </w:r>
      <w:r>
        <w:rPr>
          <w:rFonts w:ascii="Verdana" w:hAnsi="Verdana" w:cs="Arial"/>
          <w:sz w:val="18"/>
          <w:szCs w:val="18"/>
        </w:rPr>
        <w:t xml:space="preserve"> </w:t>
      </w:r>
      <w:r w:rsidRPr="00D558DA">
        <w:rPr>
          <w:rFonts w:ascii="Verdana" w:hAnsi="Verdana" w:cs="Arial"/>
          <w:sz w:val="18"/>
          <w:szCs w:val="18"/>
        </w:rPr>
        <w:t>Het SSDS</w:t>
      </w:r>
      <w:r w:rsidRPr="00D558DA">
        <w:rPr>
          <w:rFonts w:ascii="Verdana" w:hAnsi="Verdana" w:cs="Arial"/>
          <w:sz w:val="18"/>
          <w:szCs w:val="18"/>
        </w:rPr>
        <w:noBreakHyphen/>
        <w:t>mechanisme is echter niet het geëigende instrument voor arbitrage bij geschillen over specifieke investeringen</w:t>
      </w:r>
      <w:r w:rsidR="00856AE4">
        <w:rPr>
          <w:rFonts w:ascii="Verdana" w:hAnsi="Verdana" w:cs="Arial"/>
          <w:sz w:val="18"/>
          <w:szCs w:val="18"/>
        </w:rPr>
        <w:t xml:space="preserve"> en vormt</w:t>
      </w:r>
      <w:r>
        <w:rPr>
          <w:rFonts w:ascii="Verdana" w:hAnsi="Verdana" w:cs="Arial"/>
          <w:sz w:val="18"/>
          <w:szCs w:val="18"/>
        </w:rPr>
        <w:t xml:space="preserve"> geen volledig alternatief voor de opname van ISDS, mede doordat in een dergelijke procedure tussen staten geen geleden schade wordt vastgesteld. Ondanks de bescherming die het akkoord biedt aan investeerders,</w:t>
      </w:r>
      <w:r w:rsidRPr="004A6FF6">
        <w:rPr>
          <w:rFonts w:ascii="Verdana" w:hAnsi="Verdana" w:cs="Arial"/>
          <w:sz w:val="18"/>
          <w:szCs w:val="18"/>
        </w:rPr>
        <w:t xml:space="preserve"> </w:t>
      </w:r>
      <w:r>
        <w:rPr>
          <w:rFonts w:ascii="Verdana" w:hAnsi="Verdana" w:cs="Arial"/>
          <w:sz w:val="18"/>
          <w:szCs w:val="18"/>
        </w:rPr>
        <w:t>kunnen zij die bescherming nu niet effectueren bij een onafhankelijk internationaal gerecht</w:t>
      </w:r>
      <w:r w:rsidRPr="004A6FF6">
        <w:rPr>
          <w:rFonts w:ascii="Verdana" w:hAnsi="Verdana" w:cs="Arial"/>
          <w:sz w:val="18"/>
          <w:szCs w:val="18"/>
        </w:rPr>
        <w:t>. Wat het kabinet betreft mag dit dan ook geen precedent scheppen voor toekomstige akkoorden.</w:t>
      </w:r>
      <w:bookmarkEnd w:id="3"/>
      <w:r w:rsidRPr="004A6FF6" w:rsidDel="004A6FF6">
        <w:rPr>
          <w:rFonts w:ascii="Verdana" w:hAnsi="Verdana" w:cs="Arial"/>
          <w:sz w:val="18"/>
          <w:szCs w:val="18"/>
        </w:rPr>
        <w:t xml:space="preserve"> </w:t>
      </w:r>
    </w:p>
    <w:p w:rsidR="005A7A16" w:rsidP="005A7A16" w:rsidRDefault="005A7A16" w14:paraId="0AA18D8B" w14:textId="77777777">
      <w:pPr>
        <w:spacing w:line="276" w:lineRule="auto"/>
        <w:rPr>
          <w:rFonts w:ascii="Verdana" w:hAnsi="Verdana" w:cs="Arial"/>
          <w:sz w:val="18"/>
          <w:szCs w:val="18"/>
        </w:rPr>
      </w:pPr>
      <w:r>
        <w:rPr>
          <w:rFonts w:ascii="Verdana" w:hAnsi="Verdana" w:cs="Arial"/>
          <w:sz w:val="18"/>
          <w:szCs w:val="18"/>
        </w:rPr>
        <w:t>Daar staat in positieve zin tegenover dat</w:t>
      </w:r>
      <w:r w:rsidRPr="00590F99">
        <w:rPr>
          <w:rFonts w:ascii="Verdana" w:hAnsi="Verdana" w:cs="Arial"/>
          <w:sz w:val="18"/>
          <w:szCs w:val="18"/>
        </w:rPr>
        <w:t xml:space="preserve"> </w:t>
      </w:r>
      <w:r>
        <w:rPr>
          <w:rFonts w:ascii="Verdana" w:hAnsi="Verdana" w:cs="Arial"/>
          <w:sz w:val="18"/>
          <w:szCs w:val="18"/>
        </w:rPr>
        <w:t xml:space="preserve">de EU en Indonesië </w:t>
      </w:r>
      <w:r w:rsidRPr="00590F99">
        <w:rPr>
          <w:rFonts w:ascii="Verdana" w:hAnsi="Verdana" w:cs="Arial"/>
          <w:sz w:val="18"/>
          <w:szCs w:val="18"/>
        </w:rPr>
        <w:t xml:space="preserve">na inwerkingtreding van het </w:t>
      </w:r>
      <w:r>
        <w:rPr>
          <w:rFonts w:ascii="Verdana" w:hAnsi="Verdana" w:cs="Arial"/>
          <w:sz w:val="18"/>
          <w:szCs w:val="18"/>
        </w:rPr>
        <w:t>akkoord</w:t>
      </w:r>
      <w:r w:rsidRPr="00590F99">
        <w:rPr>
          <w:rFonts w:ascii="Verdana" w:hAnsi="Verdana" w:cs="Arial"/>
          <w:sz w:val="18"/>
          <w:szCs w:val="18"/>
        </w:rPr>
        <w:t xml:space="preserve"> opnieuw onderhandelen over een modern investeerder</w:t>
      </w:r>
      <w:r>
        <w:rPr>
          <w:rFonts w:ascii="Verdana" w:hAnsi="Verdana" w:cs="Arial"/>
          <w:sz w:val="18"/>
          <w:szCs w:val="18"/>
        </w:rPr>
        <w:t>-</w:t>
      </w:r>
      <w:r w:rsidRPr="00590F99">
        <w:rPr>
          <w:rFonts w:ascii="Verdana" w:hAnsi="Verdana" w:cs="Arial"/>
          <w:sz w:val="18"/>
          <w:szCs w:val="18"/>
        </w:rPr>
        <w:t>staatgeschillenbeslechtingsmechanisme</w:t>
      </w:r>
      <w:r>
        <w:rPr>
          <w:rFonts w:ascii="Verdana" w:hAnsi="Verdana" w:cs="Arial"/>
          <w:sz w:val="18"/>
          <w:szCs w:val="18"/>
        </w:rPr>
        <w:t xml:space="preserve">, zoals het </w:t>
      </w:r>
      <w:r w:rsidRPr="00C22F07">
        <w:rPr>
          <w:rFonts w:ascii="Verdana" w:hAnsi="Verdana" w:cs="Arial"/>
          <w:i/>
          <w:iCs/>
          <w:sz w:val="18"/>
          <w:szCs w:val="18"/>
        </w:rPr>
        <w:t>Investment Court System</w:t>
      </w:r>
      <w:r>
        <w:rPr>
          <w:rFonts w:ascii="Verdana" w:hAnsi="Verdana" w:cs="Arial"/>
          <w:sz w:val="18"/>
          <w:szCs w:val="18"/>
        </w:rPr>
        <w:t>. H</w:t>
      </w:r>
      <w:r w:rsidRPr="00355917">
        <w:rPr>
          <w:rFonts w:ascii="Verdana" w:hAnsi="Verdana" w:cs="Arial"/>
          <w:sz w:val="18"/>
          <w:szCs w:val="18"/>
        </w:rPr>
        <w:t>et</w:t>
      </w:r>
      <w:r>
        <w:rPr>
          <w:rFonts w:ascii="Verdana" w:hAnsi="Verdana" w:cs="Arial"/>
          <w:sz w:val="18"/>
          <w:szCs w:val="18"/>
        </w:rPr>
        <w:t xml:space="preserve"> is</w:t>
      </w:r>
      <w:r w:rsidRPr="00355917">
        <w:rPr>
          <w:rFonts w:ascii="Verdana" w:hAnsi="Verdana" w:cs="Arial"/>
          <w:sz w:val="18"/>
          <w:szCs w:val="18"/>
        </w:rPr>
        <w:t xml:space="preserve"> positief dat dit voornemen is overeengekomen</w:t>
      </w:r>
      <w:r>
        <w:rPr>
          <w:rFonts w:ascii="Verdana" w:hAnsi="Verdana" w:cs="Arial"/>
          <w:sz w:val="18"/>
          <w:szCs w:val="18"/>
        </w:rPr>
        <w:t xml:space="preserve"> maar het</w:t>
      </w:r>
      <w:r w:rsidRPr="00700361">
        <w:rPr>
          <w:rFonts w:ascii="Verdana" w:hAnsi="Verdana" w:cs="Arial"/>
          <w:sz w:val="18"/>
          <w:szCs w:val="18"/>
        </w:rPr>
        <w:t xml:space="preserve"> </w:t>
      </w:r>
      <w:r w:rsidRPr="00C92679">
        <w:rPr>
          <w:rFonts w:ascii="Verdana" w:hAnsi="Verdana" w:cs="Arial"/>
          <w:sz w:val="18"/>
          <w:szCs w:val="18"/>
        </w:rPr>
        <w:t>was naar</w:t>
      </w:r>
      <w:r>
        <w:rPr>
          <w:rFonts w:ascii="Verdana" w:hAnsi="Verdana" w:cs="Arial"/>
          <w:sz w:val="18"/>
          <w:szCs w:val="18"/>
        </w:rPr>
        <w:t xml:space="preserve"> de</w:t>
      </w:r>
      <w:r w:rsidRPr="00C92679">
        <w:rPr>
          <w:rFonts w:ascii="Verdana" w:hAnsi="Verdana" w:cs="Arial"/>
          <w:sz w:val="18"/>
          <w:szCs w:val="18"/>
        </w:rPr>
        <w:t xml:space="preserve"> mening van het kabinet te verkiezen geweest om dergelijke afspraken </w:t>
      </w:r>
      <w:r>
        <w:rPr>
          <w:rFonts w:ascii="Verdana" w:hAnsi="Verdana" w:cs="Arial"/>
          <w:sz w:val="18"/>
          <w:szCs w:val="18"/>
        </w:rPr>
        <w:t xml:space="preserve">direct </w:t>
      </w:r>
      <w:r w:rsidRPr="00C92679">
        <w:rPr>
          <w:rFonts w:ascii="Verdana" w:hAnsi="Verdana" w:cs="Arial"/>
          <w:sz w:val="18"/>
          <w:szCs w:val="18"/>
        </w:rPr>
        <w:t>in de overeenkomst op te nemen</w:t>
      </w:r>
      <w:r>
        <w:rPr>
          <w:rFonts w:ascii="Verdana" w:hAnsi="Verdana" w:cs="Arial"/>
          <w:sz w:val="18"/>
          <w:szCs w:val="18"/>
        </w:rPr>
        <w:t xml:space="preserve">. Daarnaast is het positief te noemen dat er </w:t>
      </w:r>
      <w:r w:rsidRPr="00590F99">
        <w:rPr>
          <w:rFonts w:ascii="Verdana" w:hAnsi="Verdana" w:cs="Arial"/>
          <w:sz w:val="18"/>
          <w:szCs w:val="18"/>
        </w:rPr>
        <w:t xml:space="preserve">de mogelijkheid voor derden </w:t>
      </w:r>
      <w:r>
        <w:rPr>
          <w:rFonts w:ascii="Verdana" w:hAnsi="Verdana" w:cs="Arial"/>
          <w:sz w:val="18"/>
          <w:szCs w:val="18"/>
        </w:rPr>
        <w:t xml:space="preserve">is </w:t>
      </w:r>
      <w:r w:rsidRPr="00590F99">
        <w:rPr>
          <w:rFonts w:ascii="Verdana" w:hAnsi="Verdana" w:cs="Arial"/>
          <w:sz w:val="18"/>
          <w:szCs w:val="18"/>
        </w:rPr>
        <w:t xml:space="preserve">om als </w:t>
      </w:r>
      <w:r w:rsidRPr="00590F99">
        <w:rPr>
          <w:rFonts w:ascii="Verdana" w:hAnsi="Verdana" w:cs="Arial"/>
          <w:i/>
          <w:sz w:val="18"/>
          <w:szCs w:val="18"/>
        </w:rPr>
        <w:t>amicus curiae</w:t>
      </w:r>
      <w:r w:rsidRPr="00590F99">
        <w:rPr>
          <w:rFonts w:ascii="Verdana" w:hAnsi="Verdana" w:cs="Arial"/>
          <w:sz w:val="18"/>
          <w:szCs w:val="18"/>
        </w:rPr>
        <w:t xml:space="preserve"> schriftelijke inbreng aan te leveren tijdens een geschil</w:t>
      </w:r>
      <w:r>
        <w:rPr>
          <w:rFonts w:ascii="Verdana" w:hAnsi="Verdana" w:cs="Arial"/>
          <w:sz w:val="18"/>
          <w:szCs w:val="18"/>
        </w:rPr>
        <w:t>lenbeslechtingsprocedure</w:t>
      </w:r>
      <w:r w:rsidRPr="00590F99">
        <w:rPr>
          <w:rFonts w:ascii="Verdana" w:hAnsi="Verdana" w:cs="Arial"/>
          <w:sz w:val="18"/>
          <w:szCs w:val="18"/>
        </w:rPr>
        <w:t>. Dit sluit aan bij de inzet van het kabinet op modernisering van investeringsbeschermingsovereenkomsten.</w:t>
      </w:r>
      <w:r w:rsidRPr="00884FA8">
        <w:rPr>
          <w:rFonts w:ascii="Verdana" w:hAnsi="Verdana" w:cs="Arial"/>
          <w:sz w:val="18"/>
          <w:szCs w:val="18"/>
        </w:rPr>
        <w:t xml:space="preserve"> </w:t>
      </w:r>
    </w:p>
    <w:p w:rsidR="005A7A16" w:rsidP="005A7A16" w:rsidRDefault="005A7A16" w14:paraId="72BFC996" w14:textId="77777777">
      <w:pPr>
        <w:spacing w:line="276" w:lineRule="auto"/>
        <w:rPr>
          <w:rFonts w:ascii="Verdana" w:hAnsi="Verdana" w:cs="Arial"/>
          <w:sz w:val="18"/>
          <w:szCs w:val="18"/>
        </w:rPr>
      </w:pPr>
      <w:r w:rsidRPr="00590F99">
        <w:rPr>
          <w:rFonts w:ascii="Verdana" w:hAnsi="Verdana" w:cs="Arial"/>
          <w:sz w:val="18"/>
          <w:szCs w:val="18"/>
        </w:rPr>
        <w:t>Naast</w:t>
      </w:r>
      <w:r>
        <w:rPr>
          <w:rFonts w:ascii="Verdana" w:hAnsi="Verdana" w:cs="Arial"/>
          <w:sz w:val="18"/>
          <w:szCs w:val="18"/>
        </w:rPr>
        <w:t xml:space="preserve"> de</w:t>
      </w:r>
      <w:r w:rsidRPr="00590F99">
        <w:rPr>
          <w:rFonts w:ascii="Verdana" w:hAnsi="Verdana" w:cs="Arial"/>
          <w:sz w:val="18"/>
          <w:szCs w:val="18"/>
        </w:rPr>
        <w:t xml:space="preserve"> </w:t>
      </w:r>
      <w:r>
        <w:rPr>
          <w:rFonts w:ascii="Verdana" w:hAnsi="Verdana" w:cs="Arial"/>
          <w:sz w:val="18"/>
          <w:szCs w:val="18"/>
        </w:rPr>
        <w:t>bindende geschillenbeslechting is in het akkoord</w:t>
      </w:r>
      <w:r w:rsidRPr="00590F99">
        <w:rPr>
          <w:rFonts w:ascii="Verdana" w:hAnsi="Verdana" w:cs="Arial"/>
          <w:sz w:val="18"/>
          <w:szCs w:val="18"/>
        </w:rPr>
        <w:t xml:space="preserve"> een bemiddelingsmechanisme </w:t>
      </w:r>
      <w:r>
        <w:rPr>
          <w:rFonts w:ascii="Verdana" w:hAnsi="Verdana" w:cs="Arial"/>
          <w:sz w:val="18"/>
          <w:szCs w:val="18"/>
        </w:rPr>
        <w:t xml:space="preserve">opgenomen </w:t>
      </w:r>
      <w:r w:rsidRPr="00590F99">
        <w:rPr>
          <w:rFonts w:ascii="Verdana" w:hAnsi="Verdana" w:cs="Arial"/>
          <w:sz w:val="18"/>
          <w:szCs w:val="18"/>
        </w:rPr>
        <w:t>tussen investeerders en staten</w:t>
      </w:r>
      <w:r>
        <w:rPr>
          <w:rFonts w:ascii="Verdana" w:hAnsi="Verdana" w:cs="Arial"/>
          <w:sz w:val="18"/>
          <w:szCs w:val="18"/>
        </w:rPr>
        <w:t>. Dit</w:t>
      </w:r>
      <w:r w:rsidRPr="00590F99">
        <w:rPr>
          <w:rFonts w:ascii="Verdana" w:hAnsi="Verdana" w:cs="Arial"/>
          <w:sz w:val="18"/>
          <w:szCs w:val="18"/>
        </w:rPr>
        <w:t xml:space="preserve"> mechanisme kan bijdragen aan een snelle, informele oplossing van geschillen onder begeleiding van een onafhankelijke mediator. </w:t>
      </w:r>
      <w:r>
        <w:rPr>
          <w:rFonts w:ascii="Verdana" w:hAnsi="Verdana" w:cs="Arial"/>
          <w:sz w:val="18"/>
          <w:szCs w:val="18"/>
        </w:rPr>
        <w:t xml:space="preserve">Hoewel het </w:t>
      </w:r>
      <w:r>
        <w:rPr>
          <w:rFonts w:ascii="Verdana" w:hAnsi="Verdana" w:cs="Arial"/>
          <w:sz w:val="18"/>
          <w:szCs w:val="18"/>
        </w:rPr>
        <w:lastRenderedPageBreak/>
        <w:t xml:space="preserve">kabinet deze afspraken verwelkomt, </w:t>
      </w:r>
      <w:r w:rsidRPr="00590F99">
        <w:rPr>
          <w:rFonts w:ascii="Verdana" w:hAnsi="Verdana" w:cs="Arial"/>
          <w:sz w:val="18"/>
          <w:szCs w:val="18"/>
        </w:rPr>
        <w:t xml:space="preserve">constateert het kabinet dat dit hoofdstuk geen vervanging is voor </w:t>
      </w:r>
      <w:r>
        <w:rPr>
          <w:rFonts w:ascii="Verdana" w:hAnsi="Verdana" w:cs="Arial"/>
          <w:sz w:val="18"/>
          <w:szCs w:val="18"/>
        </w:rPr>
        <w:t>een bindend ISDS-</w:t>
      </w:r>
      <w:r w:rsidRPr="00590F99">
        <w:rPr>
          <w:rFonts w:ascii="Verdana" w:hAnsi="Verdana" w:cs="Arial"/>
          <w:sz w:val="18"/>
          <w:szCs w:val="18"/>
        </w:rPr>
        <w:t>mechanisme</w:t>
      </w:r>
      <w:r>
        <w:rPr>
          <w:rFonts w:ascii="Verdana" w:hAnsi="Verdana" w:cs="Arial"/>
          <w:sz w:val="18"/>
          <w:szCs w:val="18"/>
        </w:rPr>
        <w:t xml:space="preserve">. De meerwaarde van het mechanisme zal daadwerkelijk </w:t>
      </w:r>
      <w:r w:rsidRPr="00590F99">
        <w:rPr>
          <w:rFonts w:ascii="Verdana" w:hAnsi="Verdana" w:cs="Arial"/>
          <w:sz w:val="18"/>
          <w:szCs w:val="18"/>
        </w:rPr>
        <w:t>blijken na toepassing in de praktijk, mede omdat de bemiddeling vrijwillig en niet</w:t>
      </w:r>
      <w:r w:rsidRPr="00590F99">
        <w:rPr>
          <w:rFonts w:ascii="Verdana" w:hAnsi="Verdana" w:cs="Arial"/>
          <w:sz w:val="18"/>
          <w:szCs w:val="18"/>
        </w:rPr>
        <w:noBreakHyphen/>
        <w:t xml:space="preserve">bindend is. </w:t>
      </w:r>
    </w:p>
    <w:p w:rsidR="005A7A16" w:rsidP="005A7A16" w:rsidRDefault="005A7A16" w14:paraId="42A57342" w14:textId="77777777">
      <w:pPr>
        <w:spacing w:line="276" w:lineRule="auto"/>
        <w:rPr>
          <w:rFonts w:ascii="Verdana" w:hAnsi="Verdana" w:cs="Arial"/>
          <w:sz w:val="18"/>
          <w:szCs w:val="18"/>
        </w:rPr>
      </w:pPr>
      <w:r w:rsidRPr="00590F99">
        <w:rPr>
          <w:rFonts w:ascii="Verdana" w:hAnsi="Verdana" w:cs="Arial"/>
          <w:sz w:val="18"/>
          <w:szCs w:val="18"/>
        </w:rPr>
        <w:t>Het kabinet steunt de specifieke verwijzing naar het recht van beide partijen om hun beleid en regelgeving aan te passen ter bescherming van legitieme beleidsdoelen, ook wanneer dit mogelijk negatieve gevolgen kan hebben voor investeerders. Dit ‘recht om te reguleren’ sluit aan bij de inzet van het kabinet bij de modernisering van investeringsbeschermingsovereenkomsten</w:t>
      </w:r>
      <w:r>
        <w:rPr>
          <w:rStyle w:val="Voetnootmarkering"/>
          <w:rFonts w:ascii="Verdana" w:hAnsi="Verdana" w:cs="Arial"/>
          <w:sz w:val="18"/>
          <w:szCs w:val="18"/>
        </w:rPr>
        <w:footnoteReference w:id="3"/>
      </w:r>
      <w:r>
        <w:rPr>
          <w:rFonts w:ascii="Verdana" w:hAnsi="Verdana" w:cs="Arial"/>
          <w:sz w:val="18"/>
          <w:szCs w:val="18"/>
        </w:rPr>
        <w:t>.</w:t>
      </w:r>
      <w:r w:rsidRPr="00590F99">
        <w:rPr>
          <w:rFonts w:ascii="Verdana" w:hAnsi="Verdana" w:cs="Arial"/>
          <w:sz w:val="18"/>
          <w:szCs w:val="18"/>
        </w:rPr>
        <w:t xml:space="preserve">  De </w:t>
      </w:r>
      <w:r>
        <w:rPr>
          <w:rFonts w:ascii="Verdana" w:hAnsi="Verdana" w:cs="Arial"/>
          <w:sz w:val="18"/>
          <w:szCs w:val="18"/>
        </w:rPr>
        <w:t>materi</w:t>
      </w:r>
      <w:r w:rsidRPr="00402178">
        <w:rPr>
          <w:rFonts w:ascii="Verdana" w:hAnsi="Verdana" w:cs="Arial"/>
          <w:sz w:val="18"/>
          <w:szCs w:val="18"/>
        </w:rPr>
        <w:t>ë</w:t>
      </w:r>
      <w:r>
        <w:rPr>
          <w:rFonts w:ascii="Verdana" w:hAnsi="Verdana" w:cs="Arial"/>
          <w:sz w:val="18"/>
          <w:szCs w:val="18"/>
        </w:rPr>
        <w:t xml:space="preserve">le </w:t>
      </w:r>
      <w:r w:rsidRPr="00590F99">
        <w:rPr>
          <w:rFonts w:ascii="Verdana" w:hAnsi="Verdana" w:cs="Arial"/>
          <w:sz w:val="18"/>
          <w:szCs w:val="18"/>
        </w:rPr>
        <w:t xml:space="preserve">kernbepalingen in </w:t>
      </w:r>
      <w:r>
        <w:rPr>
          <w:rFonts w:ascii="Verdana" w:hAnsi="Verdana" w:cs="Arial"/>
          <w:sz w:val="18"/>
          <w:szCs w:val="18"/>
        </w:rPr>
        <w:t xml:space="preserve">het akkoord, zoals </w:t>
      </w:r>
      <w:r w:rsidRPr="00590F99">
        <w:rPr>
          <w:rFonts w:ascii="Verdana" w:hAnsi="Verdana" w:cs="Arial"/>
          <w:sz w:val="18"/>
          <w:szCs w:val="18"/>
        </w:rPr>
        <w:t>nationale behandeling, meestbegunstigingsbehandeling</w:t>
      </w:r>
      <w:r>
        <w:rPr>
          <w:rFonts w:ascii="Verdana" w:hAnsi="Verdana" w:cs="Arial"/>
          <w:sz w:val="18"/>
          <w:szCs w:val="18"/>
        </w:rPr>
        <w:t>, onteigening</w:t>
      </w:r>
      <w:r w:rsidRPr="00590F99">
        <w:rPr>
          <w:rFonts w:ascii="Verdana" w:hAnsi="Verdana" w:cs="Arial"/>
          <w:sz w:val="18"/>
          <w:szCs w:val="18"/>
        </w:rPr>
        <w:t xml:space="preserve"> en eerlijke en billijke behandeling</w:t>
      </w:r>
      <w:r>
        <w:rPr>
          <w:rFonts w:ascii="Verdana" w:hAnsi="Verdana" w:cs="Arial"/>
          <w:sz w:val="18"/>
          <w:szCs w:val="18"/>
        </w:rPr>
        <w:t xml:space="preserve"> </w:t>
      </w:r>
      <w:r w:rsidRPr="00590F99">
        <w:rPr>
          <w:rFonts w:ascii="Verdana" w:hAnsi="Verdana" w:cs="Arial"/>
          <w:sz w:val="18"/>
          <w:szCs w:val="18"/>
        </w:rPr>
        <w:t>worden door het kabinet als essentieel beschouwd. Deze bepalingen dragen bij aan een voorspelbaar en niet</w:t>
      </w:r>
      <w:r w:rsidRPr="00590F99">
        <w:rPr>
          <w:rFonts w:ascii="Verdana" w:hAnsi="Verdana" w:cs="Arial"/>
          <w:sz w:val="18"/>
          <w:szCs w:val="18"/>
        </w:rPr>
        <w:noBreakHyphen/>
        <w:t xml:space="preserve">discriminerend investeringsklimaat voor bedrijven van uiteenlopende omvang in beide partijen, waaronder ook het mkb. Het kabinet staat tevens positief tegenover de verdere concretisering van wanneer eerlijke en billijke behandeling wordt geschonden. </w:t>
      </w:r>
      <w:r>
        <w:rPr>
          <w:rFonts w:ascii="Verdana" w:hAnsi="Verdana" w:cs="Arial"/>
          <w:sz w:val="18"/>
          <w:szCs w:val="18"/>
        </w:rPr>
        <w:t>Deze</w:t>
      </w:r>
      <w:r w:rsidRPr="00590F99">
        <w:rPr>
          <w:rFonts w:ascii="Verdana" w:hAnsi="Verdana" w:cs="Arial"/>
          <w:sz w:val="18"/>
          <w:szCs w:val="18"/>
        </w:rPr>
        <w:t xml:space="preserve"> duidelijke afgebakende definitie</w:t>
      </w:r>
      <w:r>
        <w:rPr>
          <w:rFonts w:ascii="Verdana" w:hAnsi="Verdana" w:cs="Arial"/>
          <w:sz w:val="18"/>
          <w:szCs w:val="18"/>
        </w:rPr>
        <w:t xml:space="preserve"> is</w:t>
      </w:r>
      <w:r w:rsidRPr="00590F99">
        <w:rPr>
          <w:rFonts w:ascii="Verdana" w:hAnsi="Verdana" w:cs="Arial"/>
          <w:sz w:val="18"/>
          <w:szCs w:val="18"/>
        </w:rPr>
        <w:t xml:space="preserve"> </w:t>
      </w:r>
      <w:r>
        <w:rPr>
          <w:rFonts w:ascii="Verdana" w:hAnsi="Verdana" w:cs="Arial"/>
          <w:sz w:val="18"/>
          <w:szCs w:val="18"/>
        </w:rPr>
        <w:t>in</w:t>
      </w:r>
      <w:r w:rsidRPr="00590F99">
        <w:rPr>
          <w:rFonts w:ascii="Verdana" w:hAnsi="Verdana" w:cs="Arial"/>
          <w:sz w:val="18"/>
          <w:szCs w:val="18"/>
        </w:rPr>
        <w:t xml:space="preserve"> lijn met de Nederlandse en Europese moderniseringsinzet</w:t>
      </w:r>
      <w:r>
        <w:rPr>
          <w:rFonts w:ascii="Verdana" w:hAnsi="Verdana" w:cs="Arial"/>
          <w:sz w:val="18"/>
          <w:szCs w:val="18"/>
        </w:rPr>
        <w:t xml:space="preserve"> van het investeringsbeschermingsbeleid. </w:t>
      </w:r>
    </w:p>
    <w:p w:rsidR="005A7A16" w:rsidP="005A7A16" w:rsidRDefault="005A7A16" w14:paraId="604376E1" w14:textId="77777777">
      <w:pPr>
        <w:spacing w:line="276" w:lineRule="auto"/>
        <w:rPr>
          <w:rFonts w:ascii="Verdana" w:hAnsi="Verdana" w:cs="Arial"/>
          <w:sz w:val="18"/>
          <w:szCs w:val="18"/>
        </w:rPr>
      </w:pPr>
      <w:r w:rsidRPr="00590F99">
        <w:rPr>
          <w:rFonts w:ascii="Verdana" w:hAnsi="Verdana" w:cs="Arial"/>
          <w:sz w:val="18"/>
          <w:szCs w:val="18"/>
        </w:rPr>
        <w:t>Het kabinet beoordeelt de uitzonderingsbepalingen uit het vijfde hoofdstuk in de kern positief. Het is belangrijk dat beide partijen voldoende beleidsruimte behouden om kernbelangen te beschermen op het gebied van legitieme beleidsdoelen. Daarnaast waardeert het kabinet da</w:t>
      </w:r>
      <w:r>
        <w:rPr>
          <w:rFonts w:ascii="Verdana" w:hAnsi="Verdana" w:cs="Arial"/>
          <w:sz w:val="18"/>
          <w:szCs w:val="18"/>
        </w:rPr>
        <w:t>t</w:t>
      </w:r>
      <w:r w:rsidRPr="00590F99">
        <w:rPr>
          <w:rFonts w:ascii="Verdana" w:hAnsi="Verdana" w:cs="Arial"/>
          <w:sz w:val="18"/>
          <w:szCs w:val="18"/>
        </w:rPr>
        <w:t xml:space="preserve"> in het hoofdstuk de uitzonderingen expliciet worden </w:t>
      </w:r>
      <w:r>
        <w:rPr>
          <w:rFonts w:ascii="Verdana" w:hAnsi="Verdana" w:cs="Arial"/>
          <w:sz w:val="18"/>
          <w:szCs w:val="18"/>
        </w:rPr>
        <w:t>ge</w:t>
      </w:r>
      <w:r w:rsidRPr="00590F99">
        <w:rPr>
          <w:rFonts w:ascii="Verdana" w:hAnsi="Verdana" w:cs="Arial"/>
          <w:sz w:val="18"/>
          <w:szCs w:val="18"/>
        </w:rPr>
        <w:t>koppel</w:t>
      </w:r>
      <w:r>
        <w:rPr>
          <w:rFonts w:ascii="Verdana" w:hAnsi="Verdana" w:cs="Arial"/>
          <w:sz w:val="18"/>
          <w:szCs w:val="18"/>
        </w:rPr>
        <w:t>d</w:t>
      </w:r>
      <w:r w:rsidRPr="00590F99">
        <w:rPr>
          <w:rFonts w:ascii="Verdana" w:hAnsi="Verdana" w:cs="Arial"/>
          <w:sz w:val="18"/>
          <w:szCs w:val="18"/>
        </w:rPr>
        <w:t xml:space="preserve"> aan voorwaarden, zoals het verbod op willekeur en discriminatie. Wel zal het kabinet kritisch volgen hoe deze uitzonderingen in de praktijk worden toegepast, zodat zij niet als middel worden gebruikt om de verdragsverplichtingen te omzeilen.</w:t>
      </w:r>
      <w:bookmarkStart w:name="_Hlk237358548" w:id="4"/>
      <w:r w:rsidRPr="00884FA8">
        <w:rPr>
          <w:rFonts w:ascii="Verdana" w:hAnsi="Verdana" w:cs="Arial"/>
          <w:sz w:val="18"/>
          <w:szCs w:val="18"/>
        </w:rPr>
        <w:t xml:space="preserve"> </w:t>
      </w:r>
    </w:p>
    <w:p w:rsidRPr="00355917" w:rsidR="005A7A16" w:rsidP="005A7A16" w:rsidRDefault="005A7A16" w14:paraId="17346FA8" w14:textId="77777777">
      <w:pPr>
        <w:spacing w:line="276" w:lineRule="auto"/>
        <w:rPr>
          <w:rFonts w:ascii="Verdana" w:hAnsi="Verdana" w:cs="Arial"/>
          <w:sz w:val="18"/>
          <w:szCs w:val="18"/>
        </w:rPr>
      </w:pPr>
      <w:r>
        <w:rPr>
          <w:rFonts w:ascii="Verdana" w:hAnsi="Verdana" w:cs="Arial"/>
          <w:sz w:val="18"/>
          <w:szCs w:val="18"/>
        </w:rPr>
        <w:t xml:space="preserve">Tegelijkertijd dient te worden overwogen dat de horizonbepaling uit het bilaterale akkoord tussen het Koninkrijk en Indonesië op korte termijn afloopt, en de gemaakte afspraken wel een basisniveau van bescherming bieden. </w:t>
      </w:r>
    </w:p>
    <w:p w:rsidRPr="001F6478" w:rsidR="005A7A16" w:rsidP="005A7A16" w:rsidRDefault="005A7A16" w14:paraId="51AC324F" w14:textId="77777777">
      <w:pPr>
        <w:spacing w:line="276" w:lineRule="auto"/>
        <w:rPr>
          <w:rFonts w:ascii="Verdana" w:hAnsi="Verdana" w:cs="Arial"/>
          <w:sz w:val="18"/>
          <w:szCs w:val="18"/>
        </w:rPr>
      </w:pPr>
    </w:p>
    <w:p w:rsidRPr="008C2DF2" w:rsidR="005A7A16" w:rsidP="005A7A16" w:rsidRDefault="005A7A16" w14:paraId="5612D5F7" w14:textId="77777777">
      <w:pPr>
        <w:pStyle w:val="Lijstalinea"/>
        <w:numPr>
          <w:ilvl w:val="0"/>
          <w:numId w:val="6"/>
        </w:numPr>
        <w:spacing w:line="276" w:lineRule="auto"/>
        <w:rPr>
          <w:rFonts w:ascii="Verdana" w:hAnsi="Verdana" w:cs="Arial"/>
          <w:i/>
          <w:iCs/>
          <w:sz w:val="18"/>
          <w:szCs w:val="18"/>
        </w:rPr>
      </w:pPr>
      <w:r w:rsidRPr="001F6478">
        <w:rPr>
          <w:rFonts w:ascii="Verdana" w:hAnsi="Verdana" w:eastAsia="DejaVu Sans" w:cs="Lohit Hindi"/>
          <w:b/>
          <w:bCs/>
          <w:color w:val="000000"/>
          <w:kern w:val="0"/>
          <w:sz w:val="18"/>
          <w:szCs w:val="18"/>
          <w:lang w:eastAsia="nl-NL"/>
          <w14:ligatures w14:val="none"/>
        </w:rPr>
        <w:t xml:space="preserve">Procesbeschrijving </w:t>
      </w:r>
    </w:p>
    <w:p w:rsidRPr="008C2DF2" w:rsidR="005A7A16" w:rsidP="005A7A16" w:rsidRDefault="005A7A16" w14:paraId="2BA759B2" w14:textId="77777777">
      <w:pPr>
        <w:spacing w:line="276" w:lineRule="auto"/>
        <w:rPr>
          <w:rFonts w:ascii="Verdana" w:hAnsi="Verdana" w:cs="Arial"/>
          <w:i/>
          <w:iCs/>
          <w:sz w:val="18"/>
          <w:szCs w:val="18"/>
        </w:rPr>
      </w:pPr>
      <w:r w:rsidRPr="008C2DF2">
        <w:rPr>
          <w:rFonts w:ascii="Verdana" w:hAnsi="Verdana" w:cs="Arial"/>
          <w:i/>
          <w:iCs/>
          <w:sz w:val="18"/>
          <w:szCs w:val="18"/>
        </w:rPr>
        <w:t xml:space="preserve">Onderhandelingsproces  </w:t>
      </w:r>
    </w:p>
    <w:p w:rsidRPr="00F57662" w:rsidR="005A7A16" w:rsidP="005A7A16" w:rsidRDefault="005A7A16" w14:paraId="4E28C9E5" w14:textId="77777777">
      <w:pPr>
        <w:spacing w:line="276" w:lineRule="auto"/>
        <w:rPr>
          <w:rFonts w:ascii="Verdana" w:hAnsi="Verdana" w:cs="Arial"/>
          <w:sz w:val="18"/>
          <w:szCs w:val="18"/>
        </w:rPr>
      </w:pPr>
      <w:r w:rsidRPr="008C2DF2">
        <w:rPr>
          <w:rFonts w:ascii="Verdana" w:hAnsi="Verdana" w:cs="Arial"/>
          <w:sz w:val="18"/>
          <w:szCs w:val="18"/>
        </w:rPr>
        <w:t xml:space="preserve">Op 23 april 2007 machtigde de Raad de Commissie om met de ASEAN-lidstaten, waaronder Indonesië, te onderhandelen over een vrijhandelsovereenkomst, met de mogelijkheid van bilaterale onderhandelingen. Op 15 oktober 2013 werd dit mandaat uitgebreid tot investeringsbescherming. Op 13 juli 2016 kreeg de Commissie een specifiek mandaat om met Indonesië te onderhandelen over een brede economische partnerschapsovereenkomst, waarvan investeringsbescherming deel uitmaakte. Na een advies van het Hof van Justitie van 16 mei 2017 werd besloten investeringsbescherming in een afzonderlijk akkoord onder te brengen. In 2021 werden de handel- en investeringsbeschermingsonderhandelingen formeel gesplitst. De onderhandelingen over beide overeenkomsten werden op 23 september 2025 succesvol afgerond. </w:t>
      </w:r>
      <w:r>
        <w:rPr>
          <w:rFonts w:ascii="Verdana" w:hAnsi="Verdana" w:cs="Arial"/>
          <w:sz w:val="18"/>
          <w:szCs w:val="18"/>
        </w:rPr>
        <w:t>Verdere besluitvorming is toegelicht in de begeleidende Kamerbrief.</w:t>
      </w:r>
      <w:bookmarkEnd w:id="4"/>
    </w:p>
    <w:p w:rsidRPr="005A7A16" w:rsidR="006D5D30" w:rsidP="005A7A16" w:rsidRDefault="006D5D30" w14:paraId="67976154" w14:textId="0193B4F1"/>
    <w:sectPr w:rsidRPr="005A7A16" w:rsidR="006D5D30" w:rsidSect="00A3770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F34B" w14:textId="77777777" w:rsidR="00F066E5" w:rsidRDefault="00F066E5" w:rsidP="00F431CC">
      <w:pPr>
        <w:spacing w:after="0" w:line="240" w:lineRule="auto"/>
      </w:pPr>
      <w:r>
        <w:separator/>
      </w:r>
    </w:p>
  </w:endnote>
  <w:endnote w:type="continuationSeparator" w:id="0">
    <w:p w14:paraId="7D0DC00A" w14:textId="77777777" w:rsidR="00F066E5" w:rsidRDefault="00F066E5" w:rsidP="00F43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EB3E" w14:textId="77777777" w:rsidR="006A6ADA" w:rsidRDefault="006A6A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922"/>
      <w:docPartObj>
        <w:docPartGallery w:val="Page Numbers (Bottom of Page)"/>
        <w:docPartUnique/>
      </w:docPartObj>
    </w:sdtPr>
    <w:sdtContent>
      <w:p w14:paraId="770F31A8" w14:textId="132E4F6D" w:rsidR="006A6ADA" w:rsidRDefault="006A6ADA">
        <w:pPr>
          <w:pStyle w:val="Voettekst"/>
          <w:jc w:val="center"/>
        </w:pPr>
        <w:r>
          <w:fldChar w:fldCharType="begin"/>
        </w:r>
        <w:r>
          <w:instrText>PAGE   \* MERGEFORMAT</w:instrText>
        </w:r>
        <w:r>
          <w:fldChar w:fldCharType="separate"/>
        </w:r>
        <w:r>
          <w:t>2</w:t>
        </w:r>
        <w:r>
          <w:fldChar w:fldCharType="end"/>
        </w:r>
      </w:p>
    </w:sdtContent>
  </w:sdt>
  <w:p w14:paraId="22FF9FE7" w14:textId="77777777" w:rsidR="006A6ADA" w:rsidRDefault="006A6AD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77D7" w14:textId="77777777" w:rsidR="006A6ADA" w:rsidRDefault="006A6AD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D310" w14:textId="77777777" w:rsidR="00F066E5" w:rsidRDefault="00F066E5" w:rsidP="00F431CC">
      <w:pPr>
        <w:spacing w:after="0" w:line="240" w:lineRule="auto"/>
      </w:pPr>
      <w:r>
        <w:separator/>
      </w:r>
    </w:p>
  </w:footnote>
  <w:footnote w:type="continuationSeparator" w:id="0">
    <w:p w14:paraId="402B2D44" w14:textId="77777777" w:rsidR="00F066E5" w:rsidRDefault="00F066E5" w:rsidP="00F431CC">
      <w:pPr>
        <w:spacing w:after="0" w:line="240" w:lineRule="auto"/>
      </w:pPr>
      <w:r>
        <w:continuationSeparator/>
      </w:r>
    </w:p>
  </w:footnote>
  <w:footnote w:id="1">
    <w:p w14:paraId="0DD633EE" w14:textId="78F13C85" w:rsidR="005A7A16" w:rsidRPr="001F6478" w:rsidRDefault="005A7A16" w:rsidP="005A7A16">
      <w:pPr>
        <w:pStyle w:val="Voetnoottekst"/>
      </w:pPr>
      <w:r>
        <w:rPr>
          <w:rStyle w:val="Voetnootmarkering"/>
        </w:rPr>
        <w:footnoteRef/>
      </w:r>
      <w:r>
        <w:t xml:space="preserve"> </w:t>
      </w:r>
      <w:r w:rsidRPr="00627DE3">
        <w:rPr>
          <w:rFonts w:ascii="Verdana" w:hAnsi="Verdana"/>
          <w:sz w:val="16"/>
          <w:szCs w:val="16"/>
        </w:rPr>
        <w:t xml:space="preserve">Kamerstuk: </w:t>
      </w:r>
      <w:r w:rsidR="002F7C1F">
        <w:rPr>
          <w:rFonts w:ascii="Verdana" w:hAnsi="Verdana"/>
          <w:sz w:val="16"/>
          <w:szCs w:val="16"/>
        </w:rPr>
        <w:t>34 952 nr. 32</w:t>
      </w:r>
    </w:p>
  </w:footnote>
  <w:footnote w:id="2">
    <w:p w14:paraId="6D92EDDA" w14:textId="03525643" w:rsidR="005A7A16" w:rsidRPr="006E3753" w:rsidRDefault="005A7A16" w:rsidP="005A7A16">
      <w:pPr>
        <w:pStyle w:val="Voetnoottekst"/>
      </w:pPr>
      <w:r w:rsidRPr="006D6168">
        <w:rPr>
          <w:rStyle w:val="Voetnootmarkering"/>
          <w:sz w:val="18"/>
          <w:szCs w:val="18"/>
        </w:rPr>
        <w:footnoteRef/>
      </w:r>
      <w:r w:rsidRPr="006D6168">
        <w:rPr>
          <w:sz w:val="18"/>
          <w:szCs w:val="18"/>
        </w:rPr>
        <w:t xml:space="preserve"> </w:t>
      </w:r>
      <w:r w:rsidR="003105A9">
        <w:rPr>
          <w:rFonts w:ascii="Verdana" w:hAnsi="Verdana"/>
          <w:sz w:val="16"/>
          <w:szCs w:val="16"/>
        </w:rPr>
        <w:t>Zie voetnoot 1.</w:t>
      </w:r>
    </w:p>
  </w:footnote>
  <w:footnote w:id="3">
    <w:p w14:paraId="38BBAD78" w14:textId="326DA743" w:rsidR="005A7A16" w:rsidRPr="003C5ED9" w:rsidRDefault="005A7A16" w:rsidP="005A7A16">
      <w:pPr>
        <w:pStyle w:val="Voetnoottekst"/>
      </w:pPr>
      <w:r>
        <w:rPr>
          <w:rStyle w:val="Voetnootmarkering"/>
        </w:rPr>
        <w:footnoteRef/>
      </w:r>
      <w:r>
        <w:t xml:space="preserve"> </w:t>
      </w:r>
      <w:r w:rsidR="003105A9">
        <w:rPr>
          <w:rFonts w:ascii="Verdana" w:hAnsi="Verdana"/>
          <w:sz w:val="16"/>
          <w:szCs w:val="16"/>
        </w:rPr>
        <w:t>Zie voetnoot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B39A3" w14:textId="77777777" w:rsidR="006A6ADA" w:rsidRDefault="006A6A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55F26" w14:textId="77777777" w:rsidR="006A6ADA" w:rsidRDefault="006A6AD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C671" w14:textId="77777777" w:rsidR="006A6ADA" w:rsidRDefault="006A6AD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B5B94"/>
    <w:multiLevelType w:val="hybridMultilevel"/>
    <w:tmpl w:val="BBC049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F2B2D8A"/>
    <w:multiLevelType w:val="hybridMultilevel"/>
    <w:tmpl w:val="C7F21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3C541DC"/>
    <w:multiLevelType w:val="multilevel"/>
    <w:tmpl w:val="F7E4AFD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6A3B35B5"/>
    <w:multiLevelType w:val="hybridMultilevel"/>
    <w:tmpl w:val="61CC2D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A20700A"/>
    <w:multiLevelType w:val="hybridMultilevel"/>
    <w:tmpl w:val="6E6E0CC2"/>
    <w:lvl w:ilvl="0" w:tplc="6FAC8B32">
      <w:start w:val="5"/>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460658017">
    <w:abstractNumId w:val="0"/>
  </w:num>
  <w:num w:numId="2" w16cid:durableId="1510636961">
    <w:abstractNumId w:val="2"/>
  </w:num>
  <w:num w:numId="3" w16cid:durableId="48260982">
    <w:abstractNumId w:val="3"/>
  </w:num>
  <w:num w:numId="4" w16cid:durableId="586117724">
    <w:abstractNumId w:val="4"/>
  </w:num>
  <w:num w:numId="5" w16cid:durableId="1272282033">
    <w:abstractNumId w:val="4"/>
  </w:num>
  <w:num w:numId="6" w16cid:durableId="551814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353"/>
    <w:rsid w:val="00004B8F"/>
    <w:rsid w:val="00011F5C"/>
    <w:rsid w:val="0001598E"/>
    <w:rsid w:val="000164BD"/>
    <w:rsid w:val="000234AC"/>
    <w:rsid w:val="00023BF7"/>
    <w:rsid w:val="00031E4D"/>
    <w:rsid w:val="000361DC"/>
    <w:rsid w:val="00037752"/>
    <w:rsid w:val="0005061D"/>
    <w:rsid w:val="000630CD"/>
    <w:rsid w:val="00063C26"/>
    <w:rsid w:val="00072E83"/>
    <w:rsid w:val="00074EC1"/>
    <w:rsid w:val="0008667E"/>
    <w:rsid w:val="00095509"/>
    <w:rsid w:val="00095D94"/>
    <w:rsid w:val="000965FC"/>
    <w:rsid w:val="000B127B"/>
    <w:rsid w:val="000C04FB"/>
    <w:rsid w:val="000C05CA"/>
    <w:rsid w:val="000C4787"/>
    <w:rsid w:val="000E33FF"/>
    <w:rsid w:val="000F3870"/>
    <w:rsid w:val="001015E5"/>
    <w:rsid w:val="001034C9"/>
    <w:rsid w:val="00103546"/>
    <w:rsid w:val="00127E82"/>
    <w:rsid w:val="001319D2"/>
    <w:rsid w:val="0014388D"/>
    <w:rsid w:val="00156250"/>
    <w:rsid w:val="00160E93"/>
    <w:rsid w:val="00175199"/>
    <w:rsid w:val="001755CB"/>
    <w:rsid w:val="001818FE"/>
    <w:rsid w:val="00183CD8"/>
    <w:rsid w:val="001879C9"/>
    <w:rsid w:val="00187C78"/>
    <w:rsid w:val="00191E9E"/>
    <w:rsid w:val="00194871"/>
    <w:rsid w:val="001948CE"/>
    <w:rsid w:val="00196D2D"/>
    <w:rsid w:val="001A079B"/>
    <w:rsid w:val="001A12E3"/>
    <w:rsid w:val="001B6507"/>
    <w:rsid w:val="001C2DD0"/>
    <w:rsid w:val="001C74B0"/>
    <w:rsid w:val="001D0807"/>
    <w:rsid w:val="001D4834"/>
    <w:rsid w:val="001D6DFB"/>
    <w:rsid w:val="001E3625"/>
    <w:rsid w:val="001F02A4"/>
    <w:rsid w:val="001F33E2"/>
    <w:rsid w:val="001F5EEF"/>
    <w:rsid w:val="001F6478"/>
    <w:rsid w:val="001F6780"/>
    <w:rsid w:val="00203B7C"/>
    <w:rsid w:val="0022007B"/>
    <w:rsid w:val="00223117"/>
    <w:rsid w:val="0022465C"/>
    <w:rsid w:val="002323D2"/>
    <w:rsid w:val="002329AA"/>
    <w:rsid w:val="00235996"/>
    <w:rsid w:val="0025779E"/>
    <w:rsid w:val="00262666"/>
    <w:rsid w:val="002630DB"/>
    <w:rsid w:val="0026463D"/>
    <w:rsid w:val="0027009B"/>
    <w:rsid w:val="00293421"/>
    <w:rsid w:val="002A5F04"/>
    <w:rsid w:val="002B1FA1"/>
    <w:rsid w:val="002C65A0"/>
    <w:rsid w:val="002D19B8"/>
    <w:rsid w:val="002E6C31"/>
    <w:rsid w:val="002F1FC2"/>
    <w:rsid w:val="002F70DB"/>
    <w:rsid w:val="002F72C9"/>
    <w:rsid w:val="002F7C1F"/>
    <w:rsid w:val="00307E12"/>
    <w:rsid w:val="003105A9"/>
    <w:rsid w:val="003139EB"/>
    <w:rsid w:val="00316268"/>
    <w:rsid w:val="0031638E"/>
    <w:rsid w:val="00352757"/>
    <w:rsid w:val="00355917"/>
    <w:rsid w:val="00355AE3"/>
    <w:rsid w:val="003623FD"/>
    <w:rsid w:val="00365724"/>
    <w:rsid w:val="00367735"/>
    <w:rsid w:val="003753EA"/>
    <w:rsid w:val="00377986"/>
    <w:rsid w:val="00382C73"/>
    <w:rsid w:val="00395D63"/>
    <w:rsid w:val="003A1271"/>
    <w:rsid w:val="003A3F51"/>
    <w:rsid w:val="003C0F69"/>
    <w:rsid w:val="003C41C3"/>
    <w:rsid w:val="003C5ED9"/>
    <w:rsid w:val="003D01AC"/>
    <w:rsid w:val="003E7960"/>
    <w:rsid w:val="00402178"/>
    <w:rsid w:val="00405615"/>
    <w:rsid w:val="00407756"/>
    <w:rsid w:val="0041094B"/>
    <w:rsid w:val="004114D2"/>
    <w:rsid w:val="004134AD"/>
    <w:rsid w:val="00414F51"/>
    <w:rsid w:val="00416C86"/>
    <w:rsid w:val="0042445B"/>
    <w:rsid w:val="00431F50"/>
    <w:rsid w:val="00436167"/>
    <w:rsid w:val="0044520A"/>
    <w:rsid w:val="00450222"/>
    <w:rsid w:val="00475AB1"/>
    <w:rsid w:val="0047671B"/>
    <w:rsid w:val="00477FE8"/>
    <w:rsid w:val="00483F8F"/>
    <w:rsid w:val="00497894"/>
    <w:rsid w:val="004A6FF6"/>
    <w:rsid w:val="004B0D26"/>
    <w:rsid w:val="004C64BC"/>
    <w:rsid w:val="004D647F"/>
    <w:rsid w:val="004D676A"/>
    <w:rsid w:val="004E0E67"/>
    <w:rsid w:val="00507D82"/>
    <w:rsid w:val="00512A77"/>
    <w:rsid w:val="005218D7"/>
    <w:rsid w:val="0054597A"/>
    <w:rsid w:val="00547948"/>
    <w:rsid w:val="00554777"/>
    <w:rsid w:val="00555F8B"/>
    <w:rsid w:val="0056592B"/>
    <w:rsid w:val="00575710"/>
    <w:rsid w:val="005846A0"/>
    <w:rsid w:val="00587A0A"/>
    <w:rsid w:val="005900C0"/>
    <w:rsid w:val="00590F99"/>
    <w:rsid w:val="00591EDC"/>
    <w:rsid w:val="00593507"/>
    <w:rsid w:val="005A6389"/>
    <w:rsid w:val="005A7A16"/>
    <w:rsid w:val="005B1E3A"/>
    <w:rsid w:val="005B284E"/>
    <w:rsid w:val="005C13CF"/>
    <w:rsid w:val="005C1704"/>
    <w:rsid w:val="005C4308"/>
    <w:rsid w:val="005C5ABA"/>
    <w:rsid w:val="005D1152"/>
    <w:rsid w:val="005D153A"/>
    <w:rsid w:val="005D2742"/>
    <w:rsid w:val="005E0D8C"/>
    <w:rsid w:val="005E5F84"/>
    <w:rsid w:val="005F513D"/>
    <w:rsid w:val="00600847"/>
    <w:rsid w:val="006011F6"/>
    <w:rsid w:val="00607928"/>
    <w:rsid w:val="0061646E"/>
    <w:rsid w:val="0061666E"/>
    <w:rsid w:val="00630254"/>
    <w:rsid w:val="00632400"/>
    <w:rsid w:val="0063488C"/>
    <w:rsid w:val="00635A61"/>
    <w:rsid w:val="00642540"/>
    <w:rsid w:val="00670A29"/>
    <w:rsid w:val="00674E5B"/>
    <w:rsid w:val="00675B72"/>
    <w:rsid w:val="006766D9"/>
    <w:rsid w:val="0068079E"/>
    <w:rsid w:val="00687530"/>
    <w:rsid w:val="006A6ADA"/>
    <w:rsid w:val="006C2F41"/>
    <w:rsid w:val="006D5D30"/>
    <w:rsid w:val="006D6168"/>
    <w:rsid w:val="006E3753"/>
    <w:rsid w:val="006E698F"/>
    <w:rsid w:val="006F1129"/>
    <w:rsid w:val="006F44F5"/>
    <w:rsid w:val="00707CA6"/>
    <w:rsid w:val="00726CDE"/>
    <w:rsid w:val="007319DE"/>
    <w:rsid w:val="00741C65"/>
    <w:rsid w:val="0074618F"/>
    <w:rsid w:val="00746543"/>
    <w:rsid w:val="0077594C"/>
    <w:rsid w:val="0078494F"/>
    <w:rsid w:val="007970EA"/>
    <w:rsid w:val="007A1D20"/>
    <w:rsid w:val="007B72B7"/>
    <w:rsid w:val="007C6E73"/>
    <w:rsid w:val="007D20BD"/>
    <w:rsid w:val="007D34A8"/>
    <w:rsid w:val="007D5E79"/>
    <w:rsid w:val="007D690F"/>
    <w:rsid w:val="007D6D18"/>
    <w:rsid w:val="007E3480"/>
    <w:rsid w:val="007E3BA9"/>
    <w:rsid w:val="007E3E97"/>
    <w:rsid w:val="007E5523"/>
    <w:rsid w:val="007F16C8"/>
    <w:rsid w:val="007F1943"/>
    <w:rsid w:val="0081081E"/>
    <w:rsid w:val="00814D07"/>
    <w:rsid w:val="00820130"/>
    <w:rsid w:val="0082504A"/>
    <w:rsid w:val="00844A58"/>
    <w:rsid w:val="00846EF8"/>
    <w:rsid w:val="00853A04"/>
    <w:rsid w:val="00856216"/>
    <w:rsid w:val="00856AE4"/>
    <w:rsid w:val="00857046"/>
    <w:rsid w:val="00881BD2"/>
    <w:rsid w:val="00884FA8"/>
    <w:rsid w:val="00897D68"/>
    <w:rsid w:val="008A089E"/>
    <w:rsid w:val="008A0DBA"/>
    <w:rsid w:val="008A2C52"/>
    <w:rsid w:val="008B10F2"/>
    <w:rsid w:val="008C1FA4"/>
    <w:rsid w:val="008C2DF2"/>
    <w:rsid w:val="008C3910"/>
    <w:rsid w:val="008C3FF1"/>
    <w:rsid w:val="008D3F20"/>
    <w:rsid w:val="008D75D3"/>
    <w:rsid w:val="008E651C"/>
    <w:rsid w:val="008E72CF"/>
    <w:rsid w:val="008F0773"/>
    <w:rsid w:val="008F5186"/>
    <w:rsid w:val="00917388"/>
    <w:rsid w:val="009176B5"/>
    <w:rsid w:val="00930D35"/>
    <w:rsid w:val="00932F0D"/>
    <w:rsid w:val="00934834"/>
    <w:rsid w:val="009720E2"/>
    <w:rsid w:val="0098171D"/>
    <w:rsid w:val="00985953"/>
    <w:rsid w:val="0099171E"/>
    <w:rsid w:val="00991A29"/>
    <w:rsid w:val="00996AF6"/>
    <w:rsid w:val="009A2F44"/>
    <w:rsid w:val="009A7D34"/>
    <w:rsid w:val="009B6FD5"/>
    <w:rsid w:val="009B73B4"/>
    <w:rsid w:val="009C3365"/>
    <w:rsid w:val="009E1C62"/>
    <w:rsid w:val="009E1CA5"/>
    <w:rsid w:val="009E24CE"/>
    <w:rsid w:val="009E6D3A"/>
    <w:rsid w:val="009F0FD1"/>
    <w:rsid w:val="009F2182"/>
    <w:rsid w:val="00A0318B"/>
    <w:rsid w:val="00A174FE"/>
    <w:rsid w:val="00A206B9"/>
    <w:rsid w:val="00A37568"/>
    <w:rsid w:val="00A3770D"/>
    <w:rsid w:val="00A51498"/>
    <w:rsid w:val="00A56080"/>
    <w:rsid w:val="00A61357"/>
    <w:rsid w:val="00A6391D"/>
    <w:rsid w:val="00AA21FE"/>
    <w:rsid w:val="00AA6CBA"/>
    <w:rsid w:val="00AB07C7"/>
    <w:rsid w:val="00AB23F2"/>
    <w:rsid w:val="00AB641A"/>
    <w:rsid w:val="00AC17DB"/>
    <w:rsid w:val="00AC4E54"/>
    <w:rsid w:val="00AD343B"/>
    <w:rsid w:val="00AD6CB9"/>
    <w:rsid w:val="00AD7F39"/>
    <w:rsid w:val="00AE043F"/>
    <w:rsid w:val="00AF2DBF"/>
    <w:rsid w:val="00AF6BB2"/>
    <w:rsid w:val="00AF7063"/>
    <w:rsid w:val="00B03D3A"/>
    <w:rsid w:val="00B03D6D"/>
    <w:rsid w:val="00B0404A"/>
    <w:rsid w:val="00B1165D"/>
    <w:rsid w:val="00B12830"/>
    <w:rsid w:val="00B15710"/>
    <w:rsid w:val="00B220BB"/>
    <w:rsid w:val="00B348A3"/>
    <w:rsid w:val="00B34DB2"/>
    <w:rsid w:val="00B4374D"/>
    <w:rsid w:val="00B442F9"/>
    <w:rsid w:val="00B57AA8"/>
    <w:rsid w:val="00B63078"/>
    <w:rsid w:val="00B7707B"/>
    <w:rsid w:val="00B8362F"/>
    <w:rsid w:val="00B876F8"/>
    <w:rsid w:val="00B916BD"/>
    <w:rsid w:val="00B91DC7"/>
    <w:rsid w:val="00B9242F"/>
    <w:rsid w:val="00B969BA"/>
    <w:rsid w:val="00BA2531"/>
    <w:rsid w:val="00BB3974"/>
    <w:rsid w:val="00BB4AC9"/>
    <w:rsid w:val="00BD4E39"/>
    <w:rsid w:val="00BE0EBC"/>
    <w:rsid w:val="00BE1AD2"/>
    <w:rsid w:val="00BE5DDE"/>
    <w:rsid w:val="00BE6558"/>
    <w:rsid w:val="00BF0F2E"/>
    <w:rsid w:val="00BF5B2D"/>
    <w:rsid w:val="00C00FD1"/>
    <w:rsid w:val="00C026F9"/>
    <w:rsid w:val="00C1642D"/>
    <w:rsid w:val="00C20218"/>
    <w:rsid w:val="00C24A1B"/>
    <w:rsid w:val="00C33583"/>
    <w:rsid w:val="00C3713E"/>
    <w:rsid w:val="00C41967"/>
    <w:rsid w:val="00C4557C"/>
    <w:rsid w:val="00C501A4"/>
    <w:rsid w:val="00C70F45"/>
    <w:rsid w:val="00C80D87"/>
    <w:rsid w:val="00C879DB"/>
    <w:rsid w:val="00C92679"/>
    <w:rsid w:val="00C9757C"/>
    <w:rsid w:val="00CA2809"/>
    <w:rsid w:val="00CB211F"/>
    <w:rsid w:val="00CB56E5"/>
    <w:rsid w:val="00CC2C17"/>
    <w:rsid w:val="00CC3F41"/>
    <w:rsid w:val="00CD35C7"/>
    <w:rsid w:val="00CD4FE2"/>
    <w:rsid w:val="00CD615A"/>
    <w:rsid w:val="00CE11FD"/>
    <w:rsid w:val="00CE79D8"/>
    <w:rsid w:val="00CF0A33"/>
    <w:rsid w:val="00CF78FD"/>
    <w:rsid w:val="00D03E3F"/>
    <w:rsid w:val="00D041FF"/>
    <w:rsid w:val="00D1034E"/>
    <w:rsid w:val="00D15C7D"/>
    <w:rsid w:val="00D34F54"/>
    <w:rsid w:val="00D42A8E"/>
    <w:rsid w:val="00D451E0"/>
    <w:rsid w:val="00D512E7"/>
    <w:rsid w:val="00D60F45"/>
    <w:rsid w:val="00D6137A"/>
    <w:rsid w:val="00D7215A"/>
    <w:rsid w:val="00D72D53"/>
    <w:rsid w:val="00D81605"/>
    <w:rsid w:val="00D876BE"/>
    <w:rsid w:val="00D90B77"/>
    <w:rsid w:val="00D96627"/>
    <w:rsid w:val="00DA150B"/>
    <w:rsid w:val="00DA7BE1"/>
    <w:rsid w:val="00DC3935"/>
    <w:rsid w:val="00DC438A"/>
    <w:rsid w:val="00DC520F"/>
    <w:rsid w:val="00DD2C1A"/>
    <w:rsid w:val="00DD534F"/>
    <w:rsid w:val="00DD5EDB"/>
    <w:rsid w:val="00DE1236"/>
    <w:rsid w:val="00DE183D"/>
    <w:rsid w:val="00DF1CB5"/>
    <w:rsid w:val="00E06874"/>
    <w:rsid w:val="00E11C67"/>
    <w:rsid w:val="00E138F4"/>
    <w:rsid w:val="00E14B38"/>
    <w:rsid w:val="00E16353"/>
    <w:rsid w:val="00E223E7"/>
    <w:rsid w:val="00E22CB2"/>
    <w:rsid w:val="00E24CDC"/>
    <w:rsid w:val="00E56F4F"/>
    <w:rsid w:val="00E62C51"/>
    <w:rsid w:val="00E64FEF"/>
    <w:rsid w:val="00E76011"/>
    <w:rsid w:val="00E8196D"/>
    <w:rsid w:val="00E82241"/>
    <w:rsid w:val="00E93A9E"/>
    <w:rsid w:val="00E95990"/>
    <w:rsid w:val="00E96862"/>
    <w:rsid w:val="00EA0C4B"/>
    <w:rsid w:val="00EB1E42"/>
    <w:rsid w:val="00EC3974"/>
    <w:rsid w:val="00EE0B89"/>
    <w:rsid w:val="00EE486C"/>
    <w:rsid w:val="00F066E5"/>
    <w:rsid w:val="00F0781D"/>
    <w:rsid w:val="00F149AC"/>
    <w:rsid w:val="00F26C7A"/>
    <w:rsid w:val="00F26D87"/>
    <w:rsid w:val="00F431CC"/>
    <w:rsid w:val="00F43ED4"/>
    <w:rsid w:val="00F443F3"/>
    <w:rsid w:val="00F474D4"/>
    <w:rsid w:val="00F5109D"/>
    <w:rsid w:val="00F522AB"/>
    <w:rsid w:val="00F57662"/>
    <w:rsid w:val="00F74371"/>
    <w:rsid w:val="00F75EE3"/>
    <w:rsid w:val="00FA166B"/>
    <w:rsid w:val="00FA39C1"/>
    <w:rsid w:val="00FB6710"/>
    <w:rsid w:val="00FD2E61"/>
    <w:rsid w:val="00FD3CD7"/>
    <w:rsid w:val="00FD4CC0"/>
    <w:rsid w:val="00FE158C"/>
    <w:rsid w:val="00FE340D"/>
    <w:rsid w:val="00FE7EC7"/>
    <w:rsid w:val="00FF0674"/>
    <w:rsid w:val="00FF5430"/>
    <w:rsid w:val="00FF5926"/>
    <w:rsid w:val="6CFD20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3E891"/>
  <w15:chartTrackingRefBased/>
  <w15:docId w15:val="{99521778-6364-433B-AC2B-F1A281DCA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163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163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1635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1635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1635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163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163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1635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163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163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163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163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163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163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163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163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163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16353"/>
    <w:rPr>
      <w:rFonts w:eastAsiaTheme="majorEastAsia" w:cstheme="majorBidi"/>
      <w:color w:val="272727" w:themeColor="text1" w:themeTint="D8"/>
    </w:rPr>
  </w:style>
  <w:style w:type="paragraph" w:styleId="Titel">
    <w:name w:val="Title"/>
    <w:basedOn w:val="Standaard"/>
    <w:next w:val="Standaard"/>
    <w:link w:val="TitelChar"/>
    <w:uiPriority w:val="10"/>
    <w:qFormat/>
    <w:rsid w:val="00E163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163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163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163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163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16353"/>
    <w:rPr>
      <w:i/>
      <w:iCs/>
      <w:color w:val="404040" w:themeColor="text1" w:themeTint="BF"/>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L"/>
    <w:basedOn w:val="Standaard"/>
    <w:link w:val="LijstalineaChar"/>
    <w:uiPriority w:val="34"/>
    <w:qFormat/>
    <w:rsid w:val="00E16353"/>
    <w:pPr>
      <w:ind w:left="720"/>
      <w:contextualSpacing/>
    </w:pPr>
  </w:style>
  <w:style w:type="character" w:styleId="Intensievebenadrukking">
    <w:name w:val="Intense Emphasis"/>
    <w:basedOn w:val="Standaardalinea-lettertype"/>
    <w:uiPriority w:val="21"/>
    <w:qFormat/>
    <w:rsid w:val="00E16353"/>
    <w:rPr>
      <w:i/>
      <w:iCs/>
      <w:color w:val="0F4761" w:themeColor="accent1" w:themeShade="BF"/>
    </w:rPr>
  </w:style>
  <w:style w:type="paragraph" w:styleId="Duidelijkcitaat">
    <w:name w:val="Intense Quote"/>
    <w:basedOn w:val="Standaard"/>
    <w:next w:val="Standaard"/>
    <w:link w:val="DuidelijkcitaatChar"/>
    <w:uiPriority w:val="30"/>
    <w:qFormat/>
    <w:rsid w:val="00E163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16353"/>
    <w:rPr>
      <w:i/>
      <w:iCs/>
      <w:color w:val="0F4761" w:themeColor="accent1" w:themeShade="BF"/>
    </w:rPr>
  </w:style>
  <w:style w:type="character" w:styleId="Intensieveverwijzing">
    <w:name w:val="Intense Reference"/>
    <w:basedOn w:val="Standaardalinea-lettertype"/>
    <w:uiPriority w:val="32"/>
    <w:qFormat/>
    <w:rsid w:val="00E16353"/>
    <w:rPr>
      <w:b/>
      <w:bCs/>
      <w:smallCaps/>
      <w:color w:val="0F4761" w:themeColor="accent1" w:themeShade="BF"/>
      <w:spacing w:val="5"/>
    </w:r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78494F"/>
  </w:style>
  <w:style w:type="character" w:styleId="Verwijzingopmerking">
    <w:name w:val="annotation reference"/>
    <w:basedOn w:val="Standaardalinea-lettertype"/>
    <w:uiPriority w:val="99"/>
    <w:semiHidden/>
    <w:unhideWhenUsed/>
    <w:rsid w:val="00CD4FE2"/>
    <w:rPr>
      <w:sz w:val="16"/>
      <w:szCs w:val="16"/>
    </w:rPr>
  </w:style>
  <w:style w:type="paragraph" w:styleId="Tekstopmerking">
    <w:name w:val="annotation text"/>
    <w:basedOn w:val="Standaard"/>
    <w:link w:val="TekstopmerkingChar"/>
    <w:uiPriority w:val="99"/>
    <w:unhideWhenUsed/>
    <w:rsid w:val="00CD4FE2"/>
    <w:pPr>
      <w:spacing w:line="240" w:lineRule="auto"/>
    </w:pPr>
    <w:rPr>
      <w:sz w:val="20"/>
      <w:szCs w:val="20"/>
    </w:rPr>
  </w:style>
  <w:style w:type="character" w:customStyle="1" w:styleId="TekstopmerkingChar">
    <w:name w:val="Tekst opmerking Char"/>
    <w:basedOn w:val="Standaardalinea-lettertype"/>
    <w:link w:val="Tekstopmerking"/>
    <w:uiPriority w:val="99"/>
    <w:rsid w:val="00CD4FE2"/>
    <w:rPr>
      <w:sz w:val="20"/>
      <w:szCs w:val="20"/>
    </w:rPr>
  </w:style>
  <w:style w:type="paragraph" w:styleId="Onderwerpvanopmerking">
    <w:name w:val="annotation subject"/>
    <w:basedOn w:val="Tekstopmerking"/>
    <w:next w:val="Tekstopmerking"/>
    <w:link w:val="OnderwerpvanopmerkingChar"/>
    <w:uiPriority w:val="99"/>
    <w:semiHidden/>
    <w:unhideWhenUsed/>
    <w:rsid w:val="00CD4FE2"/>
    <w:rPr>
      <w:b/>
      <w:bCs/>
    </w:rPr>
  </w:style>
  <w:style w:type="character" w:customStyle="1" w:styleId="OnderwerpvanopmerkingChar">
    <w:name w:val="Onderwerp van opmerking Char"/>
    <w:basedOn w:val="TekstopmerkingChar"/>
    <w:link w:val="Onderwerpvanopmerking"/>
    <w:uiPriority w:val="99"/>
    <w:semiHidden/>
    <w:rsid w:val="00CD4FE2"/>
    <w:rPr>
      <w:b/>
      <w:bCs/>
      <w:sz w:val="20"/>
      <w:szCs w:val="20"/>
    </w:rPr>
  </w:style>
  <w:style w:type="paragraph" w:customStyle="1" w:styleId="mb-2">
    <w:name w:val="mb-2"/>
    <w:basedOn w:val="Standaard"/>
    <w:rsid w:val="0057571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Bovenkantformulier">
    <w:name w:val="HTML Top of Form"/>
    <w:basedOn w:val="Standaard"/>
    <w:next w:val="Standaard"/>
    <w:link w:val="BovenkantformulierChar"/>
    <w:hidden/>
    <w:uiPriority w:val="99"/>
    <w:semiHidden/>
    <w:unhideWhenUsed/>
    <w:rsid w:val="00575710"/>
    <w:pPr>
      <w:pBdr>
        <w:bottom w:val="single" w:sz="6" w:space="1" w:color="auto"/>
      </w:pBdr>
      <w:spacing w:after="0" w:line="240" w:lineRule="auto"/>
      <w:jc w:val="center"/>
    </w:pPr>
    <w:rPr>
      <w:rFonts w:ascii="Arial" w:eastAsia="Times New Roman" w:hAnsi="Arial" w:cs="Arial"/>
      <w:vanish/>
      <w:kern w:val="0"/>
      <w:sz w:val="16"/>
      <w:szCs w:val="16"/>
      <w:lang w:eastAsia="nl-NL"/>
      <w14:ligatures w14:val="none"/>
    </w:rPr>
  </w:style>
  <w:style w:type="character" w:customStyle="1" w:styleId="BovenkantformulierChar">
    <w:name w:val="Bovenkant formulier Char"/>
    <w:basedOn w:val="Standaardalinea-lettertype"/>
    <w:link w:val="Bovenkantformulier"/>
    <w:uiPriority w:val="99"/>
    <w:semiHidden/>
    <w:rsid w:val="00575710"/>
    <w:rPr>
      <w:rFonts w:ascii="Arial" w:eastAsia="Times New Roman" w:hAnsi="Arial" w:cs="Arial"/>
      <w:vanish/>
      <w:kern w:val="0"/>
      <w:sz w:val="16"/>
      <w:szCs w:val="16"/>
      <w:lang w:eastAsia="nl-NL"/>
      <w14:ligatures w14:val="none"/>
    </w:rPr>
  </w:style>
  <w:style w:type="paragraph" w:styleId="Onderkantformulier">
    <w:name w:val="HTML Bottom of Form"/>
    <w:basedOn w:val="Standaard"/>
    <w:next w:val="Standaard"/>
    <w:link w:val="OnderkantformulierChar"/>
    <w:hidden/>
    <w:uiPriority w:val="99"/>
    <w:semiHidden/>
    <w:unhideWhenUsed/>
    <w:rsid w:val="00575710"/>
    <w:pPr>
      <w:pBdr>
        <w:top w:val="single" w:sz="6" w:space="1" w:color="auto"/>
      </w:pBdr>
      <w:spacing w:after="0" w:line="240" w:lineRule="auto"/>
      <w:jc w:val="center"/>
    </w:pPr>
    <w:rPr>
      <w:rFonts w:ascii="Arial" w:eastAsia="Times New Roman" w:hAnsi="Arial" w:cs="Arial"/>
      <w:vanish/>
      <w:kern w:val="0"/>
      <w:sz w:val="16"/>
      <w:szCs w:val="16"/>
      <w:lang w:eastAsia="nl-NL"/>
      <w14:ligatures w14:val="none"/>
    </w:rPr>
  </w:style>
  <w:style w:type="character" w:customStyle="1" w:styleId="OnderkantformulierChar">
    <w:name w:val="Onderkant formulier Char"/>
    <w:basedOn w:val="Standaardalinea-lettertype"/>
    <w:link w:val="Onderkantformulier"/>
    <w:uiPriority w:val="99"/>
    <w:semiHidden/>
    <w:rsid w:val="00575710"/>
    <w:rPr>
      <w:rFonts w:ascii="Arial" w:eastAsia="Times New Roman" w:hAnsi="Arial" w:cs="Arial"/>
      <w:vanish/>
      <w:kern w:val="0"/>
      <w:sz w:val="16"/>
      <w:szCs w:val="16"/>
      <w:lang w:eastAsia="nl-NL"/>
      <w14:ligatures w14:val="none"/>
    </w:rPr>
  </w:style>
  <w:style w:type="character" w:styleId="Nadruk">
    <w:name w:val="Emphasis"/>
    <w:basedOn w:val="Standaardalinea-lettertype"/>
    <w:uiPriority w:val="20"/>
    <w:qFormat/>
    <w:rsid w:val="009720E2"/>
    <w:rPr>
      <w:i/>
      <w:iCs/>
    </w:rPr>
  </w:style>
  <w:style w:type="paragraph" w:styleId="Revisie">
    <w:name w:val="Revision"/>
    <w:hidden/>
    <w:uiPriority w:val="99"/>
    <w:semiHidden/>
    <w:rsid w:val="001034C9"/>
    <w:pPr>
      <w:spacing w:after="0" w:line="240" w:lineRule="auto"/>
    </w:pPr>
  </w:style>
  <w:style w:type="character" w:styleId="Hyperlink">
    <w:name w:val="Hyperlink"/>
    <w:basedOn w:val="Standaardalinea-lettertype"/>
    <w:uiPriority w:val="99"/>
    <w:unhideWhenUsed/>
    <w:rsid w:val="00B03D6D"/>
    <w:rPr>
      <w:color w:val="467886" w:themeColor="hyperlink"/>
      <w:u w:val="single"/>
    </w:rPr>
  </w:style>
  <w:style w:type="character" w:styleId="Onopgelostemelding">
    <w:name w:val="Unresolved Mention"/>
    <w:basedOn w:val="Standaardalinea-lettertype"/>
    <w:uiPriority w:val="99"/>
    <w:semiHidden/>
    <w:unhideWhenUsed/>
    <w:rsid w:val="00B03D6D"/>
    <w:rPr>
      <w:color w:val="605E5C"/>
      <w:shd w:val="clear" w:color="auto" w:fill="E1DFDD"/>
    </w:rPr>
  </w:style>
  <w:style w:type="paragraph" w:styleId="Koptekst">
    <w:name w:val="header"/>
    <w:basedOn w:val="Standaard"/>
    <w:link w:val="KoptekstChar"/>
    <w:uiPriority w:val="99"/>
    <w:unhideWhenUsed/>
    <w:rsid w:val="00F431C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431CC"/>
  </w:style>
  <w:style w:type="paragraph" w:styleId="Voettekst">
    <w:name w:val="footer"/>
    <w:basedOn w:val="Standaard"/>
    <w:link w:val="VoettekstChar"/>
    <w:uiPriority w:val="99"/>
    <w:unhideWhenUsed/>
    <w:rsid w:val="00F431C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431CC"/>
  </w:style>
  <w:style w:type="paragraph" w:styleId="Voetnoottekst">
    <w:name w:val="footnote text"/>
    <w:basedOn w:val="Standaard"/>
    <w:link w:val="VoetnoottekstChar"/>
    <w:uiPriority w:val="99"/>
    <w:semiHidden/>
    <w:unhideWhenUsed/>
    <w:rsid w:val="00F431C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431CC"/>
    <w:rPr>
      <w:sz w:val="20"/>
      <w:szCs w:val="20"/>
    </w:rPr>
  </w:style>
  <w:style w:type="character" w:styleId="Voetnootmarkering">
    <w:name w:val="footnote reference"/>
    <w:basedOn w:val="Standaardalinea-lettertype"/>
    <w:uiPriority w:val="99"/>
    <w:semiHidden/>
    <w:unhideWhenUsed/>
    <w:rsid w:val="00F431CC"/>
    <w:rPr>
      <w:vertAlign w:val="superscript"/>
    </w:rPr>
  </w:style>
  <w:style w:type="paragraph" w:styleId="Normaalweb">
    <w:name w:val="Normal (Web)"/>
    <w:basedOn w:val="Standaard"/>
    <w:uiPriority w:val="99"/>
    <w:semiHidden/>
    <w:unhideWhenUsed/>
    <w:rsid w:val="00F149A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6274">
      <w:bodyDiv w:val="1"/>
      <w:marLeft w:val="0"/>
      <w:marRight w:val="0"/>
      <w:marTop w:val="0"/>
      <w:marBottom w:val="0"/>
      <w:divBdr>
        <w:top w:val="none" w:sz="0" w:space="0" w:color="auto"/>
        <w:left w:val="none" w:sz="0" w:space="0" w:color="auto"/>
        <w:bottom w:val="none" w:sz="0" w:space="0" w:color="auto"/>
        <w:right w:val="none" w:sz="0" w:space="0" w:color="auto"/>
      </w:divBdr>
    </w:div>
    <w:div w:id="133566552">
      <w:bodyDiv w:val="1"/>
      <w:marLeft w:val="0"/>
      <w:marRight w:val="0"/>
      <w:marTop w:val="0"/>
      <w:marBottom w:val="0"/>
      <w:divBdr>
        <w:top w:val="none" w:sz="0" w:space="0" w:color="auto"/>
        <w:left w:val="none" w:sz="0" w:space="0" w:color="auto"/>
        <w:bottom w:val="none" w:sz="0" w:space="0" w:color="auto"/>
        <w:right w:val="none" w:sz="0" w:space="0" w:color="auto"/>
      </w:divBdr>
    </w:div>
    <w:div w:id="241379217">
      <w:bodyDiv w:val="1"/>
      <w:marLeft w:val="0"/>
      <w:marRight w:val="0"/>
      <w:marTop w:val="0"/>
      <w:marBottom w:val="0"/>
      <w:divBdr>
        <w:top w:val="none" w:sz="0" w:space="0" w:color="auto"/>
        <w:left w:val="none" w:sz="0" w:space="0" w:color="auto"/>
        <w:bottom w:val="none" w:sz="0" w:space="0" w:color="auto"/>
        <w:right w:val="none" w:sz="0" w:space="0" w:color="auto"/>
      </w:divBdr>
    </w:div>
    <w:div w:id="345407384">
      <w:bodyDiv w:val="1"/>
      <w:marLeft w:val="0"/>
      <w:marRight w:val="0"/>
      <w:marTop w:val="0"/>
      <w:marBottom w:val="0"/>
      <w:divBdr>
        <w:top w:val="none" w:sz="0" w:space="0" w:color="auto"/>
        <w:left w:val="none" w:sz="0" w:space="0" w:color="auto"/>
        <w:bottom w:val="none" w:sz="0" w:space="0" w:color="auto"/>
        <w:right w:val="none" w:sz="0" w:space="0" w:color="auto"/>
      </w:divBdr>
    </w:div>
    <w:div w:id="541330752">
      <w:bodyDiv w:val="1"/>
      <w:marLeft w:val="0"/>
      <w:marRight w:val="0"/>
      <w:marTop w:val="0"/>
      <w:marBottom w:val="0"/>
      <w:divBdr>
        <w:top w:val="none" w:sz="0" w:space="0" w:color="auto"/>
        <w:left w:val="none" w:sz="0" w:space="0" w:color="auto"/>
        <w:bottom w:val="none" w:sz="0" w:space="0" w:color="auto"/>
        <w:right w:val="none" w:sz="0" w:space="0" w:color="auto"/>
      </w:divBdr>
    </w:div>
    <w:div w:id="567687778">
      <w:bodyDiv w:val="1"/>
      <w:marLeft w:val="0"/>
      <w:marRight w:val="0"/>
      <w:marTop w:val="0"/>
      <w:marBottom w:val="0"/>
      <w:divBdr>
        <w:top w:val="none" w:sz="0" w:space="0" w:color="auto"/>
        <w:left w:val="none" w:sz="0" w:space="0" w:color="auto"/>
        <w:bottom w:val="none" w:sz="0" w:space="0" w:color="auto"/>
        <w:right w:val="none" w:sz="0" w:space="0" w:color="auto"/>
      </w:divBdr>
    </w:div>
    <w:div w:id="795828506">
      <w:bodyDiv w:val="1"/>
      <w:marLeft w:val="0"/>
      <w:marRight w:val="0"/>
      <w:marTop w:val="0"/>
      <w:marBottom w:val="0"/>
      <w:divBdr>
        <w:top w:val="none" w:sz="0" w:space="0" w:color="auto"/>
        <w:left w:val="none" w:sz="0" w:space="0" w:color="auto"/>
        <w:bottom w:val="none" w:sz="0" w:space="0" w:color="auto"/>
        <w:right w:val="none" w:sz="0" w:space="0" w:color="auto"/>
      </w:divBdr>
    </w:div>
    <w:div w:id="825172449">
      <w:bodyDiv w:val="1"/>
      <w:marLeft w:val="0"/>
      <w:marRight w:val="0"/>
      <w:marTop w:val="0"/>
      <w:marBottom w:val="0"/>
      <w:divBdr>
        <w:top w:val="none" w:sz="0" w:space="0" w:color="auto"/>
        <w:left w:val="none" w:sz="0" w:space="0" w:color="auto"/>
        <w:bottom w:val="none" w:sz="0" w:space="0" w:color="auto"/>
        <w:right w:val="none" w:sz="0" w:space="0" w:color="auto"/>
      </w:divBdr>
    </w:div>
    <w:div w:id="848325226">
      <w:bodyDiv w:val="1"/>
      <w:marLeft w:val="0"/>
      <w:marRight w:val="0"/>
      <w:marTop w:val="0"/>
      <w:marBottom w:val="0"/>
      <w:divBdr>
        <w:top w:val="none" w:sz="0" w:space="0" w:color="auto"/>
        <w:left w:val="none" w:sz="0" w:space="0" w:color="auto"/>
        <w:bottom w:val="none" w:sz="0" w:space="0" w:color="auto"/>
        <w:right w:val="none" w:sz="0" w:space="0" w:color="auto"/>
      </w:divBdr>
    </w:div>
    <w:div w:id="868688784">
      <w:bodyDiv w:val="1"/>
      <w:marLeft w:val="0"/>
      <w:marRight w:val="0"/>
      <w:marTop w:val="0"/>
      <w:marBottom w:val="0"/>
      <w:divBdr>
        <w:top w:val="none" w:sz="0" w:space="0" w:color="auto"/>
        <w:left w:val="none" w:sz="0" w:space="0" w:color="auto"/>
        <w:bottom w:val="none" w:sz="0" w:space="0" w:color="auto"/>
        <w:right w:val="none" w:sz="0" w:space="0" w:color="auto"/>
      </w:divBdr>
    </w:div>
    <w:div w:id="975984931">
      <w:bodyDiv w:val="1"/>
      <w:marLeft w:val="0"/>
      <w:marRight w:val="0"/>
      <w:marTop w:val="0"/>
      <w:marBottom w:val="0"/>
      <w:divBdr>
        <w:top w:val="none" w:sz="0" w:space="0" w:color="auto"/>
        <w:left w:val="none" w:sz="0" w:space="0" w:color="auto"/>
        <w:bottom w:val="none" w:sz="0" w:space="0" w:color="auto"/>
        <w:right w:val="none" w:sz="0" w:space="0" w:color="auto"/>
      </w:divBdr>
    </w:div>
    <w:div w:id="1002196663">
      <w:bodyDiv w:val="1"/>
      <w:marLeft w:val="0"/>
      <w:marRight w:val="0"/>
      <w:marTop w:val="0"/>
      <w:marBottom w:val="0"/>
      <w:divBdr>
        <w:top w:val="none" w:sz="0" w:space="0" w:color="auto"/>
        <w:left w:val="none" w:sz="0" w:space="0" w:color="auto"/>
        <w:bottom w:val="none" w:sz="0" w:space="0" w:color="auto"/>
        <w:right w:val="none" w:sz="0" w:space="0" w:color="auto"/>
      </w:divBdr>
    </w:div>
    <w:div w:id="1152596666">
      <w:bodyDiv w:val="1"/>
      <w:marLeft w:val="0"/>
      <w:marRight w:val="0"/>
      <w:marTop w:val="0"/>
      <w:marBottom w:val="0"/>
      <w:divBdr>
        <w:top w:val="none" w:sz="0" w:space="0" w:color="auto"/>
        <w:left w:val="none" w:sz="0" w:space="0" w:color="auto"/>
        <w:bottom w:val="none" w:sz="0" w:space="0" w:color="auto"/>
        <w:right w:val="none" w:sz="0" w:space="0" w:color="auto"/>
      </w:divBdr>
    </w:div>
    <w:div w:id="1156339528">
      <w:bodyDiv w:val="1"/>
      <w:marLeft w:val="0"/>
      <w:marRight w:val="0"/>
      <w:marTop w:val="0"/>
      <w:marBottom w:val="0"/>
      <w:divBdr>
        <w:top w:val="none" w:sz="0" w:space="0" w:color="auto"/>
        <w:left w:val="none" w:sz="0" w:space="0" w:color="auto"/>
        <w:bottom w:val="none" w:sz="0" w:space="0" w:color="auto"/>
        <w:right w:val="none" w:sz="0" w:space="0" w:color="auto"/>
      </w:divBdr>
    </w:div>
    <w:div w:id="1160387564">
      <w:bodyDiv w:val="1"/>
      <w:marLeft w:val="0"/>
      <w:marRight w:val="0"/>
      <w:marTop w:val="0"/>
      <w:marBottom w:val="0"/>
      <w:divBdr>
        <w:top w:val="none" w:sz="0" w:space="0" w:color="auto"/>
        <w:left w:val="none" w:sz="0" w:space="0" w:color="auto"/>
        <w:bottom w:val="none" w:sz="0" w:space="0" w:color="auto"/>
        <w:right w:val="none" w:sz="0" w:space="0" w:color="auto"/>
      </w:divBdr>
    </w:div>
    <w:div w:id="1180124107">
      <w:bodyDiv w:val="1"/>
      <w:marLeft w:val="0"/>
      <w:marRight w:val="0"/>
      <w:marTop w:val="0"/>
      <w:marBottom w:val="0"/>
      <w:divBdr>
        <w:top w:val="none" w:sz="0" w:space="0" w:color="auto"/>
        <w:left w:val="none" w:sz="0" w:space="0" w:color="auto"/>
        <w:bottom w:val="none" w:sz="0" w:space="0" w:color="auto"/>
        <w:right w:val="none" w:sz="0" w:space="0" w:color="auto"/>
      </w:divBdr>
    </w:div>
    <w:div w:id="1256212606">
      <w:bodyDiv w:val="1"/>
      <w:marLeft w:val="0"/>
      <w:marRight w:val="0"/>
      <w:marTop w:val="0"/>
      <w:marBottom w:val="0"/>
      <w:divBdr>
        <w:top w:val="none" w:sz="0" w:space="0" w:color="auto"/>
        <w:left w:val="none" w:sz="0" w:space="0" w:color="auto"/>
        <w:bottom w:val="none" w:sz="0" w:space="0" w:color="auto"/>
        <w:right w:val="none" w:sz="0" w:space="0" w:color="auto"/>
      </w:divBdr>
    </w:div>
    <w:div w:id="1320843003">
      <w:bodyDiv w:val="1"/>
      <w:marLeft w:val="0"/>
      <w:marRight w:val="0"/>
      <w:marTop w:val="0"/>
      <w:marBottom w:val="0"/>
      <w:divBdr>
        <w:top w:val="none" w:sz="0" w:space="0" w:color="auto"/>
        <w:left w:val="none" w:sz="0" w:space="0" w:color="auto"/>
        <w:bottom w:val="none" w:sz="0" w:space="0" w:color="auto"/>
        <w:right w:val="none" w:sz="0" w:space="0" w:color="auto"/>
      </w:divBdr>
    </w:div>
    <w:div w:id="1367174179">
      <w:bodyDiv w:val="1"/>
      <w:marLeft w:val="0"/>
      <w:marRight w:val="0"/>
      <w:marTop w:val="0"/>
      <w:marBottom w:val="0"/>
      <w:divBdr>
        <w:top w:val="none" w:sz="0" w:space="0" w:color="auto"/>
        <w:left w:val="none" w:sz="0" w:space="0" w:color="auto"/>
        <w:bottom w:val="none" w:sz="0" w:space="0" w:color="auto"/>
        <w:right w:val="none" w:sz="0" w:space="0" w:color="auto"/>
      </w:divBdr>
    </w:div>
    <w:div w:id="1479490353">
      <w:bodyDiv w:val="1"/>
      <w:marLeft w:val="0"/>
      <w:marRight w:val="0"/>
      <w:marTop w:val="0"/>
      <w:marBottom w:val="0"/>
      <w:divBdr>
        <w:top w:val="none" w:sz="0" w:space="0" w:color="auto"/>
        <w:left w:val="none" w:sz="0" w:space="0" w:color="auto"/>
        <w:bottom w:val="none" w:sz="0" w:space="0" w:color="auto"/>
        <w:right w:val="none" w:sz="0" w:space="0" w:color="auto"/>
      </w:divBdr>
    </w:div>
    <w:div w:id="1654408560">
      <w:bodyDiv w:val="1"/>
      <w:marLeft w:val="0"/>
      <w:marRight w:val="0"/>
      <w:marTop w:val="0"/>
      <w:marBottom w:val="0"/>
      <w:divBdr>
        <w:top w:val="none" w:sz="0" w:space="0" w:color="auto"/>
        <w:left w:val="none" w:sz="0" w:space="0" w:color="auto"/>
        <w:bottom w:val="none" w:sz="0" w:space="0" w:color="auto"/>
        <w:right w:val="none" w:sz="0" w:space="0" w:color="auto"/>
      </w:divBdr>
    </w:div>
    <w:div w:id="1700885660">
      <w:bodyDiv w:val="1"/>
      <w:marLeft w:val="0"/>
      <w:marRight w:val="0"/>
      <w:marTop w:val="0"/>
      <w:marBottom w:val="0"/>
      <w:divBdr>
        <w:top w:val="none" w:sz="0" w:space="0" w:color="auto"/>
        <w:left w:val="none" w:sz="0" w:space="0" w:color="auto"/>
        <w:bottom w:val="none" w:sz="0" w:space="0" w:color="auto"/>
        <w:right w:val="none" w:sz="0" w:space="0" w:color="auto"/>
      </w:divBdr>
      <w:divsChild>
        <w:div w:id="886264310">
          <w:marLeft w:val="0"/>
          <w:marRight w:val="0"/>
          <w:marTop w:val="0"/>
          <w:marBottom w:val="0"/>
          <w:divBdr>
            <w:top w:val="single" w:sz="2" w:space="0" w:color="E3E3E3"/>
            <w:left w:val="single" w:sz="2" w:space="0" w:color="E3E3E3"/>
            <w:bottom w:val="single" w:sz="2" w:space="0" w:color="E3E3E3"/>
            <w:right w:val="single" w:sz="2" w:space="0" w:color="E3E3E3"/>
          </w:divBdr>
          <w:divsChild>
            <w:div w:id="1764493130">
              <w:marLeft w:val="0"/>
              <w:marRight w:val="0"/>
              <w:marTop w:val="0"/>
              <w:marBottom w:val="0"/>
              <w:divBdr>
                <w:top w:val="single" w:sz="2" w:space="0" w:color="E3E3E3"/>
                <w:left w:val="single" w:sz="2" w:space="0" w:color="E3E3E3"/>
                <w:bottom w:val="single" w:sz="2" w:space="0" w:color="E3E3E3"/>
                <w:right w:val="single" w:sz="2" w:space="0" w:color="E3E3E3"/>
              </w:divBdr>
              <w:divsChild>
                <w:div w:id="909147097">
                  <w:marLeft w:val="0"/>
                  <w:marRight w:val="0"/>
                  <w:marTop w:val="0"/>
                  <w:marBottom w:val="0"/>
                  <w:divBdr>
                    <w:top w:val="single" w:sz="2" w:space="0" w:color="E3E3E3"/>
                    <w:left w:val="single" w:sz="2" w:space="0" w:color="E3E3E3"/>
                    <w:bottom w:val="single" w:sz="2" w:space="0" w:color="E3E3E3"/>
                    <w:right w:val="single" w:sz="2" w:space="0" w:color="E3E3E3"/>
                  </w:divBdr>
                  <w:divsChild>
                    <w:div w:id="2042513901">
                      <w:marLeft w:val="0"/>
                      <w:marRight w:val="0"/>
                      <w:marTop w:val="0"/>
                      <w:marBottom w:val="0"/>
                      <w:divBdr>
                        <w:top w:val="single" w:sz="2" w:space="0" w:color="E3E3E3"/>
                        <w:left w:val="single" w:sz="2" w:space="0" w:color="E3E3E3"/>
                        <w:bottom w:val="single" w:sz="2" w:space="0" w:color="E3E3E3"/>
                        <w:right w:val="single" w:sz="2" w:space="0" w:color="E3E3E3"/>
                      </w:divBdr>
                      <w:divsChild>
                        <w:div w:id="1215967579">
                          <w:marLeft w:val="0"/>
                          <w:marRight w:val="0"/>
                          <w:marTop w:val="0"/>
                          <w:marBottom w:val="0"/>
                          <w:divBdr>
                            <w:top w:val="single" w:sz="2" w:space="0" w:color="E3E3E3"/>
                            <w:left w:val="single" w:sz="2" w:space="0" w:color="E3E3E3"/>
                            <w:bottom w:val="single" w:sz="2" w:space="0" w:color="E3E3E3"/>
                            <w:right w:val="single" w:sz="2" w:space="0" w:color="E3E3E3"/>
                          </w:divBdr>
                          <w:divsChild>
                            <w:div w:id="255746200">
                              <w:marLeft w:val="0"/>
                              <w:marRight w:val="0"/>
                              <w:marTop w:val="0"/>
                              <w:marBottom w:val="0"/>
                              <w:divBdr>
                                <w:top w:val="single" w:sz="2" w:space="0" w:color="E3E3E3"/>
                                <w:left w:val="single" w:sz="2" w:space="0" w:color="E3E3E3"/>
                                <w:bottom w:val="single" w:sz="2" w:space="0" w:color="E3E3E3"/>
                                <w:right w:val="single" w:sz="2" w:space="0" w:color="E3E3E3"/>
                              </w:divBdr>
                              <w:divsChild>
                                <w:div w:id="44650108">
                                  <w:marLeft w:val="0"/>
                                  <w:marRight w:val="0"/>
                                  <w:marTop w:val="100"/>
                                  <w:marBottom w:val="100"/>
                                  <w:divBdr>
                                    <w:top w:val="single" w:sz="2" w:space="0" w:color="E3E3E3"/>
                                    <w:left w:val="single" w:sz="2" w:space="0" w:color="E3E3E3"/>
                                    <w:bottom w:val="single" w:sz="2" w:space="0" w:color="E3E3E3"/>
                                    <w:right w:val="single" w:sz="2" w:space="0" w:color="E3E3E3"/>
                                  </w:divBdr>
                                  <w:divsChild>
                                    <w:div w:id="979309779">
                                      <w:marLeft w:val="0"/>
                                      <w:marRight w:val="0"/>
                                      <w:marTop w:val="0"/>
                                      <w:marBottom w:val="0"/>
                                      <w:divBdr>
                                        <w:top w:val="single" w:sz="2" w:space="0" w:color="E3E3E3"/>
                                        <w:left w:val="single" w:sz="2" w:space="0" w:color="E3E3E3"/>
                                        <w:bottom w:val="single" w:sz="2" w:space="0" w:color="E3E3E3"/>
                                        <w:right w:val="single" w:sz="2" w:space="0" w:color="E3E3E3"/>
                                      </w:divBdr>
                                      <w:divsChild>
                                        <w:div w:id="722564372">
                                          <w:marLeft w:val="0"/>
                                          <w:marRight w:val="0"/>
                                          <w:marTop w:val="0"/>
                                          <w:marBottom w:val="0"/>
                                          <w:divBdr>
                                            <w:top w:val="single" w:sz="2" w:space="0" w:color="E3E3E3"/>
                                            <w:left w:val="single" w:sz="2" w:space="0" w:color="E3E3E3"/>
                                            <w:bottom w:val="single" w:sz="2" w:space="0" w:color="E3E3E3"/>
                                            <w:right w:val="single" w:sz="2" w:space="0" w:color="E3E3E3"/>
                                          </w:divBdr>
                                          <w:divsChild>
                                            <w:div w:id="2128310304">
                                              <w:marLeft w:val="0"/>
                                              <w:marRight w:val="0"/>
                                              <w:marTop w:val="0"/>
                                              <w:marBottom w:val="0"/>
                                              <w:divBdr>
                                                <w:top w:val="single" w:sz="2" w:space="0" w:color="E3E3E3"/>
                                                <w:left w:val="single" w:sz="2" w:space="0" w:color="E3E3E3"/>
                                                <w:bottom w:val="single" w:sz="2" w:space="0" w:color="E3E3E3"/>
                                                <w:right w:val="single" w:sz="2" w:space="0" w:color="E3E3E3"/>
                                              </w:divBdr>
                                              <w:divsChild>
                                                <w:div w:id="396712322">
                                                  <w:marLeft w:val="0"/>
                                                  <w:marRight w:val="0"/>
                                                  <w:marTop w:val="0"/>
                                                  <w:marBottom w:val="0"/>
                                                  <w:divBdr>
                                                    <w:top w:val="single" w:sz="2" w:space="0" w:color="E3E3E3"/>
                                                    <w:left w:val="single" w:sz="2" w:space="0" w:color="E3E3E3"/>
                                                    <w:bottom w:val="single" w:sz="2" w:space="0" w:color="E3E3E3"/>
                                                    <w:right w:val="single" w:sz="2" w:space="0" w:color="E3E3E3"/>
                                                  </w:divBdr>
                                                  <w:divsChild>
                                                    <w:div w:id="924076104">
                                                      <w:marLeft w:val="0"/>
                                                      <w:marRight w:val="0"/>
                                                      <w:marTop w:val="0"/>
                                                      <w:marBottom w:val="0"/>
                                                      <w:divBdr>
                                                        <w:top w:val="single" w:sz="2" w:space="0" w:color="E3E3E3"/>
                                                        <w:left w:val="single" w:sz="2" w:space="0" w:color="E3E3E3"/>
                                                        <w:bottom w:val="single" w:sz="2" w:space="0" w:color="E3E3E3"/>
                                                        <w:right w:val="single" w:sz="2" w:space="0" w:color="E3E3E3"/>
                                                      </w:divBdr>
                                                      <w:divsChild>
                                                        <w:div w:id="13738438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747004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95707260">
      <w:bodyDiv w:val="1"/>
      <w:marLeft w:val="0"/>
      <w:marRight w:val="0"/>
      <w:marTop w:val="0"/>
      <w:marBottom w:val="0"/>
      <w:divBdr>
        <w:top w:val="none" w:sz="0" w:space="0" w:color="auto"/>
        <w:left w:val="none" w:sz="0" w:space="0" w:color="auto"/>
        <w:bottom w:val="none" w:sz="0" w:space="0" w:color="auto"/>
        <w:right w:val="none" w:sz="0" w:space="0" w:color="auto"/>
      </w:divBdr>
    </w:div>
    <w:div w:id="1934707535">
      <w:bodyDiv w:val="1"/>
      <w:marLeft w:val="0"/>
      <w:marRight w:val="0"/>
      <w:marTop w:val="0"/>
      <w:marBottom w:val="0"/>
      <w:divBdr>
        <w:top w:val="none" w:sz="0" w:space="0" w:color="auto"/>
        <w:left w:val="none" w:sz="0" w:space="0" w:color="auto"/>
        <w:bottom w:val="none" w:sz="0" w:space="0" w:color="auto"/>
        <w:right w:val="none" w:sz="0" w:space="0" w:color="auto"/>
      </w:divBdr>
    </w:div>
    <w:div w:id="1984046395">
      <w:bodyDiv w:val="1"/>
      <w:marLeft w:val="0"/>
      <w:marRight w:val="0"/>
      <w:marTop w:val="0"/>
      <w:marBottom w:val="0"/>
      <w:divBdr>
        <w:top w:val="none" w:sz="0" w:space="0" w:color="auto"/>
        <w:left w:val="none" w:sz="0" w:space="0" w:color="auto"/>
        <w:bottom w:val="none" w:sz="0" w:space="0" w:color="auto"/>
        <w:right w:val="none" w:sz="0" w:space="0" w:color="auto"/>
      </w:divBdr>
    </w:div>
    <w:div w:id="2050255932">
      <w:bodyDiv w:val="1"/>
      <w:marLeft w:val="0"/>
      <w:marRight w:val="0"/>
      <w:marTop w:val="0"/>
      <w:marBottom w:val="0"/>
      <w:divBdr>
        <w:top w:val="none" w:sz="0" w:space="0" w:color="auto"/>
        <w:left w:val="none" w:sz="0" w:space="0" w:color="auto"/>
        <w:bottom w:val="none" w:sz="0" w:space="0" w:color="auto"/>
        <w:right w:val="none" w:sz="0" w:space="0" w:color="auto"/>
      </w:divBdr>
    </w:div>
    <w:div w:id="206906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2391</ap:Words>
  <ap:Characters>13154</ap:Characters>
  <ap:DocSecurity>0</ap:DocSecurity>
  <ap:Lines>109</ap:Lines>
  <ap:Paragraphs>31</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15514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2026-09-25T10:04:00.0000000Z</lastPrinted>
  <dcterms:created xsi:type="dcterms:W3CDTF">2026-10-01T13:20:00.0000000Z</dcterms:created>
  <dcterms:modified xsi:type="dcterms:W3CDTF">2026-10-01T13:20:00.0000000Z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gc2efd3bfea04f7f8169be07009f5536">
    <vt:lpwstr/>
  </property>
  <property fmtid="{D5CDD505-2E9C-101B-9397-08002B2CF9AE}" pid="4" name="BZForumOrganisation">
    <vt:lpwstr>2;#Not applicable|0049e722-bfb1-4a3f-9d08-af7366a9af40</vt:lpwstr>
  </property>
  <property fmtid="{D5CDD505-2E9C-101B-9397-08002B2CF9AE}" pid="5" name="BZDossierBudgetManager">
    <vt:lpwstr/>
  </property>
  <property fmtid="{D5CDD505-2E9C-101B-9397-08002B2CF9AE}" pid="6" name="BZTheme">
    <vt:lpwstr>1;#Informatie voorziening|8edfc6d5-9fe4-8b19-f842-4a06399853cd</vt:lpwstr>
  </property>
  <property fmtid="{D5CDD505-2E9C-101B-9397-08002B2CF9AE}" pid="7" name="BZDossierSendTo">
    <vt:lpwstr/>
  </property>
  <property fmtid="{D5CDD505-2E9C-101B-9397-08002B2CF9AE}" pid="8" name="BZDossierResponsibleDepartment">
    <vt:lpwstr/>
  </property>
  <property fmtid="{D5CDD505-2E9C-101B-9397-08002B2CF9AE}" pid="9" name="BZCountryState">
    <vt:lpwstr>3;#The Netherlands|7f69a7bb-478c-499d-a6cf-5869916dfee4</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7003417b-b29f-4f55-9ceb-ba1ba92e60c4</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ReguliereKamerbrief</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https://247.plaza.buzaservices.nl/subject/PV-RK2026072026/BZ2632050/Kabinetsappreciatie%20EU%20IDN%20IPA.docx, </vt:lpwstr>
  </property>
  <property fmtid="{D5CDD505-2E9C-101B-9397-08002B2CF9AE}" pid="25" name="_docset_NoMedatataSyncRequired">
    <vt:lpwstr>False</vt:lpwstr>
  </property>
</Properties>
</file>