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A2586" w:rsidRDefault="34ADDC44" w14:paraId="2CDCCFF2" w14:textId="77777777">
      <w:r>
        <w:t>Geachte voorzitter,</w:t>
      </w:r>
    </w:p>
    <w:p w:rsidR="000A2586" w:rsidRDefault="000A2586" w14:paraId="2CDCCFF3" w14:textId="77777777"/>
    <w:p w:rsidRPr="00886993" w:rsidR="003C0754" w:rsidP="003C0754" w:rsidRDefault="003C0754" w14:paraId="2AC307BB" w14:textId="77777777">
      <w:pPr>
        <w:spacing w:line="276" w:lineRule="auto"/>
        <w:rPr>
          <w:b/>
          <w:bCs/>
        </w:rPr>
      </w:pPr>
    </w:p>
    <w:p w:rsidR="003C0754" w:rsidP="003C0754" w:rsidRDefault="34ADDC44" w14:paraId="5146ACAA" w14:textId="2DEE7EC4">
      <w:pPr>
        <w:spacing w:line="276" w:lineRule="auto"/>
      </w:pPr>
      <w:r>
        <w:t>Met deze brief informeert het kabinet uw Kamer over de kabinetsappreciatie van zowel de Brede Economische Partnerschap Overeenkomst (</w:t>
      </w:r>
      <w:r w:rsidRPr="34ADDC44">
        <w:rPr>
          <w:i/>
          <w:iCs/>
        </w:rPr>
        <w:t xml:space="preserve">Comprehensive Economic Partnership Agreement, </w:t>
      </w:r>
      <w:r>
        <w:t>hierna: CEPA) als de investeringsbeschermingsovereenkomst (</w:t>
      </w:r>
      <w:r w:rsidRPr="34ADDC44">
        <w:rPr>
          <w:i/>
          <w:iCs/>
        </w:rPr>
        <w:t>Investment Protection Agreement</w:t>
      </w:r>
      <w:r>
        <w:t>, hierna: IPA) tussen de Europese Unie en Indonesië.</w:t>
      </w:r>
    </w:p>
    <w:p w:rsidRPr="00514180" w:rsidR="00750098" w:rsidP="003C0754" w:rsidRDefault="00750098" w14:paraId="6230A588" w14:textId="77777777">
      <w:pPr>
        <w:spacing w:line="276" w:lineRule="auto"/>
      </w:pPr>
    </w:p>
    <w:p w:rsidR="003C0754" w:rsidP="003C0754" w:rsidRDefault="34ADDC44" w14:paraId="1F5AC961" w14:textId="7F4B2CB1">
      <w:pPr>
        <w:spacing w:line="276" w:lineRule="auto"/>
      </w:pPr>
      <w:r>
        <w:t>Op 29 juni jl. heeft de Commissie voorstellen voor Raadsbesluiten met de EU-lidstaten gedeeld. De voorgestelde besluiten zien op ondertekening en sluiting van de CEPA en IPA tussen de EU en Indonesië. Hoewel de voorstellen voor Raadsbesluiten tegelijkertijd aangeboden zijn, zijn de CEPA en IPA twee verschillende akkoorden die parallel aan elkaar onderhandeld zijn. In de CEPA worden afspraken gemaakt over handel en investeringen, het IPA richt zich op afspraken aangaande de bescherming van investeringen.</w:t>
      </w:r>
    </w:p>
    <w:p w:rsidRPr="00514180" w:rsidR="00750098" w:rsidP="003C0754" w:rsidRDefault="00750098" w14:paraId="1B2C48AF" w14:textId="77777777">
      <w:pPr>
        <w:spacing w:line="276" w:lineRule="auto"/>
      </w:pPr>
    </w:p>
    <w:p w:rsidR="003C0754" w:rsidP="003C0754" w:rsidRDefault="003C0754" w14:paraId="78EC5CFC" w14:textId="0CED320E">
      <w:pPr>
        <w:spacing w:line="276" w:lineRule="auto"/>
      </w:pPr>
      <w:r w:rsidRPr="00514180">
        <w:t xml:space="preserve">Het sluiten van beide akkoorden </w:t>
      </w:r>
      <w:r>
        <w:t>dient</w:t>
      </w:r>
      <w:r w:rsidRPr="00514180">
        <w:t xml:space="preserve"> in de huidige geopolitieke context </w:t>
      </w:r>
      <w:r>
        <w:t xml:space="preserve">te worden </w:t>
      </w:r>
      <w:r w:rsidRPr="00514180">
        <w:t xml:space="preserve">geplaatst. </w:t>
      </w:r>
      <w:r>
        <w:t xml:space="preserve">Er is </w:t>
      </w:r>
      <w:r w:rsidRPr="00886993">
        <w:t>sprake van grote mondiale geopolitieke verschuivingen, waarbij machtspolitiek en conflicten niet uit de weg worden gegaan</w:t>
      </w:r>
      <w:r>
        <w:t xml:space="preserve">. De op regels gebaseerde multilaterale orde staat onder druk </w:t>
      </w:r>
      <w:r w:rsidRPr="00514180">
        <w:t xml:space="preserve">en handelspolitieke spanningen nemen toe. </w:t>
      </w:r>
      <w:r>
        <w:t>Dit</w:t>
      </w:r>
      <w:r w:rsidRPr="00514180">
        <w:t xml:space="preserve"> wordt ook vastgesteld in het rapport van de Wetenschappelijke Raad voor het Regeringsbeleid (WRR).</w:t>
      </w:r>
      <w:r w:rsidRPr="00514180">
        <w:rPr>
          <w:rStyle w:val="Voetnootmarkering"/>
        </w:rPr>
        <w:footnoteReference w:id="1"/>
      </w:r>
      <w:r>
        <w:t xml:space="preserve"> Nederland moet zich verhouden tot deze veranderingen om onze waarden, welvaart en weerbaarheid te blijven waarborgen. Om internationaal de Nederlandse belangen beter te kunnen behartigen</w:t>
      </w:r>
      <w:r w:rsidRPr="00514180">
        <w:t xml:space="preserve"> is het van belang het geopolitieke handelingsvermogen van de EU te versterken.</w:t>
      </w:r>
      <w:r w:rsidRPr="00514180">
        <w:rPr>
          <w:rStyle w:val="Voetnootmarkering"/>
        </w:rPr>
        <w:footnoteReference w:id="2"/>
      </w:r>
      <w:r w:rsidRPr="00514180">
        <w:t xml:space="preserve"> Dit vereist brede economische samenwerking met derde landen</w:t>
      </w:r>
      <w:r>
        <w:t xml:space="preserve"> en de CEPA tussen de EU en Indonesië is een manier om dat te realiseren.</w:t>
      </w:r>
    </w:p>
    <w:p w:rsidR="00750098" w:rsidP="003C0754" w:rsidRDefault="00750098" w14:paraId="321C3911" w14:textId="77777777">
      <w:pPr>
        <w:spacing w:line="276" w:lineRule="auto"/>
      </w:pPr>
    </w:p>
    <w:p w:rsidR="003C0754" w:rsidP="003C0754" w:rsidRDefault="34ADDC44" w14:paraId="1EB82C14" w14:textId="7FC607C2">
      <w:pPr>
        <w:spacing w:line="276" w:lineRule="auto"/>
      </w:pPr>
      <w:r>
        <w:t xml:space="preserve">Het partnerschap tussen de EU en Indonesië bouwt voort op de sterke economische, historische, sociale en culturele banden tussen de partijen. </w:t>
      </w:r>
      <w:r>
        <w:lastRenderedPageBreak/>
        <w:t>Indonesië en de EU delen belangrijke waarden zoals het belang van democratie, mensenrechten en de naleving van het internationaal recht. Daarnaast speelt Indonesië een belangrijke in de Indo-Pacific en daarbuiten.</w:t>
      </w:r>
    </w:p>
    <w:p w:rsidR="00750098" w:rsidP="003C0754" w:rsidRDefault="00750098" w14:paraId="750FE168" w14:textId="77777777">
      <w:pPr>
        <w:spacing w:line="276" w:lineRule="auto"/>
      </w:pPr>
    </w:p>
    <w:p w:rsidRPr="001F7ED3" w:rsidR="003C0754" w:rsidP="003C0754" w:rsidRDefault="003C0754" w14:paraId="1A7FD0E9" w14:textId="48362744">
      <w:pPr>
        <w:spacing w:line="276" w:lineRule="auto"/>
        <w:rPr>
          <w:highlight w:val="yellow"/>
        </w:rPr>
      </w:pPr>
      <w:r>
        <w:t>Het kabinet zet in op het aangaan van brede strategische partnerschappen, zoals uitgeschreven in de Beleidsbrief Buitenlandse Zaken.</w:t>
      </w:r>
      <w:r>
        <w:rPr>
          <w:rStyle w:val="Voetnootmarkering"/>
        </w:rPr>
        <w:footnoteReference w:id="3"/>
      </w:r>
      <w:r>
        <w:t xml:space="preserve"> Indonesië is daarin om meerdere redenen, waaronder onze gedeelde geschiedenis, een voor de hand liggende partner. Nederland werkt met Indonesië samen op een tal van onderwerpen van goed bestuur en de rechtstaat tot aan tuinbouw en water.</w:t>
      </w:r>
      <w:r w:rsidR="001F7ED3">
        <w:t xml:space="preserve"> </w:t>
      </w:r>
      <w:r>
        <w:t xml:space="preserve">Hiermee past de CEPA binnen de inzet om samen te werken met gelijkgestemde landen in verschillende samenstellingen om beleidsdoelen te behalen en om strategische partnerschappen aan te gaan met opkomende machten. </w:t>
      </w:r>
      <w:r w:rsidRPr="00323025">
        <w:t>Indonesië is in de Beleidsbrief Buitenlandse Zaken aangemerkt als land</w:t>
      </w:r>
      <w:r>
        <w:t xml:space="preserve"> </w:t>
      </w:r>
      <w:r w:rsidRPr="00323025">
        <w:t>waarmee Nederland het bilaterale partnerschap wil verbreden en versterken.</w:t>
      </w:r>
      <w:r w:rsidR="001C5E85">
        <w:t xml:space="preserve"> </w:t>
      </w:r>
      <w:r w:rsidRPr="0072730D" w:rsidR="00583D7E">
        <w:t xml:space="preserve">Vanaf 1 januari 2027 verliest Indonesië, vanwege zijn status als </w:t>
      </w:r>
      <w:proofErr w:type="spellStart"/>
      <w:r w:rsidRPr="0072730D" w:rsidR="00583D7E">
        <w:t>hogermiddeninkomensland</w:t>
      </w:r>
      <w:proofErr w:type="spellEnd"/>
      <w:r w:rsidRPr="0072730D" w:rsidR="00583D7E">
        <w:t>, de toegang tot tariefpreferenties onder het Algemeen Preferentieel Stelsel. Het is daarom voor Indonesië van belang dat CEPA spoedig in werking treedt. Vanaf die datum kan Indonesië voor export naar de EU geen aanspraak meer maken op deze tariefpreferenties. Als CEPA dan in werking is, wordt voorkomen dat EU</w:t>
      </w:r>
      <w:r w:rsidRPr="0072730D" w:rsidR="00583D7E">
        <w:noBreakHyphen/>
        <w:t>importeurs tijdelijk invoerheffingen moeten betalen.</w:t>
      </w:r>
      <w:r w:rsidR="00583D7E">
        <w:t xml:space="preserve"> </w:t>
      </w:r>
      <w:r w:rsidRPr="00B10333" w:rsidR="001C5E85">
        <w:t>Conform motie</w:t>
      </w:r>
      <w:r w:rsidRPr="00627DE3" w:rsidR="001C5E85">
        <w:t>s</w:t>
      </w:r>
      <w:r w:rsidRPr="00B10333" w:rsidR="001C5E85">
        <w:t xml:space="preserve"> Ceder</w:t>
      </w:r>
      <w:r w:rsidRPr="00627DE3" w:rsidR="001C5E85">
        <w:rPr>
          <w:vertAlign w:val="superscript"/>
        </w:rPr>
        <w:footnoteReference w:id="4"/>
      </w:r>
      <w:r w:rsidRPr="00B10333" w:rsidR="001C5E85">
        <w:t xml:space="preserve"> zal het kabinet</w:t>
      </w:r>
      <w:r w:rsidR="00652E6A">
        <w:t xml:space="preserve"> </w:t>
      </w:r>
      <w:r w:rsidR="001C5E85">
        <w:t xml:space="preserve">in gesprekken over de CEPA met </w:t>
      </w:r>
      <w:r w:rsidRPr="00B10333" w:rsidR="001C5E85">
        <w:t>de Europese Commissie</w:t>
      </w:r>
      <w:r w:rsidR="001C5E85">
        <w:t xml:space="preserve"> en andere lidstaten </w:t>
      </w:r>
      <w:r w:rsidR="00652E6A">
        <w:t xml:space="preserve">bepleiten dat </w:t>
      </w:r>
      <w:r w:rsidR="001C5E85">
        <w:t xml:space="preserve">de mensenrechtensituatie in </w:t>
      </w:r>
      <w:r w:rsidRPr="00967A95" w:rsidR="001C5E85">
        <w:t xml:space="preserve">Indonesië, waaronder de Papoea provincies en de Molukken, </w:t>
      </w:r>
      <w:r w:rsidR="00652E6A">
        <w:t>waar mogelijk bespreekbaar wordt gemaakt</w:t>
      </w:r>
      <w:r w:rsidRPr="00967A95" w:rsidR="001C5E85">
        <w:t>.</w:t>
      </w:r>
    </w:p>
    <w:p w:rsidR="00750098" w:rsidP="003C0754" w:rsidRDefault="00750098" w14:paraId="36D44CDF" w14:textId="77777777">
      <w:pPr>
        <w:spacing w:line="276" w:lineRule="auto"/>
      </w:pPr>
    </w:p>
    <w:p w:rsidR="00724CB4" w:rsidP="003C0754" w:rsidRDefault="34ADDC44" w14:paraId="33785E2F" w14:textId="77777777">
      <w:pPr>
        <w:spacing w:line="276" w:lineRule="auto"/>
      </w:pPr>
      <w:r>
        <w:t xml:space="preserve">Ook op het gebied van handel vindt al veel samenwerking plaats tussen Nederland en Indonesië. Indonesië is de grootste economie van Zuidoost-Azië en vormt voor Nederland een belangrijke handelspartner en investeringsbestemming in de Indo-Pacific-regio. Daarnaast is Nederland de grootste Europese investeerder in Indonesië en fungeert het als toegangspoort tot de Europese markt voor </w:t>
      </w:r>
    </w:p>
    <w:p w:rsidR="003C0754" w:rsidP="003C0754" w:rsidRDefault="34ADDC44" w14:paraId="347E45B9" w14:textId="0C62558B">
      <w:pPr>
        <w:spacing w:line="276" w:lineRule="auto"/>
      </w:pPr>
      <w:r>
        <w:t xml:space="preserve">Indonesische bedrijven. De economische relatie is breed en strekt zich uit van handel en investeringen tot samenwerking op het gebied van kennisontwikkeling en duurzame economische groei. Nederlandse en Indonesische bedrijven werken onder meer samen in de watersector, maritieme ontwikkeling, duurzame landbouw en voedselzekerheid, de energietransitie, circulaire economie en gezondheidszorg. Daarbij sluiten Nederlandse kennis en technologie goed aan op de Indonesische ambitie om de economie verder te versterken én te verduurzamen. De intensieve contacten tussen kennisinstellingen, bedrijven en overheden dragen bij aan een economisch partnerschap, dat ook wordt onderschreven door de ‘Mixed Economic Commission’, waarbij de Indonesische en Nederlandse overheden tweejaarlijks op hoog ambtelijk niveau samenkomen. Het kabinet ziet verdere verdieping van de economische samenwerking als kans om gezamenlijk bij te dragen aan weerbare waardeketens, duurzame groei en ter versterking van het internationale verdienvermogen van Nederland. Een voorspelbaar ondernemingsklimaat en een gelijk speelveld blijven daarbij belangrijke randvoorwaarden voor verdere intensivering van de handels- en investeringsrelatie. Op basis van de langdurige bilaterale relatie en gedeelde </w:t>
      </w:r>
      <w:r>
        <w:lastRenderedPageBreak/>
        <w:t xml:space="preserve">economische belangen beschikken Nederland en Indonesië over een stevig fundament om deze samenwerking de komende jaren verder uit te bouwen. CEPA en het mogelijk toekomstige OESO-lidmaatschap van Indonesië kunnen daarbij als belangrijke katalysators dienen. </w:t>
      </w:r>
    </w:p>
    <w:p w:rsidR="006165C8" w:rsidP="003C0754" w:rsidRDefault="006165C8" w14:paraId="26419321" w14:textId="77777777">
      <w:pPr>
        <w:spacing w:line="276" w:lineRule="auto"/>
      </w:pPr>
    </w:p>
    <w:p w:rsidR="003C0754" w:rsidP="003C0754" w:rsidRDefault="003C0754" w14:paraId="6B45A432" w14:textId="0E168DFD">
      <w:pPr>
        <w:spacing w:line="276" w:lineRule="auto"/>
      </w:pPr>
      <w:r>
        <w:t xml:space="preserve">Door de intensieve investeringsrelatie tussen Nederland en Indonesië hebben </w:t>
      </w:r>
      <w:r w:rsidRPr="00590F99">
        <w:rPr>
          <w:rFonts w:cs="Arial"/>
        </w:rPr>
        <w:t xml:space="preserve">Nederlandse bedrijven </w:t>
      </w:r>
      <w:r>
        <w:rPr>
          <w:rFonts w:cs="Arial"/>
        </w:rPr>
        <w:t xml:space="preserve">in het bijzonder </w:t>
      </w:r>
      <w:r w:rsidRPr="00590F99">
        <w:rPr>
          <w:rFonts w:cs="Arial"/>
        </w:rPr>
        <w:t xml:space="preserve">baat bij </w:t>
      </w:r>
      <w:r>
        <w:rPr>
          <w:rFonts w:cs="Arial"/>
        </w:rPr>
        <w:t xml:space="preserve">de IPA, </w:t>
      </w:r>
      <w:r w:rsidRPr="00590F99">
        <w:rPr>
          <w:rFonts w:cs="Arial"/>
        </w:rPr>
        <w:t>d</w:t>
      </w:r>
      <w:r>
        <w:rPr>
          <w:rFonts w:cs="Arial"/>
        </w:rPr>
        <w:t>ie</w:t>
      </w:r>
      <w:r w:rsidRPr="00590F99">
        <w:rPr>
          <w:rFonts w:cs="Arial"/>
        </w:rPr>
        <w:t xml:space="preserve"> hun belangen beter beschermt en meer rechtszekerheid biedt. Volgens</w:t>
      </w:r>
      <w:r>
        <w:rPr>
          <w:rFonts w:cs="Arial"/>
        </w:rPr>
        <w:t xml:space="preserve"> de</w:t>
      </w:r>
      <w:r w:rsidRPr="00590F99">
        <w:rPr>
          <w:rFonts w:cs="Arial"/>
        </w:rPr>
        <w:t xml:space="preserve"> </w:t>
      </w:r>
      <w:r>
        <w:rPr>
          <w:rFonts w:cs="Arial"/>
        </w:rPr>
        <w:t>Nederlandsche Bank (</w:t>
      </w:r>
      <w:r w:rsidRPr="00590F99">
        <w:rPr>
          <w:rFonts w:cs="Arial"/>
        </w:rPr>
        <w:t>DNB</w:t>
      </w:r>
      <w:r>
        <w:rPr>
          <w:rFonts w:cs="Arial"/>
        </w:rPr>
        <w:t>)</w:t>
      </w:r>
      <w:r w:rsidRPr="00590F99">
        <w:rPr>
          <w:rFonts w:cs="Arial"/>
        </w:rPr>
        <w:t xml:space="preserve"> bedroeg</w:t>
      </w:r>
      <w:r>
        <w:rPr>
          <w:rFonts w:cs="Arial"/>
        </w:rPr>
        <w:t>en</w:t>
      </w:r>
      <w:r w:rsidRPr="00590F99">
        <w:rPr>
          <w:rFonts w:cs="Arial"/>
        </w:rPr>
        <w:t xml:space="preserve"> in 2024 de Nederlandse</w:t>
      </w:r>
      <w:r>
        <w:rPr>
          <w:rFonts w:cs="Arial"/>
        </w:rPr>
        <w:t xml:space="preserve"> investeringen</w:t>
      </w:r>
      <w:r w:rsidRPr="00590F99">
        <w:rPr>
          <w:rFonts w:cs="Arial"/>
        </w:rPr>
        <w:t xml:space="preserve"> in Indonesië</w:t>
      </w:r>
      <w:r>
        <w:rPr>
          <w:rFonts w:cs="Arial"/>
        </w:rPr>
        <w:t xml:space="preserve"> ongeveer</w:t>
      </w:r>
      <w:r w:rsidRPr="00590F99">
        <w:rPr>
          <w:rFonts w:cs="Arial"/>
        </w:rPr>
        <w:t xml:space="preserve"> €6,7 miljard</w:t>
      </w:r>
      <w:r>
        <w:rPr>
          <w:rStyle w:val="Voetnootmarkering"/>
          <w:rFonts w:cs="Arial"/>
        </w:rPr>
        <w:footnoteReference w:id="5"/>
      </w:r>
      <w:r w:rsidRPr="00590F99">
        <w:rPr>
          <w:rFonts w:cs="Arial"/>
        </w:rPr>
        <w:t>, terwijl de Indonesische</w:t>
      </w:r>
      <w:r>
        <w:rPr>
          <w:rFonts w:cs="Arial"/>
        </w:rPr>
        <w:t xml:space="preserve"> investeringen</w:t>
      </w:r>
      <w:r w:rsidRPr="00590F99">
        <w:rPr>
          <w:rFonts w:cs="Arial"/>
        </w:rPr>
        <w:t xml:space="preserve"> in Nederland €905 miljoen bedroeg</w:t>
      </w:r>
      <w:r>
        <w:rPr>
          <w:rFonts w:cs="Arial"/>
        </w:rPr>
        <w:t>en.</w:t>
      </w:r>
      <w:r>
        <w:rPr>
          <w:rStyle w:val="Voetnootmarkering"/>
          <w:rFonts w:cs="Arial"/>
        </w:rPr>
        <w:footnoteReference w:id="6"/>
      </w:r>
      <w:r>
        <w:rPr>
          <w:rFonts w:cs="Arial"/>
        </w:rPr>
        <w:t xml:space="preserve"> </w:t>
      </w:r>
      <w:r w:rsidRPr="00590F99">
        <w:rPr>
          <w:rFonts w:cs="Arial"/>
        </w:rPr>
        <w:t>Nederland en Indonesië hadden een bilaterale investeringsbeschermingsovereenkomst, die in 2015 is beëindigd. De horizonclausule</w:t>
      </w:r>
      <w:r>
        <w:rPr>
          <w:rFonts w:cs="Arial"/>
        </w:rPr>
        <w:t xml:space="preserve"> van deze overeenkomst</w:t>
      </w:r>
      <w:r w:rsidRPr="00590F99">
        <w:rPr>
          <w:rFonts w:cs="Arial"/>
        </w:rPr>
        <w:t xml:space="preserve"> loopt </w:t>
      </w:r>
      <w:r>
        <w:rPr>
          <w:rFonts w:cs="Arial"/>
        </w:rPr>
        <w:t xml:space="preserve">nog door </w:t>
      </w:r>
      <w:r w:rsidRPr="00590F99">
        <w:rPr>
          <w:rFonts w:cs="Arial"/>
        </w:rPr>
        <w:t xml:space="preserve">tot </w:t>
      </w:r>
      <w:r w:rsidRPr="006D6168">
        <w:rPr>
          <w:rFonts w:cs="Arial"/>
        </w:rPr>
        <w:t>2030</w:t>
      </w:r>
      <w:r w:rsidRPr="00590F99">
        <w:rPr>
          <w:rFonts w:cs="Arial"/>
        </w:rPr>
        <w:t>.</w:t>
      </w:r>
    </w:p>
    <w:p w:rsidRPr="00886993" w:rsidR="00E56432" w:rsidP="003C0754" w:rsidRDefault="00E56432" w14:paraId="69E7D6A2" w14:textId="77777777">
      <w:pPr>
        <w:spacing w:line="276" w:lineRule="auto"/>
        <w:rPr>
          <w:rFonts w:cs="Arial"/>
        </w:rPr>
      </w:pPr>
    </w:p>
    <w:p w:rsidR="003C0754" w:rsidP="003C0754" w:rsidRDefault="003C0754" w14:paraId="69B8F1C5" w14:textId="77777777">
      <w:pPr>
        <w:spacing w:line="276" w:lineRule="auto"/>
      </w:pPr>
      <w:r w:rsidRPr="00886993">
        <w:t xml:space="preserve">Het </w:t>
      </w:r>
      <w:r w:rsidRPr="00514180">
        <w:t xml:space="preserve">kabinet was </w:t>
      </w:r>
      <w:r>
        <w:t>om dit alles</w:t>
      </w:r>
      <w:r w:rsidRPr="00514180">
        <w:t xml:space="preserve"> verheugd dat op 23 september 2025 Eurocommissaris </w:t>
      </w:r>
      <w:proofErr w:type="spellStart"/>
      <w:r>
        <w:t>Šefčovič</w:t>
      </w:r>
      <w:proofErr w:type="spellEnd"/>
      <w:r w:rsidRPr="00514180">
        <w:t xml:space="preserve"> en </w:t>
      </w:r>
      <w:r>
        <w:t xml:space="preserve">de </w:t>
      </w:r>
      <w:r w:rsidRPr="00514180">
        <w:t xml:space="preserve">Indonesische </w:t>
      </w:r>
      <w:r>
        <w:t xml:space="preserve">coördinerend </w:t>
      </w:r>
      <w:r w:rsidRPr="00514180">
        <w:t>minister v</w:t>
      </w:r>
      <w:r>
        <w:t>oor Economische Zaken</w:t>
      </w:r>
      <w:r w:rsidRPr="00514180">
        <w:t xml:space="preserve"> </w:t>
      </w:r>
      <w:proofErr w:type="spellStart"/>
      <w:r>
        <w:t>Airlangga</w:t>
      </w:r>
      <w:proofErr w:type="spellEnd"/>
      <w:r>
        <w:t xml:space="preserve"> </w:t>
      </w:r>
      <w:proofErr w:type="spellStart"/>
      <w:r w:rsidRPr="00514180">
        <w:t>Hartarto</w:t>
      </w:r>
      <w:proofErr w:type="spellEnd"/>
      <w:r w:rsidRPr="00514180">
        <w:t xml:space="preserve"> na ruim negen jaar onderhandelen aankondigden dat de EU en Indonesië tot een akkoord gekomen zijn.</w:t>
      </w:r>
      <w:r w:rsidRPr="00514180">
        <w:rPr>
          <w:rStyle w:val="Voetnootmarkering"/>
        </w:rPr>
        <w:footnoteReference w:id="7"/>
      </w:r>
      <w:r w:rsidRPr="00514180">
        <w:t xml:space="preserve"> </w:t>
      </w:r>
      <w:bookmarkStart w:name="_Hlk212728809" w:id="0"/>
      <w:r w:rsidRPr="00514180">
        <w:t>Op 29 juni</w:t>
      </w:r>
      <w:r>
        <w:t xml:space="preserve"> jl.</w:t>
      </w:r>
      <w:r w:rsidRPr="00514180">
        <w:t xml:space="preserve"> zijn de definitieve teksten van de CEPA en de IPA tussen de EU en Indonesië en </w:t>
      </w:r>
      <w:bookmarkEnd w:id="0"/>
      <w:r>
        <w:t xml:space="preserve">de </w:t>
      </w:r>
      <w:r w:rsidRPr="00514180">
        <w:t>voorstel</w:t>
      </w:r>
      <w:r>
        <w:t>len</w:t>
      </w:r>
      <w:r w:rsidRPr="00514180">
        <w:t xml:space="preserve"> voor Raadsbesluiten tot </w:t>
      </w:r>
      <w:r>
        <w:t>ondertekening</w:t>
      </w:r>
      <w:r w:rsidRPr="00514180">
        <w:t xml:space="preserve"> en </w:t>
      </w:r>
      <w:r>
        <w:t>sluiting van deze akkoorden</w:t>
      </w:r>
      <w:r w:rsidRPr="00514180">
        <w:t xml:space="preserve"> door de</w:t>
      </w:r>
      <w:r>
        <w:t xml:space="preserve"> Europese Commissie</w:t>
      </w:r>
      <w:r w:rsidRPr="00514180">
        <w:t xml:space="preserve"> voorgelegd aan de Raad. </w:t>
      </w:r>
      <w:r w:rsidRPr="00356B83">
        <w:t>De Europese Commissie is voornemens zowel de CEPA als de IPA op basis van de Engelse tekst door te geleiden naar het Europees Parlement. De reden hiervoor is dat de vertaling van de akkoorden naar alle 24 officiële EU-talen in dit stadium van het proces kan worden overgeslagen. Hiermee zal aanzienlijke tijdswinst worden geboekt. De vertalingen zullen na inwerkingtreding alsnog plaatsvinden. Het kabinet heeft zich, conform de motie van het lid Verkuijlen (36 945-XVII, nr. 11), hier positief over uitgesproken.</w:t>
      </w:r>
      <w:r>
        <w:t xml:space="preserve"> </w:t>
      </w:r>
      <w:r w:rsidRPr="001C13E0">
        <w:t>Hiermee is uitvoering gegeven aan de motie en is deze onderdeel van staand kabinetsbeleid. De motie kan daarmee als afgedaan worden beschouwd.</w:t>
      </w:r>
    </w:p>
    <w:p w:rsidR="006165C8" w:rsidP="003C0754" w:rsidRDefault="006165C8" w14:paraId="33C9E285" w14:textId="77777777">
      <w:pPr>
        <w:spacing w:line="276" w:lineRule="auto"/>
      </w:pPr>
    </w:p>
    <w:p w:rsidR="003C0754" w:rsidP="003C0754" w:rsidRDefault="34ADDC44" w14:paraId="77200A13" w14:textId="77777777">
      <w:pPr>
        <w:spacing w:line="276" w:lineRule="auto"/>
      </w:pPr>
      <w:r>
        <w:t xml:space="preserve">Het kabinet is voornemens in te stemmen met ondertekening en sluiting van beide akkoorden door de EU. Onderbouwing en verdere toelichting hierover vindt u in de bijgevoegde kabinetsappreciaties van beide akkoorden. </w:t>
      </w:r>
    </w:p>
    <w:p w:rsidRPr="00514180" w:rsidR="00507172" w:rsidP="003C0754" w:rsidRDefault="00507172" w14:paraId="33E7F572" w14:textId="77777777">
      <w:pPr>
        <w:spacing w:line="276" w:lineRule="auto"/>
      </w:pPr>
    </w:p>
    <w:p w:rsidRPr="00047100" w:rsidR="003C0754" w:rsidP="34ADDC44" w:rsidRDefault="34ADDC44" w14:paraId="232F703E" w14:textId="77777777">
      <w:pPr>
        <w:spacing w:line="276" w:lineRule="auto"/>
        <w:rPr>
          <w:b/>
          <w:bCs/>
        </w:rPr>
      </w:pPr>
      <w:r w:rsidRPr="34ADDC44">
        <w:rPr>
          <w:b/>
          <w:bCs/>
        </w:rPr>
        <w:t>Besluitvormingsproces</w:t>
      </w:r>
    </w:p>
    <w:p w:rsidRPr="0052305F" w:rsidR="003C0754" w:rsidP="34ADDC44" w:rsidRDefault="003C0754" w14:paraId="6DF1BF61" w14:textId="77777777">
      <w:pPr>
        <w:spacing w:line="276" w:lineRule="auto"/>
        <w:rPr>
          <w:rFonts w:cs="Arial"/>
        </w:rPr>
      </w:pPr>
      <w:r>
        <w:t>De onderhandelingen tussen de Commissie en Indonesië over de CEPA en IPA zijn op 19 juli 2016 gestart en op 23 september 2025 afgerond.</w:t>
      </w:r>
      <w:r>
        <w:rPr>
          <w:rStyle w:val="Voetnootmarkering"/>
        </w:rPr>
        <w:footnoteReference w:id="8"/>
      </w:r>
      <w:r>
        <w:t xml:space="preserve"> Op 29 juli jl. heeft de Commissie voorstellen voor Raadsbesluiten gedaan: 1) betreffende ondertekening </w:t>
      </w:r>
      <w:r>
        <w:lastRenderedPageBreak/>
        <w:t>van de CEPA</w:t>
      </w:r>
      <w:r>
        <w:rPr>
          <w:rStyle w:val="Voetnootmarkering"/>
        </w:rPr>
        <w:footnoteReference w:id="9"/>
      </w:r>
      <w:r>
        <w:t xml:space="preserve"> en IPA</w:t>
      </w:r>
      <w:r>
        <w:rPr>
          <w:rStyle w:val="Voetnootmarkering"/>
        </w:rPr>
        <w:footnoteReference w:id="10"/>
      </w:r>
      <w:r>
        <w:t>; en 2) betreffende sluiting van de CEPA</w:t>
      </w:r>
      <w:r>
        <w:rPr>
          <w:rStyle w:val="Voetnootmarkering"/>
        </w:rPr>
        <w:footnoteReference w:id="11"/>
      </w:r>
      <w:r>
        <w:t xml:space="preserve"> en IPA.</w:t>
      </w:r>
      <w:r>
        <w:rPr>
          <w:rStyle w:val="Voetnootmarkering"/>
        </w:rPr>
        <w:footnoteReference w:id="12"/>
      </w:r>
      <w:r>
        <w:t xml:space="preserve"> Beide akkoorden</w:t>
      </w:r>
      <w:r w:rsidRPr="008E1E05">
        <w:t xml:space="preserve"> zijn zogeheten “</w:t>
      </w:r>
      <w:r w:rsidRPr="34ADDC44">
        <w:rPr>
          <w:i/>
          <w:iCs/>
        </w:rPr>
        <w:t>EU-</w:t>
      </w:r>
      <w:proofErr w:type="spellStart"/>
      <w:r w:rsidRPr="34ADDC44">
        <w:rPr>
          <w:i/>
          <w:iCs/>
        </w:rPr>
        <w:t>only</w:t>
      </w:r>
      <w:proofErr w:type="spellEnd"/>
      <w:r w:rsidRPr="008E1E05">
        <w:t xml:space="preserve"> akkoorden”.</w:t>
      </w:r>
      <w:r>
        <w:t xml:space="preserve"> Dit zijn door de EU gesloten akkoorden waarbij de afzonderlijke lidstaten geen partij zijn. Voor de inwerkingtreding van het akkoord is er geen ratificatie door de lidstaten vereist. Voor specifiek de IPA </w:t>
      </w:r>
      <w:r>
        <w:rPr>
          <w:rFonts w:cs="Arial"/>
        </w:rPr>
        <w:t>gaat het om een ‘EU-</w:t>
      </w:r>
      <w:proofErr w:type="spellStart"/>
      <w:r>
        <w:rPr>
          <w:rFonts w:cs="Arial"/>
        </w:rPr>
        <w:t>only</w:t>
      </w:r>
      <w:proofErr w:type="spellEnd"/>
      <w:r>
        <w:rPr>
          <w:rFonts w:cs="Arial"/>
        </w:rPr>
        <w:t>’ akkoord</w:t>
      </w:r>
      <w:r w:rsidRPr="008C2DF2">
        <w:rPr>
          <w:rFonts w:cs="Arial"/>
        </w:rPr>
        <w:t>, mede vanwege het ontbreken van een investeerder-staat geschillenbeslechtingsmechanisme en portfolio-investeringen</w:t>
      </w:r>
      <w:r>
        <w:rPr>
          <w:rFonts w:cs="Arial"/>
        </w:rPr>
        <w:t>.</w:t>
      </w:r>
      <w:r w:rsidRPr="008C2DF2">
        <w:rPr>
          <w:rFonts w:cs="Arial"/>
        </w:rPr>
        <w:t xml:space="preserve"> </w:t>
      </w:r>
      <w:r>
        <w:t xml:space="preserve">Het akkoord treedt in werking nadat zowel Indonesië als de EU de interne procedures voor goedkeuring van het akkoord hebben doorlopen. Aan EU-zijde dient alleen de EU deze akkoorden te ondertekenen en sluiten. </w:t>
      </w:r>
      <w:r w:rsidRPr="008E1E05">
        <w:t xml:space="preserve">  </w:t>
      </w:r>
    </w:p>
    <w:p w:rsidR="003C0754" w:rsidP="003C0754" w:rsidRDefault="34ADDC44" w14:paraId="6E47E9AA" w14:textId="77777777">
      <w:pPr>
        <w:spacing w:line="276" w:lineRule="auto"/>
      </w:pPr>
      <w:r>
        <w:t xml:space="preserve">Aan EU-zijde vindt besluitvorming over dit akkoord als volgt plaats. Op basis van het voorstel daartoe van de Commissie besluit de Raad eerst over de ondertekening van het akkoord namens de EU. Vervolgens worden de akkoorden ter goedkeuring voorgelegd aan het Europees Parlement, waarna de Raad met gekwalificeerde meerderheid besluit over de voorstellen tot sluiting van de akkoorden door de EU. </w:t>
      </w:r>
    </w:p>
    <w:p w:rsidRPr="009303D6" w:rsidR="006165C8" w:rsidP="003C0754" w:rsidRDefault="006165C8" w14:paraId="70B83C03" w14:textId="77777777">
      <w:pPr>
        <w:spacing w:line="276" w:lineRule="auto"/>
      </w:pPr>
    </w:p>
    <w:p w:rsidRPr="009303D6" w:rsidR="003C0754" w:rsidP="34ADDC44" w:rsidRDefault="34ADDC44" w14:paraId="57DC21A8" w14:textId="126E94FB">
      <w:pPr>
        <w:rPr>
          <w:b/>
          <w:bCs/>
        </w:rPr>
      </w:pPr>
      <w:r>
        <w:t xml:space="preserve">Uw Kamer heeft de gelegenheid om naar aanleiding van deze brief desgewenst in debat te gaan met het kabinet over deze akkoorden, mede met het oog op de Nederlandse positie in de besluitvorming door de Raad. Naar verwachting vindt besluitvorming over de ondertekening van deze akkoorden door de EU eind oktober plaats. Aangezien Indonesië per 1 januari 2027 als </w:t>
      </w:r>
      <w:proofErr w:type="spellStart"/>
      <w:r>
        <w:t>hogermiddeninkomensland</w:t>
      </w:r>
      <w:proofErr w:type="spellEnd"/>
      <w:r>
        <w:t xml:space="preserve"> niet meer gebruik kan maken van tariefpreferenties onder het Algemeen Preferentieel Stelsel, is het van belang dat het besluitvormingsproces tijdig wordt afgerond</w:t>
      </w:r>
      <w:r w:rsidRPr="34ADDC44">
        <w:rPr>
          <w:b/>
          <w:bCs/>
        </w:rPr>
        <w:t>.</w:t>
      </w:r>
    </w:p>
    <w:p w:rsidR="000A2586" w:rsidRDefault="000A2586" w14:paraId="2CDCCFF5" w14:textId="77777777"/>
    <w:p w:rsidR="000A2586" w:rsidRDefault="000A2586" w14:paraId="2CDCCFF6" w14:textId="77777777"/>
    <w:p w:rsidR="00D150AC" w:rsidP="004E0987" w:rsidRDefault="004E0987" w14:paraId="390667A3" w14:textId="77777777">
      <w:r w:rsidRPr="004E0987">
        <w:t xml:space="preserve">De minister van Buitenlandse Handel </w:t>
      </w:r>
    </w:p>
    <w:p w:rsidR="00F4431E" w:rsidP="004E0987" w:rsidRDefault="004E0987" w14:paraId="13629FEF" w14:textId="732DA456">
      <w:r w:rsidRPr="004E0987">
        <w:t xml:space="preserve">en Ontwikkelingssamenwerking, </w:t>
      </w:r>
      <w:r w:rsidRPr="004E0987">
        <w:br/>
      </w:r>
    </w:p>
    <w:p w:rsidR="00F4431E" w:rsidP="004E0987" w:rsidRDefault="00F4431E" w14:paraId="5713F2CD" w14:textId="77777777"/>
    <w:p w:rsidR="00F4431E" w:rsidP="004E0987" w:rsidRDefault="00F4431E" w14:paraId="186A550C" w14:textId="77777777"/>
    <w:p w:rsidR="00F4431E" w:rsidP="004E0987" w:rsidRDefault="00F4431E" w14:paraId="2F09F216" w14:textId="77777777"/>
    <w:p w:rsidRPr="004E0987" w:rsidR="004E0987" w:rsidP="004E0987" w:rsidRDefault="004E0987" w14:paraId="071D7CED" w14:textId="424D6AE0">
      <w:r w:rsidRPr="004E0987">
        <w:t>S.W. Sjoerdsma</w:t>
      </w:r>
    </w:p>
    <w:p w:rsidR="004E0987" w:rsidP="004E0987" w:rsidRDefault="004E0987" w14:paraId="7D2E6921" w14:textId="77777777"/>
    <w:sectPr w:rsidR="004E0987" w:rsidSect="00E55DDB">
      <w:headerReference w:type="even" r:id="rId14"/>
      <w:headerReference w:type="default" r:id="rId15"/>
      <w:footerReference w:type="even" r:id="rId16"/>
      <w:footerReference w:type="default" r:id="rId17"/>
      <w:headerReference w:type="first" r:id="rId18"/>
      <w:footerReference w:type="first" r:id="rId19"/>
      <w:pgSz w:w="11905" w:h="16837"/>
      <w:pgMar w:top="3096" w:right="2778" w:bottom="1077" w:left="1588"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CD003" w14:textId="77777777" w:rsidR="006165C8" w:rsidRDefault="006165C8">
      <w:pPr>
        <w:spacing w:line="240" w:lineRule="auto"/>
      </w:pPr>
      <w:r>
        <w:separator/>
      </w:r>
    </w:p>
  </w:endnote>
  <w:endnote w:type="continuationSeparator" w:id="0">
    <w:p w14:paraId="2CDCD005" w14:textId="77777777" w:rsidR="006165C8" w:rsidRDefault="006165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7FA82" w14:textId="77777777" w:rsidR="00D150AC" w:rsidRDefault="00D150A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8168041"/>
      <w:docPartObj>
        <w:docPartGallery w:val="Page Numbers (Bottom of Page)"/>
        <w:docPartUnique/>
      </w:docPartObj>
    </w:sdtPr>
    <w:sdtContent>
      <w:p w14:paraId="03AAD776" w14:textId="61414BD5" w:rsidR="00D150AC" w:rsidRDefault="00D150AC">
        <w:pPr>
          <w:pStyle w:val="Voettekst"/>
          <w:jc w:val="center"/>
        </w:pPr>
        <w:r>
          <w:fldChar w:fldCharType="begin"/>
        </w:r>
        <w:r>
          <w:instrText>PAGE   \* MERGEFORMAT</w:instrText>
        </w:r>
        <w:r>
          <w:fldChar w:fldCharType="separate"/>
        </w:r>
        <w:r>
          <w:t>2</w:t>
        </w:r>
        <w:r>
          <w:fldChar w:fldCharType="end"/>
        </w:r>
      </w:p>
    </w:sdtContent>
  </w:sdt>
  <w:p w14:paraId="72A0F1C9" w14:textId="77777777" w:rsidR="00D150AC" w:rsidRDefault="00D150A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2094905"/>
      <w:docPartObj>
        <w:docPartGallery w:val="Page Numbers (Bottom of Page)"/>
        <w:docPartUnique/>
      </w:docPartObj>
    </w:sdtPr>
    <w:sdtContent>
      <w:p w14:paraId="6FA2301C" w14:textId="4F6DCE2C" w:rsidR="00D150AC" w:rsidRDefault="00D150AC">
        <w:pPr>
          <w:pStyle w:val="Voettekst"/>
          <w:jc w:val="center"/>
        </w:pPr>
        <w:r>
          <w:fldChar w:fldCharType="begin"/>
        </w:r>
        <w:r>
          <w:instrText>PAGE   \* MERGEFORMAT</w:instrText>
        </w:r>
        <w:r>
          <w:fldChar w:fldCharType="separate"/>
        </w:r>
        <w:r>
          <w:t>2</w:t>
        </w:r>
        <w:r>
          <w:fldChar w:fldCharType="end"/>
        </w:r>
      </w:p>
    </w:sdtContent>
  </w:sdt>
  <w:p w14:paraId="423468B8" w14:textId="77777777" w:rsidR="00D150AC" w:rsidRDefault="00D150A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CCFFF" w14:textId="77777777" w:rsidR="006165C8" w:rsidRDefault="006165C8">
      <w:pPr>
        <w:spacing w:line="240" w:lineRule="auto"/>
      </w:pPr>
      <w:r>
        <w:separator/>
      </w:r>
    </w:p>
  </w:footnote>
  <w:footnote w:type="continuationSeparator" w:id="0">
    <w:p w14:paraId="2CDCD001" w14:textId="77777777" w:rsidR="006165C8" w:rsidRDefault="006165C8">
      <w:pPr>
        <w:spacing w:line="240" w:lineRule="auto"/>
      </w:pPr>
      <w:r>
        <w:continuationSeparator/>
      </w:r>
    </w:p>
  </w:footnote>
  <w:footnote w:id="1">
    <w:p w14:paraId="33041076" w14:textId="7EB53192" w:rsidR="003C0754" w:rsidRPr="00BB4DF4" w:rsidRDefault="003C0754" w:rsidP="34ADDC44">
      <w:pPr>
        <w:pStyle w:val="Voetnoottekst"/>
        <w:rPr>
          <w:rFonts w:ascii="Verdana" w:hAnsi="Verdana"/>
          <w:sz w:val="16"/>
          <w:szCs w:val="16"/>
        </w:rPr>
      </w:pPr>
      <w:r w:rsidRPr="00BB4DF4">
        <w:rPr>
          <w:rStyle w:val="Voetnootmarkering"/>
          <w:rFonts w:ascii="Verdana" w:hAnsi="Verdana"/>
          <w:sz w:val="16"/>
          <w:szCs w:val="16"/>
        </w:rPr>
        <w:footnoteRef/>
      </w:r>
      <w:r w:rsidRPr="00BB4DF4">
        <w:rPr>
          <w:rFonts w:ascii="Verdana" w:hAnsi="Verdana"/>
          <w:sz w:val="16"/>
          <w:szCs w:val="16"/>
        </w:rPr>
        <w:t xml:space="preserve"> Kamerstuk 30 821, nr. 260 </w:t>
      </w:r>
    </w:p>
  </w:footnote>
  <w:footnote w:id="2">
    <w:p w14:paraId="3DF83DF5" w14:textId="28DC4EC7" w:rsidR="003C0754" w:rsidRPr="00886993" w:rsidRDefault="003C0754" w:rsidP="34ADDC44">
      <w:pPr>
        <w:pStyle w:val="Voetnoottekst"/>
        <w:rPr>
          <w:rFonts w:ascii="Verdana" w:hAnsi="Verdana"/>
          <w:sz w:val="16"/>
          <w:szCs w:val="16"/>
        </w:rPr>
      </w:pPr>
      <w:r w:rsidRPr="00BB4DF4">
        <w:rPr>
          <w:rStyle w:val="Voetnootmarkering"/>
          <w:rFonts w:ascii="Verdana" w:hAnsi="Verdana"/>
          <w:sz w:val="16"/>
          <w:szCs w:val="16"/>
        </w:rPr>
        <w:footnoteRef/>
      </w:r>
      <w:r w:rsidRPr="00BB4DF4">
        <w:rPr>
          <w:rFonts w:ascii="Verdana" w:hAnsi="Verdana"/>
          <w:sz w:val="16"/>
          <w:szCs w:val="16"/>
        </w:rPr>
        <w:t xml:space="preserve"> </w:t>
      </w:r>
      <w:r w:rsidR="00FC5B83" w:rsidRPr="00BB4DF4">
        <w:rPr>
          <w:rFonts w:ascii="Verdana" w:hAnsi="Verdana"/>
          <w:sz w:val="16"/>
          <w:szCs w:val="16"/>
        </w:rPr>
        <w:t>Kamerstuk 30 821, nr. 260</w:t>
      </w:r>
    </w:p>
  </w:footnote>
  <w:footnote w:id="3">
    <w:p w14:paraId="776DB798" w14:textId="649E6253" w:rsidR="003C0754" w:rsidRPr="00514180" w:rsidRDefault="003C0754" w:rsidP="00F4431E">
      <w:pPr>
        <w:pStyle w:val="Voetnoottekst"/>
      </w:pPr>
      <w:r w:rsidRPr="00047100">
        <w:rPr>
          <w:rStyle w:val="Voetnootmarkering"/>
        </w:rPr>
        <w:footnoteRef/>
      </w:r>
      <w:r w:rsidRPr="00047100">
        <w:t xml:space="preserve"> </w:t>
      </w:r>
      <w:r w:rsidRPr="00886993">
        <w:rPr>
          <w:rFonts w:ascii="Verdana" w:hAnsi="Verdana"/>
          <w:sz w:val="16"/>
          <w:szCs w:val="16"/>
        </w:rPr>
        <w:t>Kamerstuk</w:t>
      </w:r>
      <w:r w:rsidRPr="007F4E40">
        <w:rPr>
          <w:rFonts w:ascii="Verdana" w:hAnsi="Verdana"/>
          <w:sz w:val="16"/>
          <w:szCs w:val="16"/>
        </w:rPr>
        <w:t xml:space="preserve"> 36</w:t>
      </w:r>
      <w:r w:rsidR="00F4431E">
        <w:rPr>
          <w:rFonts w:ascii="Verdana" w:hAnsi="Verdana"/>
          <w:sz w:val="16"/>
          <w:szCs w:val="16"/>
        </w:rPr>
        <w:t xml:space="preserve"> </w:t>
      </w:r>
      <w:r w:rsidRPr="007F4E40">
        <w:rPr>
          <w:rFonts w:ascii="Verdana" w:hAnsi="Verdana"/>
          <w:sz w:val="16"/>
          <w:szCs w:val="16"/>
        </w:rPr>
        <w:t>800-V</w:t>
      </w:r>
      <w:r w:rsidR="00F4431E">
        <w:rPr>
          <w:rFonts w:ascii="Verdana" w:hAnsi="Verdana"/>
          <w:sz w:val="16"/>
          <w:szCs w:val="16"/>
        </w:rPr>
        <w:t xml:space="preserve">, nr. </w:t>
      </w:r>
      <w:r w:rsidRPr="007F4E40">
        <w:rPr>
          <w:rFonts w:ascii="Verdana" w:hAnsi="Verdana"/>
          <w:sz w:val="16"/>
          <w:szCs w:val="16"/>
        </w:rPr>
        <w:t>103</w:t>
      </w:r>
    </w:p>
  </w:footnote>
  <w:footnote w:id="4">
    <w:p w14:paraId="17DB92D8" w14:textId="32DC9ECA" w:rsidR="001C5E85" w:rsidRPr="008D613A" w:rsidRDefault="001C5E85" w:rsidP="00F4431E">
      <w:pPr>
        <w:pStyle w:val="Voetnoottekst"/>
      </w:pPr>
      <w:r>
        <w:rPr>
          <w:rStyle w:val="Voetnootmarkering"/>
        </w:rPr>
        <w:footnoteRef/>
      </w:r>
      <w:r>
        <w:t xml:space="preserve"> </w:t>
      </w:r>
      <w:r w:rsidRPr="00627DE3">
        <w:rPr>
          <w:rFonts w:ascii="Verdana" w:hAnsi="Verdana"/>
          <w:sz w:val="16"/>
          <w:szCs w:val="16"/>
        </w:rPr>
        <w:t>Kamerstuk 21</w:t>
      </w:r>
      <w:r w:rsidR="00F4431E">
        <w:rPr>
          <w:rFonts w:ascii="Verdana" w:hAnsi="Verdana"/>
          <w:sz w:val="16"/>
          <w:szCs w:val="16"/>
        </w:rPr>
        <w:t xml:space="preserve"> </w:t>
      </w:r>
      <w:r w:rsidRPr="00627DE3">
        <w:rPr>
          <w:rFonts w:ascii="Verdana" w:hAnsi="Verdana"/>
          <w:sz w:val="16"/>
          <w:szCs w:val="16"/>
        </w:rPr>
        <w:t>501-02</w:t>
      </w:r>
      <w:r w:rsidR="00F4431E">
        <w:rPr>
          <w:rFonts w:ascii="Verdana" w:hAnsi="Verdana"/>
          <w:sz w:val="16"/>
          <w:szCs w:val="16"/>
        </w:rPr>
        <w:t xml:space="preserve">, nr. </w:t>
      </w:r>
      <w:r w:rsidRPr="00627DE3">
        <w:rPr>
          <w:rFonts w:ascii="Verdana" w:hAnsi="Verdana"/>
          <w:sz w:val="16"/>
          <w:szCs w:val="16"/>
        </w:rPr>
        <w:t>3406, 21</w:t>
      </w:r>
      <w:r w:rsidR="00F4431E">
        <w:rPr>
          <w:rFonts w:ascii="Verdana" w:hAnsi="Verdana"/>
          <w:sz w:val="16"/>
          <w:szCs w:val="16"/>
        </w:rPr>
        <w:t xml:space="preserve"> </w:t>
      </w:r>
      <w:r w:rsidRPr="00627DE3">
        <w:rPr>
          <w:rFonts w:ascii="Verdana" w:hAnsi="Verdana"/>
          <w:sz w:val="16"/>
          <w:szCs w:val="16"/>
        </w:rPr>
        <w:t>501-02</w:t>
      </w:r>
      <w:r w:rsidR="00F4431E">
        <w:rPr>
          <w:rFonts w:ascii="Verdana" w:hAnsi="Verdana"/>
          <w:sz w:val="16"/>
          <w:szCs w:val="16"/>
        </w:rPr>
        <w:t xml:space="preserve">, nr. </w:t>
      </w:r>
      <w:r w:rsidRPr="00627DE3">
        <w:rPr>
          <w:rFonts w:ascii="Verdana" w:hAnsi="Verdana"/>
          <w:sz w:val="16"/>
          <w:szCs w:val="16"/>
        </w:rPr>
        <w:t>3405</w:t>
      </w:r>
    </w:p>
  </w:footnote>
  <w:footnote w:id="5">
    <w:p w14:paraId="47292905" w14:textId="77777777" w:rsidR="003C0754" w:rsidRPr="006D6168" w:rsidRDefault="003C0754" w:rsidP="003C0754">
      <w:pPr>
        <w:pStyle w:val="Voetnoottekst"/>
        <w:rPr>
          <w:sz w:val="18"/>
          <w:szCs w:val="18"/>
        </w:rPr>
      </w:pPr>
      <w:r w:rsidRPr="006D6168">
        <w:rPr>
          <w:rStyle w:val="Voetnootmarkering"/>
          <w:sz w:val="18"/>
          <w:szCs w:val="18"/>
        </w:rPr>
        <w:footnoteRef/>
      </w:r>
      <w:r w:rsidRPr="006D6168">
        <w:rPr>
          <w:sz w:val="18"/>
          <w:szCs w:val="18"/>
        </w:rPr>
        <w:t xml:space="preserve"> </w:t>
      </w:r>
      <w:hyperlink r:id="rId1" w:anchor="/details/nederlandse-directe-investeringen-in-het-buitenland-uitgesplitst-naar-land-jaar/dataset/b550596e-d3f3-4d87-b55f-477450737c32/resource/01cddac2-1b68-4c2c-88bb-59c42f7400a4" w:history="1">
        <w:r w:rsidRPr="006D6168">
          <w:rPr>
            <w:rStyle w:val="Hyperlink"/>
            <w:sz w:val="18"/>
            <w:szCs w:val="18"/>
          </w:rPr>
          <w:t>Data zoeken - DNB | De Nederlandsche Bank</w:t>
        </w:r>
      </w:hyperlink>
    </w:p>
  </w:footnote>
  <w:footnote w:id="6">
    <w:p w14:paraId="111786C0" w14:textId="77777777" w:rsidR="003C0754" w:rsidRPr="007E3E97" w:rsidRDefault="003C0754" w:rsidP="003C0754">
      <w:pPr>
        <w:pStyle w:val="Voetnoottekst"/>
      </w:pPr>
      <w:r w:rsidRPr="006D6168">
        <w:rPr>
          <w:rStyle w:val="Voetnootmarkering"/>
          <w:sz w:val="18"/>
          <w:szCs w:val="18"/>
        </w:rPr>
        <w:footnoteRef/>
      </w:r>
      <w:r w:rsidRPr="006D6168">
        <w:rPr>
          <w:sz w:val="18"/>
          <w:szCs w:val="18"/>
        </w:rPr>
        <w:t xml:space="preserve"> </w:t>
      </w:r>
      <w:hyperlink r:id="rId2" w:anchor="/details/buitenlandse-directe-investeringen-in-nederland-uitgesplitst-naar-land-jaar/dataset/8b8eec9a-8a93-4bc4-8154-a37f5be503bd/resource/cd9cb24f-23ff-4ee2-82e7-c5f87e785e74" w:history="1">
        <w:r w:rsidRPr="006D6168">
          <w:rPr>
            <w:rStyle w:val="Hyperlink"/>
            <w:sz w:val="18"/>
            <w:szCs w:val="18"/>
          </w:rPr>
          <w:t>Data zoeken - DNB | De Nederlandsche Bank</w:t>
        </w:r>
      </w:hyperlink>
    </w:p>
  </w:footnote>
  <w:footnote w:id="7">
    <w:p w14:paraId="4E9936BC" w14:textId="77777777" w:rsidR="003C0754" w:rsidRPr="00886993" w:rsidRDefault="003C0754" w:rsidP="003C0754">
      <w:pPr>
        <w:pStyle w:val="Voetnoottekst"/>
        <w:rPr>
          <w:rFonts w:ascii="Verdana" w:hAnsi="Verdana"/>
          <w:sz w:val="16"/>
          <w:szCs w:val="16"/>
          <w:lang w:val="en-US"/>
        </w:rPr>
      </w:pPr>
      <w:r w:rsidRPr="00886993">
        <w:rPr>
          <w:rStyle w:val="Voetnootmarkering"/>
          <w:rFonts w:ascii="Verdana" w:hAnsi="Verdana"/>
          <w:sz w:val="16"/>
          <w:szCs w:val="16"/>
        </w:rPr>
        <w:footnoteRef/>
      </w:r>
      <w:r w:rsidRPr="00886993">
        <w:rPr>
          <w:rFonts w:ascii="Verdana" w:hAnsi="Verdana"/>
          <w:sz w:val="16"/>
          <w:szCs w:val="16"/>
          <w:lang w:val="en-US"/>
        </w:rPr>
        <w:t xml:space="preserve"> </w:t>
      </w:r>
      <w:hyperlink r:id="rId3" w:history="1">
        <w:r w:rsidRPr="00886993">
          <w:rPr>
            <w:rStyle w:val="Hyperlink"/>
            <w:rFonts w:ascii="Verdana" w:hAnsi="Verdana"/>
            <w:sz w:val="16"/>
            <w:szCs w:val="16"/>
            <w:lang w:val="en-US"/>
          </w:rPr>
          <w:t>Licensable picture: Indonesia-European Union Comprehensive Economic Partnership Agreement (IEU-CEPA), in Bali | Reuters Connect</w:t>
        </w:r>
      </w:hyperlink>
    </w:p>
  </w:footnote>
  <w:footnote w:id="8">
    <w:p w14:paraId="66D5B2F8" w14:textId="33E8B5E4" w:rsidR="003C0754" w:rsidRPr="00047100" w:rsidRDefault="003C0754" w:rsidP="34ADDC44">
      <w:pPr>
        <w:pStyle w:val="Voetnoottekst"/>
        <w:rPr>
          <w:rFonts w:ascii="Verdana" w:hAnsi="Verdana"/>
          <w:sz w:val="16"/>
          <w:szCs w:val="16"/>
        </w:rPr>
      </w:pPr>
      <w:r w:rsidRPr="00886993">
        <w:rPr>
          <w:rStyle w:val="Voetnootmarkering"/>
          <w:rFonts w:ascii="Verdana" w:hAnsi="Verdana"/>
          <w:sz w:val="16"/>
          <w:szCs w:val="16"/>
        </w:rPr>
        <w:footnoteRef/>
      </w:r>
      <w:r w:rsidRPr="00886993">
        <w:rPr>
          <w:rFonts w:ascii="Verdana" w:hAnsi="Verdana"/>
          <w:sz w:val="16"/>
          <w:szCs w:val="16"/>
        </w:rPr>
        <w:t xml:space="preserve"> De Kamer is geïnformeerd over de voortgang van de onderhandelingen via de “Voortgangsrapportage handelsakkoorden”</w:t>
      </w:r>
      <w:r w:rsidR="00C73B08">
        <w:rPr>
          <w:rFonts w:ascii="Verdana" w:hAnsi="Verdana"/>
          <w:sz w:val="16"/>
          <w:szCs w:val="16"/>
        </w:rPr>
        <w:t>. De Voortgangsrapportage wordt</w:t>
      </w:r>
      <w:r w:rsidRPr="00886993">
        <w:rPr>
          <w:rFonts w:ascii="Verdana" w:hAnsi="Verdana"/>
          <w:sz w:val="16"/>
          <w:szCs w:val="16"/>
        </w:rPr>
        <w:t xml:space="preserve"> als bijlage opgenomen bij de Geannoteerde Agenda voor een Raad Buitenlandse Zaken Handel.</w:t>
      </w:r>
    </w:p>
  </w:footnote>
  <w:footnote w:id="9">
    <w:p w14:paraId="2F3FCAC8" w14:textId="77777777" w:rsidR="003C0754" w:rsidRPr="00886993" w:rsidRDefault="003C0754" w:rsidP="003C0754">
      <w:pPr>
        <w:pStyle w:val="Voetnoottekst"/>
        <w:rPr>
          <w:rFonts w:ascii="Verdana" w:hAnsi="Verdana"/>
          <w:sz w:val="16"/>
          <w:szCs w:val="16"/>
        </w:rPr>
      </w:pPr>
      <w:r w:rsidRPr="00047100">
        <w:rPr>
          <w:rStyle w:val="Voetnootmarkering"/>
          <w:rFonts w:ascii="Verdana" w:hAnsi="Verdana"/>
          <w:sz w:val="16"/>
          <w:szCs w:val="16"/>
        </w:rPr>
        <w:footnoteRef/>
      </w:r>
      <w:r w:rsidRPr="00047100">
        <w:rPr>
          <w:rFonts w:ascii="Verdana" w:hAnsi="Verdana"/>
          <w:sz w:val="16"/>
          <w:szCs w:val="16"/>
        </w:rPr>
        <w:t xml:space="preserve"> </w:t>
      </w:r>
      <w:hyperlink r:id="rId4" w:history="1">
        <w:r w:rsidRPr="00886993">
          <w:rPr>
            <w:rStyle w:val="Hyperlink"/>
            <w:rFonts w:ascii="Verdana" w:hAnsi="Verdana"/>
            <w:sz w:val="16"/>
            <w:szCs w:val="16"/>
          </w:rPr>
          <w:t>https://eur-lex.europa.eu/legal-content/NL/TXT/HTML/?uri=CELEX:52026PC0341&amp;qid=1787229869722</w:t>
        </w:r>
      </w:hyperlink>
    </w:p>
  </w:footnote>
  <w:footnote w:id="10">
    <w:p w14:paraId="3D5329B5" w14:textId="77777777" w:rsidR="003C0754" w:rsidRPr="00886993" w:rsidRDefault="003C0754" w:rsidP="003C0754">
      <w:pPr>
        <w:pStyle w:val="Voetnoottekst"/>
        <w:rPr>
          <w:rFonts w:ascii="Verdana" w:hAnsi="Verdana"/>
          <w:sz w:val="16"/>
          <w:szCs w:val="16"/>
        </w:rPr>
      </w:pPr>
      <w:r w:rsidRPr="00886993">
        <w:rPr>
          <w:rStyle w:val="Voetnootmarkering"/>
          <w:rFonts w:ascii="Verdana" w:hAnsi="Verdana"/>
          <w:sz w:val="16"/>
          <w:szCs w:val="16"/>
        </w:rPr>
        <w:footnoteRef/>
      </w:r>
      <w:r w:rsidRPr="00886993">
        <w:rPr>
          <w:rFonts w:ascii="Verdana" w:hAnsi="Verdana"/>
          <w:sz w:val="16"/>
          <w:szCs w:val="16"/>
        </w:rPr>
        <w:t xml:space="preserve"> </w:t>
      </w:r>
      <w:hyperlink r:id="rId5" w:history="1">
        <w:r w:rsidRPr="00886993">
          <w:rPr>
            <w:rStyle w:val="Hyperlink"/>
            <w:rFonts w:ascii="Verdana" w:hAnsi="Verdana"/>
            <w:sz w:val="16"/>
            <w:szCs w:val="16"/>
          </w:rPr>
          <w:t>https://eur-lex.europa.eu/legal-content/NL/TXT/HTML/?uri=CELEX:52026PC0342&amp;qid=1787229869722</w:t>
        </w:r>
      </w:hyperlink>
    </w:p>
  </w:footnote>
  <w:footnote w:id="11">
    <w:p w14:paraId="3A73D06F" w14:textId="77777777" w:rsidR="003C0754" w:rsidRPr="00886993" w:rsidRDefault="003C0754" w:rsidP="003C0754">
      <w:pPr>
        <w:pStyle w:val="Voetnoottekst"/>
        <w:rPr>
          <w:rFonts w:ascii="Verdana" w:hAnsi="Verdana"/>
          <w:sz w:val="16"/>
          <w:szCs w:val="16"/>
        </w:rPr>
      </w:pPr>
      <w:r w:rsidRPr="00886993">
        <w:rPr>
          <w:rStyle w:val="Voetnootmarkering"/>
          <w:rFonts w:ascii="Verdana" w:hAnsi="Verdana"/>
          <w:sz w:val="16"/>
          <w:szCs w:val="16"/>
        </w:rPr>
        <w:footnoteRef/>
      </w:r>
      <w:r w:rsidRPr="00886993">
        <w:rPr>
          <w:rFonts w:ascii="Verdana" w:hAnsi="Verdana"/>
          <w:sz w:val="16"/>
          <w:szCs w:val="16"/>
        </w:rPr>
        <w:t xml:space="preserve"> </w:t>
      </w:r>
      <w:hyperlink r:id="rId6" w:history="1">
        <w:r w:rsidRPr="00886993">
          <w:rPr>
            <w:rStyle w:val="Hyperlink"/>
            <w:rFonts w:ascii="Verdana" w:hAnsi="Verdana"/>
            <w:sz w:val="16"/>
            <w:szCs w:val="16"/>
          </w:rPr>
          <w:t>https://eur-lex.europa.eu/legal-content/NL/TXT/HTML/?uri=CELEX:52026PC0340</w:t>
        </w:r>
      </w:hyperlink>
    </w:p>
  </w:footnote>
  <w:footnote w:id="12">
    <w:p w14:paraId="080FF756" w14:textId="77777777" w:rsidR="003C0754" w:rsidRPr="0067494A" w:rsidRDefault="003C0754" w:rsidP="003C0754">
      <w:pPr>
        <w:pStyle w:val="Voetnoottekst"/>
      </w:pPr>
      <w:r w:rsidRPr="00886993">
        <w:rPr>
          <w:rStyle w:val="Voetnootmarkering"/>
          <w:rFonts w:ascii="Verdana" w:hAnsi="Verdana"/>
          <w:sz w:val="16"/>
          <w:szCs w:val="16"/>
        </w:rPr>
        <w:footnoteRef/>
      </w:r>
      <w:r w:rsidRPr="00886993">
        <w:rPr>
          <w:rFonts w:ascii="Verdana" w:hAnsi="Verdana"/>
          <w:sz w:val="16"/>
          <w:szCs w:val="16"/>
        </w:rPr>
        <w:t xml:space="preserve"> </w:t>
      </w:r>
      <w:hyperlink r:id="rId7" w:history="1">
        <w:r w:rsidRPr="00886993">
          <w:rPr>
            <w:rStyle w:val="Hyperlink"/>
            <w:rFonts w:ascii="Verdana" w:hAnsi="Verdana"/>
            <w:sz w:val="16"/>
            <w:szCs w:val="16"/>
          </w:rPr>
          <w:t>https://eur-lex.europa.eu/legal-content/NL/TXT/HTML/?uri=CELEX:52026PC0343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E5D9F" w14:textId="77777777" w:rsidR="00D150AC" w:rsidRDefault="00D150A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CCFFB" w14:textId="14F9088F" w:rsidR="000A2586" w:rsidRDefault="006165C8">
    <w:r>
      <w:rPr>
        <w:noProof/>
      </w:rPr>
      <mc:AlternateContent>
        <mc:Choice Requires="wps">
          <w:drawing>
            <wp:anchor distT="0" distB="0" distL="0" distR="0" simplePos="0" relativeHeight="251652608" behindDoc="0" locked="1" layoutInCell="1" allowOverlap="1" wp14:anchorId="2CDCCFFF" wp14:editId="1DFC4D49">
              <wp:simplePos x="0" y="0"/>
              <wp:positionH relativeFrom="page">
                <wp:posOffset>5920740</wp:posOffset>
              </wp:positionH>
              <wp:positionV relativeFrom="page">
                <wp:posOffset>1965960</wp:posOffset>
              </wp:positionV>
              <wp:extent cx="1363980" cy="8009890"/>
              <wp:effectExtent l="0" t="0" r="0" b="0"/>
              <wp:wrapNone/>
              <wp:docPr id="1" name="41b1110a-80a4-11ea-b356-6230a4311406"/>
              <wp:cNvGraphicFramePr/>
              <a:graphic xmlns:a="http://schemas.openxmlformats.org/drawingml/2006/main">
                <a:graphicData uri="http://schemas.microsoft.com/office/word/2010/wordprocessingShape">
                  <wps:wsp>
                    <wps:cNvSpPr txBox="1"/>
                    <wps:spPr>
                      <a:xfrm>
                        <a:off x="0" y="0"/>
                        <a:ext cx="1363980" cy="8009890"/>
                      </a:xfrm>
                      <a:prstGeom prst="rect">
                        <a:avLst/>
                      </a:prstGeom>
                      <a:noFill/>
                    </wps:spPr>
                    <wps:txbx>
                      <w:txbxContent>
                        <w:p w14:paraId="2CDCD02D" w14:textId="77777777" w:rsidR="000A2586" w:rsidRDefault="006165C8">
                          <w:pPr>
                            <w:pStyle w:val="Referentiegegevensbold"/>
                          </w:pPr>
                          <w:r>
                            <w:t>Ministerie van Buitenlandse Zaken</w:t>
                          </w:r>
                        </w:p>
                        <w:p w14:paraId="2CDCD02E" w14:textId="77777777" w:rsidR="000A2586" w:rsidRDefault="000A2586">
                          <w:pPr>
                            <w:pStyle w:val="WitregelW2"/>
                          </w:pPr>
                        </w:p>
                        <w:p w14:paraId="2CDCD02F" w14:textId="77777777" w:rsidR="000A2586" w:rsidRDefault="006165C8">
                          <w:pPr>
                            <w:pStyle w:val="Referentiegegevensbold"/>
                          </w:pPr>
                          <w:r>
                            <w:t>Onze referentie</w:t>
                          </w:r>
                        </w:p>
                        <w:p w14:paraId="2CDCD030" w14:textId="77777777" w:rsidR="000A2586" w:rsidRDefault="006165C8">
                          <w:pPr>
                            <w:pStyle w:val="Referentiegegevens"/>
                          </w:pPr>
                          <w:r>
                            <w:t>BZ2632050</w:t>
                          </w:r>
                        </w:p>
                      </w:txbxContent>
                    </wps:txbx>
                    <wps:bodyPr vert="horz" wrap="square" lIns="0" tIns="0" rIns="0" bIns="0" anchor="t" anchorCtr="0"/>
                  </wps:wsp>
                </a:graphicData>
              </a:graphic>
              <wp14:sizeRelH relativeFrom="margin">
                <wp14:pctWidth>0</wp14:pctWidth>
              </wp14:sizeRelH>
            </wp:anchor>
          </w:drawing>
        </mc:Choice>
        <mc:Fallback>
          <w:pict>
            <v:shapetype w14:anchorId="2CDCCFFF" id="_x0000_t202" coordsize="21600,21600" o:spt="202" path="m,l,21600r21600,l21600,xe">
              <v:stroke joinstyle="miter"/>
              <v:path gradientshapeok="t" o:connecttype="rect"/>
            </v:shapetype>
            <v:shape id="41b1110a-80a4-11ea-b356-6230a4311406" o:spid="_x0000_s1026" type="#_x0000_t202" style="position:absolute;margin-left:466.2pt;margin-top:154.8pt;width:107.4pt;height:630.7pt;z-index:25165260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" filled="f" stroked="f">
              <v:textbox inset="0,0,0,0">
                <w:txbxContent>
                  <w:p w14:paraId="2CDCD02D" w14:textId="77777777" w:rsidR="000A2586" w:rsidRDefault="006165C8">
                    <w:pPr>
                      <w:pStyle w:val="Referentiegegevensbold"/>
                    </w:pPr>
                    <w:r>
                      <w:t>Ministerie van Buitenlandse Zaken</w:t>
                    </w:r>
                  </w:p>
                  <w:p w14:paraId="2CDCD02E" w14:textId="77777777" w:rsidR="000A2586" w:rsidRDefault="000A2586">
                    <w:pPr>
                      <w:pStyle w:val="WitregelW2"/>
                    </w:pPr>
                  </w:p>
                  <w:p w14:paraId="2CDCD02F" w14:textId="77777777" w:rsidR="000A2586" w:rsidRDefault="006165C8">
                    <w:pPr>
                      <w:pStyle w:val="Referentiegegevensbold"/>
                    </w:pPr>
                    <w:r>
                      <w:t>Onze referentie</w:t>
                    </w:r>
                  </w:p>
                  <w:p w14:paraId="2CDCD030" w14:textId="77777777" w:rsidR="000A2586" w:rsidRDefault="006165C8">
                    <w:pPr>
                      <w:pStyle w:val="Referentiegegevens"/>
                    </w:pPr>
                    <w:r>
                      <w:t>BZ2632050</w:t>
                    </w:r>
                  </w:p>
                </w:txbxContent>
              </v:textbox>
              <w10:wrap anchorx="page" anchory="page"/>
              <w10:anchorlock/>
            </v:shape>
          </w:pict>
        </mc:Fallback>
      </mc:AlternateContent>
    </w:r>
    <w:r>
      <w:rPr>
        <w:noProof/>
      </w:rPr>
      <mc:AlternateContent>
        <mc:Choice Requires="wps">
          <w:drawing>
            <wp:anchor distT="0" distB="0" distL="0" distR="0" simplePos="0" relativeHeight="251654656" behindDoc="0" locked="1" layoutInCell="1" allowOverlap="1" wp14:anchorId="2CDCD003" wp14:editId="30CA2513">
              <wp:simplePos x="0" y="0"/>
              <wp:positionH relativeFrom="page">
                <wp:posOffset>5921375</wp:posOffset>
              </wp:positionH>
              <wp:positionV relativeFrom="page">
                <wp:posOffset>10194925</wp:posOffset>
              </wp:positionV>
              <wp:extent cx="1285875" cy="161925"/>
              <wp:effectExtent l="0" t="0" r="0" b="0"/>
              <wp:wrapNone/>
              <wp:docPr id="3" name="41b1115b-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2CDCD03F" w14:textId="77777777" w:rsidR="006165C8" w:rsidRDefault="006165C8"/>
                      </w:txbxContent>
                    </wps:txbx>
                    <wps:bodyPr vert="horz" wrap="square" lIns="0" tIns="0" rIns="0" bIns="0" anchor="t" anchorCtr="0"/>
                  </wps:wsp>
                </a:graphicData>
              </a:graphic>
            </wp:anchor>
          </w:drawing>
        </mc:Choice>
        <mc:Fallback>
          <w:pict>
            <v:shape w14:anchorId="2CDCD003" id="41b1115b-80a4-11ea-b356-6230a4311406" o:spid="_x0000_s1027" type="#_x0000_t202" style="position:absolute;margin-left:466.25pt;margin-top:802.75pt;width:101.25pt;height:12.75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" filled="f" stroked="f">
              <v:textbox inset="0,0,0,0">
                <w:txbxContent>
                  <w:p w14:paraId="2CDCD03F" w14:textId="77777777" w:rsidR="006165C8" w:rsidRDefault="006165C8"/>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CCFFD" w14:textId="48FF74C5" w:rsidR="000A2586" w:rsidRDefault="006165C8">
    <w:pPr>
      <w:spacing w:after="7131" w:line="14" w:lineRule="exact"/>
    </w:pPr>
    <w:r>
      <w:rPr>
        <w:noProof/>
      </w:rPr>
      <mc:AlternateContent>
        <mc:Choice Requires="wps">
          <w:drawing>
            <wp:anchor distT="0" distB="0" distL="0" distR="0" simplePos="0" relativeHeight="251655680" behindDoc="0" locked="1" layoutInCell="1" allowOverlap="1" wp14:anchorId="2CDCD005" wp14:editId="2CDCD006">
              <wp:simplePos x="0" y="0"/>
              <wp:positionH relativeFrom="page">
                <wp:posOffset>1007744</wp:posOffset>
              </wp:positionH>
              <wp:positionV relativeFrom="page">
                <wp:posOffset>1720214</wp:posOffset>
              </wp:positionV>
              <wp:extent cx="3590925" cy="161925"/>
              <wp:effectExtent l="0" t="0" r="0" b="0"/>
              <wp:wrapNone/>
              <wp:docPr id="4" name="41b10a83-80a4-11ea-b356-6230a4311406"/>
              <wp:cNvGraphicFramePr/>
              <a:graphic xmlns:a="http://schemas.openxmlformats.org/drawingml/2006/main">
                <a:graphicData uri="http://schemas.microsoft.com/office/word/2010/wordprocessingShape">
                  <wps:wsp>
                    <wps:cNvSpPr txBox="1"/>
                    <wps:spPr>
                      <a:xfrm>
                        <a:off x="0" y="0"/>
                        <a:ext cx="3590925" cy="161925"/>
                      </a:xfrm>
                      <a:prstGeom prst="rect">
                        <a:avLst/>
                      </a:prstGeom>
                      <a:noFill/>
                    </wps:spPr>
                    <wps:txbx>
                      <w:txbxContent>
                        <w:p w14:paraId="2CDCD032" w14:textId="77777777" w:rsidR="006165C8" w:rsidRDefault="006165C8"/>
                      </w:txbxContent>
                    </wps:txbx>
                    <wps:bodyPr vert="horz" wrap="square" lIns="0" tIns="0" rIns="0" bIns="0" anchor="t" anchorCtr="0"/>
                  </wps:wsp>
                </a:graphicData>
              </a:graphic>
            </wp:anchor>
          </w:drawing>
        </mc:Choice>
        <mc:Fallback>
          <w:pict>
            <v:shapetype w14:anchorId="2CDCD005" id="_x0000_t202" coordsize="21600,21600" o:spt="202" path="m,l,21600r21600,l21600,xe">
              <v:stroke joinstyle="miter"/>
              <v:path gradientshapeok="t" o:connecttype="rect"/>
            </v:shapetype>
            <v:shape id="41b10a83-80a4-11ea-b356-6230a4311406" o:spid="_x0000_s1028" type="#_x0000_t202" style="position:absolute;margin-left:79.35pt;margin-top:135.45pt;width:282.75pt;height:12.7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" filled="f" stroked="f">
              <v:textbox inset="0,0,0,0">
                <w:txbxContent>
                  <w:p w14:paraId="2CDCD032" w14:textId="77777777" w:rsidR="006165C8" w:rsidRDefault="006165C8"/>
                </w:txbxContent>
              </v:textbox>
              <w10:wrap anchorx="page" anchory="page"/>
              <w10:anchorlock/>
            </v:shape>
          </w:pict>
        </mc:Fallback>
      </mc:AlternateContent>
    </w:r>
    <w:r>
      <w:rPr>
        <w:noProof/>
      </w:rPr>
      <mc:AlternateContent>
        <mc:Choice Requires="wps">
          <w:drawing>
            <wp:anchor distT="0" distB="0" distL="0" distR="0" simplePos="0" relativeHeight="251656704" behindDoc="0" locked="1" layoutInCell="1" allowOverlap="1" wp14:anchorId="2CDCD007" wp14:editId="2CDCD008">
              <wp:simplePos x="0" y="0"/>
              <wp:positionH relativeFrom="page">
                <wp:posOffset>1007744</wp:posOffset>
              </wp:positionH>
              <wp:positionV relativeFrom="page">
                <wp:posOffset>1954530</wp:posOffset>
              </wp:positionV>
              <wp:extent cx="4787900" cy="1115695"/>
              <wp:effectExtent l="0" t="0" r="0" b="0"/>
              <wp:wrapNone/>
              <wp:docPr id="5" name="41b10c0b-80a4-11ea-b356-6230a4311406"/>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2CDCD016" w14:textId="77777777" w:rsidR="000A2586" w:rsidRDefault="006165C8">
                          <w:r>
                            <w:t xml:space="preserve">Aan de Voorzitter van de </w:t>
                          </w:r>
                          <w:r>
                            <w:br/>
                            <w:t>Tweede Kamer der Staten-Generaal</w:t>
                          </w:r>
                          <w:r>
                            <w:br/>
                            <w:t>Prinses Irenestraat 6</w:t>
                          </w:r>
                          <w:r>
                            <w:br/>
                            <w:t>Den Haag</w:t>
                          </w:r>
                        </w:p>
                      </w:txbxContent>
                    </wps:txbx>
                    <wps:bodyPr vert="horz" wrap="square" lIns="0" tIns="0" rIns="0" bIns="0" anchor="t" anchorCtr="0"/>
                  </wps:wsp>
                </a:graphicData>
              </a:graphic>
            </wp:anchor>
          </w:drawing>
        </mc:Choice>
        <mc:Fallback>
          <w:pict>
            <v:shape w14:anchorId="2CDCD007" id="41b10c0b-80a4-11ea-b356-6230a4311406" o:spid="_x0000_s1029" type="#_x0000_t202" style="position:absolute;margin-left:79.35pt;margin-top:153.9pt;width:377pt;height:87.8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2CDCD016" w14:textId="77777777" w:rsidR="000A2586" w:rsidRDefault="006165C8">
                    <w:r>
                      <w:t xml:space="preserve">Aan de Voorzitter van de </w:t>
                    </w:r>
                    <w:r>
                      <w:br/>
                      <w:t>Tweede Kamer der Staten-Generaal</w:t>
                    </w:r>
                    <w:r>
                      <w:br/>
                      <w:t>Prinses Irenestraat 6</w:t>
                    </w:r>
                    <w:r>
                      <w:br/>
                      <w:t>Den Haag</w:t>
                    </w:r>
                  </w:p>
                </w:txbxContent>
              </v:textbox>
              <w10:wrap anchorx="page" anchory="page"/>
              <w10:anchorlock/>
            </v:shape>
          </w:pict>
        </mc:Fallback>
      </mc:AlternateContent>
    </w:r>
    <w:r>
      <w:rPr>
        <w:noProof/>
      </w:rPr>
      <mc:AlternateContent>
        <mc:Choice Requires="wps">
          <w:drawing>
            <wp:anchor distT="0" distB="0" distL="0" distR="0" simplePos="0" relativeHeight="251657728" behindDoc="0" locked="1" layoutInCell="1" allowOverlap="1" wp14:anchorId="2CDCD009" wp14:editId="2CDCD00A">
              <wp:simplePos x="0" y="0"/>
              <wp:positionH relativeFrom="page">
                <wp:posOffset>1007744</wp:posOffset>
              </wp:positionH>
              <wp:positionV relativeFrom="page">
                <wp:posOffset>3765550</wp:posOffset>
              </wp:positionV>
              <wp:extent cx="4780915" cy="608965"/>
              <wp:effectExtent l="0" t="0" r="0" b="0"/>
              <wp:wrapNone/>
              <wp:docPr id="6" name="41b10c7e-80a4-11ea-b356-6230a4311406"/>
              <wp:cNvGraphicFramePr/>
              <a:graphic xmlns:a="http://schemas.openxmlformats.org/drawingml/2006/main">
                <a:graphicData uri="http://schemas.microsoft.com/office/word/2010/wordprocessingShape">
                  <wps:wsp>
                    <wps:cNvSpPr txBox="1"/>
                    <wps:spPr>
                      <a:xfrm>
                        <a:off x="0" y="0"/>
                        <a:ext cx="4780915" cy="608965"/>
                      </a:xfrm>
                      <a:prstGeom prst="rect">
                        <a:avLst/>
                      </a:prstGeom>
                      <a:noFill/>
                    </wps:spPr>
                    <wps:txbx>
                      <w:txbxContent>
                        <w:tbl>
                          <w:tblPr>
                            <w:tblStyle w:val="Tabelondertekening"/>
                            <w:tblW w:w="7529" w:type="dxa"/>
                            <w:tblInd w:w="0" w:type="dxa"/>
                            <w:tblLayout w:type="fixed"/>
                            <w:tblLook w:val="07E0" w:firstRow="1" w:lastRow="1" w:firstColumn="1" w:lastColumn="1" w:noHBand="1" w:noVBand="1"/>
                          </w:tblPr>
                          <w:tblGrid>
                            <w:gridCol w:w="678"/>
                            <w:gridCol w:w="6851"/>
                          </w:tblGrid>
                          <w:tr w:rsidR="000A2586" w14:paraId="2CDCD019" w14:textId="77777777">
                            <w:tc>
                              <w:tcPr>
                                <w:tcW w:w="678" w:type="dxa"/>
                              </w:tcPr>
                              <w:p w14:paraId="2CDCD017" w14:textId="77777777" w:rsidR="000A2586" w:rsidRDefault="006165C8">
                                <w:r>
                                  <w:t>Datum</w:t>
                                </w:r>
                              </w:p>
                            </w:tc>
                            <w:tc>
                              <w:tcPr>
                                <w:tcW w:w="6851" w:type="dxa"/>
                              </w:tcPr>
                              <w:p w14:paraId="2CDCD018" w14:textId="16597C2B" w:rsidR="000A2586" w:rsidRDefault="00D150AC">
                                <w:r>
                                  <w:t>1 oktober</w:t>
                                </w:r>
                                <w:r w:rsidR="006165C8">
                                  <w:t>2026</w:t>
                                </w:r>
                              </w:p>
                            </w:tc>
                          </w:tr>
                          <w:tr w:rsidR="000A2586" w14:paraId="2CDCD01E" w14:textId="77777777">
                            <w:tc>
                              <w:tcPr>
                                <w:tcW w:w="678" w:type="dxa"/>
                              </w:tcPr>
                              <w:p w14:paraId="2CDCD01A" w14:textId="77777777" w:rsidR="000A2586" w:rsidRDefault="006165C8">
                                <w:r>
                                  <w:t>Betreft</w:t>
                                </w:r>
                              </w:p>
                              <w:p w14:paraId="2CDCD01B" w14:textId="77777777" w:rsidR="000A2586" w:rsidRDefault="000A2586"/>
                            </w:tc>
                            <w:tc>
                              <w:tcPr>
                                <w:tcW w:w="6851" w:type="dxa"/>
                              </w:tcPr>
                              <w:p w14:paraId="2CDCD01C" w14:textId="77777777" w:rsidR="000A2586" w:rsidRDefault="006165C8">
                                <w:r>
                                  <w:t>Kabinetsappreciatie EU-IDN CEPA en IPA</w:t>
                                </w:r>
                              </w:p>
                              <w:p w14:paraId="2CDCD01D" w14:textId="77777777" w:rsidR="000A2586" w:rsidRDefault="000A2586"/>
                            </w:tc>
                          </w:tr>
                        </w:tbl>
                        <w:p w14:paraId="2CDCD01F" w14:textId="77777777" w:rsidR="000A2586" w:rsidRDefault="000A2586"/>
                        <w:p w14:paraId="2CDCD020" w14:textId="77777777" w:rsidR="000A2586" w:rsidRDefault="000A2586"/>
                      </w:txbxContent>
                    </wps:txbx>
                    <wps:bodyPr vert="horz" wrap="square" lIns="0" tIns="0" rIns="0" bIns="0" anchor="t" anchorCtr="0"/>
                  </wps:wsp>
                </a:graphicData>
              </a:graphic>
            </wp:anchor>
          </w:drawing>
        </mc:Choice>
        <mc:Fallback>
          <w:pict>
            <v:shape w14:anchorId="2CDCD009" id="41b10c7e-80a4-11ea-b356-6230a4311406" o:spid="_x0000_s1030" type="#_x0000_t202" style="position:absolute;margin-left:79.35pt;margin-top:296.5pt;width:376.45pt;height:47.9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" filled="f" stroked="f">
              <v:textbox inset="0,0,0,0">
                <w:txbxContent>
                  <w:tbl>
                    <w:tblPr>
                      <w:tblStyle w:val="Tabelondertekening"/>
                      <w:tblW w:w="7529" w:type="dxa"/>
                      <w:tblInd w:w="0" w:type="dxa"/>
                      <w:tblLayout w:type="fixed"/>
                      <w:tblLook w:val="07E0" w:firstRow="1" w:lastRow="1" w:firstColumn="1" w:lastColumn="1" w:noHBand="1" w:noVBand="1"/>
                    </w:tblPr>
                    <w:tblGrid>
                      <w:gridCol w:w="678"/>
                      <w:gridCol w:w="6851"/>
                    </w:tblGrid>
                    <w:tr w:rsidR="000A2586" w14:paraId="2CDCD019" w14:textId="77777777">
                      <w:tc>
                        <w:tcPr>
                          <w:tcW w:w="678" w:type="dxa"/>
                        </w:tcPr>
                        <w:p w14:paraId="2CDCD017" w14:textId="77777777" w:rsidR="000A2586" w:rsidRDefault="006165C8">
                          <w:r>
                            <w:t>Datum</w:t>
                          </w:r>
                        </w:p>
                      </w:tc>
                      <w:tc>
                        <w:tcPr>
                          <w:tcW w:w="6851" w:type="dxa"/>
                        </w:tcPr>
                        <w:p w14:paraId="2CDCD018" w14:textId="16597C2B" w:rsidR="000A2586" w:rsidRDefault="00D150AC">
                          <w:r>
                            <w:t>1 oktober</w:t>
                          </w:r>
                          <w:r w:rsidR="006165C8">
                            <w:t>2026</w:t>
                          </w:r>
                        </w:p>
                      </w:tc>
                    </w:tr>
                    <w:tr w:rsidR="000A2586" w14:paraId="2CDCD01E" w14:textId="77777777">
                      <w:tc>
                        <w:tcPr>
                          <w:tcW w:w="678" w:type="dxa"/>
                        </w:tcPr>
                        <w:p w14:paraId="2CDCD01A" w14:textId="77777777" w:rsidR="000A2586" w:rsidRDefault="006165C8">
                          <w:r>
                            <w:t>Betreft</w:t>
                          </w:r>
                        </w:p>
                        <w:p w14:paraId="2CDCD01B" w14:textId="77777777" w:rsidR="000A2586" w:rsidRDefault="000A2586"/>
                      </w:tc>
                      <w:tc>
                        <w:tcPr>
                          <w:tcW w:w="6851" w:type="dxa"/>
                        </w:tcPr>
                        <w:p w14:paraId="2CDCD01C" w14:textId="77777777" w:rsidR="000A2586" w:rsidRDefault="006165C8">
                          <w:r>
                            <w:t>Kabinetsappreciatie EU-IDN CEPA en IPA</w:t>
                          </w:r>
                        </w:p>
                        <w:p w14:paraId="2CDCD01D" w14:textId="77777777" w:rsidR="000A2586" w:rsidRDefault="000A2586"/>
                      </w:tc>
                    </w:tr>
                  </w:tbl>
                  <w:p w14:paraId="2CDCD01F" w14:textId="77777777" w:rsidR="000A2586" w:rsidRDefault="000A2586"/>
                  <w:p w14:paraId="2CDCD020" w14:textId="77777777" w:rsidR="000A2586" w:rsidRDefault="000A2586"/>
                </w:txbxContent>
              </v:textbox>
              <w10:wrap anchorx="page" anchory="page"/>
              <w10:anchorlock/>
            </v:shape>
          </w:pict>
        </mc:Fallback>
      </mc:AlternateContent>
    </w:r>
    <w:r>
      <w:rPr>
        <w:noProof/>
      </w:rPr>
      <mc:AlternateContent>
        <mc:Choice Requires="wps">
          <w:drawing>
            <wp:anchor distT="0" distB="0" distL="0" distR="0" simplePos="0" relativeHeight="251658752" behindDoc="0" locked="1" layoutInCell="1" allowOverlap="1" wp14:anchorId="2CDCD00B" wp14:editId="3BEB05EA">
              <wp:simplePos x="0" y="0"/>
              <wp:positionH relativeFrom="page">
                <wp:posOffset>5920740</wp:posOffset>
              </wp:positionH>
              <wp:positionV relativeFrom="page">
                <wp:posOffset>1965960</wp:posOffset>
              </wp:positionV>
              <wp:extent cx="1470660" cy="8009890"/>
              <wp:effectExtent l="0" t="0" r="0" b="0"/>
              <wp:wrapNone/>
              <wp:docPr id="7" name="41b10cd4-80a4-11ea-b356-6230a4311406"/>
              <wp:cNvGraphicFramePr/>
              <a:graphic xmlns:a="http://schemas.openxmlformats.org/drawingml/2006/main">
                <a:graphicData uri="http://schemas.microsoft.com/office/word/2010/wordprocessingShape">
                  <wps:wsp>
                    <wps:cNvSpPr txBox="1"/>
                    <wps:spPr>
                      <a:xfrm>
                        <a:off x="0" y="0"/>
                        <a:ext cx="1470660" cy="8009890"/>
                      </a:xfrm>
                      <a:prstGeom prst="rect">
                        <a:avLst/>
                      </a:prstGeom>
                      <a:noFill/>
                    </wps:spPr>
                    <wps:txbx>
                      <w:txbxContent>
                        <w:p w14:paraId="2CDCD022" w14:textId="1F08A26B" w:rsidR="000A2586" w:rsidRDefault="006165C8" w:rsidP="00D150AC">
                          <w:pPr>
                            <w:pStyle w:val="Referentiegegevensbold"/>
                          </w:pPr>
                          <w:r>
                            <w:t>Ministerie van Buitenlandse Zaken</w:t>
                          </w:r>
                        </w:p>
                        <w:p w14:paraId="2CDCD023" w14:textId="41356C0C" w:rsidR="000A2586" w:rsidRPr="00F4431E" w:rsidRDefault="00F4431E">
                          <w:pPr>
                            <w:pStyle w:val="Referentiegegevens"/>
                          </w:pPr>
                          <w:r w:rsidRPr="00F4431E">
                            <w:t>Rijnstraat 8</w:t>
                          </w:r>
                        </w:p>
                        <w:p w14:paraId="50D8B14E" w14:textId="2BAE1CB2" w:rsidR="00F4431E" w:rsidRPr="00F4431E" w:rsidRDefault="00F4431E" w:rsidP="00F4431E">
                          <w:pPr>
                            <w:rPr>
                              <w:sz w:val="13"/>
                              <w:szCs w:val="13"/>
                              <w:lang w:val="da-DK"/>
                            </w:rPr>
                          </w:pPr>
                          <w:r w:rsidRPr="00F4431E">
                            <w:rPr>
                              <w:sz w:val="13"/>
                              <w:szCs w:val="13"/>
                              <w:lang w:val="da-DK"/>
                            </w:rPr>
                            <w:t>2515XP Den Haag</w:t>
                          </w:r>
                        </w:p>
                        <w:p w14:paraId="0C4D83C0" w14:textId="3514CBBA" w:rsidR="00F4431E" w:rsidRPr="00F4431E" w:rsidRDefault="00F4431E" w:rsidP="00F4431E">
                          <w:pPr>
                            <w:rPr>
                              <w:sz w:val="13"/>
                              <w:szCs w:val="13"/>
                              <w:lang w:val="da-DK"/>
                            </w:rPr>
                          </w:pPr>
                          <w:r w:rsidRPr="00F4431E">
                            <w:rPr>
                              <w:sz w:val="13"/>
                              <w:szCs w:val="13"/>
                              <w:lang w:val="da-DK"/>
                            </w:rPr>
                            <w:t>Postbus 20061</w:t>
                          </w:r>
                        </w:p>
                        <w:p w14:paraId="017BDB37" w14:textId="3CC75EAC" w:rsidR="00F4431E" w:rsidRPr="00F4431E" w:rsidRDefault="00F4431E" w:rsidP="00F4431E">
                          <w:pPr>
                            <w:rPr>
                              <w:sz w:val="13"/>
                              <w:szCs w:val="13"/>
                              <w:lang w:val="da-DK"/>
                            </w:rPr>
                          </w:pPr>
                          <w:r w:rsidRPr="00F4431E">
                            <w:rPr>
                              <w:sz w:val="13"/>
                              <w:szCs w:val="13"/>
                              <w:lang w:val="da-DK"/>
                            </w:rPr>
                            <w:t>Nederland</w:t>
                          </w:r>
                        </w:p>
                        <w:p w14:paraId="2CDCD024" w14:textId="77777777" w:rsidR="000A2586" w:rsidRPr="00F4431E" w:rsidRDefault="006165C8">
                          <w:pPr>
                            <w:pStyle w:val="Referentiegegevens"/>
                            <w:rPr>
                              <w:lang w:val="da-DK"/>
                            </w:rPr>
                          </w:pPr>
                          <w:r w:rsidRPr="00F4431E">
                            <w:rPr>
                              <w:lang w:val="da-DK"/>
                            </w:rPr>
                            <w:t>www.minbuza.nl</w:t>
                          </w:r>
                        </w:p>
                        <w:p w14:paraId="2CDCD025" w14:textId="77777777" w:rsidR="000A2586" w:rsidRPr="00F4431E" w:rsidRDefault="000A2586">
                          <w:pPr>
                            <w:pStyle w:val="WitregelW2"/>
                            <w:rPr>
                              <w:lang w:val="da-DK"/>
                            </w:rPr>
                          </w:pPr>
                        </w:p>
                        <w:p w14:paraId="2CDCD026" w14:textId="77777777" w:rsidR="000A2586" w:rsidRDefault="006165C8">
                          <w:pPr>
                            <w:pStyle w:val="Referentiegegevensbold"/>
                          </w:pPr>
                          <w:r>
                            <w:t>Onze referentie</w:t>
                          </w:r>
                        </w:p>
                        <w:p w14:paraId="2CDCD027" w14:textId="77777777" w:rsidR="000A2586" w:rsidRDefault="006165C8">
                          <w:pPr>
                            <w:pStyle w:val="Referentiegegevens"/>
                          </w:pPr>
                          <w:r>
                            <w:t>BZ2632050</w:t>
                          </w:r>
                        </w:p>
                        <w:p w14:paraId="2CDCD028" w14:textId="77777777" w:rsidR="000A2586" w:rsidRDefault="000A2586">
                          <w:pPr>
                            <w:pStyle w:val="WitregelW1"/>
                          </w:pPr>
                        </w:p>
                        <w:p w14:paraId="2CDCD029" w14:textId="77777777" w:rsidR="000A2586" w:rsidRDefault="006165C8">
                          <w:pPr>
                            <w:pStyle w:val="Referentiegegevensbold"/>
                          </w:pPr>
                          <w:r>
                            <w:t>Bijlage(n)</w:t>
                          </w:r>
                        </w:p>
                        <w:p w14:paraId="2CDCD02A" w14:textId="50BA60C3" w:rsidR="000A2586" w:rsidRDefault="00FA0162">
                          <w:pPr>
                            <w:pStyle w:val="Referentiegegevens"/>
                          </w:pPr>
                          <w:r>
                            <w:t xml:space="preserve">Bijlage 1 </w:t>
                          </w:r>
                          <w:r w:rsidR="00F95B9C">
                            <w:t>(IPA)</w:t>
                          </w:r>
                        </w:p>
                        <w:p w14:paraId="32B673AE" w14:textId="2BE9B946" w:rsidR="00FA0162" w:rsidRPr="00FA0162" w:rsidRDefault="00FA0162" w:rsidP="00FA0162">
                          <w:pPr>
                            <w:pStyle w:val="Referentiegegevens"/>
                          </w:pPr>
                          <w:r>
                            <w:t xml:space="preserve">Bijlage 2 </w:t>
                          </w:r>
                          <w:r w:rsidR="00F95B9C">
                            <w:t>(CEPA)</w:t>
                          </w:r>
                        </w:p>
                      </w:txbxContent>
                    </wps:txbx>
                    <wps:bodyPr vert="horz" wrap="square" lIns="0" tIns="0" rIns="0" bIns="0" anchor="t" anchorCtr="0"/>
                  </wps:wsp>
                </a:graphicData>
              </a:graphic>
              <wp14:sizeRelH relativeFrom="margin">
                <wp14:pctWidth>0</wp14:pctWidth>
              </wp14:sizeRelH>
            </wp:anchor>
          </w:drawing>
        </mc:Choice>
        <mc:Fallback>
          <w:pict>
            <v:shape w14:anchorId="2CDCD00B" id="41b10cd4-80a4-11ea-b356-6230a4311406" o:spid="_x0000_s1031" type="#_x0000_t202" style="position:absolute;margin-left:466.2pt;margin-top:154.8pt;width:115.8pt;height:630.7pt;z-index:25165875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" filled="f" stroked="f">
              <v:textbox inset="0,0,0,0">
                <w:txbxContent>
                  <w:p w14:paraId="2CDCD022" w14:textId="1F08A26B" w:rsidR="000A2586" w:rsidRDefault="006165C8" w:rsidP="00D150AC">
                    <w:pPr>
                      <w:pStyle w:val="Referentiegegevensbold"/>
                    </w:pPr>
                    <w:r>
                      <w:t>Ministerie van Buitenlandse Zaken</w:t>
                    </w:r>
                  </w:p>
                  <w:p w14:paraId="2CDCD023" w14:textId="41356C0C" w:rsidR="000A2586" w:rsidRPr="00F4431E" w:rsidRDefault="00F4431E">
                    <w:pPr>
                      <w:pStyle w:val="Referentiegegevens"/>
                    </w:pPr>
                    <w:r w:rsidRPr="00F4431E">
                      <w:t>Rijnstraat 8</w:t>
                    </w:r>
                  </w:p>
                  <w:p w14:paraId="50D8B14E" w14:textId="2BAE1CB2" w:rsidR="00F4431E" w:rsidRPr="00F4431E" w:rsidRDefault="00F4431E" w:rsidP="00F4431E">
                    <w:pPr>
                      <w:rPr>
                        <w:sz w:val="13"/>
                        <w:szCs w:val="13"/>
                        <w:lang w:val="da-DK"/>
                      </w:rPr>
                    </w:pPr>
                    <w:r w:rsidRPr="00F4431E">
                      <w:rPr>
                        <w:sz w:val="13"/>
                        <w:szCs w:val="13"/>
                        <w:lang w:val="da-DK"/>
                      </w:rPr>
                      <w:t>2515XP Den Haag</w:t>
                    </w:r>
                  </w:p>
                  <w:p w14:paraId="0C4D83C0" w14:textId="3514CBBA" w:rsidR="00F4431E" w:rsidRPr="00F4431E" w:rsidRDefault="00F4431E" w:rsidP="00F4431E">
                    <w:pPr>
                      <w:rPr>
                        <w:sz w:val="13"/>
                        <w:szCs w:val="13"/>
                        <w:lang w:val="da-DK"/>
                      </w:rPr>
                    </w:pPr>
                    <w:r w:rsidRPr="00F4431E">
                      <w:rPr>
                        <w:sz w:val="13"/>
                        <w:szCs w:val="13"/>
                        <w:lang w:val="da-DK"/>
                      </w:rPr>
                      <w:t>Postbus 20061</w:t>
                    </w:r>
                  </w:p>
                  <w:p w14:paraId="017BDB37" w14:textId="3CC75EAC" w:rsidR="00F4431E" w:rsidRPr="00F4431E" w:rsidRDefault="00F4431E" w:rsidP="00F4431E">
                    <w:pPr>
                      <w:rPr>
                        <w:sz w:val="13"/>
                        <w:szCs w:val="13"/>
                        <w:lang w:val="da-DK"/>
                      </w:rPr>
                    </w:pPr>
                    <w:r w:rsidRPr="00F4431E">
                      <w:rPr>
                        <w:sz w:val="13"/>
                        <w:szCs w:val="13"/>
                        <w:lang w:val="da-DK"/>
                      </w:rPr>
                      <w:t>Nederland</w:t>
                    </w:r>
                  </w:p>
                  <w:p w14:paraId="2CDCD024" w14:textId="77777777" w:rsidR="000A2586" w:rsidRPr="00F4431E" w:rsidRDefault="006165C8">
                    <w:pPr>
                      <w:pStyle w:val="Referentiegegevens"/>
                      <w:rPr>
                        <w:lang w:val="da-DK"/>
                      </w:rPr>
                    </w:pPr>
                    <w:r w:rsidRPr="00F4431E">
                      <w:rPr>
                        <w:lang w:val="da-DK"/>
                      </w:rPr>
                      <w:t>www.minbuza.nl</w:t>
                    </w:r>
                  </w:p>
                  <w:p w14:paraId="2CDCD025" w14:textId="77777777" w:rsidR="000A2586" w:rsidRPr="00F4431E" w:rsidRDefault="000A2586">
                    <w:pPr>
                      <w:pStyle w:val="WitregelW2"/>
                      <w:rPr>
                        <w:lang w:val="da-DK"/>
                      </w:rPr>
                    </w:pPr>
                  </w:p>
                  <w:p w14:paraId="2CDCD026" w14:textId="77777777" w:rsidR="000A2586" w:rsidRDefault="006165C8">
                    <w:pPr>
                      <w:pStyle w:val="Referentiegegevensbold"/>
                    </w:pPr>
                    <w:r>
                      <w:t>Onze referentie</w:t>
                    </w:r>
                  </w:p>
                  <w:p w14:paraId="2CDCD027" w14:textId="77777777" w:rsidR="000A2586" w:rsidRDefault="006165C8">
                    <w:pPr>
                      <w:pStyle w:val="Referentiegegevens"/>
                    </w:pPr>
                    <w:r>
                      <w:t>BZ2632050</w:t>
                    </w:r>
                  </w:p>
                  <w:p w14:paraId="2CDCD028" w14:textId="77777777" w:rsidR="000A2586" w:rsidRDefault="000A2586">
                    <w:pPr>
                      <w:pStyle w:val="WitregelW1"/>
                    </w:pPr>
                  </w:p>
                  <w:p w14:paraId="2CDCD029" w14:textId="77777777" w:rsidR="000A2586" w:rsidRDefault="006165C8">
                    <w:pPr>
                      <w:pStyle w:val="Referentiegegevensbold"/>
                    </w:pPr>
                    <w:r>
                      <w:t>Bijlage(n)</w:t>
                    </w:r>
                  </w:p>
                  <w:p w14:paraId="2CDCD02A" w14:textId="50BA60C3" w:rsidR="000A2586" w:rsidRDefault="00FA0162">
                    <w:pPr>
                      <w:pStyle w:val="Referentiegegevens"/>
                    </w:pPr>
                    <w:r>
                      <w:t xml:space="preserve">Bijlage 1 </w:t>
                    </w:r>
                    <w:r w:rsidR="00F95B9C">
                      <w:t>(IPA)</w:t>
                    </w:r>
                  </w:p>
                  <w:p w14:paraId="32B673AE" w14:textId="2BE9B946" w:rsidR="00FA0162" w:rsidRPr="00FA0162" w:rsidRDefault="00FA0162" w:rsidP="00FA0162">
                    <w:pPr>
                      <w:pStyle w:val="Referentiegegevens"/>
                    </w:pPr>
                    <w:r>
                      <w:t xml:space="preserve">Bijlage 2 </w:t>
                    </w:r>
                    <w:r w:rsidR="00F95B9C">
                      <w:t>(CEPA)</w:t>
                    </w:r>
                  </w:p>
                </w:txbxContent>
              </v:textbox>
              <w10:wrap anchorx="page" anchory="page"/>
              <w10:anchorlock/>
            </v:shape>
          </w:pict>
        </mc:Fallback>
      </mc:AlternateContent>
    </w:r>
    <w:r>
      <w:rPr>
        <w:noProof/>
      </w:rPr>
      <mc:AlternateContent>
        <mc:Choice Requires="wps">
          <w:drawing>
            <wp:anchor distT="0" distB="0" distL="0" distR="0" simplePos="0" relativeHeight="251660800" behindDoc="0" locked="1" layoutInCell="1" allowOverlap="1" wp14:anchorId="2CDCD00F" wp14:editId="0B2F7BFE">
              <wp:simplePos x="0" y="0"/>
              <wp:positionH relativeFrom="page">
                <wp:posOffset>5921375</wp:posOffset>
              </wp:positionH>
              <wp:positionV relativeFrom="page">
                <wp:posOffset>10194925</wp:posOffset>
              </wp:positionV>
              <wp:extent cx="1285875" cy="161925"/>
              <wp:effectExtent l="0" t="0" r="0" b="0"/>
              <wp:wrapNone/>
              <wp:docPr id="9" name="41b10d73-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2CDCD038" w14:textId="77777777" w:rsidR="006165C8" w:rsidRDefault="006165C8"/>
                      </w:txbxContent>
                    </wps:txbx>
                    <wps:bodyPr vert="horz" wrap="square" lIns="0" tIns="0" rIns="0" bIns="0" anchor="t" anchorCtr="0"/>
                  </wps:wsp>
                </a:graphicData>
              </a:graphic>
            </wp:anchor>
          </w:drawing>
        </mc:Choice>
        <mc:Fallback>
          <w:pict>
            <v:shape w14:anchorId="2CDCD00F" id="41b10d73-80a4-11ea-b356-6230a4311406" o:spid="_x0000_s1032" type="#_x0000_t202" style="position:absolute;margin-left:466.25pt;margin-top:802.75pt;width:101.25pt;height:12.7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WeZdGpMBAAAUAwAA&#10;DgAAAAAAAAAAAAAAAAAuAgAAZHJzL2Uyb0RvYy54bWxQSwECLQAUAAYACAAAACEAvJgIjuEAAAAO&#10;AQAADwAAAAAAAAAAAAAAAADtAwAAZHJzL2Rvd25yZXYueG1sUEsFBgAAAAAEAAQA8wAAAPsEAAAA&#10;AA==&#10;" filled="f" stroked="f">
              <v:textbox inset="0,0,0,0">
                <w:txbxContent>
                  <w:p w14:paraId="2CDCD038" w14:textId="77777777" w:rsidR="006165C8" w:rsidRDefault="006165C8"/>
                </w:txbxContent>
              </v:textbox>
              <w10:wrap anchorx="page" anchory="page"/>
              <w10:anchorlock/>
            </v:shape>
          </w:pict>
        </mc:Fallback>
      </mc:AlternateContent>
    </w:r>
    <w:r>
      <w:rPr>
        <w:noProof/>
      </w:rPr>
      <mc:AlternateContent>
        <mc:Choice Requires="wps">
          <w:drawing>
            <wp:anchor distT="0" distB="0" distL="0" distR="0" simplePos="0" relativeHeight="251661824" behindDoc="0" locked="1" layoutInCell="1" allowOverlap="1" wp14:anchorId="2CDCD011" wp14:editId="2CDCD012">
              <wp:simplePos x="0" y="0"/>
              <wp:positionH relativeFrom="page">
                <wp:posOffset>3545840</wp:posOffset>
              </wp:positionH>
              <wp:positionV relativeFrom="page">
                <wp:posOffset>0</wp:posOffset>
              </wp:positionV>
              <wp:extent cx="467995" cy="1583055"/>
              <wp:effectExtent l="0" t="0" r="0" b="0"/>
              <wp:wrapNone/>
              <wp:docPr id="10" name="41b10dc3-80a4-11ea-b356-6230a4311406"/>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2CDCD03A" w14:textId="77777777" w:rsidR="006165C8" w:rsidRDefault="006165C8"/>
                      </w:txbxContent>
                    </wps:txbx>
                    <wps:bodyPr vert="horz" wrap="square" lIns="0" tIns="0" rIns="0" bIns="0" anchor="t" anchorCtr="0"/>
                  </wps:wsp>
                </a:graphicData>
              </a:graphic>
            </wp:anchor>
          </w:drawing>
        </mc:Choice>
        <mc:Fallback>
          <w:pict>
            <v:shape w14:anchorId="2CDCD011" id="41b10dc3-80a4-11ea-b356-6230a4311406" o:spid="_x0000_s1033" type="#_x0000_t202" style="position:absolute;margin-left:279.2pt;margin-top:0;width:36.85pt;height:124.65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Ap6TVpUBAAAUAwAA&#10;DgAAAAAAAAAAAAAAAAAuAgAAZHJzL2Uyb0RvYy54bWxQSwECLQAUAAYACAAAACEA7IjYZN8AAAAI&#10;AQAADwAAAAAAAAAAAAAAAADvAwAAZHJzL2Rvd25yZXYueG1sUEsFBgAAAAAEAAQA8wAAAPsEAAAA&#10;AA==&#10;" filled="f" stroked="f">
              <v:textbox inset="0,0,0,0">
                <w:txbxContent>
                  <w:p w14:paraId="2CDCD03A" w14:textId="77777777" w:rsidR="006165C8" w:rsidRDefault="006165C8"/>
                </w:txbxContent>
              </v:textbox>
              <w10:wrap anchorx="page" anchory="page"/>
              <w10:anchorlock/>
            </v:shape>
          </w:pict>
        </mc:Fallback>
      </mc:AlternateContent>
    </w:r>
    <w:r>
      <w:rPr>
        <w:noProof/>
      </w:rPr>
      <mc:AlternateContent>
        <mc:Choice Requires="wps">
          <w:drawing>
            <wp:anchor distT="0" distB="0" distL="0" distR="0" simplePos="0" relativeHeight="251662848" behindDoc="0" locked="1" layoutInCell="1" allowOverlap="1" wp14:anchorId="2CDCD013" wp14:editId="2CDCD014">
              <wp:simplePos x="0" y="0"/>
              <wp:positionH relativeFrom="page">
                <wp:posOffset>3995420</wp:posOffset>
              </wp:positionH>
              <wp:positionV relativeFrom="page">
                <wp:posOffset>0</wp:posOffset>
              </wp:positionV>
              <wp:extent cx="2339975" cy="1583690"/>
              <wp:effectExtent l="0" t="0" r="0" b="0"/>
              <wp:wrapNone/>
              <wp:docPr id="11" name="41b10edc-80a4-11ea-b356-6230a4311406"/>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2CDCD02C" w14:textId="77777777" w:rsidR="000A2586" w:rsidRDefault="006165C8">
                          <w:pPr>
                            <w:spacing w:line="240" w:lineRule="auto"/>
                          </w:pPr>
                          <w:r>
                            <w:rPr>
                              <w:noProof/>
                            </w:rPr>
                            <w:drawing>
                              <wp:inline distT="0" distB="0" distL="0" distR="0" wp14:anchorId="2CDCD032" wp14:editId="2CDCD033">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CDCD013" id="41b10edc-80a4-11ea-b356-6230a4311406" o:spid="_x0000_s1034" type="#_x0000_t202" style="position:absolute;margin-left:314.6pt;margin-top:0;width:184.25pt;height:124.7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YQo1/JYBAAAVAwAA&#10;DgAAAAAAAAAAAAAAAAAuAgAAZHJzL2Uyb0RvYy54bWxQSwECLQAUAAYACAAAACEAWMNnP94AAAAI&#10;AQAADwAAAAAAAAAAAAAAAADwAwAAZHJzL2Rvd25yZXYueG1sUEsFBgAAAAAEAAQA8wAAAPsEAAAA&#10;AA==&#10;" filled="f" stroked="f">
              <v:textbox inset="0,0,0,0">
                <w:txbxContent>
                  <w:p w14:paraId="2CDCD02C" w14:textId="77777777" w:rsidR="000A2586" w:rsidRDefault="006165C8">
                    <w:pPr>
                      <w:spacing w:line="240" w:lineRule="auto"/>
                    </w:pPr>
                    <w:r>
                      <w:rPr>
                        <w:noProof/>
                      </w:rPr>
                      <w:drawing>
                        <wp:inline distT="0" distB="0" distL="0" distR="0" wp14:anchorId="2CDCD032" wp14:editId="2CDCD033">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6211B1"/>
    <w:multiLevelType w:val="multilevel"/>
    <w:tmpl w:val="CA9C4244"/>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8304E779"/>
    <w:multiLevelType w:val="multilevel"/>
    <w:tmpl w:val="B39206EB"/>
    <w:name w:val="Genummerde lijst"/>
    <w:styleLink w:val="Genummerdelijst"/>
    <w:lvl w:ilvl="0">
      <w:start w:val="1"/>
      <w:numFmt w:val="decimal"/>
      <w:pStyle w:val="Nummering"/>
      <w:lvlText w:val="%1."/>
      <w:lvlJc w:val="left"/>
      <w:pPr>
        <w:ind w:left="360" w:hanging="360"/>
      </w:pPr>
    </w:lvl>
    <w:lvl w:ilvl="1">
      <w:start w:val="1"/>
      <w:numFmt w:val="lowerLetter"/>
      <w:lvlText w:val="%2."/>
      <w:lvlJc w:val="left"/>
      <w:pPr>
        <w:ind w:left="1080" w:hanging="360"/>
      </w:pPr>
    </w:lvl>
    <w:lvl w:ilvl="2">
      <w:start w:val="1"/>
      <w:numFmt w:val="lowerRoman"/>
      <w:lvlText w:val="%3."/>
      <w:lvlJc w:val="left"/>
      <w:pPr>
        <w:ind w:left="180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left"/>
      <w:pPr>
        <w:ind w:left="3960" w:hanging="36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left"/>
      <w:pPr>
        <w:ind w:left="6120" w:hanging="360"/>
      </w:pPr>
    </w:lvl>
  </w:abstractNum>
  <w:abstractNum w:abstractNumId="2" w15:restartNumberingAfterBreak="0">
    <w:nsid w:val="E5B6E16A"/>
    <w:multiLevelType w:val="multilevel"/>
    <w:tmpl w:val="3C537B3D"/>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3" w15:restartNumberingAfterBreak="0">
    <w:nsid w:val="15161AA2"/>
    <w:multiLevelType w:val="hybridMultilevel"/>
    <w:tmpl w:val="6CBA9678"/>
    <w:lvl w:ilvl="0" w:tplc="2460C93A">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5EF13FF"/>
    <w:multiLevelType w:val="multilevel"/>
    <w:tmpl w:val="F07A1890"/>
    <w:name w:val="Romeinse nummering"/>
    <w:lvl w:ilvl="0">
      <w:start w:val="1"/>
      <w:numFmt w:val="upperRoman"/>
      <w:pStyle w:val="KopRomeins"/>
      <w:lvlText w:val="%1."/>
      <w:lvlJc w:val="left"/>
      <w:pPr>
        <w:ind w:left="0" w:firstLine="0"/>
      </w:pPr>
    </w:lvl>
    <w:lvl w:ilvl="1">
      <w:start w:val="1"/>
      <w:numFmt w:val="upperRoman"/>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 w15:restartNumberingAfterBreak="0">
    <w:nsid w:val="3AB86C9F"/>
    <w:multiLevelType w:val="multilevel"/>
    <w:tmpl w:val="AF9EC8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A1E7127"/>
    <w:multiLevelType w:val="multilevel"/>
    <w:tmpl w:val="4AFEA32A"/>
    <w:name w:val="Standaard bullit lijst"/>
    <w:lvl w:ilvl="0">
      <w:start w:val="1"/>
      <w:numFmt w:val="bullet"/>
      <w:pStyle w:val="Opsommingstekenstandaard"/>
      <w:lvlText w:val="·"/>
      <w:lvlJc w:val="left"/>
      <w:pPr>
        <w:ind w:left="1120" w:hanging="1120"/>
      </w:pPr>
      <w:rPr>
        <w:rFonts w:ascii="Symbol" w:hAnsi="Symbol"/>
      </w:rPr>
    </w:lvl>
    <w:lvl w:ilvl="1">
      <w:start w:val="1"/>
      <w:numFmt w:val="decimal"/>
      <w:pStyle w:val="Opsommingstekenvierkant"/>
      <w:lvlText w:val="▪"/>
      <w:lvlJc w:val="left"/>
      <w:pPr>
        <w:ind w:left="357" w:hanging="357"/>
      </w:pPr>
    </w:lvl>
    <w:lvl w:ilvl="2">
      <w:start w:val="1"/>
      <w:numFmt w:val="bullet"/>
      <w:pStyle w:val="Opsommingstekenniveau2"/>
      <w:lvlText w:val="·"/>
      <w:lvlJc w:val="left"/>
      <w:pPr>
        <w:ind w:left="1120" w:hanging="400"/>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884829036">
    <w:abstractNumId w:val="1"/>
  </w:num>
  <w:num w:numId="2" w16cid:durableId="374350312">
    <w:abstractNumId w:val="2"/>
  </w:num>
  <w:num w:numId="3" w16cid:durableId="2083408946">
    <w:abstractNumId w:val="0"/>
  </w:num>
  <w:num w:numId="4" w16cid:durableId="480080403">
    <w:abstractNumId w:val="4"/>
  </w:num>
  <w:num w:numId="5" w16cid:durableId="1556425678">
    <w:abstractNumId w:val="6"/>
  </w:num>
  <w:num w:numId="6" w16cid:durableId="523321535">
    <w:abstractNumId w:val="3"/>
  </w:num>
  <w:num w:numId="7" w16cid:durableId="3562039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2586"/>
    <w:rsid w:val="00023BF7"/>
    <w:rsid w:val="000A2586"/>
    <w:rsid w:val="00183CD8"/>
    <w:rsid w:val="001C5E85"/>
    <w:rsid w:val="001F7ED3"/>
    <w:rsid w:val="00387F28"/>
    <w:rsid w:val="003C0754"/>
    <w:rsid w:val="004E0987"/>
    <w:rsid w:val="00507172"/>
    <w:rsid w:val="00583D7E"/>
    <w:rsid w:val="005C13CF"/>
    <w:rsid w:val="006165C8"/>
    <w:rsid w:val="00652E6A"/>
    <w:rsid w:val="006C012E"/>
    <w:rsid w:val="006C07B8"/>
    <w:rsid w:val="00724CB4"/>
    <w:rsid w:val="0072730D"/>
    <w:rsid w:val="00734B76"/>
    <w:rsid w:val="00750098"/>
    <w:rsid w:val="008F130C"/>
    <w:rsid w:val="00BF143F"/>
    <w:rsid w:val="00C73B08"/>
    <w:rsid w:val="00D150AC"/>
    <w:rsid w:val="00D2182A"/>
    <w:rsid w:val="00D60F45"/>
    <w:rsid w:val="00E05E8C"/>
    <w:rsid w:val="00E55DDB"/>
    <w:rsid w:val="00E56432"/>
    <w:rsid w:val="00EC42C6"/>
    <w:rsid w:val="00F4431E"/>
    <w:rsid w:val="00F95B9C"/>
    <w:rsid w:val="00FA0162"/>
    <w:rsid w:val="00FC5B83"/>
    <w:rsid w:val="34ADDC44"/>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CDCCFF2"/>
  <w15:docId w15:val="{41F62CE0-650F-4A10-A3FF-80D0C255F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4"/>
    <w:qFormat/>
    <w:pPr>
      <w:spacing w:line="240" w:lineRule="exact"/>
    </w:pPr>
    <w:rPr>
      <w:rFonts w:ascii="Verdana" w:hAnsi="Verdana"/>
      <w:color w:val="000000"/>
      <w:sz w:val="18"/>
      <w:szCs w:val="18"/>
    </w:rPr>
  </w:style>
  <w:style w:type="paragraph" w:styleId="Kop1">
    <w:name w:val="heading 1"/>
    <w:basedOn w:val="Standaard"/>
    <w:next w:val="Standaard"/>
    <w:qFormat/>
    <w:pPr>
      <w:tabs>
        <w:tab w:val="left" w:pos="0"/>
      </w:tabs>
      <w:spacing w:before="120" w:after="120" w:line="300" w:lineRule="exact"/>
      <w:outlineLvl w:val="0"/>
    </w:pPr>
    <w:rPr>
      <w:sz w:val="24"/>
      <w:szCs w:val="24"/>
    </w:rPr>
  </w:style>
  <w:style w:type="paragraph" w:styleId="Kop2">
    <w:name w:val="heading 2"/>
    <w:basedOn w:val="Standaard"/>
    <w:next w:val="Standaard"/>
    <w:uiPriority w:val="1"/>
    <w:qFormat/>
    <w:pPr>
      <w:tabs>
        <w:tab w:val="left" w:pos="0"/>
      </w:tabs>
      <w:spacing w:before="240"/>
      <w:outlineLvl w:val="1"/>
    </w:pPr>
    <w:rPr>
      <w:i/>
    </w:rPr>
  </w:style>
  <w:style w:type="paragraph" w:styleId="Kop3">
    <w:name w:val="heading 3"/>
    <w:basedOn w:val="Standaard"/>
    <w:next w:val="Standaard"/>
    <w:uiPriority w:val="2"/>
    <w:qFormat/>
    <w:pPr>
      <w:tabs>
        <w:tab w:val="left" w:pos="0"/>
      </w:tabs>
      <w:spacing w:before="240"/>
      <w:ind w:left="-1120"/>
      <w:outlineLvl w:val="2"/>
    </w:pPr>
  </w:style>
  <w:style w:type="paragraph" w:styleId="Kop4">
    <w:name w:val="heading 4"/>
    <w:basedOn w:val="Standaard"/>
    <w:next w:val="Standaard"/>
    <w:uiPriority w:val="3"/>
    <w:qFormat/>
    <w:pPr>
      <w:tabs>
        <w:tab w:val="left" w:pos="0"/>
      </w:tabs>
      <w:spacing w:before="240"/>
      <w:ind w:left="-1120"/>
      <w:outlineLvl w:val="3"/>
    </w:pPr>
  </w:style>
  <w:style w:type="paragraph" w:styleId="Kop5">
    <w:name w:val="heading 5"/>
    <w:basedOn w:val="Standaard"/>
    <w:next w:val="Standaard"/>
    <w:pPr>
      <w:spacing w:line="320" w:lineRule="exact"/>
      <w:outlineLvl w:val="4"/>
    </w:pPr>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styleId="Citaat">
    <w:name w:val="Quote"/>
    <w:basedOn w:val="Standaard"/>
    <w:next w:val="Standaard"/>
    <w:uiPriority w:val="98"/>
    <w:qFormat/>
    <w:pPr>
      <w:spacing w:before="200" w:after="160"/>
      <w:ind w:left="861"/>
      <w:jc w:val="center"/>
    </w:pPr>
    <w:rPr>
      <w:i/>
      <w:color w:val="404040"/>
    </w:rPr>
  </w:style>
  <w:style w:type="paragraph" w:customStyle="1" w:styleId="Coreu">
    <w:name w:val="Coreu"/>
    <w:basedOn w:val="Standaard"/>
    <w:next w:val="Standaard"/>
    <w:pPr>
      <w:spacing w:after="160"/>
    </w:pPr>
  </w:style>
  <w:style w:type="paragraph" w:styleId="Geenafstand">
    <w:name w:val="No Spacing"/>
    <w:basedOn w:val="Standaard"/>
    <w:next w:val="Standaard"/>
    <w:uiPriority w:val="98"/>
    <w:qFormat/>
    <w:pPr>
      <w:spacing w:line="180" w:lineRule="exact"/>
    </w:pPr>
  </w:style>
  <w:style w:type="numbering" w:customStyle="1" w:styleId="Genummerdelijst">
    <w:name w:val="Genummerde lijst"/>
    <w:pPr>
      <w:numPr>
        <w:numId w:val="1"/>
      </w:numPr>
    </w:pPr>
  </w:style>
  <w:style w:type="paragraph" w:styleId="Inhopg1">
    <w:name w:val="toc 1"/>
    <w:basedOn w:val="Standaard"/>
    <w:next w:val="Standaard"/>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nsievebenadrukking1">
    <w:name w:val="Intensieve benadrukking1"/>
    <w:basedOn w:val="Standaard"/>
    <w:next w:val="Standaard"/>
    <w:uiPriority w:val="98"/>
    <w:qFormat/>
    <w:rPr>
      <w:i/>
      <w:color w:val="4F81BD"/>
    </w:rPr>
  </w:style>
  <w:style w:type="paragraph" w:customStyle="1" w:styleId="Intensieveverwijzing1">
    <w:name w:val="Intensieve verwijzing1"/>
    <w:basedOn w:val="Standaard"/>
    <w:next w:val="Standaard"/>
    <w:uiPriority w:val="98"/>
    <w:qFormat/>
    <w:rPr>
      <w:b/>
      <w:smallCaps/>
      <w:color w:val="4F81BD"/>
      <w:spacing w:val="5"/>
    </w:rPr>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KopRomeins">
    <w:name w:val="Kop Romeins"/>
    <w:basedOn w:val="Standaard"/>
    <w:next w:val="Standaard"/>
    <w:pPr>
      <w:pageBreakBefore/>
      <w:numPr>
        <w:numId w:val="4"/>
      </w:numPr>
      <w:spacing w:before="120" w:after="120"/>
    </w:pPr>
    <w:rPr>
      <w:sz w:val="24"/>
      <w:szCs w:val="24"/>
    </w:rPr>
  </w:style>
  <w:style w:type="numbering" w:customStyle="1" w:styleId="Lijstmetopsommingstekens">
    <w:name w:val="Lijst met opsommingstekens"/>
    <w:pPr>
      <w:numPr>
        <w:numId w:val="3"/>
      </w:numPr>
    </w:pPr>
  </w:style>
  <w:style w:type="paragraph" w:customStyle="1" w:styleId="Lijstniveau1">
    <w:name w:val="Lijst niveau 1"/>
    <w:basedOn w:val="Standaard"/>
    <w:next w:val="Standaard"/>
    <w:pPr>
      <w:numPr>
        <w:numId w:val="2"/>
      </w:numPr>
    </w:pPr>
  </w:style>
  <w:style w:type="paragraph" w:customStyle="1" w:styleId="Lijstniveau2">
    <w:name w:val="Lijst niveau 2"/>
    <w:basedOn w:val="Standaard"/>
    <w:next w:val="Standaard"/>
    <w:pPr>
      <w:numPr>
        <w:ilvl w:val="1"/>
        <w:numId w:val="2"/>
      </w:numPr>
    </w:pPr>
  </w:style>
  <w:style w:type="paragraph" w:customStyle="1" w:styleId="Lijstniveau3">
    <w:name w:val="Lijst niveau 3"/>
    <w:basedOn w:val="Standaard"/>
    <w:next w:val="Standaard"/>
    <w:pPr>
      <w:numPr>
        <w:ilvl w:val="2"/>
        <w:numId w:val="2"/>
      </w:numPr>
    </w:pPr>
  </w:style>
  <w:style w:type="paragraph" w:customStyle="1" w:styleId="Marking">
    <w:name w:val="Marking"/>
    <w:basedOn w:val="Standaard"/>
    <w:next w:val="Standaard"/>
    <w:pPr>
      <w:spacing w:line="180" w:lineRule="exact"/>
    </w:pPr>
    <w:rPr>
      <w:b/>
      <w:caps/>
      <w:sz w:val="13"/>
      <w:szCs w:val="13"/>
      <w:u w:val="single"/>
    </w:rPr>
  </w:style>
  <w:style w:type="paragraph" w:customStyle="1" w:styleId="NoteVerbale">
    <w:name w:val="Note Verbale"/>
    <w:basedOn w:val="Standaard"/>
    <w:next w:val="Standaard"/>
    <w:pPr>
      <w:spacing w:line="360" w:lineRule="exact"/>
      <w:ind w:left="-1417"/>
    </w:pPr>
    <w:rPr>
      <w:spacing w:val="-3"/>
    </w:rPr>
  </w:style>
  <w:style w:type="paragraph" w:customStyle="1" w:styleId="NoteVerbalegecentreerd">
    <w:name w:val="Note Verbale gecentreerd"/>
    <w:basedOn w:val="Standaard"/>
    <w:next w:val="Standaard"/>
    <w:pPr>
      <w:spacing w:line="360" w:lineRule="exact"/>
      <w:ind w:left="-1417"/>
      <w:jc w:val="center"/>
    </w:pPr>
    <w:rPr>
      <w:spacing w:val="-3"/>
    </w:rPr>
  </w:style>
  <w:style w:type="paragraph" w:customStyle="1" w:styleId="NoteVerbaleleftindent25cm">
    <w:name w:val="Note Verbale left indent 2.5 cm"/>
    <w:basedOn w:val="Standaard"/>
    <w:next w:val="Standaard"/>
    <w:pPr>
      <w:spacing w:line="360" w:lineRule="exact"/>
      <w:jc w:val="both"/>
    </w:pPr>
    <w:rPr>
      <w:spacing w:val="-3"/>
    </w:rPr>
  </w:style>
  <w:style w:type="paragraph" w:customStyle="1" w:styleId="NoteVerbalerechtsuitgelijnd">
    <w:name w:val="Note Verbale rechts uitgelijnd"/>
    <w:basedOn w:val="Standaard"/>
    <w:next w:val="Standaard"/>
    <w:pPr>
      <w:spacing w:line="360" w:lineRule="exact"/>
      <w:jc w:val="right"/>
    </w:pPr>
  </w:style>
  <w:style w:type="paragraph" w:customStyle="1" w:styleId="Nummering">
    <w:name w:val="Nummering"/>
    <w:basedOn w:val="Standaard"/>
    <w:pPr>
      <w:numPr>
        <w:numId w:val="1"/>
      </w:numPr>
    </w:pPr>
  </w:style>
  <w:style w:type="paragraph" w:styleId="Ondertitel">
    <w:name w:val="Subtitle"/>
    <w:basedOn w:val="Standaard"/>
    <w:next w:val="Standaard"/>
    <w:uiPriority w:val="8"/>
    <w:qFormat/>
    <w:pPr>
      <w:spacing w:line="320" w:lineRule="atLeast"/>
    </w:pPr>
    <w:rPr>
      <w:sz w:val="24"/>
      <w:szCs w:val="24"/>
    </w:rPr>
  </w:style>
  <w:style w:type="paragraph" w:customStyle="1" w:styleId="Opsommingstekenniveau2">
    <w:name w:val="Opsommingsteken niveau 2"/>
    <w:basedOn w:val="Standaard"/>
    <w:next w:val="Standaard"/>
    <w:pPr>
      <w:numPr>
        <w:ilvl w:val="2"/>
        <w:numId w:val="5"/>
      </w:numPr>
    </w:pPr>
  </w:style>
  <w:style w:type="paragraph" w:customStyle="1" w:styleId="Opsommingstekenstandaard">
    <w:name w:val="Opsommingsteken standaard"/>
    <w:basedOn w:val="Standaard"/>
    <w:next w:val="Standaard"/>
    <w:pPr>
      <w:numPr>
        <w:numId w:val="5"/>
      </w:numPr>
    </w:pPr>
  </w:style>
  <w:style w:type="paragraph" w:customStyle="1" w:styleId="Opsommingstekenvierkant">
    <w:name w:val="Opsommingsteken vierkant"/>
    <w:basedOn w:val="Standaard"/>
    <w:next w:val="Standaard"/>
    <w:pPr>
      <w:numPr>
        <w:ilvl w:val="1"/>
        <w:numId w:val="5"/>
      </w:numPr>
    </w:pPr>
  </w:style>
  <w:style w:type="paragraph" w:customStyle="1" w:styleId="Pagina-eindeKop1">
    <w:name w:val="Pagina-einde Kop 1"/>
    <w:basedOn w:val="Standaard"/>
    <w:next w:val="Standaard"/>
    <w:pPr>
      <w:pageBreakBefore/>
      <w:spacing w:before="120" w:after="120"/>
      <w:outlineLvl w:val="0"/>
    </w:pPr>
    <w:rPr>
      <w:sz w:val="24"/>
      <w:szCs w:val="24"/>
    </w:rPr>
  </w:style>
  <w:style w:type="paragraph" w:customStyle="1" w:styleId="PSmemo">
    <w:name w:val="PS memo"/>
    <w:basedOn w:val="Standaard"/>
    <w:next w:val="Standaard"/>
    <w:pPr>
      <w:spacing w:after="200"/>
    </w:pPr>
  </w:style>
  <w:style w:type="paragraph" w:customStyle="1" w:styleId="Referentiegegevens">
    <w:name w:val="Referentiegegevens"/>
    <w:basedOn w:val="Standaard"/>
    <w:next w:val="Standaard"/>
    <w:uiPriority w:val="9"/>
    <w:qFormat/>
    <w:pPr>
      <w:spacing w:line="180" w:lineRule="exact"/>
    </w:pPr>
    <w:rPr>
      <w:sz w:val="13"/>
      <w:szCs w:val="13"/>
    </w:rPr>
  </w:style>
  <w:style w:type="paragraph" w:customStyle="1" w:styleId="Referentiegegevensbold">
    <w:name w:val="Referentiegegevens bold"/>
    <w:basedOn w:val="Standaard"/>
    <w:next w:val="Standaard"/>
    <w:uiPriority w:val="10"/>
    <w:qFormat/>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ubricering">
    <w:name w:val="Rubricering"/>
    <w:basedOn w:val="Standaard"/>
    <w:next w:val="Standaard"/>
    <w:uiPriority w:val="11"/>
    <w:qFormat/>
    <w:pPr>
      <w:spacing w:line="180" w:lineRule="exact"/>
    </w:pPr>
    <w:rPr>
      <w:b/>
      <w:caps/>
      <w:sz w:val="13"/>
      <w:szCs w:val="13"/>
    </w:rPr>
  </w:style>
  <w:style w:type="paragraph" w:customStyle="1" w:styleId="Standaardcursief">
    <w:name w:val="Standaard cursief"/>
    <w:basedOn w:val="Standaard"/>
    <w:next w:val="Standaard"/>
    <w:uiPriority w:val="5"/>
    <w:qFormat/>
    <w:rPr>
      <w:i/>
    </w:rPr>
  </w:style>
  <w:style w:type="paragraph" w:customStyle="1" w:styleId="Standaardrechtsuitlijnen">
    <w:name w:val="Standaard rechts uitlijnen"/>
    <w:basedOn w:val="Standaard"/>
    <w:next w:val="Standaard"/>
    <w:pPr>
      <w:jc w:val="right"/>
    </w:pPr>
  </w:style>
  <w:style w:type="paragraph" w:customStyle="1" w:styleId="Standaardvet">
    <w:name w:val="Standaard vet"/>
    <w:basedOn w:val="Standaard"/>
    <w:next w:val="Standaard"/>
    <w:uiPriority w:val="6"/>
    <w:qFormat/>
    <w:rPr>
      <w:b/>
    </w:rPr>
  </w:style>
  <w:style w:type="paragraph" w:customStyle="1" w:styleId="Subtielebenadrukking1">
    <w:name w:val="Subtiele benadrukking1"/>
    <w:basedOn w:val="Standaard"/>
    <w:next w:val="Standaard"/>
    <w:uiPriority w:val="98"/>
    <w:qFormat/>
    <w:rPr>
      <w:i/>
      <w:color w:val="404040"/>
    </w:rPr>
  </w:style>
  <w:style w:type="paragraph" w:customStyle="1" w:styleId="Subtieleverwijzing1">
    <w:name w:val="Subtiele verwijzing1"/>
    <w:basedOn w:val="Standaard"/>
    <w:next w:val="Standaard"/>
    <w:uiPriority w:val="98"/>
    <w:qFormat/>
    <w:rPr>
      <w:smallCaps/>
      <w:color w:val="404040"/>
    </w:rPr>
  </w:style>
  <w:style w:type="table" w:customStyle="1" w:styleId="Tabelondertekening">
    <w:name w:val="Tabel ondertekening"/>
    <w:rPr>
      <w:rFonts w:ascii="Verdana" w:hAnsi="Verdana"/>
      <w:color w:val="000000"/>
      <w:sz w:val="18"/>
      <w:szCs w:val="18"/>
    </w:rPr>
    <w:tblPr>
      <w:tblCellMar>
        <w:top w:w="0" w:type="dxa"/>
        <w:left w:w="0" w:type="dxa"/>
        <w:bottom w:w="0" w:type="dxa"/>
        <w:right w:w="0"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uiPriority w:val="7"/>
    <w:qFormat/>
    <w:pPr>
      <w:spacing w:line="320" w:lineRule="atLeast"/>
    </w:pPr>
    <w:rPr>
      <w:b/>
      <w:sz w:val="24"/>
      <w:szCs w:val="24"/>
    </w:rPr>
  </w:style>
  <w:style w:type="paragraph" w:customStyle="1" w:styleId="Titelvanboek1">
    <w:name w:val="Titel van boek1"/>
    <w:basedOn w:val="Standaard"/>
    <w:next w:val="Standaard"/>
    <w:uiPriority w:val="98"/>
    <w:qFormat/>
    <w:rPr>
      <w:b/>
      <w:i/>
      <w:spacing w:val="5"/>
    </w:rPr>
  </w:style>
  <w:style w:type="paragraph" w:customStyle="1" w:styleId="Verdana13">
    <w:name w:val="Verdana 13"/>
    <w:pPr>
      <w:spacing w:line="260" w:lineRule="exact"/>
    </w:pPr>
    <w:rPr>
      <w:rFonts w:ascii="Verdana" w:hAnsi="Verdana"/>
      <w:color w:val="000000"/>
      <w:sz w:val="26"/>
      <w:szCs w:val="26"/>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style>
  <w:style w:type="paragraph" w:customStyle="1" w:styleId="WitregelW2">
    <w:name w:val="Witregel W2"/>
    <w:basedOn w:val="Standaard"/>
    <w:next w:val="Standaard"/>
    <w:pPr>
      <w:spacing w:line="270" w:lineRule="exact"/>
    </w:pPr>
    <w:rPr>
      <w:sz w:val="27"/>
      <w:szCs w:val="27"/>
    </w:rPr>
  </w:style>
  <w:style w:type="paragraph" w:styleId="Voetnoottekst">
    <w:name w:val="footnote text"/>
    <w:basedOn w:val="Standaard"/>
    <w:link w:val="VoetnoottekstChar"/>
    <w:uiPriority w:val="99"/>
    <w:semiHidden/>
    <w:unhideWhenUsed/>
    <w:rsid w:val="003C0754"/>
    <w:pPr>
      <w:autoSpaceDN/>
      <w:spacing w:line="240" w:lineRule="auto"/>
      <w:textAlignment w:val="auto"/>
    </w:pPr>
    <w:rPr>
      <w:rFonts w:asciiTheme="minorHAnsi" w:eastAsiaTheme="minorHAnsi" w:hAnsiTheme="minorHAnsi" w:cstheme="minorBidi"/>
      <w:color w:val="auto"/>
      <w:sz w:val="20"/>
      <w:szCs w:val="20"/>
      <w:lang w:eastAsia="en-US"/>
    </w:rPr>
  </w:style>
  <w:style w:type="character" w:customStyle="1" w:styleId="VoetnoottekstChar">
    <w:name w:val="Voetnoottekst Char"/>
    <w:basedOn w:val="Standaardalinea-lettertype"/>
    <w:link w:val="Voetnoottekst"/>
    <w:uiPriority w:val="99"/>
    <w:semiHidden/>
    <w:rsid w:val="003C0754"/>
    <w:rPr>
      <w:rFonts w:asciiTheme="minorHAnsi" w:eastAsiaTheme="minorHAnsi" w:hAnsiTheme="minorHAnsi" w:cstheme="minorBidi"/>
      <w:lang w:eastAsia="en-US"/>
    </w:rPr>
  </w:style>
  <w:style w:type="character" w:styleId="Voetnootmarkering">
    <w:name w:val="footnote reference"/>
    <w:basedOn w:val="Standaardalinea-lettertype"/>
    <w:uiPriority w:val="99"/>
    <w:semiHidden/>
    <w:unhideWhenUsed/>
    <w:rsid w:val="003C0754"/>
    <w:rPr>
      <w:vertAlign w:val="superscript"/>
    </w:rPr>
  </w:style>
  <w:style w:type="paragraph" w:styleId="Koptekst">
    <w:name w:val="header"/>
    <w:basedOn w:val="Standaard"/>
    <w:link w:val="KoptekstChar"/>
    <w:uiPriority w:val="99"/>
    <w:unhideWhenUsed/>
    <w:rsid w:val="00507172"/>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507172"/>
    <w:rPr>
      <w:rFonts w:ascii="Verdana" w:hAnsi="Verdana"/>
      <w:color w:val="000000"/>
      <w:sz w:val="18"/>
      <w:szCs w:val="18"/>
    </w:rPr>
  </w:style>
  <w:style w:type="paragraph" w:styleId="Voettekst">
    <w:name w:val="footer"/>
    <w:basedOn w:val="Standaard"/>
    <w:link w:val="VoettekstChar"/>
    <w:uiPriority w:val="99"/>
    <w:unhideWhenUsed/>
    <w:rsid w:val="00507172"/>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507172"/>
    <w:rPr>
      <w:rFonts w:ascii="Verdana" w:hAnsi="Verdana"/>
      <w:color w:val="000000"/>
      <w:sz w:val="18"/>
      <w:szCs w:val="18"/>
    </w:rPr>
  </w:style>
  <w:style w:type="character" w:styleId="Verwijzingopmerking">
    <w:name w:val="annotation reference"/>
    <w:basedOn w:val="Standaardalinea-lettertype"/>
    <w:uiPriority w:val="99"/>
    <w:semiHidden/>
    <w:unhideWhenUsed/>
    <w:rsid w:val="00E56432"/>
    <w:rPr>
      <w:sz w:val="16"/>
      <w:szCs w:val="16"/>
    </w:rPr>
  </w:style>
  <w:style w:type="paragraph" w:styleId="Tekstopmerking">
    <w:name w:val="annotation text"/>
    <w:basedOn w:val="Standaard"/>
    <w:link w:val="TekstopmerkingChar"/>
    <w:uiPriority w:val="99"/>
    <w:unhideWhenUsed/>
    <w:rsid w:val="00E56432"/>
    <w:pPr>
      <w:spacing w:line="240" w:lineRule="auto"/>
    </w:pPr>
    <w:rPr>
      <w:sz w:val="20"/>
      <w:szCs w:val="20"/>
    </w:rPr>
  </w:style>
  <w:style w:type="character" w:customStyle="1" w:styleId="TekstopmerkingChar">
    <w:name w:val="Tekst opmerking Char"/>
    <w:basedOn w:val="Standaardalinea-lettertype"/>
    <w:link w:val="Tekstopmerking"/>
    <w:uiPriority w:val="99"/>
    <w:rsid w:val="00E56432"/>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E56432"/>
    <w:rPr>
      <w:b/>
      <w:bCs/>
    </w:rPr>
  </w:style>
  <w:style w:type="character" w:customStyle="1" w:styleId="OnderwerpvanopmerkingChar">
    <w:name w:val="Onderwerp van opmerking Char"/>
    <w:basedOn w:val="TekstopmerkingChar"/>
    <w:link w:val="Onderwerpvanopmerking"/>
    <w:uiPriority w:val="99"/>
    <w:semiHidden/>
    <w:rsid w:val="00E56432"/>
    <w:rPr>
      <w:rFonts w:ascii="Verdana" w:hAnsi="Verdana"/>
      <w:b/>
      <w:bCs/>
      <w:color w:val="000000"/>
    </w:rPr>
  </w:style>
  <w:style w:type="paragraph" w:styleId="Lijstalinea">
    <w:name w:val="List Paragraph"/>
    <w:basedOn w:val="Standaard"/>
    <w:uiPriority w:val="34"/>
    <w:semiHidden/>
    <w:rsid w:val="001F7E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header" Target="header3.xml" Id="rId18" /><Relationship Type="http://schemas.openxmlformats.org/officeDocument/2006/relationships/theme" Target="theme/theme1.xml" Id="rId21" /><Relationship Type="http://schemas.openxmlformats.org/officeDocument/2006/relationships/footnotes" Target="footnotes.xml" Id="rId12" /><Relationship Type="http://schemas.openxmlformats.org/officeDocument/2006/relationships/footer" Target="footer2.xml" Id="rId17"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webSettings" Target="webSettings.xml" Id="rId11" /><Relationship Type="http://schemas.openxmlformats.org/officeDocument/2006/relationships/header" Target="header2.xml" Id="rId15" /><Relationship Type="http://schemas.openxmlformats.org/officeDocument/2006/relationships/webSetting" Target="webSettings0.xml" Id="rId23" /><Relationship Type="http://schemas.openxmlformats.org/officeDocument/2006/relationships/settings" Target="settings.xml" Id="rId10" /><Relationship Type="http://schemas.openxmlformats.org/officeDocument/2006/relationships/footer" Target="footer3.xml" Id="rId19" /><Relationship Type="http://schemas.openxmlformats.org/officeDocument/2006/relationships/styles" Target="styles.xml" Id="rId9" /><Relationship Type="http://schemas.openxmlformats.org/officeDocument/2006/relationships/header" Target="header1.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reutersconnect.com/item/indonesia-european-union-comprehensive-economic-partnership-agreement-ieu-cepa-in-bali/dGFnOnJldXRlcnMuY29tLDIwMjU6bmV3c21sX1JDMkdYR0FYMVZXMw" TargetMode="External"/><Relationship Id="rId7" Type="http://schemas.openxmlformats.org/officeDocument/2006/relationships/hyperlink" Target="https://eur-lex.europa.eu/legal-content/NL/TXT/HTML/?uri=CELEX:52026PC0343" TargetMode="External"/><Relationship Id="rId2" Type="http://schemas.openxmlformats.org/officeDocument/2006/relationships/hyperlink" Target="https://www.dnb.nl/statistieken/data-zoeken/" TargetMode="External"/><Relationship Id="rId1" Type="http://schemas.openxmlformats.org/officeDocument/2006/relationships/hyperlink" Target="https://www.dnb.nl/statistieken/data-zoeken/" TargetMode="External"/><Relationship Id="rId6" Type="http://schemas.openxmlformats.org/officeDocument/2006/relationships/hyperlink" Target="https://eur-lex.europa.eu/legal-content/NL/TXT/HTML/?uri=CELEX:52026PC0340" TargetMode="External"/><Relationship Id="rId5" Type="http://schemas.openxmlformats.org/officeDocument/2006/relationships/hyperlink" Target="https://eur-lex.europa.eu/legal-content/NL/TXT/HTML/?uri=CELEX:52026PC0342&amp;qid=1787229869722" TargetMode="External"/><Relationship Id="rId4" Type="http://schemas.openxmlformats.org/officeDocument/2006/relationships/hyperlink" Target="https://eur-lex.europa.eu/legal-content/NL/TXT/HTML/?uri=CELEX:52026PC0341&amp;qid=1787229869722"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ap:Pages>
  <ap:Words>1435</ap:Words>
  <ap:Characters>7893</ap:Characters>
  <ap:DocSecurity>0</ap:DocSecurity>
  <ap:Lines>65</ap:Lines>
  <ap:Paragraphs>18</ap:Paragraphs>
  <ap:ScaleCrop>false</ap:ScaleCrop>
  <ap:HeadingPairs>
    <vt:vector baseType="variant" size="2">
      <vt:variant>
        <vt:lpstr>Titel</vt:lpstr>
      </vt:variant>
      <vt:variant>
        <vt:i4>1</vt:i4>
      </vt:variant>
    </vt:vector>
  </ap:HeadingPairs>
  <ap:TitlesOfParts>
    <vt:vector baseType="lpstr" size="1">
      <vt:lpstr>Kabinetsappreciatie EU-IDN CEPA en IPA</vt:lpstr>
    </vt:vector>
  </ap:TitlesOfParts>
  <ap:LinksUpToDate>false</ap:LinksUpToDate>
  <ap:CharactersWithSpaces>9310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2026-09-25T10:03:00.0000000Z</lastPrinted>
  <dcterms:created xsi:type="dcterms:W3CDTF">2026-10-01T13:18:00.0000000Z</dcterms:created>
  <dcterms:modified xsi:type="dcterms:W3CDTF">2026-10-01T13:18:00.0000000Z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0x0101009C7CE436063D44E9BE7DC0259EF7C32F006EB9F9836A634AE58B6169785FD3936F00217B40B85F561D42AA9161C69469867D</vt:lpwstr>
  </property>
  <property fmtid="{D5CDD505-2E9C-101B-9397-08002B2CF9AE}" pid="3" name="BZDossierTemplate">
    <vt:lpwstr>ReguliereKamerbrief</vt:lpwstr>
  </property>
  <property fmtid="{D5CDD505-2E9C-101B-9397-08002B2CF9AE}" pid="4" name="BZForumOrganisation">
    <vt:lpwstr>2;#Not applicable|0049e722-bfb1-4a3f-9d08-af7366a9af40</vt:lpwstr>
  </property>
  <property fmtid="{D5CDD505-2E9C-101B-9397-08002B2CF9AE}" pid="5" name="gc2efd3bfea04f7f8169be07009f5536">
    <vt:lpwstr/>
  </property>
  <property fmtid="{D5CDD505-2E9C-101B-9397-08002B2CF9AE}" pid="6" name="BZDossierBudgetManager">
    <vt:lpwstr/>
  </property>
  <property fmtid="{D5CDD505-2E9C-101B-9397-08002B2CF9AE}" pid="7" name="BZTheme">
    <vt:lpwstr>1;#Informatie voorziening|8edfc6d5-9fe4-8b19-f842-4a06399853cd</vt:lpwstr>
  </property>
  <property fmtid="{D5CDD505-2E9C-101B-9397-08002B2CF9AE}" pid="8" name="BZDossierSendTo">
    <vt:lpwstr/>
  </property>
  <property fmtid="{D5CDD505-2E9C-101B-9397-08002B2CF9AE}" pid="9" name="BZDossierResponsibleDepartment">
    <vt:lpwstr/>
  </property>
  <property fmtid="{D5CDD505-2E9C-101B-9397-08002B2CF9AE}" pid="10" name="BZCountryState">
    <vt:lpwstr>3;#The Netherlands|7f69a7bb-478c-499d-a6cf-5869916dfee4</vt:lpwstr>
  </property>
  <property fmtid="{D5CDD505-2E9C-101B-9397-08002B2CF9AE}" pid="11" name="BZDossierProcessLocation">
    <vt:lpwstr/>
  </property>
  <property fmtid="{D5CDD505-2E9C-101B-9397-08002B2CF9AE}" pid="12" name="BZDossierGovernmentOfficial">
    <vt:lpwstr/>
  </property>
  <property fmtid="{D5CDD505-2E9C-101B-9397-08002B2CF9AE}" pid="13" name="BZMarking">
    <vt:lpwstr>5;#X|0a4eb9ae-69eb-4d9e-b573-43ab99ef8592</vt:lpwstr>
  </property>
  <property fmtid="{D5CDD505-2E9C-101B-9397-08002B2CF9AE}" pid="14" name="f2fb2a8e39404f1ab554e4e4a49d2918">
    <vt:lpwstr/>
  </property>
  <property fmtid="{D5CDD505-2E9C-101B-9397-08002B2CF9AE}" pid="15" name="BZDossierPublishingWOOCategory">
    <vt:lpwstr/>
  </property>
  <property fmtid="{D5CDD505-2E9C-101B-9397-08002B2CF9AE}" pid="16" name="i42ef48d5fa942a0ad0d60e44f201751">
    <vt:lpwstr/>
  </property>
  <property fmtid="{D5CDD505-2E9C-101B-9397-08002B2CF9AE}" pid="17" name="BZClassification">
    <vt:lpwstr>4;#X|284e6a62-15ab-4017-be27-a1e965f4e940</vt:lpwstr>
  </property>
  <property fmtid="{D5CDD505-2E9C-101B-9397-08002B2CF9AE}" pid="18" name="f8e003236e1c4ac2ab9051d5d8789bbb">
    <vt:lpwstr/>
  </property>
  <property fmtid="{D5CDD505-2E9C-101B-9397-08002B2CF9AE}" pid="19" name="p29721a54a5c4bbe9786e930fc91e270">
    <vt:lpwstr/>
  </property>
  <property fmtid="{D5CDD505-2E9C-101B-9397-08002B2CF9AE}" pid="20" name="ed9282a3f18446ec8c17c7829edf82dd">
    <vt:lpwstr/>
  </property>
  <property fmtid="{D5CDD505-2E9C-101B-9397-08002B2CF9AE}" pid="21" name="e256f556a7b748329ab47889947c7d40">
    <vt:lpwstr/>
  </property>
  <property fmtid="{D5CDD505-2E9C-101B-9397-08002B2CF9AE}" pid="22" name="BZDossierProcessType">
    <vt:lpwstr/>
  </property>
  <property fmtid="{D5CDD505-2E9C-101B-9397-08002B2CF9AE}" pid="23" name="URL">
    <vt:lpwstr>https://247.plaza.buzaservices.nl/subject/PV-RK2026072026/BZ2632050/Reguliere%20kamerbrief%20-%20Kabinetsappreciatie%20EU-IDN%20CEPA%20en%20IPA.docx, </vt:lpwstr>
  </property>
  <property fmtid="{D5CDD505-2E9C-101B-9397-08002B2CF9AE}" pid="24" name="_dlc_DocIdItemGuid">
    <vt:lpwstr>f13faf66-6de3-4221-a3db-f2f96d5a469e</vt:lpwstr>
  </property>
  <property fmtid="{D5CDD505-2E9C-101B-9397-08002B2CF9AE}" pid="25" name="_docset_NoMedatataSyncRequired">
    <vt:lpwstr>False</vt:lpwstr>
  </property>
</Properties>
</file>