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2026Z20714</w:t>
        <w:br/>
      </w:r>
      <w:proofErr w:type="spellEnd"/>
    </w:p>
    <w:p>
      <w:pPr>
        <w:pStyle w:val="Normal"/>
        <w:rPr>
          <w:b w:val="1"/>
          <w:bCs w:val="1"/>
        </w:rPr>
      </w:pPr>
      <w:r w:rsidR="250AE766">
        <w:rPr>
          <w:b w:val="0"/>
          <w:bCs w:val="0"/>
        </w:rPr>
        <w:t>(ingezonden 1 oktober 2026)</w:t>
        <w:br/>
      </w:r>
    </w:p>
    <w:p>
      <w:r>
        <w:t xml:space="preserve">Vragen van het lid Van Houwelingen (FVD) aan de staatssecretaris van Onderwijs, Cultuur en Wetenschap over de transitie naar passend en inclusief onderwijs</w:t>
      </w:r>
      <w:r>
        <w:br/>
      </w:r>
    </w:p>
    <w:p>
      <w:pPr>
        <w:pStyle w:val="ListParagraph"/>
        <w:numPr>
          <w:ilvl w:val="0"/>
          <w:numId w:val="100520890"/>
        </w:numPr>
        <w:ind w:left="360"/>
      </w:pPr>
      <w:r>
        <w:t xml:space="preserve">Aan welke voorwaarden moeten (reguliere) scholen voldoen voordat zij meer leerlingen met specialistische ondersteuningsbehoeften kunnen opvangen, en wie controleert dit?</w:t>
      </w:r>
      <w:r>
        <w:br/>
      </w:r>
    </w:p>
    <w:p>
      <w:pPr>
        <w:pStyle w:val="ListParagraph"/>
        <w:numPr>
          <w:ilvl w:val="0"/>
          <w:numId w:val="100520890"/>
        </w:numPr>
        <w:ind w:left="360"/>
      </w:pPr>
      <w:r>
        <w:t xml:space="preserve">Welke criteria voor toegang tot het speciaal onderwijs worden richting 2035 voorzien? Hoe worden ouders en kinderen hierbij betrokken en hoe wordt voorkomen dat budget of beschikbare capaciteit bepalend is voor de toegang tot het speciaal onderwijs?</w:t>
      </w:r>
      <w:r>
        <w:br/>
      </w:r>
    </w:p>
    <w:p>
      <w:pPr>
        <w:pStyle w:val="ListParagraph"/>
        <w:numPr>
          <w:ilvl w:val="0"/>
          <w:numId w:val="100520890"/>
        </w:numPr>
        <w:ind w:left="360"/>
      </w:pPr>
      <w:r>
        <w:t xml:space="preserve">Hoe wordt voldoende capaciteit in het speciaal onderwijs behouden, inclusief gebouwen en deskundig personeel? Welke mogelijkheid heeft een kind om terug te keren als regulier onderwijs onvoldoende passend blijkt?</w:t>
      </w:r>
      <w:r>
        <w:br/>
      </w:r>
    </w:p>
    <w:p>
      <w:pPr>
        <w:pStyle w:val="ListParagraph"/>
        <w:numPr>
          <w:ilvl w:val="0"/>
          <w:numId w:val="100520890"/>
        </w:numPr>
        <w:ind w:left="360"/>
      </w:pPr>
      <w:r>
        <w:t xml:space="preserve">Zijn de kosten voor aanpassing van schoolgebouwen (in het kader van de transitie naar passend en inclusief onderwijs) onderzocht? Hoe worden die kosten verdeeld en gefinancierd?</w:t>
      </w:r>
      <w:r>
        <w:br/>
      </w:r>
    </w:p>
    <w:p>
      <w:pPr>
        <w:pStyle w:val="ListParagraph"/>
        <w:numPr>
          <w:ilvl w:val="0"/>
          <w:numId w:val="100520890"/>
        </w:numPr>
        <w:ind w:left="360"/>
      </w:pPr>
      <w:r>
        <w:t xml:space="preserve">Hoe worden ervaringen van schooldirecteuren, leerkrachten, ouders en kinderen betrokken bij de verdere uitwerking? Wat gebeurt er als scholen aangeven dat de plannen met de beschikbare mensen en middelen niet uitvoerbaar zijn?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