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2026Z20710</w:t>
        <w:br/>
      </w:r>
      <w:proofErr w:type="spellEnd"/>
    </w:p>
    <w:p>
      <w:pPr>
        <w:pStyle w:val="Normal"/>
        <w:rPr>
          <w:b w:val="1"/>
          <w:bCs w:val="1"/>
        </w:rPr>
      </w:pPr>
      <w:r w:rsidR="250AE766">
        <w:rPr>
          <w:b w:val="0"/>
          <w:bCs w:val="0"/>
        </w:rPr>
        <w:t>(ingezonden 1 oktober 2026)</w:t>
        <w:br/>
      </w:r>
    </w:p>
    <w:p>
      <w:r>
        <w:t xml:space="preserve">Vraag van het lid Van Houwelingen (FVD) aan de staatssecretaris van Onderwijs, Cultuur en Wetenschap over het oprichten van scholen voor speciaal onderwijs</w:t>
      </w:r>
      <w:r>
        <w:br/>
      </w:r>
    </w:p>
    <w:p>
      <w:r>
        <w:t xml:space="preserve"> </w:t>
      </w:r>
      <w:r>
        <w:br/>
      </w:r>
    </w:p>
    <w:p>
      <w:r>
        <w:t xml:space="preserve">1</w:t>
      </w:r>
      <w:r>
        <w:br/>
      </w:r>
    </w:p>
    <w:p>
      <w:r>
        <w:t xml:space="preserve">Kan de Kamer een overzicht ontvangen van alle wettelijke belemmeringen en beperkingen voor het oprichten van scholen voor speciaal onderwijs die zijn weggenomen naar aanleiding van de (unaniem aangenomen) motie van het lid Kwint van 12 november 2019 waarin de regering door de Kamer werd opgedragen dit te doen?[1]</w:t>
      </w:r>
      <w:r>
        <w:br/>
      </w:r>
    </w:p>
    <w:p>
      <w:r>
        <w:t xml:space="preserve"> </w:t>
      </w:r>
      <w:r>
        <w:br/>
      </w:r>
    </w:p>
    <w:p>
      <w:r>
        <w:t xml:space="preserve">[1] Kamerstuk 35 300-VIII, nr. 86</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