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2026Z20704</w:t>
        <w:br/>
      </w:r>
      <w:proofErr w:type="spellEnd"/>
    </w:p>
    <w:p>
      <w:pPr>
        <w:pStyle w:val="Normal"/>
        <w:rPr>
          <w:b w:val="1"/>
          <w:bCs w:val="1"/>
        </w:rPr>
      </w:pPr>
      <w:r w:rsidR="250AE766">
        <w:rPr>
          <w:b w:val="0"/>
          <w:bCs w:val="0"/>
        </w:rPr>
        <w:t>(ingezonden 1 oktober 2026)</w:t>
        <w:br/>
      </w:r>
    </w:p>
    <w:p>
      <w:r>
        <w:t xml:space="preserve">Vragen van het lid Koorevaar (CDA) aan de minister van Landbouw, Visserij, Voedselzekerheid en Natuur over de spiegelei-gebiedsgerichte aanpak.</w:t>
      </w:r>
      <w:r>
        <w:br/>
      </w:r>
    </w:p>
    <w:p>
      <w:pPr>
        <w:pStyle w:val="ListParagraph"/>
        <w:numPr>
          <w:ilvl w:val="0"/>
          <w:numId w:val="100520820"/>
        </w:numPr>
        <w:ind w:left="360"/>
      </w:pPr>
      <w:r>
        <w:t xml:space="preserve">Bent u bekend met het artikel ‘Overijssel eist maatwerk: 'Maak van stikstofzone geen pannenkoek, maar een spiegelei’' (1) waarin wordt gesteld dat maatwerk in zones rond Natura 2000-gebieden beter aansluit bij wat nodig is dan algemene maatregelen?</w:t>
      </w:r>
      <w:r>
        <w:br/>
      </w:r>
    </w:p>
    <w:p>
      <w:pPr>
        <w:pStyle w:val="ListParagraph"/>
        <w:numPr>
          <w:ilvl w:val="0"/>
          <w:numId w:val="100520820"/>
        </w:numPr>
        <w:ind w:left="360"/>
      </w:pPr>
      <w:r>
        <w:t xml:space="preserve">Kunt u bevestigen dat provincies binnen de zonegerichte aanpak per Natura 2000-gebied invulling kunnen geven aan het additionaliteitsvereiste en dat daarbij wordt gekeken naar de drukfactoren die in dat specifieke gebied relevant zijn en naar maatregelen die effectief en proportioneel zijn?</w:t>
      </w:r>
      <w:r>
        <w:br/>
      </w:r>
    </w:p>
    <w:p>
      <w:pPr>
        <w:pStyle w:val="ListParagraph"/>
        <w:numPr>
          <w:ilvl w:val="0"/>
          <w:numId w:val="100520820"/>
        </w:numPr>
        <w:ind w:left="360"/>
      </w:pPr>
      <w:r>
        <w:t xml:space="preserve">Deelt u de opvatting dat de staat van instandhouding, de natuurdoelanalyse en de gebiedsanalyse inzicht moeten geven in welke drukfactoren het bereiken van de instandhoudingsdoelstellingen in een gebied belemmeren en dat het dan doelgerichter kan zijn om maatregelen te nemen die rechtstreeks op die drukfactoren aangrijpen dan te werken met een uniform pakket instructieregels en uniforme doelen?</w:t>
      </w:r>
      <w:r>
        <w:br/>
      </w:r>
    </w:p>
    <w:p>
      <w:pPr>
        <w:pStyle w:val="ListParagraph"/>
        <w:numPr>
          <w:ilvl w:val="0"/>
          <w:numId w:val="100520820"/>
        </w:numPr>
        <w:ind w:left="360"/>
      </w:pPr>
      <w:r>
        <w:t xml:space="preserve">Kunt u bevestigen dat de zonegerichte aanpak daarom ruimte moet bieden voor gebied specifiek maatwerk en dat wanneer gerichte maatregelen op de relevante drukfactoren aantoonbaar additioneel, effectief en proportioneel bijdragen aan de instandhoudingsdoelstellingen deze in de plaats kunnen komen van onderdelen van een uniform pakket instructieregels en uniforme doelen?</w:t>
      </w:r>
      <w:r>
        <w:br/>
      </w:r>
    </w:p>
    <w:p>
      <w:pPr>
        <w:pStyle w:val="ListParagraph"/>
        <w:numPr>
          <w:ilvl w:val="0"/>
          <w:numId w:val="100520820"/>
        </w:numPr>
        <w:ind w:left="360"/>
      </w:pPr>
      <w:r>
        <w:t xml:space="preserve">Hoe kijkt u aan tegen de spiegelei-benadering die in het artikel wordt voorgesteld? Kunt u bevestigen dat deze methodiek van het gericht kijken naar wat nodig is, zoals het rekening houden met dominante windrichting, perceelsgrenzen, et cetera, effectiever is dan het trekken van een grens met een passer rond een gebied van bijvoorbeeld 500 meter?</w:t>
      </w:r>
      <w:r>
        <w:br/>
      </w:r>
    </w:p>
    <w:p>
      <w:pPr>
        <w:pStyle w:val="ListParagraph"/>
        <w:numPr>
          <w:ilvl w:val="0"/>
          <w:numId w:val="100520820"/>
        </w:numPr>
        <w:ind w:left="360"/>
      </w:pPr>
      <w:r>
        <w:t xml:space="preserve">Hoe kijkt u aan tegen wat in het artikel wordt geschetst over dat maatregelen een goede uitleg verdienen, waarbij in de combinatie van maatregelen ook een goede boterham verdiend moet kunnen blijven worden? Deelt u de mening dat economisch perspectief cruciaal is voor het doen slagen van de gezoneerde aanpak?</w:t>
      </w:r>
      <w:r>
        <w:br/>
      </w:r>
    </w:p>
    <w:p>
      <w:r>
        <w:t xml:space="preserve">1) De Stentor, 21 september 2026, 'Overijssel eist maatwerk: ‘Maak van stikstofzone geen pannenkoek, maar een spiegelei’' (https://www.destentor.nl/zwolle/overijssel-eist-maatwerk-maak-van-stikstofzone-geen-pannenkoek-maar-een-spiegelei~a68f9b3c/)</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