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2026Z20703</w:t>
        <w:br/>
      </w:r>
      <w:proofErr w:type="spellEnd"/>
    </w:p>
    <w:p>
      <w:pPr>
        <w:pStyle w:val="Normal"/>
        <w:rPr>
          <w:b w:val="1"/>
          <w:bCs w:val="1"/>
        </w:rPr>
      </w:pPr>
      <w:r w:rsidR="250AE766">
        <w:rPr>
          <w:b w:val="0"/>
          <w:bCs w:val="0"/>
        </w:rPr>
        <w:t>(ingezonden 1 oktober 2026)</w:t>
        <w:br/>
      </w:r>
    </w:p>
    <w:p>
      <w:r>
        <w:t xml:space="preserve">Vragen van het lid Flach (SGP) aan de minister van Landbouw, Visserij, Voedselzekerheid en Natuur over de bijdrage van boomsingels aan reductie van de stikstofdepositie</w:t>
      </w:r>
      <w:r>
        <w:br/>
      </w:r>
    </w:p>
    <w:p>
      <w:r>
        <w:t xml:space="preserve"> </w:t>
      </w:r>
      <w:r>
        <w:br/>
      </w:r>
    </w:p>
    <w:p>
      <w:pPr>
        <w:pStyle w:val="ListParagraph"/>
        <w:numPr>
          <w:ilvl w:val="0"/>
          <w:numId w:val="100520810"/>
        </w:numPr>
        <w:ind w:left="360"/>
      </w:pPr>
      <w:r>
        <w:t xml:space="preserve">Heeft u kennisgenomen van het bericht dat boomsingels om veehouderijbedrijven en in bufferzones om stikstofgevoelige natuur een effectieve rol kunnen spelen bij het wegvangen van stikstofuitstoot en het verlagen van depositiebijdragen op nabijgelegen natuurgebieden[1]?</w:t>
      </w:r>
      <w:r>
        <w:br/>
      </w:r>
    </w:p>
    <w:p>
      <w:pPr>
        <w:pStyle w:val="ListParagraph"/>
        <w:numPr>
          <w:ilvl w:val="0"/>
          <w:numId w:val="100520810"/>
        </w:numPr>
        <w:ind w:left="360"/>
      </w:pPr>
      <w:r>
        <w:t xml:space="preserve">Deelt u de mening dat de aanplant van boomsingels naast andere maatregelen een relevante bijdrage kan leveren aan het verminderen van de stikstofdepositie op stikstofgevoelige habitats (bij stallen mogelijk meer dan 15 procent reductie)?</w:t>
      </w:r>
      <w:r>
        <w:br/>
      </w:r>
    </w:p>
    <w:p>
      <w:pPr>
        <w:pStyle w:val="ListParagraph"/>
        <w:numPr>
          <w:ilvl w:val="0"/>
          <w:numId w:val="100520810"/>
        </w:numPr>
        <w:ind w:left="360"/>
      </w:pPr>
      <w:r>
        <w:t xml:space="preserve">Is de veronderstelling juist dat boomsingels nu geen rol spelen bij het bepalen van de ammoniakuitstoot van individuele stallen?</w:t>
      </w:r>
      <w:r>
        <w:br/>
      </w:r>
    </w:p>
    <w:p>
      <w:pPr>
        <w:pStyle w:val="ListParagraph"/>
        <w:numPr>
          <w:ilvl w:val="0"/>
          <w:numId w:val="100520810"/>
        </w:numPr>
        <w:ind w:left="360"/>
      </w:pPr>
      <w:r>
        <w:t xml:space="preserve">In hoeverre wordt bij berekeningen van de regionale ammoniakuitstoot, -verspreiding en depositie rekening gehouden met de genoemde rol van boomsingels bij veehouderijbedrijven?</w:t>
      </w:r>
      <w:r>
        <w:br/>
      </w:r>
    </w:p>
    <w:p>
      <w:pPr>
        <w:pStyle w:val="ListParagraph"/>
        <w:numPr>
          <w:ilvl w:val="0"/>
          <w:numId w:val="100520810"/>
        </w:numPr>
        <w:ind w:left="360"/>
      </w:pPr>
      <w:r>
        <w:t xml:space="preserve">In hoeverre is opvolging gegeven aan het advies van het Rijksinstituut voor Volksgezondheid en Milieu (RIVM) om een impactanalyse uit te voeren naar de bijdrage van landschapselementen, als windsingels, aan de reductie van concentraties en deposities[2]? Zo niet, wordt dit alsnog opgepakt?</w:t>
      </w:r>
      <w:r>
        <w:br/>
      </w:r>
    </w:p>
    <w:p>
      <w:pPr>
        <w:pStyle w:val="ListParagraph"/>
        <w:numPr>
          <w:ilvl w:val="0"/>
          <w:numId w:val="100520810"/>
        </w:numPr>
        <w:ind w:left="360"/>
      </w:pPr>
      <w:r>
        <w:t xml:space="preserve">Is de constatering juist dat in Duitsland bedrijven ruimte hebben om middels fijnmazigere verspreidingsberekeningen ten opzichte van het standaardmodel te laten zien dat ze minder depositie veroorzaken op Natura 2000-gebieden? Zo ja, ziet u mogelijkheden hiertoe voor Nederlandse bedrijven?</w:t>
      </w:r>
      <w:r>
        <w:br/>
      </w:r>
    </w:p>
    <w:p>
      <w:pPr>
        <w:pStyle w:val="ListParagraph"/>
        <w:numPr>
          <w:ilvl w:val="0"/>
          <w:numId w:val="100520810"/>
        </w:numPr>
        <w:ind w:left="360"/>
      </w:pPr>
      <w:r>
        <w:t xml:space="preserve">Heeft u kennisgenomen van de Britse tool voor het berekenen van de ammoniakreductie door boomsingels?</w:t>
      </w:r>
      <w:r>
        <w:br/>
      </w:r>
    </w:p>
    <w:p>
      <w:pPr>
        <w:pStyle w:val="ListParagraph"/>
        <w:numPr>
          <w:ilvl w:val="0"/>
          <w:numId w:val="100520810"/>
        </w:numPr>
        <w:ind w:left="360"/>
      </w:pPr>
      <w:r>
        <w:t xml:space="preserve">Ziet u mogelijkheden om ervoor te zorgen dat bij het bepalen van de ammoniakuitstoot van individuele bedrijven rekening gehouden kan worden met de aanwezigheid van een goed ontwikkelde boomsingel, bijvoorbeeld door gebruik van een tool vergelijkbaar met de hiervoor genoemde Britse tool?</w:t>
      </w:r>
      <w:r>
        <w:br/>
      </w:r>
    </w:p>
    <w:p>
      <w:pPr>
        <w:pStyle w:val="ListParagraph"/>
        <w:numPr>
          <w:ilvl w:val="0"/>
          <w:numId w:val="100520810"/>
        </w:numPr>
        <w:ind w:left="360"/>
      </w:pPr>
      <w:r>
        <w:t xml:space="preserve">Hebben provincies ruimte om de aanwezigheid van genoemde boomsingels te verdisconteren in hun emissie- en depositieberekeningen? Zo ja, hoe?</w:t>
      </w:r>
      <w:r>
        <w:br/>
      </w:r>
    </w:p>
    <w:p>
      <w:pPr>
        <w:pStyle w:val="ListParagraph"/>
        <w:numPr>
          <w:ilvl w:val="0"/>
          <w:numId w:val="100520810"/>
        </w:numPr>
        <w:ind w:left="360"/>
      </w:pPr>
      <w:r>
        <w:t xml:space="preserve">Op welke wijze wordt de aanleg van boomsingels om veehouderijbedrijven gestimuleerd, gelet op de bijdrage aan de reductie van de stikstofuitstoot en andere milieu- en natuurvoordelen?</w:t>
      </w:r>
      <w:r>
        <w:br/>
      </w:r>
    </w:p>
    <w:p>
      <w:pPr>
        <w:pStyle w:val="ListParagraph"/>
        <w:numPr>
          <w:ilvl w:val="0"/>
          <w:numId w:val="100520810"/>
        </w:numPr>
        <w:ind w:left="360"/>
      </w:pPr>
      <w:r>
        <w:t xml:space="preserve">Hoe gaat u ervoor zorgen dat de bijdrage van boomsingels aan het verminderen van de stikstofproblematiek op enigerlei wijze erkend gaat worden, zodat het loont om deze aan te planten, te versterken en te behouden?</w:t>
      </w:r>
      <w:r>
        <w:br/>
      </w:r>
    </w:p>
    <w:p>
      <w:r>
        <w:t xml:space="preserve"> </w:t>
      </w:r>
      <w:r>
        <w:br/>
      </w:r>
    </w:p>
    <w:p>
      <w:r>
        <w:t xml:space="preserve"> </w:t>
      </w:r>
      <w:r>
        <w:br/>
      </w:r>
    </w:p>
    <w:p>
      <w:r>
        <w:t xml:space="preserve"> </w:t>
      </w:r>
      <w:r>
        <w:br/>
      </w:r>
    </w:p>
    <w:p>
      <w:r>
        <w:t xml:space="preserve"> </w:t>
      </w:r>
      <w:r>
        <w:br/>
      </w:r>
    </w:p>
    <w:p>
      <w:r>
        <w:t xml:space="preserve"> </w:t>
      </w:r>
      <w:r>
        <w:br/>
      </w:r>
    </w:p>
    <w:p>
      <w:r>
        <w:t xml:space="preserve">[1] Stichting Agri Facts, Boomsingel als sleutel tot kleinere bufferzones rond Natura 2000-gebieden, september 2026</w:t>
      </w:r>
      <w:r>
        <w:br/>
      </w:r>
    </w:p>
    <w:p>
      <w:r>
        <w:t xml:space="preserve">[2] RIVM, Advies regionaal meten en berekenen van stikstof, RIVM-briefrapport 2025-0024, 2025 (p. 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