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2026Z20700</w:t>
        <w:br/>
      </w:r>
      <w:proofErr w:type="spellEnd"/>
    </w:p>
    <w:p>
      <w:pPr>
        <w:pStyle w:val="Normal"/>
        <w:rPr>
          <w:b w:val="1"/>
          <w:bCs w:val="1"/>
        </w:rPr>
      </w:pPr>
      <w:r w:rsidR="250AE766">
        <w:rPr>
          <w:b w:val="0"/>
          <w:bCs w:val="0"/>
        </w:rPr>
        <w:t>(ingezonden 1 oktober 2026)</w:t>
        <w:br/>
      </w:r>
    </w:p>
    <w:p>
      <w:r>
        <w:t xml:space="preserve">Vragen van de leden Mutluer en Mohandis (beiden PRO) aan de ministers van Justitie en Veiligheid, van Onderwijs, Cultuur en Wetenschap en van Langdurige Zorg, Jeugd en Sport over de bescherming van minderjarigen tegen plegers van seksuele misdrijven</w:t>
      </w:r>
      <w:r>
        <w:br/>
      </w:r>
    </w:p>
    <w:p>
      <w:r>
        <w:t xml:space="preserve"> </w:t>
      </w:r>
      <w:r>
        <w:br/>
      </w:r>
    </w:p>
    <w:p>
      <w:pPr>
        <w:pStyle w:val="ListParagraph"/>
        <w:numPr>
          <w:ilvl w:val="0"/>
          <w:numId w:val="100520790"/>
        </w:numPr>
        <w:ind w:left="360"/>
      </w:pPr>
      <w:r>
        <w:t xml:space="preserve">Bent u bekend met de berichtgeving waaruit blijkt dat iemand die is veroordeeld wegens seksueel misbruik van minderjarigen, ondanks een opgelegd beroepsverbod, gedurende het hoger beroep beroepsmatig met minderjarigen kan blijven werken?[1]</w:t>
      </w:r>
      <w:r>
        <w:br/>
      </w:r>
    </w:p>
    <w:p>
      <w:pPr>
        <w:pStyle w:val="ListParagraph"/>
        <w:numPr>
          <w:ilvl w:val="0"/>
          <w:numId w:val="100520790"/>
        </w:numPr>
        <w:ind w:left="360"/>
      </w:pPr>
      <w:r>
        <w:t xml:space="preserve">Deelt u de zorgen dat deze casus een bredere kwetsbaarheid blootlegt, namelijk de bescherming van minderjarigen, omdat iemand na een veroordeling wegens een seksueel misdrijf tegen minderjarigen nog steeds beroepsmatig toegang tot hen kan houden zolang de veroordeling niet onherroepelijk is?</w:t>
      </w:r>
      <w:r>
        <w:br/>
      </w:r>
    </w:p>
    <w:p>
      <w:pPr>
        <w:pStyle w:val="ListParagraph"/>
        <w:numPr>
          <w:ilvl w:val="0"/>
          <w:numId w:val="100520790"/>
        </w:numPr>
        <w:ind w:left="360"/>
      </w:pPr>
      <w:r>
        <w:t xml:space="preserve">Welke wettelijke mogelijkheden heeft een rechter op dit moment om na een veroordeling in eerste aanleg onmiddellijk te voorkomen dat iemand die is veroordeeld wegens een seksueel misdrijf tegen een minderjarige, in afwachting van hoger beroep beroepsmatig met minderjarigen blijft werken?</w:t>
      </w:r>
      <w:r>
        <w:br/>
      </w:r>
    </w:p>
    <w:p>
      <w:pPr>
        <w:pStyle w:val="ListParagraph"/>
        <w:numPr>
          <w:ilvl w:val="0"/>
          <w:numId w:val="100520790"/>
        </w:numPr>
        <w:ind w:left="360"/>
      </w:pPr>
      <w:r>
        <w:t xml:space="preserve">Ziet u hierin een leemte in de huidige wetgeving, waaronder de Wet seksuele misdrijven en de regels rond beroepsverboden? Zo ja, bent u bereid te onderzoeken of een beroepsverbod ter bescherming van minderjarigen onder strikte voorwaarden direct uitvoerbaar moet kunnen worden verklaard, met behoud van de nodige rechtsbescherming?</w:t>
      </w:r>
      <w:r>
        <w:br/>
      </w:r>
    </w:p>
    <w:p>
      <w:pPr>
        <w:pStyle w:val="ListParagraph"/>
        <w:numPr>
          <w:ilvl w:val="0"/>
          <w:numId w:val="100520790"/>
        </w:numPr>
        <w:ind w:left="360"/>
      </w:pPr>
      <w:r>
        <w:t xml:space="preserve">Klopt het dat voor dansdocenten geen wettelijke VOG-plicht geldt en zij ook niet onder een systeem van continue screening vallen? Vindt u deze situatie verantwoord voor een beroep waarin volwassenen intensief en soms één-op-één met minderjarigen werken? Zo nee, waarom niet?</w:t>
      </w:r>
      <w:r>
        <w:br/>
      </w:r>
    </w:p>
    <w:p>
      <w:pPr>
        <w:pStyle w:val="ListParagraph"/>
        <w:numPr>
          <w:ilvl w:val="0"/>
          <w:numId w:val="100520790"/>
        </w:numPr>
        <w:ind w:left="360"/>
      </w:pPr>
      <w:r>
        <w:t xml:space="preserve">Bent u bereid te onderzoeken voor welke beroepen en sectoren waarin volwassenen structureel met minderjarigen werken geen VOG-plicht of continue screening geldt, en of aanvullende wettelijke waarborgen voor deze beroepen noodzakelijk zijn?</w:t>
      </w:r>
      <w:r>
        <w:br/>
      </w:r>
    </w:p>
    <w:p>
      <w:pPr>
        <w:pStyle w:val="ListParagraph"/>
        <w:numPr>
          <w:ilvl w:val="0"/>
          <w:numId w:val="100520790"/>
        </w:numPr>
        <w:ind w:left="360"/>
      </w:pPr>
      <w:r>
        <w:t xml:space="preserve">Klopt het dat de Opvolgingscommissie Dansen in januari 2026 in hun rapport concludeerde dat voor 28 van de 33 aanbevelingen uit </w:t>
      </w:r>
      <w:r>
        <w:rPr>
          <w:i w:val="1"/>
          <w:iCs w:val="1"/>
        </w:rPr>
        <w:t xml:space="preserve">Schaduwdansen</w:t>
      </w:r>
      <w:r>
        <w:rPr/>
        <w:t xml:space="preserve"> (2023) nog aanvullende maatregelen nodig waren? Zo ja, hoe beoordeelt u dan tegen die achtergrond de voortgang bij het structureel veiliger maken van de danssector?</w:t>
      </w:r>
      <w:r>
        <w:br/>
      </w:r>
    </w:p>
    <w:p>
      <w:pPr>
        <w:pStyle w:val="ListParagraph"/>
        <w:numPr>
          <w:ilvl w:val="0"/>
          <w:numId w:val="100520790"/>
        </w:numPr>
        <w:ind w:left="360"/>
      </w:pPr>
      <w:r>
        <w:t xml:space="preserve">Hoeveel publiek geld is sinds de verschijning van </w:t>
      </w:r>
      <w:r>
        <w:rPr>
          <w:i w:val="1"/>
          <w:iCs w:val="1"/>
        </w:rPr>
        <w:t xml:space="preserve">Schaduwdansen</w:t>
      </w:r>
      <w:r>
        <w:rPr/>
        <w:t xml:space="preserve"> besteed aan de Alliantie Dans Veilig en andere maatregelen gericht op sociale veiligheid in de danssector en welke concrete en meetbare verbeteringen als het gaat om de bescherming van (minderjarige) dansers zijn met deze middelen gerealiseerd? Kunt u dit uitgebreid beantwoorden?</w:t>
      </w:r>
      <w:r>
        <w:br/>
      </w:r>
    </w:p>
    <w:p>
      <w:pPr>
        <w:pStyle w:val="ListParagraph"/>
        <w:numPr>
          <w:ilvl w:val="0"/>
          <w:numId w:val="100520790"/>
        </w:numPr>
        <w:ind w:left="360"/>
      </w:pPr>
      <w:r>
        <w:t xml:space="preserve">Kunt u specifiek aangeven hoeveel dansaanbieders inmiddels aantoonbaar werken met concrete veiligheidswaarborgen, zoals een VOG, gedragscode, onafhankelijk meldpunt en adequate opvolging van signalen en welk aandeel dit vormt van de totale danssector? Zo nee, waarom niet?</w:t>
      </w:r>
      <w:r>
        <w:br/>
      </w:r>
    </w:p>
    <w:p>
      <w:pPr>
        <w:pStyle w:val="ListParagraph"/>
        <w:numPr>
          <w:ilvl w:val="0"/>
          <w:numId w:val="100520790"/>
        </w:numPr>
        <w:ind w:left="360"/>
      </w:pPr>
      <w:r>
        <w:t xml:space="preserve">Hoe verklaart u dat, ondanks jarenlange aandacht, rapporten en publieke financiering, structurele waarborgen zoals een algemene VOG-plicht, continue screening en een sluitend systeem om personen die een risico vormen voor minderjarigen uit de sector te weren nog altijd ontbreken?</w:t>
      </w:r>
      <w:r>
        <w:br/>
      </w:r>
    </w:p>
    <w:p>
      <w:pPr>
        <w:pStyle w:val="ListParagraph"/>
        <w:numPr>
          <w:ilvl w:val="0"/>
          <w:numId w:val="100520790"/>
        </w:numPr>
        <w:ind w:left="360"/>
      </w:pPr>
      <w:r>
        <w:t xml:space="preserve">Welke concrete wettelijke en andere maatregelen gaat u nemen om ervoor te zorgen dat de overheid en de sector zelf preventief en structureel bescherming organiseren?</w:t>
      </w:r>
      <w:r>
        <w:br/>
      </w:r>
    </w:p>
    <w:p>
      <w:r>
        <w:t xml:space="preserve">[1] De Telegraaf, 24 september 2026, Door blunder OM en rechtbank mag voor seksueel misbruik veroordeelde dansleraar blijven werken met minderjarige m (https://www.telegraaf.nl/binnenland/door-blunder-om-en-rechtbank-mag-voor-seksueel-misbruik-veroordeelde-dansleraar-blijven-werken-met-minderjarige-meiden/162046253.html)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