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21E8" w:rsidR="00EE0056" w:rsidP="005F4F8F" w:rsidRDefault="005F4F8F" w14:paraId="12180FF4" w14:textId="0949E311">
      <w:pPr>
        <w:widowControl w:val="0"/>
        <w:tabs>
          <w:tab w:val="num" w:pos="720"/>
        </w:tabs>
        <w:spacing w:line="240" w:lineRule="atLeast"/>
        <w:ind w:hanging="1843"/>
        <w:rPr>
          <w:rFonts w:ascii="Verdana" w:hAnsi="Verdana" w:cs="Arial"/>
          <w:sz w:val="18"/>
          <w:szCs w:val="18"/>
        </w:rPr>
      </w:pPr>
      <w:r>
        <w:rPr>
          <w:rFonts w:ascii="Verdana" w:hAnsi="Verdana" w:cs="Arial"/>
          <w:b/>
          <w:sz w:val="18"/>
          <w:szCs w:val="18"/>
        </w:rPr>
        <w:t>36</w:t>
      </w:r>
      <w:r w:rsidR="000575E2">
        <w:rPr>
          <w:rFonts w:ascii="Verdana" w:hAnsi="Verdana" w:cs="Arial"/>
          <w:b/>
          <w:sz w:val="18"/>
          <w:szCs w:val="18"/>
        </w:rPr>
        <w:t xml:space="preserve"> </w:t>
      </w:r>
      <w:r>
        <w:rPr>
          <w:rFonts w:ascii="Verdana" w:hAnsi="Verdana" w:cs="Arial"/>
          <w:b/>
          <w:sz w:val="18"/>
          <w:szCs w:val="18"/>
        </w:rPr>
        <w:t>964</w:t>
      </w:r>
      <w:r w:rsidR="000575E2">
        <w:rPr>
          <w:rFonts w:ascii="Verdana" w:hAnsi="Verdana" w:cs="Arial"/>
          <w:b/>
          <w:sz w:val="18"/>
          <w:szCs w:val="18"/>
        </w:rPr>
        <w:tab/>
      </w:r>
      <w:r w:rsidRPr="005F4F8F">
        <w:rPr>
          <w:rFonts w:ascii="Verdana" w:hAnsi="Verdana" w:cs="Arial"/>
          <w:b/>
          <w:sz w:val="18"/>
          <w:szCs w:val="18"/>
        </w:rPr>
        <w:t>Wijziging van de Wet op het financieel toezicht, de Faillissementswet</w:t>
      </w:r>
      <w:r w:rsidR="004221B9">
        <w:rPr>
          <w:rFonts w:ascii="Verdana" w:hAnsi="Verdana" w:cs="Arial"/>
          <w:b/>
          <w:sz w:val="18"/>
          <w:szCs w:val="18"/>
        </w:rPr>
        <w:t xml:space="preserve"> </w:t>
      </w:r>
      <w:r w:rsidRPr="005F4F8F">
        <w:rPr>
          <w:rFonts w:ascii="Verdana" w:hAnsi="Verdana" w:cs="Arial"/>
          <w:b/>
          <w:sz w:val="18"/>
          <w:szCs w:val="18"/>
        </w:rPr>
        <w:t>en de Bankwet 1998 in verband met de implementatie van de richtlijn herstel en afwikkeling van verzekeraars (Implementatiewet herstel en afwikkeling verzekeraars)</w:t>
      </w:r>
    </w:p>
    <w:p w:rsidR="00EE0056" w:rsidP="00E4606A" w:rsidRDefault="00EE0056" w14:paraId="4028B82A" w14:textId="77777777">
      <w:pPr>
        <w:widowControl w:val="0"/>
        <w:spacing w:line="240" w:lineRule="atLeast"/>
        <w:rPr>
          <w:rFonts w:ascii="Verdana" w:hAnsi="Verdana" w:cs="Arial"/>
          <w:sz w:val="18"/>
          <w:szCs w:val="18"/>
        </w:rPr>
      </w:pPr>
    </w:p>
    <w:p w:rsidRPr="007021E8" w:rsidR="00FF442F" w:rsidP="00E4606A" w:rsidRDefault="00FF442F" w14:paraId="752E09C2" w14:textId="77777777">
      <w:pPr>
        <w:widowControl w:val="0"/>
        <w:spacing w:line="240" w:lineRule="atLeast"/>
        <w:rPr>
          <w:rFonts w:ascii="Verdana" w:hAnsi="Verdana" w:cs="Arial"/>
          <w:sz w:val="18"/>
          <w:szCs w:val="18"/>
        </w:rPr>
      </w:pPr>
    </w:p>
    <w:p w:rsidRPr="007021E8" w:rsidR="00EE0056" w:rsidP="00E4606A" w:rsidRDefault="00786589" w14:paraId="023943E7" w14:textId="77777777">
      <w:pPr>
        <w:widowControl w:val="0"/>
        <w:spacing w:line="240" w:lineRule="atLeast"/>
        <w:rPr>
          <w:rFonts w:ascii="Verdana" w:hAnsi="Verdana" w:cs="Arial"/>
          <w:b/>
          <w:sz w:val="18"/>
          <w:szCs w:val="18"/>
        </w:rPr>
      </w:pPr>
      <w:r>
        <w:rPr>
          <w:rFonts w:ascii="Verdana" w:hAnsi="Verdana" w:cs="Arial"/>
          <w:b/>
          <w:sz w:val="18"/>
          <w:szCs w:val="18"/>
        </w:rPr>
        <w:t xml:space="preserve">NOTA NAAR AANLEIDING VAN </w:t>
      </w:r>
      <w:r w:rsidR="00280CC0">
        <w:rPr>
          <w:rFonts w:ascii="Verdana" w:hAnsi="Verdana" w:cs="Arial"/>
          <w:b/>
          <w:sz w:val="18"/>
          <w:szCs w:val="18"/>
        </w:rPr>
        <w:t xml:space="preserve">HET </w:t>
      </w:r>
      <w:r>
        <w:rPr>
          <w:rFonts w:ascii="Verdana" w:hAnsi="Verdana" w:cs="Arial"/>
          <w:b/>
          <w:sz w:val="18"/>
          <w:szCs w:val="18"/>
        </w:rPr>
        <w:t>VERSLAG</w:t>
      </w:r>
    </w:p>
    <w:p w:rsidRPr="007021E8" w:rsidR="00EE0056" w:rsidP="00E4606A" w:rsidRDefault="00EE0056" w14:paraId="69EEA219" w14:textId="77777777">
      <w:pPr>
        <w:widowControl w:val="0"/>
        <w:spacing w:line="240" w:lineRule="atLeast"/>
        <w:rPr>
          <w:rFonts w:ascii="Verdana" w:hAnsi="Verdana" w:cs="Arial"/>
          <w:sz w:val="18"/>
          <w:szCs w:val="18"/>
        </w:rPr>
      </w:pPr>
    </w:p>
    <w:p w:rsidR="00EE0056" w:rsidP="00E4606A" w:rsidRDefault="00EE0056" w14:paraId="02CD873C" w14:textId="77777777">
      <w:pPr>
        <w:widowControl w:val="0"/>
        <w:spacing w:line="240" w:lineRule="atLeast"/>
        <w:rPr>
          <w:rFonts w:ascii="Verdana" w:hAnsi="Verdana" w:cs="Arial"/>
          <w:sz w:val="18"/>
          <w:szCs w:val="18"/>
        </w:rPr>
      </w:pPr>
    </w:p>
    <w:p w:rsidRPr="007021E8" w:rsidR="009E13E7" w:rsidP="00E4606A" w:rsidRDefault="009E13E7" w14:paraId="21C9AD5D" w14:textId="77777777">
      <w:pPr>
        <w:widowControl w:val="0"/>
        <w:spacing w:line="240" w:lineRule="atLeast"/>
        <w:rPr>
          <w:rFonts w:ascii="Verdana" w:hAnsi="Verdana" w:cs="Arial"/>
          <w:sz w:val="18"/>
          <w:szCs w:val="18"/>
        </w:rPr>
      </w:pPr>
    </w:p>
    <w:p w:rsidRPr="00C40CEA" w:rsidR="009E13E7" w:rsidP="00E4606A" w:rsidRDefault="009E13E7" w14:paraId="510C94D7" w14:textId="77777777">
      <w:pPr>
        <w:widowControl w:val="0"/>
        <w:spacing w:line="240" w:lineRule="atLeast"/>
        <w:rPr>
          <w:rFonts w:ascii="Verdana" w:hAnsi="Verdana" w:cs="Arial"/>
          <w:sz w:val="18"/>
          <w:szCs w:val="18"/>
        </w:rPr>
      </w:pPr>
      <w:r w:rsidRPr="00C40CEA">
        <w:rPr>
          <w:rFonts w:ascii="Verdana" w:hAnsi="Verdana" w:cs="Arial"/>
          <w:b/>
          <w:bCs/>
          <w:sz w:val="18"/>
          <w:szCs w:val="18"/>
        </w:rPr>
        <w:t>Inleiding</w:t>
      </w:r>
    </w:p>
    <w:p w:rsidR="009E13E7" w:rsidP="00E4606A" w:rsidRDefault="009E13E7" w14:paraId="6AB6D498" w14:textId="77777777">
      <w:pPr>
        <w:widowControl w:val="0"/>
        <w:spacing w:line="240" w:lineRule="atLeast"/>
        <w:rPr>
          <w:rFonts w:ascii="Verdana" w:hAnsi="Verdana" w:cs="Arial"/>
          <w:sz w:val="18"/>
          <w:szCs w:val="18"/>
        </w:rPr>
      </w:pPr>
    </w:p>
    <w:p w:rsidRPr="00C40CEA" w:rsidR="009E13E7" w:rsidP="00E4606A" w:rsidRDefault="009E13E7" w14:paraId="0306B8EB" w14:textId="1BD303E4">
      <w:pPr>
        <w:widowControl w:val="0"/>
        <w:spacing w:line="240" w:lineRule="atLeast"/>
        <w:rPr>
          <w:rFonts w:ascii="Verdana" w:hAnsi="Verdana" w:cs="Arial"/>
          <w:sz w:val="18"/>
          <w:szCs w:val="18"/>
        </w:rPr>
      </w:pPr>
      <w:r w:rsidRPr="00C40CEA">
        <w:rPr>
          <w:rFonts w:ascii="Verdana" w:hAnsi="Verdana" w:cs="Arial"/>
          <w:sz w:val="18"/>
          <w:szCs w:val="18"/>
        </w:rPr>
        <w:t xml:space="preserve">De regering is de vaste commissie voor Financiën erkentelijk voor de aandacht die zij aan het onderhavige wetsvoorstel heeft geschonken en voor de door haar daarover gestelde vragen. De vragen worden zo veel mogelijk beantwoord in de volgorde van het door de commissie uitgebrachte verslag. </w:t>
      </w:r>
      <w:r w:rsidR="00B32FEC">
        <w:rPr>
          <w:rFonts w:ascii="Verdana" w:hAnsi="Verdana" w:cs="Arial"/>
          <w:sz w:val="18"/>
          <w:szCs w:val="18"/>
        </w:rPr>
        <w:t>Daarbij worden de definities gehanteerd zoals opgenomen in de memorie van toelichting bij het wetsvoorstel.</w:t>
      </w:r>
      <w:r w:rsidR="00DA4547">
        <w:rPr>
          <w:rFonts w:ascii="Verdana" w:hAnsi="Verdana" w:cs="Arial"/>
          <w:sz w:val="18"/>
          <w:szCs w:val="18"/>
        </w:rPr>
        <w:t xml:space="preserve"> </w:t>
      </w:r>
    </w:p>
    <w:p w:rsidR="009E13E7" w:rsidP="00E4606A" w:rsidRDefault="009E13E7" w14:paraId="33F0BFDA" w14:textId="77777777">
      <w:pPr>
        <w:widowControl w:val="0"/>
        <w:spacing w:line="240" w:lineRule="atLeast"/>
        <w:rPr>
          <w:rFonts w:ascii="Verdana" w:hAnsi="Verdana" w:cs="Arial"/>
          <w:b/>
          <w:bCs/>
          <w:sz w:val="18"/>
          <w:szCs w:val="18"/>
        </w:rPr>
      </w:pPr>
    </w:p>
    <w:p w:rsidRPr="00C40CEA" w:rsidR="009E13E7" w:rsidP="00E4606A" w:rsidRDefault="009E13E7" w14:paraId="35FCD5AE" w14:textId="77777777">
      <w:pPr>
        <w:widowControl w:val="0"/>
        <w:spacing w:line="240" w:lineRule="atLeast"/>
        <w:rPr>
          <w:rFonts w:ascii="Verdana" w:hAnsi="Verdana" w:cs="Arial"/>
          <w:sz w:val="18"/>
          <w:szCs w:val="18"/>
        </w:rPr>
      </w:pPr>
      <w:r w:rsidRPr="00C40CEA">
        <w:rPr>
          <w:rFonts w:ascii="Verdana" w:hAnsi="Verdana" w:cs="Arial"/>
          <w:b/>
          <w:bCs/>
          <w:sz w:val="18"/>
          <w:szCs w:val="18"/>
        </w:rPr>
        <w:t>Algemeen</w:t>
      </w:r>
    </w:p>
    <w:p w:rsidRPr="00DA4547" w:rsidR="00DA4547" w:rsidP="00DA4547" w:rsidRDefault="00DA4547" w14:paraId="753D878D" w14:textId="77777777">
      <w:pPr>
        <w:widowControl w:val="0"/>
        <w:tabs>
          <w:tab w:val="num" w:pos="720"/>
        </w:tabs>
        <w:spacing w:line="240" w:lineRule="atLeast"/>
        <w:rPr>
          <w:rFonts w:ascii="Verdana" w:hAnsi="Verdana" w:cs="Arial"/>
          <w:i/>
          <w:sz w:val="18"/>
          <w:szCs w:val="18"/>
        </w:rPr>
      </w:pPr>
    </w:p>
    <w:p w:rsidR="00DA4547" w:rsidP="00DA4547" w:rsidRDefault="00DA4547" w14:paraId="548614AC"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1. Inleiding</w:t>
      </w:r>
    </w:p>
    <w:p w:rsidRPr="00DA4547" w:rsidR="00DA4547" w:rsidP="00DA4547" w:rsidRDefault="00DA4547" w14:paraId="027A8C0A" w14:textId="77777777">
      <w:pPr>
        <w:widowControl w:val="0"/>
        <w:tabs>
          <w:tab w:val="num" w:pos="720"/>
        </w:tabs>
        <w:spacing w:line="240" w:lineRule="atLeast"/>
        <w:rPr>
          <w:rFonts w:ascii="Verdana" w:hAnsi="Verdana" w:cs="Arial"/>
          <w:b/>
          <w:bCs/>
          <w:i/>
          <w:sz w:val="18"/>
          <w:szCs w:val="18"/>
        </w:rPr>
      </w:pPr>
    </w:p>
    <w:p w:rsidRPr="00DA4547" w:rsidR="00DA4547" w:rsidP="00DA4547" w:rsidRDefault="00DA4547" w14:paraId="36D3EC6B"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De leden van de D66-fractie hebben met interesse kennisgenomen van het wetsvoorstel Implementatiewet herstel en afwikkeling verzekeraars. Deze leden onderschrijven het belang van een robuust afwikkelingskader voor verzekeraars ter bescherming van polishouders en de financiële stabiliteit en steunen in beginsel een voortvarende implementatie van de IRRD. Deze leden hebben nog enkele vragen.</w:t>
      </w:r>
    </w:p>
    <w:p w:rsidRPr="00DA4547" w:rsidR="00DA4547" w:rsidP="00DA4547" w:rsidRDefault="00DA4547" w14:paraId="7B2187DB"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065C53C"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VVD-fractie hebben kennisgenomen van het wetsvoorstel. Deze leden steunen de doelstelling van de richtlijn en zijn positief over de verdere harmonisatie binnen de Europese Unie. Nederland beschikte </w:t>
      </w:r>
      <w:proofErr w:type="gramStart"/>
      <w:r w:rsidRPr="00DA4547">
        <w:rPr>
          <w:rFonts w:ascii="Verdana" w:hAnsi="Verdana" w:cs="Arial"/>
          <w:i/>
          <w:sz w:val="18"/>
          <w:szCs w:val="18"/>
        </w:rPr>
        <w:t>reeds</w:t>
      </w:r>
      <w:proofErr w:type="gramEnd"/>
      <w:r w:rsidRPr="00DA4547">
        <w:rPr>
          <w:rFonts w:ascii="Verdana" w:hAnsi="Verdana" w:cs="Arial"/>
          <w:i/>
          <w:sz w:val="18"/>
          <w:szCs w:val="18"/>
        </w:rPr>
        <w:t xml:space="preserve"> over een wettelijk kader via de Wet herstel en afwikkeling van verzekeraars. Het is volgens deze leden wenselijk dat verzekeraars in andere lidstaten voortaan eveneens aan vergelijkbare eisen worden onderworpen. Daarnaast waarderen deze leden dat de regering bij de implementatie uitgaat van een zo beperkt mogelijke lastenverzwaring.</w:t>
      </w:r>
    </w:p>
    <w:p w:rsidRPr="00DA4547" w:rsidR="00DA4547" w:rsidP="00DA4547" w:rsidRDefault="00DA4547" w14:paraId="6B4C5F31"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6BECD72E"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PRO-fractie hebben kennisgenomen van het wetsvoorstel. Deze leden delen de wens om te komen tot een geharmoniseerd kader voor gecoördineerde afwikkeling van falende verzekeringsondernemingen. Zeker omdat verzekeraars zich niet beperken tot een lidstaat. Deze leden hebben geen verdere opmerkingen over de voorliggende implementatiewet. </w:t>
      </w:r>
    </w:p>
    <w:p w:rsidRPr="00DA4547" w:rsidR="00DA4547" w:rsidP="00DA4547" w:rsidRDefault="00DA4547" w14:paraId="7807EDA1"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6334254F"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De leden van de PVV-fractie hebben met kritische belangstelling kennisgenomen van het voorliggende wetsvoorstel. Deze leden hebben nog enkele vragen.</w:t>
      </w:r>
    </w:p>
    <w:p w:rsidRPr="00DA4547" w:rsidR="00DA4547" w:rsidP="00DA4547" w:rsidRDefault="00DA4547" w14:paraId="62883039"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1DAEE376"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CDA-fractie hebben kennisgenomen van het wetsvoorstel tot implementatie van de richtlijn herstel en afwikkeling van verzekeraars (IRRD). Deze leden constateren dat het wetsvoorstel is bedoeld ter implementatie van Europese regelgeving en dat het bestaande Nederlandse kader op hoofdlijnen </w:t>
      </w:r>
      <w:proofErr w:type="gramStart"/>
      <w:r w:rsidRPr="00DA4547">
        <w:rPr>
          <w:rFonts w:ascii="Verdana" w:hAnsi="Verdana" w:cs="Arial"/>
          <w:i/>
          <w:sz w:val="18"/>
          <w:szCs w:val="18"/>
        </w:rPr>
        <w:t>reeds</w:t>
      </w:r>
      <w:proofErr w:type="gramEnd"/>
      <w:r w:rsidRPr="00DA4547">
        <w:rPr>
          <w:rFonts w:ascii="Verdana" w:hAnsi="Verdana" w:cs="Arial"/>
          <w:i/>
          <w:sz w:val="18"/>
          <w:szCs w:val="18"/>
        </w:rPr>
        <w:t xml:space="preserve"> aansluit bij deze Europese richtlijn. Deze leden hebben waardering voor de gekozen lastenluwe implementatie. Wel hebben deze leden nog enkele vragen.</w:t>
      </w:r>
    </w:p>
    <w:p w:rsidRPr="00DA4547" w:rsidR="00DA4547" w:rsidP="00DA4547" w:rsidRDefault="00DA4547" w14:paraId="5958D6CB"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40351B0A"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2. Inhoud richtlijn</w:t>
      </w:r>
    </w:p>
    <w:p w:rsidRPr="00DA4547" w:rsidR="00DA4547" w:rsidP="00DA4547" w:rsidRDefault="00DA4547" w14:paraId="505B1AAF"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21B936D"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2.2 Minimumharmonisatie</w:t>
      </w:r>
    </w:p>
    <w:p w:rsidRPr="00DA4547" w:rsidR="00DA4547" w:rsidP="00DA4547" w:rsidRDefault="00DA4547" w14:paraId="06F38D00"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4874E8A7"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VVD-fractie stellen vast dat sprake is van minimumharmonisatie, waardoor lidstaten de mogelijkheid hebben aanvullende voorschriften vast te stellen. Deze leden vinden het van belang dat Europese regelgeving niet wordt aangevuld met nationale koppen. Uit de memorie van toelichting maken deze leden op dat wordt aangesloten bij het </w:t>
      </w:r>
      <w:proofErr w:type="gramStart"/>
      <w:r w:rsidRPr="00DA4547">
        <w:rPr>
          <w:rFonts w:ascii="Verdana" w:hAnsi="Verdana" w:cs="Arial"/>
          <w:i/>
          <w:sz w:val="18"/>
          <w:szCs w:val="18"/>
        </w:rPr>
        <w:t>reeds</w:t>
      </w:r>
      <w:proofErr w:type="gramEnd"/>
      <w:r w:rsidRPr="00DA4547">
        <w:rPr>
          <w:rFonts w:ascii="Verdana" w:hAnsi="Verdana" w:cs="Arial"/>
          <w:i/>
          <w:sz w:val="18"/>
          <w:szCs w:val="18"/>
        </w:rPr>
        <w:t xml:space="preserve"> bestaande Nederlandse stelsel. Deze leden verzoeken de regering om te bevestigen dat het voorliggende wetsvoorstel nergens verder gaat dan de richtlijn voorschrijft. </w:t>
      </w:r>
      <w:proofErr w:type="gramStart"/>
      <w:r w:rsidRPr="00DA4547">
        <w:rPr>
          <w:rFonts w:ascii="Verdana" w:hAnsi="Verdana" w:cs="Arial"/>
          <w:i/>
          <w:sz w:val="18"/>
          <w:szCs w:val="18"/>
        </w:rPr>
        <w:t>Indien</w:t>
      </w:r>
      <w:proofErr w:type="gramEnd"/>
      <w:r w:rsidRPr="00DA4547">
        <w:rPr>
          <w:rFonts w:ascii="Verdana" w:hAnsi="Verdana" w:cs="Arial"/>
          <w:i/>
          <w:sz w:val="18"/>
          <w:szCs w:val="18"/>
        </w:rPr>
        <w:t xml:space="preserve"> op onderdelen toch aanvullende nationale keuzes zijn gemaakt, vernemen deze leden graag om welke onderdelen het gaat en welke overwegingen daaraan ten grondslag liggen.</w:t>
      </w:r>
    </w:p>
    <w:p w:rsidR="00DA4547" w:rsidP="00DA4547" w:rsidRDefault="00DA4547" w14:paraId="480E3C96" w14:textId="77777777">
      <w:pPr>
        <w:widowControl w:val="0"/>
        <w:tabs>
          <w:tab w:val="num" w:pos="720"/>
        </w:tabs>
        <w:spacing w:line="240" w:lineRule="atLeast"/>
        <w:rPr>
          <w:rFonts w:ascii="Verdana" w:hAnsi="Verdana" w:cs="Arial"/>
          <w:iCs/>
          <w:sz w:val="18"/>
          <w:szCs w:val="18"/>
        </w:rPr>
      </w:pPr>
    </w:p>
    <w:p w:rsidR="00910836" w:rsidP="00DA4547" w:rsidRDefault="0025018B" w14:paraId="15C172D0" w14:textId="5ECF2B9F">
      <w:pPr>
        <w:widowControl w:val="0"/>
        <w:tabs>
          <w:tab w:val="num" w:pos="720"/>
        </w:tabs>
        <w:spacing w:line="240" w:lineRule="atLeast"/>
        <w:rPr>
          <w:rFonts w:ascii="Verdana" w:hAnsi="Verdana" w:cs="Arial"/>
          <w:iCs/>
          <w:sz w:val="18"/>
          <w:szCs w:val="18"/>
        </w:rPr>
      </w:pPr>
      <w:r w:rsidRPr="0025018B">
        <w:rPr>
          <w:rFonts w:ascii="Verdana" w:hAnsi="Verdana" w:cs="Arial"/>
          <w:iCs/>
          <w:sz w:val="18"/>
          <w:szCs w:val="18"/>
        </w:rPr>
        <w:t xml:space="preserve">Met dit wetsvoorstel wordt de IRRD zoveel mogelijk lastenluw geïmplementeerd, maar wordt tegelijkertijd beoogd het niveau van </w:t>
      </w:r>
      <w:proofErr w:type="spellStart"/>
      <w:r w:rsidRPr="0025018B">
        <w:rPr>
          <w:rFonts w:ascii="Verdana" w:hAnsi="Verdana" w:cs="Arial"/>
          <w:iCs/>
          <w:sz w:val="18"/>
          <w:szCs w:val="18"/>
        </w:rPr>
        <w:t>polishoudersbescherming</w:t>
      </w:r>
      <w:proofErr w:type="spellEnd"/>
      <w:r w:rsidRPr="0025018B">
        <w:rPr>
          <w:rFonts w:ascii="Verdana" w:hAnsi="Verdana" w:cs="Arial"/>
          <w:iCs/>
          <w:sz w:val="18"/>
          <w:szCs w:val="18"/>
        </w:rPr>
        <w:t xml:space="preserve"> gelijk te houden ten opzichte van de W</w:t>
      </w:r>
      <w:r w:rsidR="00A4583C">
        <w:rPr>
          <w:rFonts w:ascii="Verdana" w:hAnsi="Verdana" w:cs="Arial"/>
          <w:iCs/>
          <w:sz w:val="18"/>
          <w:szCs w:val="18"/>
        </w:rPr>
        <w:t xml:space="preserve">et </w:t>
      </w:r>
      <w:r w:rsidRPr="0025018B">
        <w:rPr>
          <w:rFonts w:ascii="Verdana" w:hAnsi="Verdana" w:cs="Arial"/>
          <w:iCs/>
          <w:sz w:val="18"/>
          <w:szCs w:val="18"/>
        </w:rPr>
        <w:t>h</w:t>
      </w:r>
      <w:r w:rsidR="00A4583C">
        <w:rPr>
          <w:rFonts w:ascii="Verdana" w:hAnsi="Verdana" w:cs="Arial"/>
          <w:iCs/>
          <w:sz w:val="18"/>
          <w:szCs w:val="18"/>
        </w:rPr>
        <w:t xml:space="preserve">erstel en </w:t>
      </w:r>
      <w:r w:rsidRPr="0025018B">
        <w:rPr>
          <w:rFonts w:ascii="Verdana" w:hAnsi="Verdana" w:cs="Arial"/>
          <w:iCs/>
          <w:sz w:val="18"/>
          <w:szCs w:val="18"/>
        </w:rPr>
        <w:t>a</w:t>
      </w:r>
      <w:r w:rsidR="00A4583C">
        <w:rPr>
          <w:rFonts w:ascii="Verdana" w:hAnsi="Verdana" w:cs="Arial"/>
          <w:iCs/>
          <w:sz w:val="18"/>
          <w:szCs w:val="18"/>
        </w:rPr>
        <w:t xml:space="preserve">fwikkeling van </w:t>
      </w:r>
      <w:r w:rsidRPr="0025018B">
        <w:rPr>
          <w:rFonts w:ascii="Verdana" w:hAnsi="Verdana" w:cs="Arial"/>
          <w:iCs/>
          <w:sz w:val="18"/>
          <w:szCs w:val="18"/>
        </w:rPr>
        <w:t>v</w:t>
      </w:r>
      <w:r w:rsidR="00A4583C">
        <w:rPr>
          <w:rFonts w:ascii="Verdana" w:hAnsi="Verdana" w:cs="Arial"/>
          <w:iCs/>
          <w:sz w:val="18"/>
          <w:szCs w:val="18"/>
        </w:rPr>
        <w:t>erzekeraars 2019 (</w:t>
      </w:r>
      <w:proofErr w:type="spellStart"/>
      <w:r w:rsidR="00A4583C">
        <w:rPr>
          <w:rFonts w:ascii="Verdana" w:hAnsi="Verdana" w:cs="Arial"/>
          <w:iCs/>
          <w:sz w:val="18"/>
          <w:szCs w:val="18"/>
        </w:rPr>
        <w:t>Whav</w:t>
      </w:r>
      <w:proofErr w:type="spellEnd"/>
      <w:r w:rsidR="00A4583C">
        <w:rPr>
          <w:rFonts w:ascii="Verdana" w:hAnsi="Verdana" w:cs="Arial"/>
          <w:iCs/>
          <w:sz w:val="18"/>
          <w:szCs w:val="18"/>
        </w:rPr>
        <w:t>)</w:t>
      </w:r>
      <w:r w:rsidRPr="0025018B">
        <w:rPr>
          <w:rFonts w:ascii="Verdana" w:hAnsi="Verdana" w:cs="Arial"/>
          <w:iCs/>
          <w:sz w:val="18"/>
          <w:szCs w:val="18"/>
        </w:rPr>
        <w:t xml:space="preserve"> en de nieuwe regels goed in te passen in het bestaande wettelijke kader</w:t>
      </w:r>
      <w:r>
        <w:rPr>
          <w:rFonts w:ascii="Verdana" w:hAnsi="Verdana" w:cs="Arial"/>
          <w:iCs/>
          <w:sz w:val="18"/>
          <w:szCs w:val="18"/>
        </w:rPr>
        <w:t xml:space="preserve">. </w:t>
      </w:r>
    </w:p>
    <w:p w:rsidR="00910836" w:rsidP="00DA4547" w:rsidRDefault="00910836" w14:paraId="709DBC61" w14:textId="77777777">
      <w:pPr>
        <w:widowControl w:val="0"/>
        <w:tabs>
          <w:tab w:val="num" w:pos="720"/>
        </w:tabs>
        <w:spacing w:line="240" w:lineRule="atLeast"/>
        <w:rPr>
          <w:rFonts w:ascii="Verdana" w:hAnsi="Verdana" w:cs="Arial"/>
          <w:iCs/>
          <w:sz w:val="18"/>
          <w:szCs w:val="18"/>
        </w:rPr>
      </w:pPr>
    </w:p>
    <w:p w:rsidRPr="00FB1C96" w:rsidR="00FB1C96" w:rsidP="00FB1C96" w:rsidRDefault="00556020" w14:paraId="08A8D0EB" w14:textId="4DF1051B">
      <w:pPr>
        <w:widowControl w:val="0"/>
        <w:tabs>
          <w:tab w:val="num" w:pos="720"/>
        </w:tabs>
        <w:spacing w:line="240" w:lineRule="atLeast"/>
        <w:rPr>
          <w:rFonts w:ascii="Verdana" w:hAnsi="Verdana" w:cs="Arial"/>
          <w:iCs/>
          <w:sz w:val="18"/>
          <w:szCs w:val="18"/>
        </w:rPr>
      </w:pPr>
      <w:r>
        <w:rPr>
          <w:rFonts w:ascii="Verdana" w:hAnsi="Verdana" w:cs="Arial"/>
          <w:iCs/>
          <w:sz w:val="18"/>
          <w:szCs w:val="18"/>
        </w:rPr>
        <w:t>Eén van de onderdelen van het</w:t>
      </w:r>
      <w:r w:rsidRPr="00FB1C96" w:rsidR="00FB1C96">
        <w:rPr>
          <w:rFonts w:ascii="Verdana" w:hAnsi="Verdana" w:cs="Arial"/>
          <w:iCs/>
          <w:sz w:val="18"/>
          <w:szCs w:val="18"/>
        </w:rPr>
        <w:t xml:space="preserve"> wetsvoorstel </w:t>
      </w:r>
      <w:r>
        <w:rPr>
          <w:rFonts w:ascii="Verdana" w:hAnsi="Verdana" w:cs="Arial"/>
          <w:iCs/>
          <w:sz w:val="18"/>
          <w:szCs w:val="18"/>
        </w:rPr>
        <w:t>waarvoor gebruikt wordt gemaakt</w:t>
      </w:r>
      <w:r w:rsidRPr="00FB1C96" w:rsidR="00FB1C96">
        <w:rPr>
          <w:rFonts w:ascii="Verdana" w:hAnsi="Verdana" w:cs="Arial"/>
          <w:iCs/>
          <w:sz w:val="18"/>
          <w:szCs w:val="18"/>
        </w:rPr>
        <w:t xml:space="preserve"> van de ruimte </w:t>
      </w:r>
      <w:r w:rsidR="00746ACD">
        <w:rPr>
          <w:rFonts w:ascii="Verdana" w:hAnsi="Verdana" w:cs="Arial"/>
          <w:iCs/>
          <w:sz w:val="18"/>
          <w:szCs w:val="18"/>
        </w:rPr>
        <w:t xml:space="preserve">die minimumharmonisatie biedt, </w:t>
      </w:r>
      <w:r w:rsidRPr="00556020">
        <w:rPr>
          <w:rFonts w:ascii="Verdana" w:hAnsi="Verdana" w:cs="Arial"/>
          <w:iCs/>
          <w:sz w:val="18"/>
          <w:szCs w:val="18"/>
        </w:rPr>
        <w:t>betreft de reikwijdte van het kader voor herstel en afwikkeling. Het wetsvoorstel is van toepassing op alle verzekeraars die onder toezicht van De Nederlandsche Bank (DNB) staan</w:t>
      </w:r>
      <w:r w:rsidRPr="00FB1C96" w:rsidR="00FB1C96">
        <w:rPr>
          <w:rFonts w:ascii="Verdana" w:hAnsi="Verdana" w:cs="Arial"/>
          <w:iCs/>
          <w:sz w:val="18"/>
          <w:szCs w:val="18"/>
        </w:rPr>
        <w:t xml:space="preserve">. Dat houdt concreet in dat onder deze reikwijdte ook verzekeraars </w:t>
      </w:r>
      <w:r w:rsidR="00746ACD">
        <w:rPr>
          <w:rFonts w:ascii="Verdana" w:hAnsi="Verdana" w:cs="Arial"/>
          <w:iCs/>
          <w:sz w:val="18"/>
          <w:szCs w:val="18"/>
        </w:rPr>
        <w:t>met</w:t>
      </w:r>
      <w:r w:rsidRPr="00FB1C96" w:rsidR="00FB1C96">
        <w:rPr>
          <w:rFonts w:ascii="Verdana" w:hAnsi="Verdana" w:cs="Arial"/>
          <w:iCs/>
          <w:sz w:val="18"/>
          <w:szCs w:val="18"/>
        </w:rPr>
        <w:t xml:space="preserve"> beperkte risico-omvang vallen. </w:t>
      </w:r>
      <w:r w:rsidRPr="00556020">
        <w:rPr>
          <w:rFonts w:ascii="Verdana" w:hAnsi="Verdana" w:cs="Arial"/>
          <w:iCs/>
          <w:sz w:val="18"/>
          <w:szCs w:val="18"/>
        </w:rPr>
        <w:t xml:space="preserve">Deze verzekeraars vallen niet onder de IRRD, maar wel onder het in Nederland </w:t>
      </w:r>
      <w:proofErr w:type="gramStart"/>
      <w:r w:rsidRPr="00556020">
        <w:rPr>
          <w:rFonts w:ascii="Verdana" w:hAnsi="Verdana" w:cs="Arial"/>
          <w:iCs/>
          <w:sz w:val="18"/>
          <w:szCs w:val="18"/>
        </w:rPr>
        <w:t>reeds</w:t>
      </w:r>
      <w:proofErr w:type="gramEnd"/>
      <w:r w:rsidRPr="00556020">
        <w:rPr>
          <w:rFonts w:ascii="Verdana" w:hAnsi="Verdana" w:cs="Arial"/>
          <w:iCs/>
          <w:sz w:val="18"/>
          <w:szCs w:val="18"/>
        </w:rPr>
        <w:t xml:space="preserve"> bestaande kader voor herstel en afwikkeling van verzekeraars. </w:t>
      </w:r>
      <w:r w:rsidRPr="00FB1C96" w:rsidR="00FB1C96">
        <w:rPr>
          <w:rFonts w:ascii="Verdana" w:hAnsi="Verdana" w:cs="Arial"/>
          <w:iCs/>
          <w:sz w:val="18"/>
          <w:szCs w:val="18"/>
        </w:rPr>
        <w:t>Voorbeelden van verzekeraar</w:t>
      </w:r>
      <w:r w:rsidR="00E93FD9">
        <w:rPr>
          <w:rFonts w:ascii="Verdana" w:hAnsi="Verdana" w:cs="Arial"/>
          <w:iCs/>
          <w:sz w:val="18"/>
          <w:szCs w:val="18"/>
        </w:rPr>
        <w:t>s</w:t>
      </w:r>
      <w:r w:rsidRPr="00FB1C96" w:rsidR="00FB1C96">
        <w:rPr>
          <w:rFonts w:ascii="Verdana" w:hAnsi="Verdana" w:cs="Arial"/>
          <w:iCs/>
          <w:sz w:val="18"/>
          <w:szCs w:val="18"/>
        </w:rPr>
        <w:t xml:space="preserve"> met beperkte risico-omvang zijn natura-uitvaartverzekeraars (ongeacht hun omvang) en bepaalde andere verzekeraars die de omvang</w:t>
      </w:r>
      <w:r w:rsidR="00E93FD9">
        <w:rPr>
          <w:rFonts w:ascii="Verdana" w:hAnsi="Verdana" w:cs="Arial"/>
          <w:iCs/>
          <w:sz w:val="18"/>
          <w:szCs w:val="18"/>
        </w:rPr>
        <w:t>drempels</w:t>
      </w:r>
      <w:r w:rsidRPr="00FB1C96" w:rsidR="00FB1C96">
        <w:rPr>
          <w:rFonts w:ascii="Verdana" w:hAnsi="Verdana" w:cs="Arial"/>
          <w:iCs/>
          <w:sz w:val="18"/>
          <w:szCs w:val="18"/>
        </w:rPr>
        <w:t xml:space="preserve"> van de richtlijn solvabiliteit II niet overstijgen. Ten behoeve van flexibiliteit in onvoorziene situaties is </w:t>
      </w:r>
      <w:r w:rsidR="006A028B">
        <w:rPr>
          <w:rFonts w:ascii="Verdana" w:hAnsi="Verdana" w:cs="Arial"/>
          <w:iCs/>
          <w:sz w:val="18"/>
          <w:szCs w:val="18"/>
        </w:rPr>
        <w:t xml:space="preserve">ervoor </w:t>
      </w:r>
      <w:r w:rsidRPr="00FB1C96" w:rsidR="00FB1C96">
        <w:rPr>
          <w:rFonts w:ascii="Verdana" w:hAnsi="Verdana" w:cs="Arial"/>
          <w:iCs/>
          <w:sz w:val="18"/>
          <w:szCs w:val="18"/>
        </w:rPr>
        <w:t>gekozen om de huidige reikwijdte zoals deze onder het nationale recht</w:t>
      </w:r>
      <w:r w:rsidR="00E93FD9">
        <w:rPr>
          <w:rFonts w:ascii="Verdana" w:hAnsi="Verdana" w:cs="Arial"/>
          <w:iCs/>
          <w:sz w:val="18"/>
          <w:szCs w:val="18"/>
        </w:rPr>
        <w:t xml:space="preserve"> al </w:t>
      </w:r>
      <w:r w:rsidRPr="00FB1C96" w:rsidR="00FB1C96">
        <w:rPr>
          <w:rFonts w:ascii="Verdana" w:hAnsi="Verdana" w:cs="Arial"/>
          <w:iCs/>
          <w:sz w:val="18"/>
          <w:szCs w:val="18"/>
        </w:rPr>
        <w:t>gold</w:t>
      </w:r>
      <w:r w:rsidR="00E93FD9">
        <w:rPr>
          <w:rFonts w:ascii="Verdana" w:hAnsi="Verdana" w:cs="Arial"/>
          <w:iCs/>
          <w:sz w:val="18"/>
          <w:szCs w:val="18"/>
        </w:rPr>
        <w:t>,</w:t>
      </w:r>
      <w:r w:rsidRPr="00FB1C96" w:rsidR="00FB1C96">
        <w:rPr>
          <w:rFonts w:ascii="Verdana" w:hAnsi="Verdana" w:cs="Arial"/>
          <w:iCs/>
          <w:sz w:val="18"/>
          <w:szCs w:val="18"/>
        </w:rPr>
        <w:t xml:space="preserve"> te behouden</w:t>
      </w:r>
      <w:r w:rsidR="00E93FD9">
        <w:rPr>
          <w:rFonts w:ascii="Verdana" w:hAnsi="Verdana" w:cs="Arial"/>
          <w:iCs/>
          <w:sz w:val="18"/>
          <w:szCs w:val="18"/>
        </w:rPr>
        <w:t xml:space="preserve">. </w:t>
      </w:r>
      <w:r w:rsidRPr="00FB1C96" w:rsidR="00FB1C96">
        <w:rPr>
          <w:rFonts w:ascii="Verdana" w:hAnsi="Verdana" w:cs="Arial"/>
          <w:iCs/>
          <w:sz w:val="18"/>
          <w:szCs w:val="18"/>
        </w:rPr>
        <w:t xml:space="preserve">Als deze verzekeraars zouden worden uitgesloten van de reikwijdte, is er geen mogelijkheid </w:t>
      </w:r>
      <w:r w:rsidR="00E93FD9">
        <w:rPr>
          <w:rFonts w:ascii="Verdana" w:hAnsi="Verdana" w:cs="Arial"/>
          <w:iCs/>
          <w:sz w:val="18"/>
          <w:szCs w:val="18"/>
        </w:rPr>
        <w:t xml:space="preserve">voor DNB </w:t>
      </w:r>
      <w:r w:rsidRPr="00FB1C96" w:rsidR="00FB1C96">
        <w:rPr>
          <w:rFonts w:ascii="Verdana" w:hAnsi="Verdana" w:cs="Arial"/>
          <w:iCs/>
          <w:sz w:val="18"/>
          <w:szCs w:val="18"/>
        </w:rPr>
        <w:t xml:space="preserve">om de afweging te maken </w:t>
      </w:r>
      <w:r w:rsidR="00E93FD9">
        <w:rPr>
          <w:rFonts w:ascii="Verdana" w:hAnsi="Verdana" w:cs="Arial"/>
          <w:iCs/>
          <w:sz w:val="18"/>
          <w:szCs w:val="18"/>
        </w:rPr>
        <w:t xml:space="preserve">of het in een concreet geval in het algemeen belang is </w:t>
      </w:r>
      <w:r w:rsidRPr="00FB1C96" w:rsidR="00FB1C96">
        <w:rPr>
          <w:rFonts w:ascii="Verdana" w:hAnsi="Verdana" w:cs="Arial"/>
          <w:iCs/>
          <w:sz w:val="18"/>
          <w:szCs w:val="18"/>
        </w:rPr>
        <w:t>om de</w:t>
      </w:r>
      <w:r w:rsidR="00E93FD9">
        <w:rPr>
          <w:rFonts w:ascii="Verdana" w:hAnsi="Verdana" w:cs="Arial"/>
          <w:iCs/>
          <w:sz w:val="18"/>
          <w:szCs w:val="18"/>
        </w:rPr>
        <w:t xml:space="preserve">ze </w:t>
      </w:r>
      <w:r w:rsidRPr="00FB1C96" w:rsidR="00FB1C96">
        <w:rPr>
          <w:rFonts w:ascii="Verdana" w:hAnsi="Verdana" w:cs="Arial"/>
          <w:iCs/>
          <w:sz w:val="18"/>
          <w:szCs w:val="18"/>
        </w:rPr>
        <w:t xml:space="preserve">verzekeraar in afwikkeling te nemen. </w:t>
      </w:r>
    </w:p>
    <w:p w:rsidR="00FB1C96" w:rsidP="00FB1C96" w:rsidRDefault="00FB1C96" w14:paraId="56A8ECF2" w14:textId="77777777">
      <w:pPr>
        <w:widowControl w:val="0"/>
        <w:tabs>
          <w:tab w:val="num" w:pos="720"/>
        </w:tabs>
        <w:spacing w:line="240" w:lineRule="atLeast"/>
        <w:rPr>
          <w:rFonts w:ascii="Verdana" w:hAnsi="Verdana" w:cs="Arial"/>
          <w:iCs/>
          <w:sz w:val="18"/>
          <w:szCs w:val="18"/>
        </w:rPr>
      </w:pPr>
    </w:p>
    <w:p w:rsidRPr="00FB1C96" w:rsidR="00FB1C96" w:rsidP="00FB1C96" w:rsidRDefault="00FB1C96" w14:paraId="4F638BDB" w14:textId="2F9EB446">
      <w:pPr>
        <w:widowControl w:val="0"/>
        <w:tabs>
          <w:tab w:val="num" w:pos="720"/>
        </w:tabs>
        <w:spacing w:line="240" w:lineRule="atLeast"/>
        <w:rPr>
          <w:rFonts w:ascii="Verdana" w:hAnsi="Verdana" w:cs="Arial"/>
          <w:iCs/>
          <w:sz w:val="18"/>
          <w:szCs w:val="18"/>
        </w:rPr>
      </w:pPr>
      <w:r w:rsidRPr="00FB1C96">
        <w:rPr>
          <w:rFonts w:ascii="Verdana" w:hAnsi="Verdana" w:cs="Arial"/>
          <w:iCs/>
          <w:sz w:val="18"/>
          <w:szCs w:val="18"/>
        </w:rPr>
        <w:t>Verzekeraars met beperkte risico-omvang</w:t>
      </w:r>
      <w:r w:rsidR="006A028B">
        <w:rPr>
          <w:rFonts w:ascii="Verdana" w:hAnsi="Verdana" w:cs="Arial"/>
          <w:iCs/>
          <w:sz w:val="18"/>
          <w:szCs w:val="18"/>
        </w:rPr>
        <w:t xml:space="preserve"> </w:t>
      </w:r>
      <w:r w:rsidRPr="00FB1C96">
        <w:rPr>
          <w:rFonts w:ascii="Verdana" w:hAnsi="Verdana" w:cs="Arial"/>
          <w:iCs/>
          <w:sz w:val="18"/>
          <w:szCs w:val="18"/>
        </w:rPr>
        <w:t>zijn</w:t>
      </w:r>
      <w:r w:rsidRPr="00FB1C96" w:rsidR="00E93FD9">
        <w:rPr>
          <w:rFonts w:ascii="Verdana" w:hAnsi="Verdana" w:cs="Arial"/>
          <w:iCs/>
          <w:sz w:val="18"/>
          <w:szCs w:val="18"/>
        </w:rPr>
        <w:t xml:space="preserve">, in lijn met het bestaande </w:t>
      </w:r>
      <w:proofErr w:type="gramStart"/>
      <w:r w:rsidRPr="00FB1C96" w:rsidR="00E93FD9">
        <w:rPr>
          <w:rFonts w:ascii="Verdana" w:hAnsi="Verdana" w:cs="Arial"/>
          <w:iCs/>
          <w:sz w:val="18"/>
          <w:szCs w:val="18"/>
        </w:rPr>
        <w:t xml:space="preserve">kader, </w:t>
      </w:r>
      <w:r w:rsidRPr="00FB1C96">
        <w:rPr>
          <w:rFonts w:ascii="Verdana" w:hAnsi="Verdana" w:cs="Arial"/>
          <w:iCs/>
          <w:sz w:val="18"/>
          <w:szCs w:val="18"/>
        </w:rPr>
        <w:t xml:space="preserve"> </w:t>
      </w:r>
      <w:r w:rsidR="00E93FD9">
        <w:rPr>
          <w:rFonts w:ascii="Verdana" w:hAnsi="Verdana" w:cs="Arial"/>
          <w:iCs/>
          <w:sz w:val="18"/>
          <w:szCs w:val="18"/>
        </w:rPr>
        <w:t>in</w:t>
      </w:r>
      <w:proofErr w:type="gramEnd"/>
      <w:r w:rsidR="00E93FD9">
        <w:rPr>
          <w:rFonts w:ascii="Verdana" w:hAnsi="Verdana" w:cs="Arial"/>
          <w:iCs/>
          <w:sz w:val="18"/>
          <w:szCs w:val="18"/>
        </w:rPr>
        <w:t xml:space="preserve"> dit wetsvoorstel wel </w:t>
      </w:r>
      <w:r w:rsidRPr="00FB1C96">
        <w:rPr>
          <w:rFonts w:ascii="Verdana" w:hAnsi="Verdana" w:cs="Arial"/>
          <w:iCs/>
          <w:sz w:val="18"/>
          <w:szCs w:val="18"/>
        </w:rPr>
        <w:t>uitgezonderd van doorlopende lasten zoals het opstellen van voorbereidende crisisplannen en afwikkelingsplanning</w:t>
      </w:r>
      <w:r w:rsidR="00E93FD9">
        <w:rPr>
          <w:rFonts w:ascii="Verdana" w:hAnsi="Verdana" w:cs="Arial"/>
          <w:iCs/>
          <w:sz w:val="18"/>
          <w:szCs w:val="18"/>
        </w:rPr>
        <w:t>. Van</w:t>
      </w:r>
      <w:r w:rsidRPr="00FB1C96">
        <w:rPr>
          <w:rFonts w:ascii="Verdana" w:hAnsi="Verdana" w:cs="Arial"/>
          <w:iCs/>
          <w:sz w:val="18"/>
          <w:szCs w:val="18"/>
        </w:rPr>
        <w:t xml:space="preserve"> verzekeraars met beperkte risico</w:t>
      </w:r>
      <w:r w:rsidR="00E93FD9">
        <w:rPr>
          <w:rFonts w:ascii="Verdana" w:hAnsi="Verdana" w:cs="Arial"/>
          <w:iCs/>
          <w:sz w:val="18"/>
          <w:szCs w:val="18"/>
        </w:rPr>
        <w:t>-</w:t>
      </w:r>
      <w:r w:rsidRPr="00FB1C96">
        <w:rPr>
          <w:rFonts w:ascii="Verdana" w:hAnsi="Verdana" w:cs="Arial"/>
          <w:iCs/>
          <w:sz w:val="18"/>
          <w:szCs w:val="18"/>
        </w:rPr>
        <w:t xml:space="preserve">omvang </w:t>
      </w:r>
      <w:r w:rsidR="00E93FD9">
        <w:rPr>
          <w:rFonts w:ascii="Verdana" w:hAnsi="Verdana" w:cs="Arial"/>
          <w:iCs/>
          <w:sz w:val="18"/>
          <w:szCs w:val="18"/>
        </w:rPr>
        <w:t xml:space="preserve">kunnen </w:t>
      </w:r>
      <w:r w:rsidRPr="00FB1C96">
        <w:rPr>
          <w:rFonts w:ascii="Verdana" w:hAnsi="Verdana" w:cs="Arial"/>
          <w:iCs/>
          <w:sz w:val="18"/>
          <w:szCs w:val="18"/>
        </w:rPr>
        <w:t xml:space="preserve">geen bijdragen </w:t>
      </w:r>
      <w:r w:rsidR="006A028B">
        <w:rPr>
          <w:rFonts w:ascii="Verdana" w:hAnsi="Verdana" w:cs="Arial"/>
          <w:iCs/>
          <w:sz w:val="18"/>
          <w:szCs w:val="18"/>
        </w:rPr>
        <w:t>worden</w:t>
      </w:r>
      <w:r w:rsidRPr="00FB1C96" w:rsidR="006A028B">
        <w:rPr>
          <w:rFonts w:ascii="Verdana" w:hAnsi="Verdana" w:cs="Arial"/>
          <w:iCs/>
          <w:sz w:val="18"/>
          <w:szCs w:val="18"/>
        </w:rPr>
        <w:t xml:space="preserve"> </w:t>
      </w:r>
      <w:r w:rsidRPr="00FB1C96">
        <w:rPr>
          <w:rFonts w:ascii="Verdana" w:hAnsi="Verdana" w:cs="Arial"/>
          <w:iCs/>
          <w:sz w:val="18"/>
          <w:szCs w:val="18"/>
        </w:rPr>
        <w:t xml:space="preserve">geheven ten behoeve van de financieringsregeling in artikel 3A:138 </w:t>
      </w:r>
      <w:proofErr w:type="spellStart"/>
      <w:r w:rsidRPr="00FB1C96">
        <w:rPr>
          <w:rFonts w:ascii="Verdana" w:hAnsi="Verdana" w:cs="Arial"/>
          <w:iCs/>
          <w:sz w:val="18"/>
          <w:szCs w:val="18"/>
        </w:rPr>
        <w:t>Wft</w:t>
      </w:r>
      <w:proofErr w:type="spellEnd"/>
      <w:r w:rsidRPr="00FB1C96">
        <w:rPr>
          <w:rFonts w:ascii="Verdana" w:hAnsi="Verdana" w:cs="Arial"/>
          <w:iCs/>
          <w:sz w:val="18"/>
          <w:szCs w:val="18"/>
        </w:rPr>
        <w:t xml:space="preserve">. </w:t>
      </w:r>
      <w:r w:rsidR="00E93FD9">
        <w:rPr>
          <w:rFonts w:ascii="Verdana" w:hAnsi="Verdana" w:cs="Arial"/>
          <w:iCs/>
          <w:sz w:val="18"/>
          <w:szCs w:val="18"/>
        </w:rPr>
        <w:t xml:space="preserve">Doordat </w:t>
      </w:r>
      <w:r w:rsidRPr="00FB1C96">
        <w:rPr>
          <w:rFonts w:ascii="Verdana" w:hAnsi="Verdana" w:cs="Arial"/>
          <w:iCs/>
          <w:sz w:val="18"/>
          <w:szCs w:val="18"/>
        </w:rPr>
        <w:t xml:space="preserve">deze verzekeraars </w:t>
      </w:r>
      <w:r w:rsidR="00E93FD9">
        <w:rPr>
          <w:rFonts w:ascii="Verdana" w:hAnsi="Verdana" w:cs="Arial"/>
          <w:iCs/>
          <w:sz w:val="18"/>
          <w:szCs w:val="18"/>
        </w:rPr>
        <w:t xml:space="preserve">onder de reikwijdte blijven vallen, </w:t>
      </w:r>
      <w:r w:rsidRPr="00FB1C96">
        <w:rPr>
          <w:rFonts w:ascii="Verdana" w:hAnsi="Verdana" w:cs="Arial"/>
          <w:iCs/>
          <w:sz w:val="18"/>
          <w:szCs w:val="18"/>
        </w:rPr>
        <w:t xml:space="preserve">geldt </w:t>
      </w:r>
      <w:r w:rsidR="00E93FD9">
        <w:rPr>
          <w:rFonts w:ascii="Verdana" w:hAnsi="Verdana" w:cs="Arial"/>
          <w:iCs/>
          <w:sz w:val="18"/>
          <w:szCs w:val="18"/>
        </w:rPr>
        <w:t>wel</w:t>
      </w:r>
      <w:r w:rsidRPr="00FB1C96">
        <w:rPr>
          <w:rFonts w:ascii="Verdana" w:hAnsi="Verdana" w:cs="Arial"/>
          <w:iCs/>
          <w:sz w:val="18"/>
          <w:szCs w:val="18"/>
        </w:rPr>
        <w:t xml:space="preserve"> dat zij in bepaalde overeenkomsten </w:t>
      </w:r>
      <w:r w:rsidR="00E93FD9">
        <w:rPr>
          <w:rFonts w:ascii="Verdana" w:hAnsi="Verdana" w:cs="Arial"/>
          <w:iCs/>
          <w:sz w:val="18"/>
          <w:szCs w:val="18"/>
        </w:rPr>
        <w:t xml:space="preserve">een clausule over </w:t>
      </w:r>
      <w:r w:rsidRPr="00FB1C96">
        <w:rPr>
          <w:rFonts w:ascii="Verdana" w:hAnsi="Verdana" w:cs="Arial"/>
          <w:iCs/>
          <w:sz w:val="18"/>
          <w:szCs w:val="18"/>
        </w:rPr>
        <w:t>de erkenning van het afschrijvings- en omzettingsinstrument (</w:t>
      </w:r>
      <w:proofErr w:type="spellStart"/>
      <w:r w:rsidRPr="00E93FD9">
        <w:rPr>
          <w:rFonts w:ascii="Verdana" w:hAnsi="Verdana" w:cs="Arial"/>
          <w:i/>
          <w:sz w:val="18"/>
          <w:szCs w:val="18"/>
        </w:rPr>
        <w:t>bail</w:t>
      </w:r>
      <w:proofErr w:type="spellEnd"/>
      <w:r w:rsidRPr="00E93FD9">
        <w:rPr>
          <w:rFonts w:ascii="Verdana" w:hAnsi="Verdana" w:cs="Arial"/>
          <w:i/>
          <w:sz w:val="18"/>
          <w:szCs w:val="18"/>
        </w:rPr>
        <w:t>-in</w:t>
      </w:r>
      <w:r w:rsidRPr="00FB1C96">
        <w:rPr>
          <w:rFonts w:ascii="Verdana" w:hAnsi="Verdana" w:cs="Arial"/>
          <w:iCs/>
          <w:sz w:val="18"/>
          <w:szCs w:val="18"/>
        </w:rPr>
        <w:t xml:space="preserve">) </w:t>
      </w:r>
      <w:r w:rsidR="00E93FD9">
        <w:rPr>
          <w:rFonts w:ascii="Verdana" w:hAnsi="Verdana" w:cs="Arial"/>
          <w:iCs/>
          <w:sz w:val="18"/>
          <w:szCs w:val="18"/>
        </w:rPr>
        <w:t xml:space="preserve">moeten </w:t>
      </w:r>
      <w:r w:rsidRPr="00FB1C96">
        <w:rPr>
          <w:rFonts w:ascii="Verdana" w:hAnsi="Verdana" w:cs="Arial"/>
          <w:iCs/>
          <w:sz w:val="18"/>
          <w:szCs w:val="18"/>
        </w:rPr>
        <w:t xml:space="preserve">opnemen. En </w:t>
      </w:r>
      <w:proofErr w:type="gramStart"/>
      <w:r w:rsidRPr="00FB1C96">
        <w:rPr>
          <w:rFonts w:ascii="Verdana" w:hAnsi="Verdana" w:cs="Arial"/>
          <w:iCs/>
          <w:sz w:val="18"/>
          <w:szCs w:val="18"/>
        </w:rPr>
        <w:t>indien</w:t>
      </w:r>
      <w:proofErr w:type="gramEnd"/>
      <w:r w:rsidRPr="00FB1C96">
        <w:rPr>
          <w:rFonts w:ascii="Verdana" w:hAnsi="Verdana" w:cs="Arial"/>
          <w:iCs/>
          <w:sz w:val="18"/>
          <w:szCs w:val="18"/>
        </w:rPr>
        <w:t xml:space="preserve"> op bepaalde financiële overeenkomsten het recht van een staat die geen lidstaat is van toepassing is, </w:t>
      </w:r>
      <w:r w:rsidR="00E93FD9">
        <w:rPr>
          <w:rFonts w:ascii="Verdana" w:hAnsi="Verdana" w:cs="Arial"/>
          <w:iCs/>
          <w:sz w:val="18"/>
          <w:szCs w:val="18"/>
        </w:rPr>
        <w:t xml:space="preserve">moeten </w:t>
      </w:r>
      <w:r w:rsidRPr="00FB1C96">
        <w:rPr>
          <w:rFonts w:ascii="Verdana" w:hAnsi="Verdana" w:cs="Arial"/>
          <w:iCs/>
          <w:sz w:val="18"/>
          <w:szCs w:val="18"/>
        </w:rPr>
        <w:t xml:space="preserve">zij contractuele bepalingen opnemen, waarbij de </w:t>
      </w:r>
      <w:r w:rsidR="00E93FD9">
        <w:rPr>
          <w:rFonts w:ascii="Verdana" w:hAnsi="Verdana" w:cs="Arial"/>
          <w:iCs/>
          <w:sz w:val="18"/>
          <w:szCs w:val="18"/>
        </w:rPr>
        <w:t>contracts</w:t>
      </w:r>
      <w:r w:rsidRPr="00FB1C96">
        <w:rPr>
          <w:rFonts w:ascii="Verdana" w:hAnsi="Verdana" w:cs="Arial"/>
          <w:iCs/>
          <w:sz w:val="18"/>
          <w:szCs w:val="18"/>
        </w:rPr>
        <w:t xml:space="preserve">partijen erkennen dat de financiële overeenkomst onderworpen </w:t>
      </w:r>
      <w:r w:rsidR="00E93FD9">
        <w:rPr>
          <w:rFonts w:ascii="Verdana" w:hAnsi="Verdana" w:cs="Arial"/>
          <w:iCs/>
          <w:sz w:val="18"/>
          <w:szCs w:val="18"/>
        </w:rPr>
        <w:t>kunnen worden</w:t>
      </w:r>
      <w:r w:rsidRPr="00FB1C96">
        <w:rPr>
          <w:rFonts w:ascii="Verdana" w:hAnsi="Verdana" w:cs="Arial"/>
          <w:iCs/>
          <w:sz w:val="18"/>
          <w:szCs w:val="18"/>
        </w:rPr>
        <w:t xml:space="preserve"> aan de uitoefening van bevoegdheden door DNB.</w:t>
      </w:r>
      <w:r w:rsidR="00E93FD9">
        <w:rPr>
          <w:rFonts w:ascii="Verdana" w:hAnsi="Verdana" w:cs="Arial"/>
          <w:iCs/>
          <w:sz w:val="18"/>
          <w:szCs w:val="18"/>
        </w:rPr>
        <w:t xml:space="preserve"> </w:t>
      </w:r>
    </w:p>
    <w:p w:rsidR="00FB1C96" w:rsidP="00FB1C96" w:rsidRDefault="00FB1C96" w14:paraId="1BC20C10" w14:textId="77777777">
      <w:pPr>
        <w:widowControl w:val="0"/>
        <w:tabs>
          <w:tab w:val="num" w:pos="720"/>
        </w:tabs>
        <w:spacing w:line="240" w:lineRule="atLeast"/>
        <w:rPr>
          <w:rFonts w:ascii="Verdana" w:hAnsi="Verdana" w:cs="Arial"/>
          <w:iCs/>
          <w:sz w:val="18"/>
          <w:szCs w:val="18"/>
        </w:rPr>
      </w:pPr>
    </w:p>
    <w:p w:rsidR="00B32FEC" w:rsidP="00FB1C96" w:rsidRDefault="00FB1C96" w14:paraId="263DA02F" w14:textId="7912E26B">
      <w:pPr>
        <w:widowControl w:val="0"/>
        <w:tabs>
          <w:tab w:val="num" w:pos="720"/>
        </w:tabs>
        <w:spacing w:line="240" w:lineRule="atLeast"/>
        <w:rPr>
          <w:rFonts w:ascii="Verdana" w:hAnsi="Verdana" w:cs="Arial"/>
          <w:iCs/>
          <w:sz w:val="18"/>
          <w:szCs w:val="18"/>
        </w:rPr>
      </w:pPr>
      <w:r w:rsidRPr="00FB1C96">
        <w:rPr>
          <w:rFonts w:ascii="Verdana" w:hAnsi="Verdana" w:cs="Arial"/>
          <w:iCs/>
          <w:sz w:val="18"/>
          <w:szCs w:val="18"/>
        </w:rPr>
        <w:t xml:space="preserve">Daarnaast wordt met dit wetsvoorstel een grondslag </w:t>
      </w:r>
      <w:r w:rsidR="006A028B">
        <w:rPr>
          <w:rFonts w:ascii="Verdana" w:hAnsi="Verdana" w:cs="Arial"/>
          <w:iCs/>
          <w:sz w:val="18"/>
          <w:szCs w:val="18"/>
        </w:rPr>
        <w:t>gecreëerd</w:t>
      </w:r>
      <w:r w:rsidRPr="00FB1C96">
        <w:rPr>
          <w:rFonts w:ascii="Verdana" w:hAnsi="Verdana" w:cs="Arial"/>
          <w:iCs/>
          <w:sz w:val="18"/>
          <w:szCs w:val="18"/>
        </w:rPr>
        <w:t xml:space="preserve"> voor DNB om een stichting administratiekantoor afwikkeling (SAA) op te richten ten behoeve van de afwikkeling van verzekeraars</w:t>
      </w:r>
      <w:r w:rsidR="00213592">
        <w:rPr>
          <w:rFonts w:ascii="Verdana" w:hAnsi="Verdana" w:cs="Arial"/>
          <w:iCs/>
          <w:sz w:val="18"/>
          <w:szCs w:val="18"/>
        </w:rPr>
        <w:t xml:space="preserve"> (a</w:t>
      </w:r>
      <w:r w:rsidRPr="00FB1C96">
        <w:rPr>
          <w:rFonts w:ascii="Verdana" w:hAnsi="Verdana" w:cs="Arial"/>
          <w:iCs/>
          <w:sz w:val="18"/>
          <w:szCs w:val="18"/>
        </w:rPr>
        <w:t xml:space="preserve">rtikel 3A:121a </w:t>
      </w:r>
      <w:proofErr w:type="spellStart"/>
      <w:r w:rsidRPr="00FB1C96">
        <w:rPr>
          <w:rFonts w:ascii="Verdana" w:hAnsi="Verdana" w:cs="Arial"/>
          <w:iCs/>
          <w:sz w:val="18"/>
          <w:szCs w:val="18"/>
        </w:rPr>
        <w:t>Wft</w:t>
      </w:r>
      <w:proofErr w:type="spellEnd"/>
      <w:r w:rsidR="00213592">
        <w:rPr>
          <w:rFonts w:ascii="Verdana" w:hAnsi="Verdana" w:cs="Arial"/>
          <w:iCs/>
          <w:sz w:val="18"/>
          <w:szCs w:val="18"/>
        </w:rPr>
        <w:t>). De SAA moet de</w:t>
      </w:r>
      <w:r w:rsidRPr="00FB1C96">
        <w:rPr>
          <w:rFonts w:ascii="Verdana" w:hAnsi="Verdana" w:cs="Arial"/>
          <w:iCs/>
          <w:sz w:val="18"/>
          <w:szCs w:val="18"/>
        </w:rPr>
        <w:t xml:space="preserve"> concrete toepassing van het instrument van </w:t>
      </w:r>
      <w:proofErr w:type="spellStart"/>
      <w:r w:rsidRPr="00FB1C96">
        <w:rPr>
          <w:rFonts w:ascii="Verdana" w:hAnsi="Verdana" w:cs="Arial"/>
          <w:iCs/>
          <w:sz w:val="18"/>
          <w:szCs w:val="18"/>
        </w:rPr>
        <w:t>bail</w:t>
      </w:r>
      <w:proofErr w:type="spellEnd"/>
      <w:r w:rsidRPr="00FB1C96">
        <w:rPr>
          <w:rFonts w:ascii="Verdana" w:hAnsi="Verdana" w:cs="Arial"/>
          <w:iCs/>
          <w:sz w:val="18"/>
          <w:szCs w:val="18"/>
        </w:rPr>
        <w:t>-in in de praktijk</w:t>
      </w:r>
      <w:r w:rsidR="00213592">
        <w:rPr>
          <w:rFonts w:ascii="Verdana" w:hAnsi="Verdana" w:cs="Arial"/>
          <w:iCs/>
          <w:sz w:val="18"/>
          <w:szCs w:val="18"/>
        </w:rPr>
        <w:t xml:space="preserve"> mogelijk maken</w:t>
      </w:r>
      <w:r w:rsidRPr="00FB1C96">
        <w:rPr>
          <w:rFonts w:ascii="Verdana" w:hAnsi="Verdana" w:cs="Arial"/>
          <w:iCs/>
          <w:sz w:val="18"/>
          <w:szCs w:val="18"/>
        </w:rPr>
        <w:t xml:space="preserve">. </w:t>
      </w:r>
      <w:r w:rsidRPr="002969FB" w:rsidR="002969FB">
        <w:rPr>
          <w:rFonts w:ascii="Verdana" w:hAnsi="Verdana" w:cs="Arial"/>
          <w:iCs/>
          <w:sz w:val="18"/>
          <w:szCs w:val="18"/>
        </w:rPr>
        <w:t xml:space="preserve">De SAA kan (tijdelijk) eigendomsinstrumenten houden ten behoeve van houders van claimrechten als gevolg van </w:t>
      </w:r>
      <w:proofErr w:type="spellStart"/>
      <w:r w:rsidRPr="002969FB" w:rsidR="002969FB">
        <w:rPr>
          <w:rFonts w:ascii="Verdana" w:hAnsi="Verdana" w:cs="Arial"/>
          <w:i/>
          <w:iCs/>
          <w:sz w:val="18"/>
          <w:szCs w:val="18"/>
        </w:rPr>
        <w:t>bail</w:t>
      </w:r>
      <w:proofErr w:type="spellEnd"/>
      <w:r w:rsidRPr="002969FB" w:rsidR="002969FB">
        <w:rPr>
          <w:rFonts w:ascii="Verdana" w:hAnsi="Verdana" w:cs="Arial"/>
          <w:iCs/>
          <w:sz w:val="18"/>
          <w:szCs w:val="18"/>
        </w:rPr>
        <w:t>-</w:t>
      </w:r>
      <w:r w:rsidRPr="002969FB" w:rsidR="002969FB">
        <w:rPr>
          <w:rFonts w:ascii="Verdana" w:hAnsi="Verdana" w:cs="Arial"/>
          <w:i/>
          <w:iCs/>
          <w:sz w:val="18"/>
          <w:szCs w:val="18"/>
        </w:rPr>
        <w:t>in</w:t>
      </w:r>
      <w:r w:rsidR="00213592">
        <w:rPr>
          <w:rFonts w:ascii="Verdana" w:hAnsi="Verdana" w:cs="Arial"/>
          <w:iCs/>
          <w:sz w:val="18"/>
          <w:szCs w:val="18"/>
        </w:rPr>
        <w:t xml:space="preserve">. De grondslag voor een </w:t>
      </w:r>
      <w:r w:rsidRPr="00FB1C96">
        <w:rPr>
          <w:rFonts w:ascii="Verdana" w:hAnsi="Verdana" w:cs="Arial"/>
          <w:iCs/>
          <w:sz w:val="18"/>
          <w:szCs w:val="18"/>
        </w:rPr>
        <w:t>dergelijk vehikel is ten behoeve van de afwikkeling van banken met de Wet Nadere Uitvoering BRRD-implementatie</w:t>
      </w:r>
      <w:r w:rsidR="00213592">
        <w:rPr>
          <w:rFonts w:ascii="Verdana" w:hAnsi="Verdana" w:cs="Arial"/>
          <w:iCs/>
          <w:sz w:val="18"/>
          <w:szCs w:val="18"/>
        </w:rPr>
        <w:t xml:space="preserve"> (Wet NUB)</w:t>
      </w:r>
      <w:r w:rsidRPr="00FB1C96">
        <w:rPr>
          <w:rFonts w:ascii="Verdana" w:hAnsi="Verdana" w:cs="Arial"/>
          <w:iCs/>
          <w:sz w:val="18"/>
          <w:szCs w:val="18"/>
        </w:rPr>
        <w:t xml:space="preserve"> opgenomen in artikel </w:t>
      </w:r>
      <w:r w:rsidRPr="00FB1C96">
        <w:rPr>
          <w:rFonts w:ascii="Verdana" w:hAnsi="Verdana" w:cs="Arial"/>
          <w:iCs/>
          <w:sz w:val="18"/>
          <w:szCs w:val="18"/>
        </w:rPr>
        <w:lastRenderedPageBreak/>
        <w:t>3A:50a</w:t>
      </w:r>
      <w:r w:rsidR="00DD7820">
        <w:rPr>
          <w:rFonts w:ascii="Verdana" w:hAnsi="Verdana" w:cs="Arial"/>
          <w:iCs/>
          <w:sz w:val="18"/>
          <w:szCs w:val="18"/>
        </w:rPr>
        <w:t xml:space="preserve"> </w:t>
      </w:r>
      <w:proofErr w:type="spellStart"/>
      <w:r w:rsidR="00DD7820">
        <w:rPr>
          <w:rFonts w:ascii="Verdana" w:hAnsi="Verdana" w:cs="Arial"/>
          <w:iCs/>
          <w:sz w:val="18"/>
          <w:szCs w:val="18"/>
        </w:rPr>
        <w:t>Wft</w:t>
      </w:r>
      <w:proofErr w:type="spellEnd"/>
      <w:r w:rsidRPr="00FB1C96">
        <w:rPr>
          <w:rFonts w:ascii="Verdana" w:hAnsi="Verdana" w:cs="Arial"/>
          <w:iCs/>
          <w:sz w:val="18"/>
          <w:szCs w:val="18"/>
        </w:rPr>
        <w:t xml:space="preserve">, en wordt nu </w:t>
      </w:r>
      <w:r w:rsidR="00213592">
        <w:rPr>
          <w:rFonts w:ascii="Verdana" w:hAnsi="Verdana" w:cs="Arial"/>
          <w:iCs/>
          <w:sz w:val="18"/>
          <w:szCs w:val="18"/>
        </w:rPr>
        <w:t xml:space="preserve">omwille van consistentie </w:t>
      </w:r>
      <w:r w:rsidRPr="00FB1C96">
        <w:rPr>
          <w:rFonts w:ascii="Verdana" w:hAnsi="Verdana" w:cs="Arial"/>
          <w:iCs/>
          <w:sz w:val="18"/>
          <w:szCs w:val="18"/>
        </w:rPr>
        <w:t xml:space="preserve">ook voor de afwikkeling van verzekeraars toegevoegd. DNB zou ook zonder </w:t>
      </w:r>
      <w:r w:rsidR="00213592">
        <w:rPr>
          <w:rFonts w:ascii="Verdana" w:hAnsi="Verdana" w:cs="Arial"/>
          <w:iCs/>
          <w:sz w:val="18"/>
          <w:szCs w:val="18"/>
        </w:rPr>
        <w:t xml:space="preserve">de grondslag in </w:t>
      </w:r>
      <w:r w:rsidRPr="00FB1C96">
        <w:rPr>
          <w:rFonts w:ascii="Verdana" w:hAnsi="Verdana" w:cs="Arial"/>
          <w:iCs/>
          <w:sz w:val="18"/>
          <w:szCs w:val="18"/>
        </w:rPr>
        <w:t xml:space="preserve">dit wetsvoorstel bevoegd zijn om ter uitvoering van haar taken als afwikkelingsautoriteit een </w:t>
      </w:r>
      <w:r w:rsidR="002969FB">
        <w:rPr>
          <w:rFonts w:ascii="Verdana" w:hAnsi="Verdana" w:cs="Arial"/>
          <w:iCs/>
          <w:sz w:val="18"/>
          <w:szCs w:val="18"/>
        </w:rPr>
        <w:t xml:space="preserve">dergelijke </w:t>
      </w:r>
      <w:r w:rsidRPr="00FB1C96">
        <w:rPr>
          <w:rFonts w:ascii="Verdana" w:hAnsi="Verdana" w:cs="Arial"/>
          <w:iCs/>
          <w:sz w:val="18"/>
          <w:szCs w:val="18"/>
        </w:rPr>
        <w:t xml:space="preserve">stichting op te richten </w:t>
      </w:r>
      <w:r w:rsidR="00DA7D39">
        <w:rPr>
          <w:rFonts w:ascii="Verdana" w:hAnsi="Verdana" w:cs="Arial"/>
          <w:iCs/>
          <w:sz w:val="18"/>
          <w:szCs w:val="18"/>
        </w:rPr>
        <w:t>om de</w:t>
      </w:r>
      <w:r w:rsidRPr="00FB1C96">
        <w:rPr>
          <w:rFonts w:ascii="Verdana" w:hAnsi="Verdana" w:cs="Arial"/>
          <w:iCs/>
          <w:sz w:val="18"/>
          <w:szCs w:val="18"/>
        </w:rPr>
        <w:t xml:space="preserve"> </w:t>
      </w:r>
      <w:r w:rsidR="002969FB">
        <w:rPr>
          <w:rFonts w:ascii="Verdana" w:hAnsi="Verdana" w:cs="Arial"/>
          <w:iCs/>
          <w:sz w:val="18"/>
          <w:szCs w:val="18"/>
        </w:rPr>
        <w:t>omzetting</w:t>
      </w:r>
      <w:r w:rsidRPr="00FB1C96">
        <w:rPr>
          <w:rFonts w:ascii="Verdana" w:hAnsi="Verdana" w:cs="Arial"/>
          <w:iCs/>
          <w:sz w:val="18"/>
          <w:szCs w:val="18"/>
        </w:rPr>
        <w:t xml:space="preserve"> te bewerkstelligen. </w:t>
      </w:r>
      <w:r w:rsidR="00213592">
        <w:rPr>
          <w:rFonts w:ascii="Verdana" w:hAnsi="Verdana" w:cs="Arial"/>
          <w:iCs/>
          <w:sz w:val="18"/>
          <w:szCs w:val="18"/>
        </w:rPr>
        <w:t xml:space="preserve">Het </w:t>
      </w:r>
      <w:r w:rsidRPr="00FB1C96">
        <w:rPr>
          <w:rFonts w:ascii="Verdana" w:hAnsi="Verdana" w:cs="Arial"/>
          <w:iCs/>
          <w:sz w:val="18"/>
          <w:szCs w:val="18"/>
        </w:rPr>
        <w:t xml:space="preserve">wetsvoorstel verduidelijkt </w:t>
      </w:r>
      <w:r w:rsidR="00213592">
        <w:rPr>
          <w:rFonts w:ascii="Verdana" w:hAnsi="Verdana" w:cs="Arial"/>
          <w:iCs/>
          <w:sz w:val="18"/>
          <w:szCs w:val="18"/>
        </w:rPr>
        <w:t xml:space="preserve">slechts </w:t>
      </w:r>
      <w:r w:rsidRPr="00FB1C96">
        <w:rPr>
          <w:rFonts w:ascii="Verdana" w:hAnsi="Verdana" w:cs="Arial"/>
          <w:iCs/>
          <w:sz w:val="18"/>
          <w:szCs w:val="18"/>
        </w:rPr>
        <w:t>dat DNB de</w:t>
      </w:r>
      <w:r w:rsidR="00DA7D39">
        <w:rPr>
          <w:rFonts w:ascii="Verdana" w:hAnsi="Verdana" w:cs="Arial"/>
          <w:iCs/>
          <w:sz w:val="18"/>
          <w:szCs w:val="18"/>
        </w:rPr>
        <w:t>ze</w:t>
      </w:r>
      <w:r w:rsidRPr="00FB1C96">
        <w:rPr>
          <w:rFonts w:ascii="Verdana" w:hAnsi="Verdana" w:cs="Arial"/>
          <w:iCs/>
          <w:sz w:val="18"/>
          <w:szCs w:val="18"/>
        </w:rPr>
        <w:t xml:space="preserve"> bevoegdheid heeft.</w:t>
      </w:r>
      <w:r w:rsidR="00213592">
        <w:rPr>
          <w:rFonts w:ascii="Verdana" w:hAnsi="Verdana" w:cs="Arial"/>
          <w:iCs/>
          <w:sz w:val="18"/>
          <w:szCs w:val="18"/>
        </w:rPr>
        <w:t xml:space="preserve"> Volledigheidshalve wordt verwezen naar het advies van de Algemene Rekenkamer hierover dat is gepubliceerd op de wetgevingskalender.</w:t>
      </w:r>
      <w:r w:rsidR="00213592">
        <w:rPr>
          <w:rStyle w:val="Voetnootmarkering"/>
          <w:rFonts w:ascii="Verdana" w:hAnsi="Verdana" w:cs="Arial"/>
          <w:iCs/>
          <w:sz w:val="18"/>
          <w:szCs w:val="18"/>
        </w:rPr>
        <w:footnoteReference w:id="1"/>
      </w:r>
    </w:p>
    <w:p w:rsidR="00556020" w:rsidP="00FB1C96" w:rsidRDefault="00556020" w14:paraId="574027EB" w14:textId="77777777">
      <w:pPr>
        <w:widowControl w:val="0"/>
        <w:tabs>
          <w:tab w:val="num" w:pos="720"/>
        </w:tabs>
        <w:spacing w:line="240" w:lineRule="atLeast"/>
        <w:rPr>
          <w:rFonts w:ascii="Verdana" w:hAnsi="Verdana" w:cs="Arial"/>
          <w:iCs/>
          <w:sz w:val="18"/>
          <w:szCs w:val="18"/>
        </w:rPr>
      </w:pPr>
    </w:p>
    <w:p w:rsidR="00556020" w:rsidP="00FB1C96" w:rsidRDefault="00556020" w14:paraId="76194444" w14:textId="666F8F72">
      <w:pPr>
        <w:widowControl w:val="0"/>
        <w:tabs>
          <w:tab w:val="num" w:pos="720"/>
        </w:tabs>
        <w:spacing w:line="240" w:lineRule="atLeast"/>
        <w:rPr>
          <w:rFonts w:ascii="Verdana" w:hAnsi="Verdana" w:cs="Arial"/>
          <w:iCs/>
          <w:sz w:val="18"/>
          <w:szCs w:val="18"/>
        </w:rPr>
      </w:pPr>
      <w:r>
        <w:rPr>
          <w:rFonts w:ascii="Verdana" w:hAnsi="Verdana" w:cs="Arial"/>
          <w:iCs/>
          <w:sz w:val="18"/>
          <w:szCs w:val="18"/>
        </w:rPr>
        <w:t>Er</w:t>
      </w:r>
      <w:r w:rsidRPr="00556020">
        <w:rPr>
          <w:rFonts w:ascii="Verdana" w:hAnsi="Verdana" w:cs="Arial"/>
          <w:iCs/>
          <w:sz w:val="18"/>
          <w:szCs w:val="18"/>
        </w:rPr>
        <w:t xml:space="preserve"> is </w:t>
      </w:r>
      <w:r>
        <w:rPr>
          <w:rFonts w:ascii="Verdana" w:hAnsi="Verdana" w:cs="Arial"/>
          <w:iCs/>
          <w:sz w:val="18"/>
          <w:szCs w:val="18"/>
        </w:rPr>
        <w:t xml:space="preserve">op een aantal onderdelen </w:t>
      </w:r>
      <w:r w:rsidRPr="00556020">
        <w:rPr>
          <w:rFonts w:ascii="Verdana" w:hAnsi="Verdana" w:cs="Arial"/>
          <w:iCs/>
          <w:sz w:val="18"/>
          <w:szCs w:val="18"/>
        </w:rPr>
        <w:t>gebruik gemaakt van de ruimte die de richtlijn, in vorm van expliciete lidstaatopties, biedt.</w:t>
      </w:r>
      <w:r w:rsidR="002E7698">
        <w:rPr>
          <w:rStyle w:val="Voetnootmarkering"/>
          <w:rFonts w:ascii="Verdana" w:hAnsi="Verdana" w:cs="Arial"/>
          <w:iCs/>
          <w:sz w:val="18"/>
          <w:szCs w:val="18"/>
        </w:rPr>
        <w:footnoteReference w:id="2"/>
      </w:r>
      <w:r w:rsidRPr="00556020">
        <w:rPr>
          <w:rFonts w:ascii="Verdana" w:hAnsi="Verdana" w:cs="Arial"/>
          <w:iCs/>
          <w:sz w:val="18"/>
          <w:szCs w:val="18"/>
        </w:rPr>
        <w:t xml:space="preserve"> In paragraaf ‘3.2.6. Lidstaatopties’ van de memorie van toelichting (p</w:t>
      </w:r>
      <w:r w:rsidR="00D754AC">
        <w:rPr>
          <w:rFonts w:ascii="Verdana" w:hAnsi="Verdana" w:cs="Arial"/>
          <w:iCs/>
          <w:sz w:val="18"/>
          <w:szCs w:val="18"/>
        </w:rPr>
        <w:t>agina</w:t>
      </w:r>
      <w:r w:rsidRPr="00556020">
        <w:rPr>
          <w:rFonts w:ascii="Verdana" w:hAnsi="Verdana" w:cs="Arial"/>
          <w:iCs/>
          <w:sz w:val="18"/>
          <w:szCs w:val="18"/>
        </w:rPr>
        <w:t xml:space="preserve"> 21 e.v.) </w:t>
      </w:r>
      <w:r w:rsidR="002E7698">
        <w:rPr>
          <w:rFonts w:ascii="Verdana" w:hAnsi="Verdana" w:cs="Arial"/>
          <w:iCs/>
          <w:sz w:val="18"/>
          <w:szCs w:val="18"/>
        </w:rPr>
        <w:t>wordt dit nader</w:t>
      </w:r>
      <w:r w:rsidRPr="00556020">
        <w:rPr>
          <w:rFonts w:ascii="Verdana" w:hAnsi="Verdana" w:cs="Arial"/>
          <w:iCs/>
          <w:sz w:val="18"/>
          <w:szCs w:val="18"/>
        </w:rPr>
        <w:t xml:space="preserve"> toegelicht.</w:t>
      </w:r>
      <w:r w:rsidR="002E7698">
        <w:rPr>
          <w:rFonts w:ascii="Verdana" w:hAnsi="Verdana" w:cs="Arial"/>
          <w:iCs/>
          <w:sz w:val="18"/>
          <w:szCs w:val="18"/>
        </w:rPr>
        <w:t xml:space="preserve"> In het algemeen is</w:t>
      </w:r>
      <w:r w:rsidR="00B974FF">
        <w:rPr>
          <w:rFonts w:ascii="Verdana" w:hAnsi="Verdana" w:cs="Arial"/>
          <w:iCs/>
          <w:sz w:val="18"/>
          <w:szCs w:val="18"/>
        </w:rPr>
        <w:t xml:space="preserve"> </w:t>
      </w:r>
      <w:r w:rsidR="002E7698">
        <w:rPr>
          <w:rFonts w:ascii="Verdana" w:hAnsi="Verdana" w:cs="Arial"/>
          <w:iCs/>
          <w:sz w:val="18"/>
          <w:szCs w:val="18"/>
        </w:rPr>
        <w:t>d</w:t>
      </w:r>
      <w:r w:rsidR="00B974FF">
        <w:rPr>
          <w:rFonts w:ascii="Verdana" w:hAnsi="Verdana" w:cs="Arial"/>
          <w:iCs/>
          <w:sz w:val="18"/>
          <w:szCs w:val="18"/>
        </w:rPr>
        <w:t>e reden om van deze lidstaatopties gebruik</w:t>
      </w:r>
      <w:r w:rsidR="002E7698">
        <w:rPr>
          <w:rFonts w:ascii="Verdana" w:hAnsi="Verdana" w:cs="Arial"/>
          <w:iCs/>
          <w:sz w:val="18"/>
          <w:szCs w:val="18"/>
        </w:rPr>
        <w:t xml:space="preserve"> te maken</w:t>
      </w:r>
      <w:r w:rsidR="00B974FF">
        <w:rPr>
          <w:rFonts w:ascii="Verdana" w:hAnsi="Verdana" w:cs="Arial"/>
          <w:iCs/>
          <w:sz w:val="18"/>
          <w:szCs w:val="18"/>
        </w:rPr>
        <w:t xml:space="preserve"> het </w:t>
      </w:r>
      <w:r w:rsidR="00D754AC">
        <w:rPr>
          <w:rFonts w:ascii="Verdana" w:hAnsi="Verdana" w:cs="Arial"/>
          <w:iCs/>
          <w:sz w:val="18"/>
          <w:szCs w:val="18"/>
        </w:rPr>
        <w:t xml:space="preserve">in stand houden van het </w:t>
      </w:r>
      <w:r w:rsidR="00B974FF">
        <w:rPr>
          <w:rFonts w:ascii="Verdana" w:hAnsi="Verdana" w:cs="Arial"/>
          <w:iCs/>
          <w:sz w:val="18"/>
          <w:szCs w:val="18"/>
        </w:rPr>
        <w:t>bestaande kader</w:t>
      </w:r>
      <w:r w:rsidR="008946E8">
        <w:rPr>
          <w:rFonts w:ascii="Verdana" w:hAnsi="Verdana" w:cs="Arial"/>
          <w:iCs/>
          <w:sz w:val="18"/>
          <w:szCs w:val="18"/>
        </w:rPr>
        <w:t xml:space="preserve">. Belangrijk om op te merken is dat </w:t>
      </w:r>
      <w:r w:rsidR="00FC66B2">
        <w:rPr>
          <w:rFonts w:ascii="Verdana" w:hAnsi="Verdana" w:cs="Arial"/>
          <w:iCs/>
          <w:sz w:val="18"/>
          <w:szCs w:val="18"/>
        </w:rPr>
        <w:t xml:space="preserve">met </w:t>
      </w:r>
      <w:r w:rsidR="008946E8">
        <w:rPr>
          <w:rFonts w:ascii="Verdana" w:hAnsi="Verdana" w:cs="Arial"/>
          <w:iCs/>
          <w:sz w:val="18"/>
          <w:szCs w:val="18"/>
        </w:rPr>
        <w:t xml:space="preserve">het gebruik van deze lidstaatopties </w:t>
      </w:r>
      <w:r w:rsidR="00FC66B2">
        <w:rPr>
          <w:rFonts w:ascii="Verdana" w:hAnsi="Verdana" w:cs="Arial"/>
          <w:iCs/>
          <w:sz w:val="18"/>
          <w:szCs w:val="18"/>
        </w:rPr>
        <w:t>juist beoogd wordt</w:t>
      </w:r>
      <w:r w:rsidR="0043597B">
        <w:rPr>
          <w:rFonts w:ascii="Verdana" w:hAnsi="Verdana" w:cs="Arial"/>
          <w:iCs/>
          <w:sz w:val="18"/>
          <w:szCs w:val="18"/>
        </w:rPr>
        <w:t xml:space="preserve"> nieuwe lasten </w:t>
      </w:r>
      <w:r w:rsidR="00FC66B2">
        <w:rPr>
          <w:rFonts w:ascii="Verdana" w:hAnsi="Verdana" w:cs="Arial"/>
          <w:iCs/>
          <w:sz w:val="18"/>
          <w:szCs w:val="18"/>
        </w:rPr>
        <w:t xml:space="preserve">zoveel mogelijk te voorkomen. </w:t>
      </w:r>
    </w:p>
    <w:p w:rsidRPr="00B32FEC" w:rsidR="00FB1C96" w:rsidP="00FB1C96" w:rsidRDefault="00FB1C96" w14:paraId="2545631D" w14:textId="77777777">
      <w:pPr>
        <w:widowControl w:val="0"/>
        <w:tabs>
          <w:tab w:val="num" w:pos="720"/>
        </w:tabs>
        <w:spacing w:line="240" w:lineRule="atLeast"/>
        <w:rPr>
          <w:rFonts w:ascii="Verdana" w:hAnsi="Verdana" w:cs="Arial"/>
          <w:iCs/>
          <w:sz w:val="18"/>
          <w:szCs w:val="18"/>
        </w:rPr>
      </w:pPr>
    </w:p>
    <w:p w:rsidRPr="00DA4547" w:rsidR="00DA4547" w:rsidP="00DA4547" w:rsidRDefault="00DA4547" w14:paraId="6537323D"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2.4 Herstelplanning en voorbereiding van afwikkeling</w:t>
      </w:r>
    </w:p>
    <w:p w:rsidRPr="00DA4547" w:rsidR="00DA4547" w:rsidP="00DA4547" w:rsidRDefault="00DA4547" w14:paraId="118F2FA5"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D238C7B"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CDA-fractie lezen dat kleine en niet-complexe verzekeraars in beginsel worden uitgezonderd van de verplichting tot het opstellen van een voorbereidend crisisplan (VCP). Kan de regering nader toelichten welke verzekeraars hieronder worden verstaan? Kan de regering </w:t>
      </w:r>
      <w:proofErr w:type="gramStart"/>
      <w:r w:rsidRPr="00DA4547">
        <w:rPr>
          <w:rFonts w:ascii="Verdana" w:hAnsi="Verdana" w:cs="Arial"/>
          <w:i/>
          <w:sz w:val="18"/>
          <w:szCs w:val="18"/>
        </w:rPr>
        <w:t>tevens</w:t>
      </w:r>
      <w:proofErr w:type="gramEnd"/>
      <w:r w:rsidRPr="00DA4547">
        <w:rPr>
          <w:rFonts w:ascii="Verdana" w:hAnsi="Verdana" w:cs="Arial"/>
          <w:i/>
          <w:sz w:val="18"/>
          <w:szCs w:val="18"/>
        </w:rPr>
        <w:t xml:space="preserve"> aangeven welk deel van de Nederlandse verzekeringsmarkt naar verwachting onder de VCP-verplichting zal vallen en welk deel daarvan wordt uitgezonderd? Kan daarbij </w:t>
      </w:r>
      <w:proofErr w:type="gramStart"/>
      <w:r w:rsidRPr="00DA4547">
        <w:rPr>
          <w:rFonts w:ascii="Verdana" w:hAnsi="Verdana" w:cs="Arial"/>
          <w:i/>
          <w:sz w:val="18"/>
          <w:szCs w:val="18"/>
        </w:rPr>
        <w:t>tevens</w:t>
      </w:r>
      <w:proofErr w:type="gramEnd"/>
      <w:r w:rsidRPr="00DA4547">
        <w:rPr>
          <w:rFonts w:ascii="Verdana" w:hAnsi="Verdana" w:cs="Arial"/>
          <w:i/>
          <w:sz w:val="18"/>
          <w:szCs w:val="18"/>
        </w:rPr>
        <w:t xml:space="preserve"> worden aangegeven om hoeveel verzekeraars dit naar verwachting gaat, zowel in absolute aantallen als in relatieve zin? </w:t>
      </w:r>
    </w:p>
    <w:p w:rsidR="00DA4547" w:rsidP="00DA4547" w:rsidRDefault="00DA4547" w14:paraId="17D125B9" w14:textId="77777777">
      <w:pPr>
        <w:widowControl w:val="0"/>
        <w:tabs>
          <w:tab w:val="num" w:pos="720"/>
        </w:tabs>
        <w:spacing w:line="240" w:lineRule="atLeast"/>
        <w:rPr>
          <w:rFonts w:ascii="Verdana" w:hAnsi="Verdana" w:cs="Arial"/>
          <w:i/>
          <w:sz w:val="18"/>
          <w:szCs w:val="18"/>
        </w:rPr>
      </w:pPr>
    </w:p>
    <w:p w:rsidR="00FB1C96" w:rsidP="00FB1C96" w:rsidRDefault="00FB1C96" w14:paraId="1F1EE09F" w14:textId="16BD1242">
      <w:pPr>
        <w:widowControl w:val="0"/>
        <w:tabs>
          <w:tab w:val="num" w:pos="720"/>
        </w:tabs>
        <w:spacing w:line="240" w:lineRule="atLeast"/>
        <w:rPr>
          <w:rFonts w:ascii="Verdana" w:hAnsi="Verdana" w:cs="Arial"/>
          <w:iCs/>
          <w:sz w:val="18"/>
          <w:szCs w:val="18"/>
        </w:rPr>
      </w:pPr>
      <w:r w:rsidRPr="00FB1C96">
        <w:rPr>
          <w:rFonts w:ascii="Verdana" w:hAnsi="Verdana" w:cs="Arial"/>
          <w:iCs/>
          <w:sz w:val="18"/>
          <w:szCs w:val="18"/>
        </w:rPr>
        <w:t xml:space="preserve">Kleine en niet-complexe ondernemingen zijn in beginsel uitgezonderd van de verplichting </w:t>
      </w:r>
      <w:r w:rsidR="0097276F">
        <w:rPr>
          <w:rFonts w:ascii="Verdana" w:hAnsi="Verdana" w:cs="Arial"/>
          <w:iCs/>
          <w:sz w:val="18"/>
          <w:szCs w:val="18"/>
        </w:rPr>
        <w:t xml:space="preserve">om een VCP op te stellen, </w:t>
      </w:r>
      <w:r w:rsidRPr="00FB1C96">
        <w:rPr>
          <w:rFonts w:ascii="Verdana" w:hAnsi="Verdana" w:cs="Arial"/>
          <w:iCs/>
          <w:sz w:val="18"/>
          <w:szCs w:val="18"/>
        </w:rPr>
        <w:t xml:space="preserve">tenzij DNB van oordeel is dat een individuele onderneming nationaal of regionaal een bijzonder risico vormt. </w:t>
      </w:r>
      <w:r w:rsidR="0097276F">
        <w:rPr>
          <w:rFonts w:ascii="Verdana" w:hAnsi="Verdana" w:cs="Arial"/>
          <w:iCs/>
          <w:sz w:val="18"/>
          <w:szCs w:val="18"/>
        </w:rPr>
        <w:t>Dit is niet dezelfde groep als de verzekeraars met beperkte risico-omvang. Het zijn ‘</w:t>
      </w:r>
      <w:proofErr w:type="spellStart"/>
      <w:r w:rsidR="0097276F">
        <w:rPr>
          <w:rFonts w:ascii="Verdana" w:hAnsi="Verdana" w:cs="Arial"/>
          <w:iCs/>
          <w:sz w:val="18"/>
          <w:szCs w:val="18"/>
        </w:rPr>
        <w:t>Solvency</w:t>
      </w:r>
      <w:proofErr w:type="spellEnd"/>
      <w:r w:rsidR="0097276F">
        <w:rPr>
          <w:rFonts w:ascii="Verdana" w:hAnsi="Verdana" w:cs="Arial"/>
          <w:iCs/>
          <w:sz w:val="18"/>
          <w:szCs w:val="18"/>
        </w:rPr>
        <w:t xml:space="preserve"> II-verzekeraars’ die </w:t>
      </w:r>
      <w:r w:rsidR="008411E4">
        <w:rPr>
          <w:rFonts w:ascii="Verdana" w:hAnsi="Verdana" w:cs="Arial"/>
          <w:iCs/>
          <w:sz w:val="18"/>
          <w:szCs w:val="18"/>
        </w:rPr>
        <w:t>op grond van de herziene richtlijn solvabiliteit</w:t>
      </w:r>
      <w:r w:rsidR="00A4583C">
        <w:rPr>
          <w:rFonts w:ascii="Verdana" w:hAnsi="Verdana" w:cs="Arial"/>
          <w:iCs/>
          <w:sz w:val="18"/>
          <w:szCs w:val="18"/>
        </w:rPr>
        <w:t xml:space="preserve"> II</w:t>
      </w:r>
      <w:r w:rsidR="008411E4">
        <w:rPr>
          <w:rFonts w:ascii="Verdana" w:hAnsi="Verdana" w:cs="Arial"/>
          <w:iCs/>
          <w:sz w:val="18"/>
          <w:szCs w:val="18"/>
        </w:rPr>
        <w:t xml:space="preserve"> kwalificeren als klein en niet-complex</w:t>
      </w:r>
      <w:r w:rsidR="0097276F">
        <w:rPr>
          <w:rFonts w:ascii="Verdana" w:hAnsi="Verdana" w:cs="Arial"/>
          <w:iCs/>
          <w:sz w:val="18"/>
          <w:szCs w:val="18"/>
        </w:rPr>
        <w:t>.</w:t>
      </w:r>
      <w:r w:rsidR="002969FB">
        <w:rPr>
          <w:rStyle w:val="Voetnootmarkering"/>
          <w:rFonts w:ascii="Verdana" w:hAnsi="Verdana" w:cs="Arial"/>
          <w:iCs/>
          <w:sz w:val="18"/>
          <w:szCs w:val="18"/>
        </w:rPr>
        <w:footnoteReference w:id="3"/>
      </w:r>
      <w:r w:rsidR="0097276F">
        <w:rPr>
          <w:rFonts w:ascii="Verdana" w:hAnsi="Verdana" w:cs="Arial"/>
          <w:iCs/>
          <w:sz w:val="18"/>
          <w:szCs w:val="18"/>
        </w:rPr>
        <w:t xml:space="preserve"> </w:t>
      </w:r>
      <w:r w:rsidR="00A432AF">
        <w:rPr>
          <w:rFonts w:ascii="Verdana" w:hAnsi="Verdana" w:cs="Arial"/>
          <w:iCs/>
          <w:sz w:val="18"/>
          <w:szCs w:val="18"/>
        </w:rPr>
        <w:t>Met deze classificatie van deze groep wordt beoogd om de</w:t>
      </w:r>
      <w:r w:rsidRPr="00A432AF" w:rsidR="00A432AF">
        <w:rPr>
          <w:rFonts w:ascii="Verdana" w:hAnsi="Verdana" w:cs="Arial"/>
          <w:iCs/>
          <w:sz w:val="18"/>
          <w:szCs w:val="18"/>
        </w:rPr>
        <w:t xml:space="preserve"> uitvoering van een herstel- en afwikkelingskader in verhouding </w:t>
      </w:r>
      <w:r w:rsidR="00A432AF">
        <w:rPr>
          <w:rFonts w:ascii="Verdana" w:hAnsi="Verdana" w:cs="Arial"/>
          <w:iCs/>
          <w:sz w:val="18"/>
          <w:szCs w:val="18"/>
        </w:rPr>
        <w:t xml:space="preserve">te laten </w:t>
      </w:r>
      <w:r w:rsidRPr="00A432AF" w:rsidR="00A432AF">
        <w:rPr>
          <w:rFonts w:ascii="Verdana" w:hAnsi="Verdana" w:cs="Arial"/>
          <w:iCs/>
          <w:sz w:val="18"/>
          <w:szCs w:val="18"/>
        </w:rPr>
        <w:t>staan tot de aard, de omvang en de complexiteit van de betrokken onderneming en haar activiteiten en diensten</w:t>
      </w:r>
      <w:r w:rsidR="00A432AF">
        <w:rPr>
          <w:rFonts w:ascii="Verdana" w:hAnsi="Verdana" w:cs="Arial"/>
          <w:iCs/>
          <w:sz w:val="18"/>
          <w:szCs w:val="18"/>
        </w:rPr>
        <w:t xml:space="preserve">. </w:t>
      </w:r>
      <w:r w:rsidRPr="00FB1C96">
        <w:rPr>
          <w:rFonts w:ascii="Verdana" w:hAnsi="Verdana" w:cs="Arial"/>
          <w:iCs/>
          <w:sz w:val="18"/>
          <w:szCs w:val="18"/>
        </w:rPr>
        <w:t>DNB kan</w:t>
      </w:r>
      <w:r w:rsidR="00A432AF">
        <w:rPr>
          <w:rFonts w:ascii="Verdana" w:hAnsi="Verdana" w:cs="Arial"/>
          <w:iCs/>
          <w:sz w:val="18"/>
          <w:szCs w:val="18"/>
        </w:rPr>
        <w:t xml:space="preserve"> in het algemeen ook</w:t>
      </w:r>
      <w:r w:rsidRPr="00FB1C96">
        <w:rPr>
          <w:rFonts w:ascii="Verdana" w:hAnsi="Verdana" w:cs="Arial"/>
          <w:iCs/>
          <w:sz w:val="18"/>
          <w:szCs w:val="18"/>
        </w:rPr>
        <w:t xml:space="preserve"> besluiten dat vereenvoudigde verplichtingen </w:t>
      </w:r>
      <w:r w:rsidRPr="00FB1C96" w:rsidR="008375AA">
        <w:rPr>
          <w:rFonts w:ascii="Verdana" w:hAnsi="Verdana" w:cs="Arial"/>
          <w:iCs/>
          <w:sz w:val="18"/>
          <w:szCs w:val="18"/>
        </w:rPr>
        <w:t>gelden voor een</w:t>
      </w:r>
      <w:r w:rsidR="008375AA">
        <w:rPr>
          <w:rFonts w:ascii="Verdana" w:hAnsi="Verdana" w:cs="Arial"/>
          <w:iCs/>
          <w:sz w:val="18"/>
          <w:szCs w:val="18"/>
        </w:rPr>
        <w:t xml:space="preserve"> </w:t>
      </w:r>
      <w:r w:rsidRPr="00FB1C96" w:rsidR="008375AA">
        <w:rPr>
          <w:rFonts w:ascii="Verdana" w:hAnsi="Verdana" w:cs="Arial"/>
          <w:iCs/>
          <w:sz w:val="18"/>
          <w:szCs w:val="18"/>
        </w:rPr>
        <w:t xml:space="preserve">verzekeraar </w:t>
      </w:r>
      <w:r w:rsidRPr="00FB1C96">
        <w:rPr>
          <w:rFonts w:ascii="Verdana" w:hAnsi="Verdana" w:cs="Arial"/>
          <w:iCs/>
          <w:sz w:val="18"/>
          <w:szCs w:val="18"/>
        </w:rPr>
        <w:t>ten aanzien van</w:t>
      </w:r>
      <w:r w:rsidR="008375AA">
        <w:rPr>
          <w:rFonts w:ascii="Verdana" w:hAnsi="Verdana" w:cs="Arial"/>
          <w:iCs/>
          <w:sz w:val="18"/>
          <w:szCs w:val="18"/>
        </w:rPr>
        <w:t xml:space="preserve"> opstellen van een</w:t>
      </w:r>
      <w:r w:rsidRPr="00FB1C96">
        <w:rPr>
          <w:rFonts w:ascii="Verdana" w:hAnsi="Verdana" w:cs="Arial"/>
          <w:iCs/>
          <w:sz w:val="18"/>
          <w:szCs w:val="18"/>
        </w:rPr>
        <w:t xml:space="preserve"> </w:t>
      </w:r>
      <w:r w:rsidR="0097276F">
        <w:rPr>
          <w:rFonts w:ascii="Verdana" w:hAnsi="Verdana" w:cs="Arial"/>
          <w:iCs/>
          <w:sz w:val="18"/>
          <w:szCs w:val="18"/>
        </w:rPr>
        <w:t>VCP.</w:t>
      </w:r>
      <w:r w:rsidR="008411E4">
        <w:rPr>
          <w:rFonts w:ascii="Verdana" w:hAnsi="Verdana" w:cs="Arial"/>
          <w:iCs/>
          <w:sz w:val="18"/>
          <w:szCs w:val="18"/>
        </w:rPr>
        <w:t xml:space="preserve"> </w:t>
      </w:r>
    </w:p>
    <w:p w:rsidRPr="00FB1C96" w:rsidR="0097276F" w:rsidP="00FB1C96" w:rsidRDefault="0097276F" w14:paraId="16F61BFC" w14:textId="77777777">
      <w:pPr>
        <w:widowControl w:val="0"/>
        <w:tabs>
          <w:tab w:val="num" w:pos="720"/>
        </w:tabs>
        <w:spacing w:line="240" w:lineRule="atLeast"/>
        <w:rPr>
          <w:rFonts w:ascii="Verdana" w:hAnsi="Verdana" w:cs="Arial"/>
          <w:iCs/>
          <w:sz w:val="18"/>
          <w:szCs w:val="18"/>
        </w:rPr>
      </w:pPr>
    </w:p>
    <w:p w:rsidR="00B32FEC" w:rsidP="00FB1C96" w:rsidRDefault="00FB1C96" w14:paraId="3BA8D43A" w14:textId="69976FD1">
      <w:pPr>
        <w:widowControl w:val="0"/>
        <w:tabs>
          <w:tab w:val="num" w:pos="720"/>
        </w:tabs>
        <w:spacing w:line="240" w:lineRule="atLeast"/>
        <w:rPr>
          <w:rFonts w:ascii="Verdana" w:hAnsi="Verdana" w:cs="Arial"/>
          <w:iCs/>
          <w:sz w:val="18"/>
          <w:szCs w:val="18"/>
        </w:rPr>
      </w:pPr>
      <w:r w:rsidRPr="00FB1C96">
        <w:rPr>
          <w:rFonts w:ascii="Verdana" w:hAnsi="Verdana" w:cs="Arial"/>
          <w:iCs/>
          <w:sz w:val="18"/>
          <w:szCs w:val="18"/>
        </w:rPr>
        <w:t>De groep entiteiten die op basis van de implementatie een VCP moet opstellen</w:t>
      </w:r>
      <w:r w:rsidR="008411E4">
        <w:rPr>
          <w:rFonts w:ascii="Verdana" w:hAnsi="Verdana" w:cs="Arial"/>
          <w:iCs/>
          <w:sz w:val="18"/>
          <w:szCs w:val="18"/>
        </w:rPr>
        <w:t>,</w:t>
      </w:r>
      <w:r w:rsidRPr="00FB1C96">
        <w:rPr>
          <w:rFonts w:ascii="Verdana" w:hAnsi="Verdana" w:cs="Arial"/>
          <w:iCs/>
          <w:sz w:val="18"/>
          <w:szCs w:val="18"/>
        </w:rPr>
        <w:t xml:space="preserve"> is naar verwachting kleiner dan op basis van de </w:t>
      </w:r>
      <w:proofErr w:type="gramStart"/>
      <w:r w:rsidRPr="00FB1C96">
        <w:rPr>
          <w:rFonts w:ascii="Verdana" w:hAnsi="Verdana" w:cs="Arial"/>
          <w:iCs/>
          <w:sz w:val="18"/>
          <w:szCs w:val="18"/>
        </w:rPr>
        <w:t>reeds</w:t>
      </w:r>
      <w:proofErr w:type="gramEnd"/>
      <w:r w:rsidRPr="00FB1C96">
        <w:rPr>
          <w:rFonts w:ascii="Verdana" w:hAnsi="Verdana" w:cs="Arial"/>
          <w:iCs/>
          <w:sz w:val="18"/>
          <w:szCs w:val="18"/>
        </w:rPr>
        <w:t xml:space="preserve"> bestaande regelgeving. Dit komt omdat de richtlijn vereist dat de toezichthoudende autoriteit een beoordeling maakt van de te selecteren verzekeraars, waarbij de autoriteit in ieder geval moet waarborgen dat de uitkomst van de beoordeling ertoe leidt dat de partijen gezamenlijk in ieder geval 60% van de markt – gescheiden in leven en schade – betreffen. </w:t>
      </w:r>
      <w:r w:rsidR="002969FB">
        <w:rPr>
          <w:rFonts w:ascii="Verdana" w:hAnsi="Verdana" w:cs="Arial"/>
          <w:iCs/>
          <w:sz w:val="18"/>
          <w:szCs w:val="18"/>
        </w:rPr>
        <w:t>Op basis van het huidige wettelijk kader geldt de verplichting om een VCP op te stellen voor alle ‘</w:t>
      </w:r>
      <w:proofErr w:type="spellStart"/>
      <w:r w:rsidR="002969FB">
        <w:rPr>
          <w:rFonts w:ascii="Verdana" w:hAnsi="Verdana" w:cs="Arial"/>
          <w:iCs/>
          <w:sz w:val="18"/>
          <w:szCs w:val="18"/>
        </w:rPr>
        <w:t>Solvency</w:t>
      </w:r>
      <w:proofErr w:type="spellEnd"/>
      <w:r w:rsidR="002969FB">
        <w:rPr>
          <w:rFonts w:ascii="Verdana" w:hAnsi="Verdana" w:cs="Arial"/>
          <w:iCs/>
          <w:sz w:val="18"/>
          <w:szCs w:val="18"/>
        </w:rPr>
        <w:t xml:space="preserve"> II-verzekeraars’ en ligt het percentage boven de 60%. </w:t>
      </w:r>
      <w:r w:rsidRPr="00FB1C96">
        <w:rPr>
          <w:rFonts w:ascii="Verdana" w:hAnsi="Verdana" w:cs="Arial"/>
          <w:iCs/>
          <w:sz w:val="18"/>
          <w:szCs w:val="18"/>
        </w:rPr>
        <w:t xml:space="preserve">Een exacte inschatting van het uiteindelijke percentage </w:t>
      </w:r>
      <w:r w:rsidR="008411E4">
        <w:rPr>
          <w:rFonts w:ascii="Verdana" w:hAnsi="Verdana" w:cs="Arial"/>
          <w:iCs/>
          <w:sz w:val="18"/>
          <w:szCs w:val="18"/>
        </w:rPr>
        <w:t xml:space="preserve">en aantal </w:t>
      </w:r>
      <w:r w:rsidRPr="00FB1C96">
        <w:rPr>
          <w:rFonts w:ascii="Verdana" w:hAnsi="Verdana" w:cs="Arial"/>
          <w:iCs/>
          <w:sz w:val="18"/>
          <w:szCs w:val="18"/>
        </w:rPr>
        <w:t xml:space="preserve">partijen </w:t>
      </w:r>
      <w:r w:rsidR="002969FB">
        <w:rPr>
          <w:rFonts w:ascii="Verdana" w:hAnsi="Verdana" w:cs="Arial"/>
          <w:iCs/>
          <w:sz w:val="18"/>
          <w:szCs w:val="18"/>
        </w:rPr>
        <w:t xml:space="preserve">na implementatie van de IRRD </w:t>
      </w:r>
      <w:r w:rsidRPr="00FB1C96">
        <w:rPr>
          <w:rFonts w:ascii="Verdana" w:hAnsi="Verdana" w:cs="Arial"/>
          <w:iCs/>
          <w:sz w:val="18"/>
          <w:szCs w:val="18"/>
        </w:rPr>
        <w:t xml:space="preserve">is </w:t>
      </w:r>
      <w:r w:rsidR="008411E4">
        <w:rPr>
          <w:rFonts w:ascii="Verdana" w:hAnsi="Verdana" w:cs="Arial"/>
          <w:iCs/>
          <w:sz w:val="18"/>
          <w:szCs w:val="18"/>
        </w:rPr>
        <w:t xml:space="preserve">nu </w:t>
      </w:r>
      <w:r w:rsidRPr="00FB1C96">
        <w:rPr>
          <w:rFonts w:ascii="Verdana" w:hAnsi="Verdana" w:cs="Arial"/>
          <w:iCs/>
          <w:sz w:val="18"/>
          <w:szCs w:val="18"/>
        </w:rPr>
        <w:t xml:space="preserve">nog niet </w:t>
      </w:r>
      <w:r w:rsidR="008411E4">
        <w:rPr>
          <w:rFonts w:ascii="Verdana" w:hAnsi="Verdana" w:cs="Arial"/>
          <w:iCs/>
          <w:sz w:val="18"/>
          <w:szCs w:val="18"/>
        </w:rPr>
        <w:t>te maken. D</w:t>
      </w:r>
      <w:r w:rsidRPr="00FB1C96">
        <w:rPr>
          <w:rFonts w:ascii="Verdana" w:hAnsi="Verdana" w:cs="Arial"/>
          <w:iCs/>
          <w:sz w:val="18"/>
          <w:szCs w:val="18"/>
        </w:rPr>
        <w:t>e criteria op basis waarvan de selectie wordt gemaakt</w:t>
      </w:r>
      <w:r w:rsidR="008411E4">
        <w:rPr>
          <w:rFonts w:ascii="Verdana" w:hAnsi="Verdana" w:cs="Arial"/>
          <w:iCs/>
          <w:sz w:val="18"/>
          <w:szCs w:val="18"/>
        </w:rPr>
        <w:t xml:space="preserve">, </w:t>
      </w:r>
      <w:r w:rsidR="002969FB">
        <w:rPr>
          <w:rFonts w:ascii="Verdana" w:hAnsi="Verdana" w:cs="Arial"/>
          <w:iCs/>
          <w:sz w:val="18"/>
          <w:szCs w:val="18"/>
        </w:rPr>
        <w:t>zijn genoemd in de IRRD en worden nader uitgewerkt in technische standaarden die EIOPA opstelt</w:t>
      </w:r>
      <w:r w:rsidRPr="00FB1C96">
        <w:rPr>
          <w:rFonts w:ascii="Verdana" w:hAnsi="Verdana" w:cs="Arial"/>
          <w:iCs/>
          <w:sz w:val="18"/>
          <w:szCs w:val="18"/>
        </w:rPr>
        <w:t>.</w:t>
      </w:r>
      <w:r w:rsidR="008411E4">
        <w:rPr>
          <w:rFonts w:ascii="Verdana" w:hAnsi="Verdana" w:cs="Arial"/>
          <w:iCs/>
          <w:sz w:val="18"/>
          <w:szCs w:val="18"/>
        </w:rPr>
        <w:t xml:space="preserve"> Na</w:t>
      </w:r>
      <w:r w:rsidR="002969FB">
        <w:rPr>
          <w:rFonts w:ascii="Verdana" w:hAnsi="Verdana" w:cs="Arial"/>
          <w:iCs/>
          <w:sz w:val="18"/>
          <w:szCs w:val="18"/>
        </w:rPr>
        <w:t xml:space="preserve"> vaststelling van </w:t>
      </w:r>
      <w:r w:rsidR="008411E4">
        <w:rPr>
          <w:rFonts w:ascii="Verdana" w:hAnsi="Verdana" w:cs="Arial"/>
          <w:iCs/>
          <w:sz w:val="18"/>
          <w:szCs w:val="18"/>
        </w:rPr>
        <w:t xml:space="preserve">deze standaarden, kan DNB haar definitieve </w:t>
      </w:r>
      <w:r w:rsidR="008411E4">
        <w:rPr>
          <w:rFonts w:ascii="Verdana" w:hAnsi="Verdana" w:cs="Arial"/>
          <w:iCs/>
          <w:sz w:val="18"/>
          <w:szCs w:val="18"/>
        </w:rPr>
        <w:lastRenderedPageBreak/>
        <w:t xml:space="preserve">beoordeling doen. </w:t>
      </w:r>
    </w:p>
    <w:p w:rsidRPr="00DA4547" w:rsidR="00FB1C96" w:rsidP="00FB1C96" w:rsidRDefault="00FB1C96" w14:paraId="48347516"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361C656"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2.5 Afwikkelingsinstrumentarium</w:t>
      </w:r>
    </w:p>
    <w:p w:rsidRPr="00DA4547" w:rsidR="00DA4547" w:rsidP="00DA4547" w:rsidRDefault="00DA4547" w14:paraId="4902A576"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05928001"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In de memorie van toelichting lezen de leden van de PVV-fractie dat eventuele compensaties voor schendingen van het 'no </w:t>
      </w:r>
      <w:proofErr w:type="spellStart"/>
      <w:r w:rsidRPr="00DA4547">
        <w:rPr>
          <w:rFonts w:ascii="Verdana" w:hAnsi="Verdana" w:cs="Arial"/>
          <w:i/>
          <w:sz w:val="18"/>
          <w:szCs w:val="18"/>
        </w:rPr>
        <w:t>creditor</w:t>
      </w:r>
      <w:proofErr w:type="spellEnd"/>
      <w:r w:rsidRPr="00DA4547">
        <w:rPr>
          <w:rFonts w:ascii="Verdana" w:hAnsi="Verdana" w:cs="Arial"/>
          <w:i/>
          <w:sz w:val="18"/>
          <w:szCs w:val="18"/>
        </w:rPr>
        <w:t xml:space="preserve"> </w:t>
      </w:r>
      <w:proofErr w:type="spellStart"/>
      <w:r w:rsidRPr="00DA4547">
        <w:rPr>
          <w:rFonts w:ascii="Verdana" w:hAnsi="Verdana" w:cs="Arial"/>
          <w:i/>
          <w:sz w:val="18"/>
          <w:szCs w:val="18"/>
        </w:rPr>
        <w:t>worse</w:t>
      </w:r>
      <w:proofErr w:type="spellEnd"/>
      <w:r w:rsidRPr="00DA4547">
        <w:rPr>
          <w:rFonts w:ascii="Verdana" w:hAnsi="Verdana" w:cs="Arial"/>
          <w:i/>
          <w:sz w:val="18"/>
          <w:szCs w:val="18"/>
        </w:rPr>
        <w:t xml:space="preserve"> off'-beginsel (NCWO) ex-post via heffingen worden verhaald op de Nederlandse verzekeringssector en haar consumenten via de financieringsregeling (artikel 3A:138). Klopt het dat deze ex-post heffingen uiteindelijk door verzekeraars worden doorberekend in de premies van de Nederlandse consument? Waarom moet de hardwerkende Nederlandse burger via hogere verzekeringspremies indirect opdraaien voor de risico’s en het falen van (grensoverschrijdende) financiële instellingen, in plaats van de sector volledig zelf verantwoordelijk te houden zonder collectieve sectorale vangnetten? Kan de regering bevestigen dat, doordat de financieringsregeling (artikel 3A:138 </w:t>
      </w:r>
      <w:proofErr w:type="spellStart"/>
      <w:r w:rsidRPr="00DA4547">
        <w:rPr>
          <w:rFonts w:ascii="Verdana" w:hAnsi="Verdana" w:cs="Arial"/>
          <w:i/>
          <w:sz w:val="18"/>
          <w:szCs w:val="18"/>
        </w:rPr>
        <w:t>Wft</w:t>
      </w:r>
      <w:proofErr w:type="spellEnd"/>
      <w:r w:rsidRPr="00DA4547">
        <w:rPr>
          <w:rFonts w:ascii="Verdana" w:hAnsi="Verdana" w:cs="Arial"/>
          <w:i/>
          <w:sz w:val="18"/>
          <w:szCs w:val="18"/>
        </w:rPr>
        <w:t>) uitgaat van het zogenaamde 'home state-perspectief', de compensaties die via ex-post heffingen op de Nederlandse verzekeringssector worden verhaald, gelden ongeacht de verblijfplaats van de gedupeerde en dus ook ten gunste komen van buitenlandse polishouders in andere EU-landen? Erkent de regering dat de Nederlandse premiebetaler hierdoor de facto direct opdraait voor de financiële problemen en de compensatie van gedupeerden in een ander EU-land?</w:t>
      </w:r>
    </w:p>
    <w:p w:rsidR="00DA4547" w:rsidP="00DA4547" w:rsidRDefault="00DA4547" w14:paraId="60455B90" w14:textId="77777777">
      <w:pPr>
        <w:widowControl w:val="0"/>
        <w:tabs>
          <w:tab w:val="num" w:pos="720"/>
        </w:tabs>
        <w:spacing w:line="240" w:lineRule="atLeast"/>
        <w:rPr>
          <w:rFonts w:ascii="Verdana" w:hAnsi="Verdana" w:cs="Arial"/>
          <w:iCs/>
          <w:sz w:val="18"/>
          <w:szCs w:val="18"/>
        </w:rPr>
      </w:pPr>
    </w:p>
    <w:p w:rsidRPr="00FB1C96" w:rsidR="00FB1C96" w:rsidP="00FB1C96" w:rsidRDefault="00184697" w14:paraId="58EE71A0" w14:textId="79602A70">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De bestaande financieringsregeling uit de </w:t>
      </w:r>
      <w:proofErr w:type="spellStart"/>
      <w:r>
        <w:rPr>
          <w:rFonts w:ascii="Verdana" w:hAnsi="Verdana" w:cs="Arial"/>
          <w:iCs/>
          <w:sz w:val="18"/>
          <w:szCs w:val="18"/>
        </w:rPr>
        <w:t>Wft</w:t>
      </w:r>
      <w:proofErr w:type="spellEnd"/>
      <w:r>
        <w:rPr>
          <w:rFonts w:ascii="Verdana" w:hAnsi="Verdana" w:cs="Arial"/>
          <w:iCs/>
          <w:sz w:val="18"/>
          <w:szCs w:val="18"/>
        </w:rPr>
        <w:t>, d</w:t>
      </w:r>
      <w:r w:rsidR="002969FB">
        <w:rPr>
          <w:rFonts w:ascii="Verdana" w:hAnsi="Verdana" w:cs="Arial"/>
          <w:iCs/>
          <w:sz w:val="18"/>
          <w:szCs w:val="18"/>
        </w:rPr>
        <w:t>ie</w:t>
      </w:r>
      <w:r>
        <w:rPr>
          <w:rFonts w:ascii="Verdana" w:hAnsi="Verdana" w:cs="Arial"/>
          <w:iCs/>
          <w:sz w:val="18"/>
          <w:szCs w:val="18"/>
        </w:rPr>
        <w:t xml:space="preserve"> beperkt wordt aangepast met het wetsvoorstel, is van toepassing op </w:t>
      </w:r>
      <w:r w:rsidRPr="00184697">
        <w:rPr>
          <w:rFonts w:ascii="Verdana" w:hAnsi="Verdana" w:cs="Arial"/>
          <w:iCs/>
          <w:sz w:val="18"/>
          <w:szCs w:val="18"/>
        </w:rPr>
        <w:t>verzekeraars met zetel in Nederland, niet zijnde verzekeraars met beperkte risico-omvang, en Uniebijkantoren</w:t>
      </w:r>
      <w:r w:rsidR="00A51774">
        <w:rPr>
          <w:rStyle w:val="Voetnootmarkering"/>
          <w:rFonts w:ascii="Verdana" w:hAnsi="Verdana" w:cs="Arial"/>
          <w:iCs/>
          <w:sz w:val="18"/>
          <w:szCs w:val="18"/>
        </w:rPr>
        <w:footnoteReference w:id="4"/>
      </w:r>
      <w:r w:rsidRPr="00184697">
        <w:rPr>
          <w:rFonts w:ascii="Verdana" w:hAnsi="Verdana" w:cs="Arial"/>
          <w:iCs/>
          <w:sz w:val="18"/>
          <w:szCs w:val="18"/>
        </w:rPr>
        <w:t xml:space="preserve"> in Nederland</w:t>
      </w:r>
      <w:r>
        <w:rPr>
          <w:rFonts w:ascii="Verdana" w:hAnsi="Verdana" w:cs="Arial"/>
          <w:iCs/>
          <w:sz w:val="18"/>
          <w:szCs w:val="18"/>
        </w:rPr>
        <w:t xml:space="preserve">. </w:t>
      </w:r>
      <w:r w:rsidRPr="00FB1C96" w:rsidR="00FB1C96">
        <w:rPr>
          <w:rFonts w:ascii="Verdana" w:hAnsi="Verdana" w:cs="Arial"/>
          <w:iCs/>
          <w:sz w:val="18"/>
          <w:szCs w:val="18"/>
        </w:rPr>
        <w:t>Het klopt dat het wetsvoorstel</w:t>
      </w:r>
      <w:r>
        <w:rPr>
          <w:rFonts w:ascii="Verdana" w:hAnsi="Verdana" w:cs="Arial"/>
          <w:iCs/>
          <w:sz w:val="18"/>
          <w:szCs w:val="18"/>
        </w:rPr>
        <w:t xml:space="preserve"> met betrekking tot de financieringsregeling van artikel 3A:138 </w:t>
      </w:r>
      <w:proofErr w:type="spellStart"/>
      <w:r>
        <w:rPr>
          <w:rFonts w:ascii="Verdana" w:hAnsi="Verdana" w:cs="Arial"/>
          <w:iCs/>
          <w:sz w:val="18"/>
          <w:szCs w:val="18"/>
        </w:rPr>
        <w:t>Wft</w:t>
      </w:r>
      <w:proofErr w:type="spellEnd"/>
      <w:r w:rsidRPr="00FB1C96" w:rsidR="00FB1C96">
        <w:rPr>
          <w:rFonts w:ascii="Verdana" w:hAnsi="Verdana" w:cs="Arial"/>
          <w:iCs/>
          <w:sz w:val="18"/>
          <w:szCs w:val="18"/>
        </w:rPr>
        <w:t xml:space="preserve"> </w:t>
      </w:r>
      <w:r>
        <w:rPr>
          <w:rFonts w:ascii="Verdana" w:hAnsi="Verdana" w:cs="Arial"/>
          <w:iCs/>
          <w:sz w:val="18"/>
          <w:szCs w:val="18"/>
        </w:rPr>
        <w:t xml:space="preserve">daarmee </w:t>
      </w:r>
      <w:r w:rsidRPr="00FB1C96" w:rsidR="00FB1C96">
        <w:rPr>
          <w:rFonts w:ascii="Verdana" w:hAnsi="Verdana" w:cs="Arial"/>
          <w:iCs/>
          <w:sz w:val="18"/>
          <w:szCs w:val="18"/>
        </w:rPr>
        <w:t>uitgaat van het ‘</w:t>
      </w:r>
      <w:r w:rsidRPr="00184697" w:rsidR="00FB1C96">
        <w:rPr>
          <w:rFonts w:ascii="Verdana" w:hAnsi="Verdana" w:cs="Arial"/>
          <w:i/>
          <w:sz w:val="18"/>
          <w:szCs w:val="18"/>
        </w:rPr>
        <w:t>home-state</w:t>
      </w:r>
      <w:r w:rsidRPr="00FB1C96" w:rsidR="00FB1C96">
        <w:rPr>
          <w:rFonts w:ascii="Verdana" w:hAnsi="Verdana" w:cs="Arial"/>
          <w:iCs/>
          <w:sz w:val="18"/>
          <w:szCs w:val="18"/>
        </w:rPr>
        <w:t>-perspectief’ of ‘</w:t>
      </w:r>
      <w:r w:rsidRPr="00184697" w:rsidR="00FB1C96">
        <w:rPr>
          <w:rFonts w:ascii="Verdana" w:hAnsi="Verdana" w:cs="Arial"/>
          <w:i/>
          <w:sz w:val="18"/>
          <w:szCs w:val="18"/>
        </w:rPr>
        <w:t>home-country-</w:t>
      </w:r>
      <w:proofErr w:type="spellStart"/>
      <w:r w:rsidRPr="00184697" w:rsidR="00FB1C96">
        <w:rPr>
          <w:rFonts w:ascii="Verdana" w:hAnsi="Verdana" w:cs="Arial"/>
          <w:i/>
          <w:sz w:val="18"/>
          <w:szCs w:val="18"/>
        </w:rPr>
        <w:t>principle</w:t>
      </w:r>
      <w:proofErr w:type="spellEnd"/>
      <w:r w:rsidRPr="00184697" w:rsidR="00FB1C96">
        <w:rPr>
          <w:rFonts w:ascii="Verdana" w:hAnsi="Verdana" w:cs="Arial"/>
          <w:i/>
          <w:sz w:val="18"/>
          <w:szCs w:val="18"/>
        </w:rPr>
        <w:t>’</w:t>
      </w:r>
      <w:r w:rsidRPr="00FB1C96" w:rsidR="00FB1C96">
        <w:rPr>
          <w:rFonts w:ascii="Verdana" w:hAnsi="Verdana" w:cs="Arial"/>
          <w:iCs/>
          <w:sz w:val="18"/>
          <w:szCs w:val="18"/>
        </w:rPr>
        <w:t>.</w:t>
      </w:r>
      <w:r>
        <w:rPr>
          <w:rFonts w:ascii="Verdana" w:hAnsi="Verdana" w:cs="Arial"/>
          <w:iCs/>
          <w:sz w:val="18"/>
          <w:szCs w:val="18"/>
        </w:rPr>
        <w:t xml:space="preserve"> Dat is </w:t>
      </w:r>
      <w:proofErr w:type="gramStart"/>
      <w:r>
        <w:rPr>
          <w:rFonts w:ascii="Verdana" w:hAnsi="Verdana" w:cs="Arial"/>
          <w:iCs/>
          <w:sz w:val="18"/>
          <w:szCs w:val="18"/>
        </w:rPr>
        <w:t>conform</w:t>
      </w:r>
      <w:proofErr w:type="gramEnd"/>
      <w:r>
        <w:rPr>
          <w:rFonts w:ascii="Verdana" w:hAnsi="Verdana" w:cs="Arial"/>
          <w:iCs/>
          <w:sz w:val="18"/>
          <w:szCs w:val="18"/>
        </w:rPr>
        <w:t xml:space="preserve"> de richtlijn, dus dat geldt voor de financieringsregelingen van alle lidstaten.</w:t>
      </w:r>
      <w:r w:rsidRPr="00FB1C96">
        <w:rPr>
          <w:rFonts w:ascii="Verdana" w:hAnsi="Verdana" w:cs="Arial"/>
          <w:iCs/>
          <w:sz w:val="18"/>
          <w:szCs w:val="18"/>
        </w:rPr>
        <w:t xml:space="preserve"> </w:t>
      </w:r>
      <w:r>
        <w:rPr>
          <w:rFonts w:ascii="Verdana" w:hAnsi="Verdana" w:cs="Arial"/>
          <w:iCs/>
          <w:sz w:val="18"/>
          <w:szCs w:val="18"/>
        </w:rPr>
        <w:t>Met artikel 81 IRRD</w:t>
      </w:r>
      <w:r w:rsidR="00D67827">
        <w:rPr>
          <w:rFonts w:ascii="Verdana" w:hAnsi="Verdana" w:cs="Arial"/>
          <w:iCs/>
          <w:sz w:val="18"/>
          <w:szCs w:val="18"/>
        </w:rPr>
        <w:t>,</w:t>
      </w:r>
      <w:r>
        <w:rPr>
          <w:rFonts w:ascii="Verdana" w:hAnsi="Verdana" w:cs="Arial"/>
          <w:iCs/>
          <w:sz w:val="18"/>
          <w:szCs w:val="18"/>
        </w:rPr>
        <w:t xml:space="preserve"> </w:t>
      </w:r>
      <w:r w:rsidR="00D67827">
        <w:rPr>
          <w:rFonts w:ascii="Verdana" w:hAnsi="Verdana" w:cs="Arial"/>
          <w:iCs/>
          <w:sz w:val="18"/>
          <w:szCs w:val="18"/>
        </w:rPr>
        <w:t xml:space="preserve">dat </w:t>
      </w:r>
      <w:r>
        <w:rPr>
          <w:rFonts w:ascii="Verdana" w:hAnsi="Verdana" w:cs="Arial"/>
          <w:iCs/>
          <w:sz w:val="18"/>
          <w:szCs w:val="18"/>
        </w:rPr>
        <w:t xml:space="preserve">verplichte financieringsregelingen </w:t>
      </w:r>
      <w:r w:rsidR="00D67827">
        <w:rPr>
          <w:rFonts w:ascii="Verdana" w:hAnsi="Verdana" w:cs="Arial"/>
          <w:iCs/>
          <w:sz w:val="18"/>
          <w:szCs w:val="18"/>
        </w:rPr>
        <w:t xml:space="preserve">regelt, </w:t>
      </w:r>
      <w:r w:rsidRPr="00FB1C96" w:rsidR="00FB1C96">
        <w:rPr>
          <w:rFonts w:ascii="Verdana" w:hAnsi="Verdana" w:cs="Arial"/>
          <w:iCs/>
          <w:sz w:val="18"/>
          <w:szCs w:val="18"/>
        </w:rPr>
        <w:t>wordt duidelijkheid ge</w:t>
      </w:r>
      <w:r>
        <w:rPr>
          <w:rFonts w:ascii="Verdana" w:hAnsi="Verdana" w:cs="Arial"/>
          <w:iCs/>
          <w:sz w:val="18"/>
          <w:szCs w:val="18"/>
        </w:rPr>
        <w:t>geven over</w:t>
      </w:r>
      <w:r w:rsidRPr="00FB1C96" w:rsidR="00FB1C96">
        <w:rPr>
          <w:rFonts w:ascii="Verdana" w:hAnsi="Verdana" w:cs="Arial"/>
          <w:iCs/>
          <w:sz w:val="18"/>
          <w:szCs w:val="18"/>
        </w:rPr>
        <w:t xml:space="preserve"> welke financieringsregeling verantwoordelijk is voor eventuele compensatie</w:t>
      </w:r>
      <w:r>
        <w:rPr>
          <w:rFonts w:ascii="Verdana" w:hAnsi="Verdana" w:cs="Arial"/>
          <w:iCs/>
          <w:sz w:val="18"/>
          <w:szCs w:val="18"/>
        </w:rPr>
        <w:t xml:space="preserve"> bij tekorten</w:t>
      </w:r>
      <w:r w:rsidRPr="00FB1C96" w:rsidR="00FB1C96">
        <w:rPr>
          <w:rFonts w:ascii="Verdana" w:hAnsi="Verdana" w:cs="Arial"/>
          <w:iCs/>
          <w:sz w:val="18"/>
          <w:szCs w:val="18"/>
        </w:rPr>
        <w:t xml:space="preserve">. </w:t>
      </w:r>
      <w:r>
        <w:rPr>
          <w:rFonts w:ascii="Verdana" w:hAnsi="Verdana" w:cs="Arial"/>
          <w:iCs/>
          <w:sz w:val="18"/>
          <w:szCs w:val="18"/>
        </w:rPr>
        <w:t>Met de</w:t>
      </w:r>
      <w:r w:rsidR="00D67827">
        <w:rPr>
          <w:rFonts w:ascii="Verdana" w:hAnsi="Verdana" w:cs="Arial"/>
          <w:iCs/>
          <w:sz w:val="18"/>
          <w:szCs w:val="18"/>
        </w:rPr>
        <w:t>ze</w:t>
      </w:r>
      <w:r>
        <w:rPr>
          <w:rFonts w:ascii="Verdana" w:hAnsi="Verdana" w:cs="Arial"/>
          <w:iCs/>
          <w:sz w:val="18"/>
          <w:szCs w:val="18"/>
        </w:rPr>
        <w:t xml:space="preserve"> verdeling wordt</w:t>
      </w:r>
      <w:r w:rsidRPr="00FB1C96" w:rsidR="00FB1C96">
        <w:rPr>
          <w:rFonts w:ascii="Verdana" w:hAnsi="Verdana" w:cs="Arial"/>
          <w:iCs/>
          <w:sz w:val="18"/>
          <w:szCs w:val="18"/>
        </w:rPr>
        <w:t xml:space="preserve"> aangesloten bij toezicht en resolutie, waarbij het ‘</w:t>
      </w:r>
      <w:r w:rsidRPr="00184697" w:rsidR="00FB1C96">
        <w:rPr>
          <w:rFonts w:ascii="Verdana" w:hAnsi="Verdana" w:cs="Arial"/>
          <w:i/>
          <w:sz w:val="18"/>
          <w:szCs w:val="18"/>
        </w:rPr>
        <w:t>home-country-</w:t>
      </w:r>
      <w:proofErr w:type="spellStart"/>
      <w:r w:rsidRPr="00184697" w:rsidR="00FB1C96">
        <w:rPr>
          <w:rFonts w:ascii="Verdana" w:hAnsi="Verdana" w:cs="Arial"/>
          <w:i/>
          <w:sz w:val="18"/>
          <w:szCs w:val="18"/>
        </w:rPr>
        <w:t>principle</w:t>
      </w:r>
      <w:proofErr w:type="spellEnd"/>
      <w:r w:rsidRPr="00FB1C96" w:rsidR="00FB1C96">
        <w:rPr>
          <w:rFonts w:ascii="Verdana" w:hAnsi="Verdana" w:cs="Arial"/>
          <w:iCs/>
          <w:sz w:val="18"/>
          <w:szCs w:val="18"/>
        </w:rPr>
        <w:t>’ eveneens geldt</w:t>
      </w:r>
      <w:r>
        <w:rPr>
          <w:rFonts w:ascii="Verdana" w:hAnsi="Verdana" w:cs="Arial"/>
          <w:iCs/>
          <w:sz w:val="18"/>
          <w:szCs w:val="18"/>
        </w:rPr>
        <w:t xml:space="preserve">. Dat </w:t>
      </w:r>
      <w:r w:rsidRPr="00FB1C96" w:rsidR="00FB1C96">
        <w:rPr>
          <w:rFonts w:ascii="Verdana" w:hAnsi="Verdana" w:cs="Arial"/>
          <w:iCs/>
          <w:sz w:val="18"/>
          <w:szCs w:val="18"/>
        </w:rPr>
        <w:t xml:space="preserve">betekent dat DNB primair verantwoordelijk is voor toezicht en het eventueel toepassen van resolutie op entiteiten met een </w:t>
      </w:r>
      <w:r w:rsidR="002969FB">
        <w:rPr>
          <w:rFonts w:ascii="Verdana" w:hAnsi="Verdana" w:cs="Arial"/>
          <w:iCs/>
          <w:sz w:val="18"/>
          <w:szCs w:val="18"/>
        </w:rPr>
        <w:t>zetel in Nederland</w:t>
      </w:r>
      <w:r w:rsidRPr="00FB1C96" w:rsidR="00FB1C96">
        <w:rPr>
          <w:rFonts w:ascii="Verdana" w:hAnsi="Verdana" w:cs="Arial"/>
          <w:iCs/>
          <w:sz w:val="18"/>
          <w:szCs w:val="18"/>
        </w:rPr>
        <w:t>. Mocht de financieringsregeling worden aangewend, dan is dit alleen in een scenario dat er sprake is van de afwikkeling van een verzekeraar</w:t>
      </w:r>
      <w:r w:rsidR="002E206F">
        <w:rPr>
          <w:rFonts w:ascii="Verdana" w:hAnsi="Verdana" w:cs="Arial"/>
          <w:iCs/>
          <w:sz w:val="18"/>
          <w:szCs w:val="18"/>
        </w:rPr>
        <w:t xml:space="preserve"> </w:t>
      </w:r>
      <w:r w:rsidR="00F168A8">
        <w:rPr>
          <w:rFonts w:ascii="Verdana" w:hAnsi="Verdana" w:cs="Arial"/>
          <w:iCs/>
          <w:sz w:val="18"/>
          <w:szCs w:val="18"/>
        </w:rPr>
        <w:t>(</w:t>
      </w:r>
      <w:r w:rsidR="002E206F">
        <w:rPr>
          <w:rFonts w:ascii="Verdana" w:hAnsi="Verdana" w:cs="Arial"/>
          <w:iCs/>
          <w:sz w:val="18"/>
          <w:szCs w:val="18"/>
        </w:rPr>
        <w:t xml:space="preserve">of </w:t>
      </w:r>
      <w:r w:rsidR="00F168A8">
        <w:rPr>
          <w:rFonts w:ascii="Verdana" w:hAnsi="Verdana" w:cs="Arial"/>
          <w:iCs/>
          <w:sz w:val="18"/>
          <w:szCs w:val="18"/>
        </w:rPr>
        <w:t>andere entiteiten genoemd in 3A:78</w:t>
      </w:r>
      <w:r w:rsidR="00D67827">
        <w:rPr>
          <w:rFonts w:ascii="Verdana" w:hAnsi="Verdana" w:cs="Arial"/>
          <w:iCs/>
          <w:sz w:val="18"/>
          <w:szCs w:val="18"/>
        </w:rPr>
        <w:t xml:space="preserve"> </w:t>
      </w:r>
      <w:proofErr w:type="spellStart"/>
      <w:r w:rsidR="00D67827">
        <w:rPr>
          <w:rFonts w:ascii="Verdana" w:hAnsi="Verdana" w:cs="Arial"/>
          <w:iCs/>
          <w:sz w:val="18"/>
          <w:szCs w:val="18"/>
        </w:rPr>
        <w:t>Wft</w:t>
      </w:r>
      <w:proofErr w:type="spellEnd"/>
      <w:r w:rsidR="00F168A8">
        <w:rPr>
          <w:rFonts w:ascii="Verdana" w:hAnsi="Verdana" w:cs="Arial"/>
          <w:iCs/>
          <w:sz w:val="18"/>
          <w:szCs w:val="18"/>
        </w:rPr>
        <w:t xml:space="preserve">, zoals een </w:t>
      </w:r>
      <w:r w:rsidR="002E206F">
        <w:rPr>
          <w:rFonts w:ascii="Verdana" w:hAnsi="Verdana" w:cs="Arial"/>
          <w:iCs/>
          <w:sz w:val="18"/>
          <w:szCs w:val="18"/>
        </w:rPr>
        <w:t>Uniebijkantoor</w:t>
      </w:r>
      <w:r w:rsidR="00F168A8">
        <w:rPr>
          <w:rFonts w:ascii="Verdana" w:hAnsi="Verdana" w:cs="Arial"/>
          <w:iCs/>
          <w:sz w:val="18"/>
          <w:szCs w:val="18"/>
        </w:rPr>
        <w:t>)</w:t>
      </w:r>
      <w:r w:rsidR="002E206F">
        <w:rPr>
          <w:rFonts w:ascii="Verdana" w:hAnsi="Verdana" w:cs="Arial"/>
          <w:iCs/>
          <w:sz w:val="18"/>
          <w:szCs w:val="18"/>
        </w:rPr>
        <w:t xml:space="preserve"> gevestigd in Nederland, en alleen voor specifieke doeleinden. Bijvoorbeeld als</w:t>
      </w:r>
      <w:r w:rsidRPr="00FB1C96" w:rsidR="00FB1C96">
        <w:rPr>
          <w:rFonts w:ascii="Verdana" w:hAnsi="Verdana" w:cs="Arial"/>
          <w:iCs/>
          <w:sz w:val="18"/>
          <w:szCs w:val="18"/>
        </w:rPr>
        <w:t xml:space="preserve"> bij die afwikkeling schuldeisers</w:t>
      </w:r>
      <w:r w:rsidR="002E206F">
        <w:rPr>
          <w:rFonts w:ascii="Verdana" w:hAnsi="Verdana" w:cs="Arial"/>
          <w:iCs/>
          <w:sz w:val="18"/>
          <w:szCs w:val="18"/>
        </w:rPr>
        <w:t xml:space="preserve"> achteraf</w:t>
      </w:r>
      <w:r w:rsidRPr="00FB1C96" w:rsidR="00FB1C96">
        <w:rPr>
          <w:rFonts w:ascii="Verdana" w:hAnsi="Verdana" w:cs="Arial"/>
          <w:iCs/>
          <w:sz w:val="18"/>
          <w:szCs w:val="18"/>
        </w:rPr>
        <w:t xml:space="preserve"> slechter af </w:t>
      </w:r>
      <w:r w:rsidR="002E206F">
        <w:rPr>
          <w:rFonts w:ascii="Verdana" w:hAnsi="Verdana" w:cs="Arial"/>
          <w:iCs/>
          <w:sz w:val="18"/>
          <w:szCs w:val="18"/>
        </w:rPr>
        <w:t xml:space="preserve">blijken te </w:t>
      </w:r>
      <w:r w:rsidRPr="00FB1C96" w:rsidR="00FB1C96">
        <w:rPr>
          <w:rFonts w:ascii="Verdana" w:hAnsi="Verdana" w:cs="Arial"/>
          <w:iCs/>
          <w:sz w:val="18"/>
          <w:szCs w:val="18"/>
        </w:rPr>
        <w:t xml:space="preserve">zijn in resolutie dan in faillissement. </w:t>
      </w:r>
      <w:r w:rsidR="00E82656">
        <w:rPr>
          <w:rFonts w:ascii="Verdana" w:hAnsi="Verdana" w:cs="Arial"/>
          <w:iCs/>
          <w:sz w:val="18"/>
          <w:szCs w:val="18"/>
        </w:rPr>
        <w:t xml:space="preserve">Als het verschil tussen wat schuldeisers </w:t>
      </w:r>
      <w:proofErr w:type="gramStart"/>
      <w:r w:rsidR="00E82656">
        <w:rPr>
          <w:rFonts w:ascii="Verdana" w:hAnsi="Verdana" w:cs="Arial"/>
          <w:iCs/>
          <w:sz w:val="18"/>
          <w:szCs w:val="18"/>
        </w:rPr>
        <w:t>terug krijgen</w:t>
      </w:r>
      <w:proofErr w:type="gramEnd"/>
      <w:r w:rsidR="00E82656">
        <w:rPr>
          <w:rFonts w:ascii="Verdana" w:hAnsi="Verdana" w:cs="Arial"/>
          <w:iCs/>
          <w:sz w:val="18"/>
          <w:szCs w:val="18"/>
        </w:rPr>
        <w:t xml:space="preserve"> in resolutie ten opzichte van </w:t>
      </w:r>
      <w:r w:rsidR="002E206F">
        <w:rPr>
          <w:rFonts w:ascii="Verdana" w:hAnsi="Verdana" w:cs="Arial"/>
          <w:iCs/>
          <w:sz w:val="18"/>
          <w:szCs w:val="18"/>
        </w:rPr>
        <w:t xml:space="preserve">een hypothetisch </w:t>
      </w:r>
      <w:r w:rsidR="00E82656">
        <w:rPr>
          <w:rFonts w:ascii="Verdana" w:hAnsi="Verdana" w:cs="Arial"/>
          <w:iCs/>
          <w:sz w:val="18"/>
          <w:szCs w:val="18"/>
        </w:rPr>
        <w:t>faillissement</w:t>
      </w:r>
      <w:r w:rsidRPr="00FB1C96" w:rsidR="00FB1C96">
        <w:rPr>
          <w:rFonts w:ascii="Verdana" w:hAnsi="Verdana" w:cs="Arial"/>
          <w:iCs/>
          <w:sz w:val="18"/>
          <w:szCs w:val="18"/>
        </w:rPr>
        <w:t xml:space="preserve"> </w:t>
      </w:r>
      <w:r w:rsidR="00E82656">
        <w:rPr>
          <w:rFonts w:ascii="Verdana" w:hAnsi="Verdana" w:cs="Arial"/>
          <w:iCs/>
          <w:sz w:val="18"/>
          <w:szCs w:val="18"/>
        </w:rPr>
        <w:t xml:space="preserve">negatief is, dan wordt dat </w:t>
      </w:r>
      <w:r w:rsidRPr="00FB1C96" w:rsidR="00FB1C96">
        <w:rPr>
          <w:rFonts w:ascii="Verdana" w:hAnsi="Verdana" w:cs="Arial"/>
          <w:iCs/>
          <w:sz w:val="18"/>
          <w:szCs w:val="18"/>
        </w:rPr>
        <w:t xml:space="preserve">verschil gecompenseerd, ook wanneer dit buitenlandse polishouders zijn met een verzekering bij </w:t>
      </w:r>
      <w:r w:rsidR="002E206F">
        <w:rPr>
          <w:rFonts w:ascii="Verdana" w:hAnsi="Verdana" w:cs="Arial"/>
          <w:iCs/>
          <w:sz w:val="18"/>
          <w:szCs w:val="18"/>
        </w:rPr>
        <w:t>de</w:t>
      </w:r>
      <w:r w:rsidRPr="00FB1C96" w:rsidR="00FB1C96">
        <w:rPr>
          <w:rFonts w:ascii="Verdana" w:hAnsi="Verdana" w:cs="Arial"/>
          <w:iCs/>
          <w:sz w:val="18"/>
          <w:szCs w:val="18"/>
        </w:rPr>
        <w:t xml:space="preserve"> verzekeraar met DNB-vergunning.</w:t>
      </w:r>
      <w:r w:rsidR="002E206F">
        <w:rPr>
          <w:rFonts w:ascii="Verdana" w:hAnsi="Verdana" w:cs="Arial"/>
          <w:iCs/>
          <w:sz w:val="18"/>
          <w:szCs w:val="18"/>
        </w:rPr>
        <w:t xml:space="preserve"> Het kan bijvoorbeeld zijn dat burgers uit andere lidstaten een verzekering hebben afgesloten bij </w:t>
      </w:r>
      <w:r w:rsidR="000301DB">
        <w:rPr>
          <w:rFonts w:ascii="Verdana" w:hAnsi="Verdana" w:cs="Arial"/>
          <w:iCs/>
          <w:sz w:val="18"/>
          <w:szCs w:val="18"/>
        </w:rPr>
        <w:t>(</w:t>
      </w:r>
      <w:r w:rsidR="002E206F">
        <w:rPr>
          <w:rFonts w:ascii="Verdana" w:hAnsi="Verdana" w:cs="Arial"/>
          <w:iCs/>
          <w:sz w:val="18"/>
          <w:szCs w:val="18"/>
        </w:rPr>
        <w:t>een bijkantoor van</w:t>
      </w:r>
      <w:r w:rsidR="000301DB">
        <w:rPr>
          <w:rFonts w:ascii="Verdana" w:hAnsi="Verdana" w:cs="Arial"/>
          <w:iCs/>
          <w:sz w:val="18"/>
          <w:szCs w:val="18"/>
        </w:rPr>
        <w:t>)</w:t>
      </w:r>
      <w:r w:rsidR="002E206F">
        <w:rPr>
          <w:rFonts w:ascii="Verdana" w:hAnsi="Verdana" w:cs="Arial"/>
          <w:iCs/>
          <w:sz w:val="18"/>
          <w:szCs w:val="18"/>
        </w:rPr>
        <w:t xml:space="preserve"> een Nederlandse verzekeraar</w:t>
      </w:r>
      <w:r w:rsidR="000301DB">
        <w:rPr>
          <w:rFonts w:ascii="Verdana" w:hAnsi="Verdana" w:cs="Arial"/>
          <w:iCs/>
          <w:sz w:val="18"/>
          <w:szCs w:val="18"/>
        </w:rPr>
        <w:t>.</w:t>
      </w:r>
      <w:r w:rsidR="002E206F">
        <w:rPr>
          <w:rFonts w:ascii="Verdana" w:hAnsi="Verdana" w:cs="Arial"/>
          <w:iCs/>
          <w:sz w:val="18"/>
          <w:szCs w:val="18"/>
        </w:rPr>
        <w:t xml:space="preserve"> In dat geval vallen die diensten en verzekeringen onder Nederland</w:t>
      </w:r>
      <w:r w:rsidR="000301DB">
        <w:rPr>
          <w:rFonts w:ascii="Verdana" w:hAnsi="Verdana" w:cs="Arial"/>
          <w:iCs/>
          <w:sz w:val="18"/>
          <w:szCs w:val="18"/>
        </w:rPr>
        <w:t>s</w:t>
      </w:r>
      <w:r w:rsidR="002E206F">
        <w:rPr>
          <w:rFonts w:ascii="Verdana" w:hAnsi="Verdana" w:cs="Arial"/>
          <w:iCs/>
          <w:sz w:val="18"/>
          <w:szCs w:val="18"/>
        </w:rPr>
        <w:t xml:space="preserve"> toezicht en onder de Nederlandse financieringsregeling.</w:t>
      </w:r>
      <w:r w:rsidRPr="00FB1C96" w:rsidR="00FB1C96">
        <w:rPr>
          <w:rFonts w:ascii="Verdana" w:hAnsi="Verdana" w:cs="Arial"/>
          <w:iCs/>
          <w:sz w:val="18"/>
          <w:szCs w:val="18"/>
        </w:rPr>
        <w:t xml:space="preserve"> </w:t>
      </w:r>
      <w:r w:rsidR="000301DB">
        <w:rPr>
          <w:rFonts w:ascii="Verdana" w:hAnsi="Verdana" w:cs="Arial"/>
          <w:iCs/>
          <w:sz w:val="18"/>
          <w:szCs w:val="18"/>
        </w:rPr>
        <w:t xml:space="preserve">Omgekeerd geldt dat de </w:t>
      </w:r>
      <w:r w:rsidR="002E206F">
        <w:rPr>
          <w:rFonts w:ascii="Verdana" w:hAnsi="Verdana" w:cs="Arial"/>
          <w:iCs/>
          <w:sz w:val="18"/>
          <w:szCs w:val="18"/>
        </w:rPr>
        <w:t xml:space="preserve">Nederlandse financieringsregeling niet </w:t>
      </w:r>
      <w:r w:rsidR="000301DB">
        <w:rPr>
          <w:rFonts w:ascii="Verdana" w:hAnsi="Verdana" w:cs="Arial"/>
          <w:iCs/>
          <w:sz w:val="18"/>
          <w:szCs w:val="18"/>
        </w:rPr>
        <w:t xml:space="preserve">wordt </w:t>
      </w:r>
      <w:r w:rsidR="002E206F">
        <w:rPr>
          <w:rFonts w:ascii="Verdana" w:hAnsi="Verdana" w:cs="Arial"/>
          <w:iCs/>
          <w:sz w:val="18"/>
          <w:szCs w:val="18"/>
        </w:rPr>
        <w:t xml:space="preserve">gebruikt voor compensatie </w:t>
      </w:r>
      <w:proofErr w:type="gramStart"/>
      <w:r w:rsidR="002E206F">
        <w:rPr>
          <w:rFonts w:ascii="Verdana" w:hAnsi="Verdana" w:cs="Arial"/>
          <w:iCs/>
          <w:sz w:val="18"/>
          <w:szCs w:val="18"/>
        </w:rPr>
        <w:t>indien</w:t>
      </w:r>
      <w:proofErr w:type="gramEnd"/>
      <w:r w:rsidR="002E206F">
        <w:rPr>
          <w:rFonts w:ascii="Verdana" w:hAnsi="Verdana" w:cs="Arial"/>
          <w:iCs/>
          <w:sz w:val="18"/>
          <w:szCs w:val="18"/>
        </w:rPr>
        <w:t xml:space="preserve"> het </w:t>
      </w:r>
      <w:r w:rsidRPr="00FB1C96" w:rsidR="00FB1C96">
        <w:rPr>
          <w:rFonts w:ascii="Verdana" w:hAnsi="Verdana" w:cs="Arial"/>
          <w:iCs/>
          <w:sz w:val="18"/>
          <w:szCs w:val="18"/>
        </w:rPr>
        <w:t xml:space="preserve">verzekeringsentiteiten </w:t>
      </w:r>
      <w:r w:rsidR="002E206F">
        <w:rPr>
          <w:rFonts w:ascii="Verdana" w:hAnsi="Verdana" w:cs="Arial"/>
          <w:iCs/>
          <w:sz w:val="18"/>
          <w:szCs w:val="18"/>
        </w:rPr>
        <w:t xml:space="preserve">betreft </w:t>
      </w:r>
      <w:r w:rsidRPr="00FB1C96" w:rsidR="00FB1C96">
        <w:rPr>
          <w:rFonts w:ascii="Verdana" w:hAnsi="Verdana" w:cs="Arial"/>
          <w:iCs/>
          <w:sz w:val="18"/>
          <w:szCs w:val="18"/>
        </w:rPr>
        <w:t xml:space="preserve">van Nederlandse verzekeringsgroepen met een </w:t>
      </w:r>
      <w:r w:rsidR="00F168A8">
        <w:rPr>
          <w:rFonts w:ascii="Verdana" w:hAnsi="Verdana" w:cs="Arial"/>
          <w:iCs/>
          <w:sz w:val="18"/>
          <w:szCs w:val="18"/>
        </w:rPr>
        <w:t>zetel</w:t>
      </w:r>
      <w:r w:rsidRPr="00FB1C96" w:rsidR="00FB1C96">
        <w:rPr>
          <w:rFonts w:ascii="Verdana" w:hAnsi="Verdana" w:cs="Arial"/>
          <w:iCs/>
          <w:sz w:val="18"/>
          <w:szCs w:val="18"/>
        </w:rPr>
        <w:t xml:space="preserve"> in een ander EU-land. In die gevallen wordt</w:t>
      </w:r>
      <w:r w:rsidR="002E206F">
        <w:rPr>
          <w:rFonts w:ascii="Verdana" w:hAnsi="Verdana" w:cs="Arial"/>
          <w:iCs/>
          <w:sz w:val="18"/>
          <w:szCs w:val="18"/>
        </w:rPr>
        <w:t>,</w:t>
      </w:r>
      <w:r w:rsidRPr="00FB1C96" w:rsidR="00FB1C96">
        <w:rPr>
          <w:rFonts w:ascii="Verdana" w:hAnsi="Verdana" w:cs="Arial"/>
          <w:iCs/>
          <w:sz w:val="18"/>
          <w:szCs w:val="18"/>
        </w:rPr>
        <w:t xml:space="preserve"> indien nodig</w:t>
      </w:r>
      <w:r w:rsidR="002E206F">
        <w:rPr>
          <w:rFonts w:ascii="Verdana" w:hAnsi="Verdana" w:cs="Arial"/>
          <w:iCs/>
          <w:sz w:val="18"/>
          <w:szCs w:val="18"/>
        </w:rPr>
        <w:t>,</w:t>
      </w:r>
      <w:r w:rsidRPr="00FB1C96" w:rsidR="00FB1C96">
        <w:rPr>
          <w:rFonts w:ascii="Verdana" w:hAnsi="Verdana" w:cs="Arial"/>
          <w:iCs/>
          <w:sz w:val="18"/>
          <w:szCs w:val="18"/>
        </w:rPr>
        <w:t xml:space="preserve"> de financieringsregeling van het desbetreffende EU-land aangesproken.</w:t>
      </w:r>
    </w:p>
    <w:p w:rsidRPr="00B32FEC" w:rsidR="00B32FEC" w:rsidP="00DA4547" w:rsidRDefault="00B32FEC" w14:paraId="55B32525" w14:textId="41EFD721">
      <w:pPr>
        <w:widowControl w:val="0"/>
        <w:tabs>
          <w:tab w:val="num" w:pos="720"/>
        </w:tabs>
        <w:spacing w:line="240" w:lineRule="atLeast"/>
        <w:rPr>
          <w:rFonts w:ascii="Verdana" w:hAnsi="Verdana" w:cs="Arial"/>
          <w:iCs/>
          <w:sz w:val="18"/>
          <w:szCs w:val="18"/>
        </w:rPr>
      </w:pPr>
    </w:p>
    <w:p w:rsidRPr="00DA4547" w:rsidR="00DA4547" w:rsidP="00DA4547" w:rsidRDefault="00DA4547" w14:paraId="4258552B"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2.6 Technische standaarden EIOPA</w:t>
      </w:r>
    </w:p>
    <w:p w:rsidRPr="00DA4547" w:rsidR="00DA4547" w:rsidP="00DA4547" w:rsidRDefault="00DA4547" w14:paraId="51C82976"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06EB81B7"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lastRenderedPageBreak/>
        <w:t xml:space="preserve">De leden van de PVV-fractie lezen dat de memorie van toelichting vermeldt dat de Europese Autoriteit voor verzekeringen en bedrijfspensioenen (EIOPA) verregaande bevoegdheden krijgt om rechtstreeks werkende technische standaarden te ontwikkelen op het gebied van herstelplanning, waarderingen en NCWO-methodieken. </w:t>
      </w:r>
    </w:p>
    <w:p w:rsidRPr="00DA4547" w:rsidR="00DA4547" w:rsidP="00DA4547" w:rsidRDefault="00DA4547" w14:paraId="13DC07E6" w14:textId="77777777">
      <w:pPr>
        <w:widowControl w:val="0"/>
        <w:tabs>
          <w:tab w:val="num" w:pos="720"/>
        </w:tabs>
        <w:spacing w:line="240" w:lineRule="atLeast"/>
        <w:rPr>
          <w:rFonts w:ascii="Verdana" w:hAnsi="Verdana" w:cs="Arial"/>
          <w:i/>
          <w:sz w:val="18"/>
          <w:szCs w:val="18"/>
        </w:rPr>
      </w:pPr>
    </w:p>
    <w:p w:rsidR="00DA4547" w:rsidP="00DA4547" w:rsidRDefault="00DA4547" w14:paraId="7B27C1CA" w14:textId="77777777">
      <w:pPr>
        <w:widowControl w:val="0"/>
        <w:tabs>
          <w:tab w:val="num" w:pos="720"/>
        </w:tabs>
        <w:spacing w:line="240" w:lineRule="atLeast"/>
        <w:rPr>
          <w:rFonts w:ascii="Verdana" w:hAnsi="Verdana" w:cs="Arial"/>
          <w:iCs/>
          <w:sz w:val="18"/>
          <w:szCs w:val="18"/>
        </w:rPr>
      </w:pPr>
      <w:r w:rsidRPr="00DA4547">
        <w:rPr>
          <w:rFonts w:ascii="Verdana" w:hAnsi="Verdana" w:cs="Arial"/>
          <w:i/>
          <w:sz w:val="18"/>
          <w:szCs w:val="18"/>
        </w:rPr>
        <w:t xml:space="preserve">Kan de regering uiteenzetten in hoeverre deze rechtstreeks werkende verordeningen en standaarden van EIOPA de beleidsvrijheid van de Nederlandse wetgever en de soevereiniteit van het nationale toezicht uithollen? </w:t>
      </w:r>
      <w:proofErr w:type="gramStart"/>
      <w:r w:rsidRPr="00DA4547">
        <w:rPr>
          <w:rFonts w:ascii="Verdana" w:hAnsi="Verdana" w:cs="Arial"/>
          <w:i/>
          <w:sz w:val="18"/>
          <w:szCs w:val="18"/>
        </w:rPr>
        <w:t>Tevens</w:t>
      </w:r>
      <w:proofErr w:type="gramEnd"/>
      <w:r w:rsidRPr="00DA4547">
        <w:rPr>
          <w:rFonts w:ascii="Verdana" w:hAnsi="Verdana" w:cs="Arial"/>
          <w:i/>
          <w:sz w:val="18"/>
          <w:szCs w:val="18"/>
        </w:rPr>
        <w:t xml:space="preserve"> vragen de leden van de PVV-fractie of het klopt het dat deze dwingende harmonisatie op termijn leidt tot een verdere soevereiniteitsoverdracht naar Brussel. Waarom is er niet gekozen voor een maximaal 'lossere' benadering binnen de grenzen van de richtlijn? Zo nee, waarom niet?</w:t>
      </w:r>
    </w:p>
    <w:p w:rsidR="00B32FEC" w:rsidP="00DA4547" w:rsidRDefault="00B32FEC" w14:paraId="0DF92FE9" w14:textId="77777777">
      <w:pPr>
        <w:widowControl w:val="0"/>
        <w:tabs>
          <w:tab w:val="num" w:pos="720"/>
        </w:tabs>
        <w:spacing w:line="240" w:lineRule="atLeast"/>
        <w:rPr>
          <w:rFonts w:ascii="Verdana" w:hAnsi="Verdana" w:cs="Arial"/>
          <w:iCs/>
          <w:sz w:val="18"/>
          <w:szCs w:val="18"/>
        </w:rPr>
      </w:pPr>
    </w:p>
    <w:p w:rsidR="008353DB" w:rsidP="00DA4547" w:rsidRDefault="00D556AF" w14:paraId="6F89B44B" w14:textId="14F6C3BC">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In de IRRD worden mandaten verstrekt aan EIOPA voor het opstellen van verschillende </w:t>
      </w:r>
      <w:r w:rsidR="004D3AA6">
        <w:rPr>
          <w:rFonts w:ascii="Verdana" w:hAnsi="Verdana" w:cs="Arial"/>
          <w:iCs/>
          <w:sz w:val="18"/>
          <w:szCs w:val="18"/>
        </w:rPr>
        <w:t xml:space="preserve">technische </w:t>
      </w:r>
      <w:r>
        <w:rPr>
          <w:rFonts w:ascii="Verdana" w:hAnsi="Verdana" w:cs="Arial"/>
          <w:iCs/>
          <w:sz w:val="18"/>
          <w:szCs w:val="18"/>
        </w:rPr>
        <w:t>standaarden die vervolgens worden neergelegd in een rechtstreeks werkende verordening van de Europese Commissie, en voor het opstellen van (niet formeel bindende) richtsnoeren.</w:t>
      </w:r>
      <w:r w:rsidR="00F168A8">
        <w:rPr>
          <w:rStyle w:val="Voetnootmarkering"/>
          <w:rFonts w:ascii="Verdana" w:hAnsi="Verdana" w:cs="Arial"/>
          <w:iCs/>
          <w:sz w:val="18"/>
          <w:szCs w:val="18"/>
        </w:rPr>
        <w:footnoteReference w:id="5"/>
      </w:r>
      <w:r>
        <w:rPr>
          <w:rFonts w:ascii="Verdana" w:hAnsi="Verdana" w:cs="Arial"/>
          <w:iCs/>
          <w:sz w:val="18"/>
          <w:szCs w:val="18"/>
        </w:rPr>
        <w:t xml:space="preserve"> </w:t>
      </w:r>
      <w:r w:rsidR="00B32FEC">
        <w:rPr>
          <w:rFonts w:ascii="Verdana" w:hAnsi="Verdana" w:cs="Arial"/>
          <w:iCs/>
          <w:sz w:val="18"/>
          <w:szCs w:val="18"/>
        </w:rPr>
        <w:t xml:space="preserve">Er zijn verschillende waarborgen rondom de toekenning van bevoegdheden aan EIOPA in de context van Europese harmonisatie en wetgeving. </w:t>
      </w:r>
      <w:r>
        <w:rPr>
          <w:rFonts w:ascii="Verdana" w:hAnsi="Verdana" w:cs="Arial"/>
          <w:iCs/>
          <w:sz w:val="18"/>
          <w:szCs w:val="18"/>
        </w:rPr>
        <w:t xml:space="preserve">De mandaten zijn gegeven door de Europese </w:t>
      </w:r>
      <w:proofErr w:type="spellStart"/>
      <w:r w:rsidR="00F168A8">
        <w:rPr>
          <w:rFonts w:ascii="Verdana" w:hAnsi="Verdana" w:cs="Arial"/>
          <w:iCs/>
          <w:sz w:val="18"/>
          <w:szCs w:val="18"/>
        </w:rPr>
        <w:t>mede-wetgevers</w:t>
      </w:r>
      <w:proofErr w:type="spellEnd"/>
      <w:r>
        <w:rPr>
          <w:rFonts w:ascii="Verdana" w:hAnsi="Verdana" w:cs="Arial"/>
          <w:iCs/>
          <w:sz w:val="18"/>
          <w:szCs w:val="18"/>
        </w:rPr>
        <w:t xml:space="preserve">, waaronder de lidstaten </w:t>
      </w:r>
      <w:r w:rsidR="00250FC1">
        <w:rPr>
          <w:rFonts w:ascii="Verdana" w:hAnsi="Verdana" w:cs="Arial"/>
          <w:iCs/>
          <w:sz w:val="18"/>
          <w:szCs w:val="18"/>
        </w:rPr>
        <w:t>verenigd</w:t>
      </w:r>
      <w:r>
        <w:rPr>
          <w:rFonts w:ascii="Verdana" w:hAnsi="Verdana" w:cs="Arial"/>
          <w:iCs/>
          <w:sz w:val="18"/>
          <w:szCs w:val="18"/>
        </w:rPr>
        <w:t xml:space="preserve"> in de Raad. Het aantal en de reikwijdte van de mandaten is een onderdeel van de onderhandelingen in de Raad tijdens het Europese wetgevingsproces.</w:t>
      </w:r>
      <w:r w:rsidR="00B32FEC">
        <w:rPr>
          <w:rFonts w:ascii="Verdana" w:hAnsi="Verdana" w:cs="Arial"/>
          <w:iCs/>
          <w:sz w:val="18"/>
          <w:szCs w:val="18"/>
        </w:rPr>
        <w:t xml:space="preserve"> </w:t>
      </w:r>
      <w:r>
        <w:rPr>
          <w:rFonts w:ascii="Verdana" w:hAnsi="Verdana" w:cs="Arial"/>
          <w:iCs/>
          <w:sz w:val="18"/>
          <w:szCs w:val="18"/>
        </w:rPr>
        <w:t xml:space="preserve">De Nederlandse inzet </w:t>
      </w:r>
      <w:r w:rsidR="00B32FEC">
        <w:rPr>
          <w:rFonts w:ascii="Verdana" w:hAnsi="Verdana" w:cs="Arial"/>
          <w:iCs/>
          <w:sz w:val="18"/>
          <w:szCs w:val="18"/>
        </w:rPr>
        <w:t>voor de onderhandelingen over de richtlijntekst, inclusief de daarin opgenomen mandaten,</w:t>
      </w:r>
      <w:r>
        <w:rPr>
          <w:rFonts w:ascii="Verdana" w:hAnsi="Verdana" w:cs="Arial"/>
          <w:iCs/>
          <w:sz w:val="18"/>
          <w:szCs w:val="18"/>
        </w:rPr>
        <w:t xml:space="preserve"> wordt </w:t>
      </w:r>
      <w:r w:rsidR="00B32FEC">
        <w:rPr>
          <w:rFonts w:ascii="Verdana" w:hAnsi="Verdana" w:cs="Arial"/>
          <w:iCs/>
          <w:sz w:val="18"/>
          <w:szCs w:val="18"/>
        </w:rPr>
        <w:t>afgestemd</w:t>
      </w:r>
      <w:r>
        <w:rPr>
          <w:rFonts w:ascii="Verdana" w:hAnsi="Verdana" w:cs="Arial"/>
          <w:iCs/>
          <w:sz w:val="18"/>
          <w:szCs w:val="18"/>
        </w:rPr>
        <w:t xml:space="preserve"> met de Tweede Kamer op basis van het BNC-fiche. </w:t>
      </w:r>
      <w:r w:rsidR="00F168A8">
        <w:rPr>
          <w:rFonts w:ascii="Verdana" w:hAnsi="Verdana" w:cs="Arial"/>
          <w:iCs/>
          <w:sz w:val="18"/>
          <w:szCs w:val="18"/>
        </w:rPr>
        <w:t xml:space="preserve">De mandaten die EIOPA krijgt, betreffen het opstellen van standaarden </w:t>
      </w:r>
      <w:r w:rsidRPr="00F168A8" w:rsidR="00F168A8">
        <w:rPr>
          <w:rFonts w:ascii="Verdana" w:hAnsi="Verdana" w:cs="Arial"/>
          <w:iCs/>
          <w:sz w:val="18"/>
          <w:szCs w:val="18"/>
        </w:rPr>
        <w:t xml:space="preserve">van technische aard, </w:t>
      </w:r>
      <w:r w:rsidR="0029240D">
        <w:rPr>
          <w:rFonts w:ascii="Verdana" w:hAnsi="Verdana" w:cs="Arial"/>
          <w:iCs/>
          <w:sz w:val="18"/>
          <w:szCs w:val="18"/>
        </w:rPr>
        <w:t>die</w:t>
      </w:r>
      <w:r w:rsidRPr="00F168A8" w:rsidR="00F168A8">
        <w:rPr>
          <w:rFonts w:ascii="Verdana" w:hAnsi="Verdana" w:cs="Arial"/>
          <w:iCs/>
          <w:sz w:val="18"/>
          <w:szCs w:val="18"/>
        </w:rPr>
        <w:t xml:space="preserve"> geen strategische beslissingen of beleidskeuzen in</w:t>
      </w:r>
      <w:r w:rsidR="0029240D">
        <w:rPr>
          <w:rFonts w:ascii="Verdana" w:hAnsi="Verdana" w:cs="Arial"/>
          <w:iCs/>
          <w:sz w:val="18"/>
          <w:szCs w:val="18"/>
        </w:rPr>
        <w:t>houden</w:t>
      </w:r>
      <w:r w:rsidRPr="00F168A8" w:rsidR="00F168A8">
        <w:rPr>
          <w:rFonts w:ascii="Verdana" w:hAnsi="Verdana" w:cs="Arial"/>
          <w:iCs/>
          <w:sz w:val="18"/>
          <w:szCs w:val="18"/>
        </w:rPr>
        <w:t xml:space="preserve">, en </w:t>
      </w:r>
      <w:r w:rsidR="0029240D">
        <w:rPr>
          <w:rFonts w:ascii="Verdana" w:hAnsi="Verdana" w:cs="Arial"/>
          <w:iCs/>
          <w:sz w:val="18"/>
          <w:szCs w:val="18"/>
        </w:rPr>
        <w:t xml:space="preserve">zij </w:t>
      </w:r>
      <w:r w:rsidRPr="00F168A8" w:rsidR="00F168A8">
        <w:rPr>
          <w:rFonts w:ascii="Verdana" w:hAnsi="Verdana" w:cs="Arial"/>
          <w:iCs/>
          <w:sz w:val="18"/>
          <w:szCs w:val="18"/>
        </w:rPr>
        <w:t xml:space="preserve">zijn inhoudelijk beperkt door de </w:t>
      </w:r>
      <w:r w:rsidR="0029240D">
        <w:rPr>
          <w:rFonts w:ascii="Verdana" w:hAnsi="Verdana" w:cs="Arial"/>
          <w:iCs/>
          <w:sz w:val="18"/>
          <w:szCs w:val="18"/>
        </w:rPr>
        <w:t>grondslag in de wetgeving</w:t>
      </w:r>
      <w:r w:rsidRPr="00F168A8" w:rsidR="00F168A8">
        <w:rPr>
          <w:rFonts w:ascii="Verdana" w:hAnsi="Verdana" w:cs="Arial"/>
          <w:iCs/>
          <w:sz w:val="18"/>
          <w:szCs w:val="18"/>
        </w:rPr>
        <w:t xml:space="preserve"> waarop zij gebaseerd zijn.</w:t>
      </w:r>
      <w:r w:rsidR="00E8327F">
        <w:rPr>
          <w:rFonts w:ascii="Verdana" w:hAnsi="Verdana" w:cs="Arial"/>
          <w:iCs/>
          <w:sz w:val="18"/>
          <w:szCs w:val="18"/>
        </w:rPr>
        <w:t xml:space="preserve"> De bevoegdheid </w:t>
      </w:r>
      <w:r w:rsidR="00FB404B">
        <w:rPr>
          <w:rFonts w:ascii="Verdana" w:hAnsi="Verdana" w:cs="Arial"/>
          <w:iCs/>
          <w:sz w:val="18"/>
          <w:szCs w:val="18"/>
        </w:rPr>
        <w:t>om</w:t>
      </w:r>
      <w:r w:rsidR="00E8327F">
        <w:rPr>
          <w:rFonts w:ascii="Verdana" w:hAnsi="Verdana" w:cs="Arial"/>
          <w:iCs/>
          <w:sz w:val="18"/>
          <w:szCs w:val="18"/>
        </w:rPr>
        <w:t xml:space="preserve"> te delegeren aan EIOPA blijft bij de lidstaten. </w:t>
      </w:r>
    </w:p>
    <w:p w:rsidR="008353DB" w:rsidP="00DA4547" w:rsidRDefault="008353DB" w14:paraId="1E6DB63E" w14:textId="77777777">
      <w:pPr>
        <w:widowControl w:val="0"/>
        <w:tabs>
          <w:tab w:val="num" w:pos="720"/>
        </w:tabs>
        <w:spacing w:line="240" w:lineRule="atLeast"/>
        <w:rPr>
          <w:rFonts w:ascii="Verdana" w:hAnsi="Verdana" w:cs="Arial"/>
          <w:iCs/>
          <w:sz w:val="18"/>
          <w:szCs w:val="18"/>
        </w:rPr>
      </w:pPr>
    </w:p>
    <w:p w:rsidRPr="00D556AF" w:rsidR="00D556AF" w:rsidP="00DA4547" w:rsidRDefault="00D556AF" w14:paraId="50B485FA" w14:textId="213F8F6B">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Het doel van dergelijke standaarden en richtsnoeren van EIOPA is om </w:t>
      </w:r>
      <w:r w:rsidR="00B32FEC">
        <w:rPr>
          <w:rFonts w:ascii="Verdana" w:hAnsi="Verdana" w:cs="Arial"/>
          <w:iCs/>
          <w:sz w:val="18"/>
          <w:szCs w:val="18"/>
        </w:rPr>
        <w:t xml:space="preserve">bij te dragen aan een geharmoniseerde wijze van </w:t>
      </w:r>
      <w:r w:rsidR="0029240D">
        <w:rPr>
          <w:rFonts w:ascii="Verdana" w:hAnsi="Verdana" w:cs="Arial"/>
          <w:iCs/>
          <w:sz w:val="18"/>
          <w:szCs w:val="18"/>
        </w:rPr>
        <w:t xml:space="preserve">toepassing en </w:t>
      </w:r>
      <w:r w:rsidR="00B32FEC">
        <w:rPr>
          <w:rFonts w:ascii="Verdana" w:hAnsi="Verdana" w:cs="Arial"/>
          <w:iCs/>
          <w:sz w:val="18"/>
          <w:szCs w:val="18"/>
        </w:rPr>
        <w:t xml:space="preserve">uitvoering van de normen uit de richtlijn. Op die manier kan het doel van de richtlijn beter bereikt worden. Met de IRRD wordt beoogd </w:t>
      </w:r>
      <w:r>
        <w:rPr>
          <w:rFonts w:ascii="Verdana" w:hAnsi="Verdana" w:cs="Arial"/>
          <w:iCs/>
          <w:sz w:val="18"/>
          <w:szCs w:val="18"/>
        </w:rPr>
        <w:t xml:space="preserve">een gelijk speelveld te creëren voor verzekeraars en een gelijker niveau van polishouderbescherming binnen de EU te waarborgen. </w:t>
      </w:r>
    </w:p>
    <w:p w:rsidRPr="00DA4547" w:rsidR="00DA4547" w:rsidP="00DA4547" w:rsidRDefault="00DA4547" w14:paraId="3F426E46" w14:textId="77777777">
      <w:pPr>
        <w:widowControl w:val="0"/>
        <w:tabs>
          <w:tab w:val="num" w:pos="720"/>
        </w:tabs>
        <w:spacing w:line="240" w:lineRule="atLeast"/>
        <w:rPr>
          <w:rFonts w:ascii="Verdana" w:hAnsi="Verdana" w:cs="Arial"/>
          <w:i/>
          <w:sz w:val="18"/>
          <w:szCs w:val="18"/>
        </w:rPr>
      </w:pPr>
    </w:p>
    <w:p w:rsidR="00DA4547" w:rsidP="00DA4547" w:rsidRDefault="00DA4547" w14:paraId="728D5210" w14:textId="77777777">
      <w:pPr>
        <w:widowControl w:val="0"/>
        <w:tabs>
          <w:tab w:val="num" w:pos="720"/>
        </w:tabs>
        <w:spacing w:line="240" w:lineRule="atLeast"/>
        <w:rPr>
          <w:rFonts w:ascii="Verdana" w:hAnsi="Verdana" w:cs="Arial"/>
          <w:iCs/>
          <w:sz w:val="18"/>
          <w:szCs w:val="18"/>
        </w:rPr>
      </w:pPr>
      <w:r w:rsidRPr="00DA4547">
        <w:rPr>
          <w:rFonts w:ascii="Verdana" w:hAnsi="Verdana" w:cs="Arial"/>
          <w:i/>
          <w:sz w:val="18"/>
          <w:szCs w:val="18"/>
        </w:rPr>
        <w:t xml:space="preserve">De leden van de CDA-fractie constateren dat EIOPA op grond van de IRRD in totaal negentien technische standaarden en richtsnoeren ontwikkelt. Hoe beoordeelt de regering de gevolgen van deze omvangrijke set aan nadere regelgeving voor de regeldruk voor verzekeraars? Hoe verhoudt dit zich tot het uitgangspunt van een lastenluwe implementatie en de bredere Europese inzet op vereenvoudiging van regelgeving? </w:t>
      </w:r>
    </w:p>
    <w:p w:rsidR="00B32FEC" w:rsidP="00DA4547" w:rsidRDefault="00B32FEC" w14:paraId="74CEDF3F" w14:textId="77777777">
      <w:pPr>
        <w:widowControl w:val="0"/>
        <w:tabs>
          <w:tab w:val="num" w:pos="720"/>
        </w:tabs>
        <w:spacing w:line="240" w:lineRule="atLeast"/>
        <w:rPr>
          <w:rFonts w:ascii="Verdana" w:hAnsi="Verdana" w:cs="Arial"/>
          <w:iCs/>
          <w:sz w:val="18"/>
          <w:szCs w:val="18"/>
        </w:rPr>
      </w:pPr>
    </w:p>
    <w:p w:rsidRPr="00B32FEC" w:rsidR="00B32FEC" w:rsidP="00DA4547" w:rsidRDefault="00B32FEC" w14:paraId="1686A547" w14:textId="1EABE4F7">
      <w:pPr>
        <w:widowControl w:val="0"/>
        <w:tabs>
          <w:tab w:val="num" w:pos="720"/>
        </w:tabs>
        <w:spacing w:line="240" w:lineRule="atLeast"/>
        <w:rPr>
          <w:rFonts w:ascii="Verdana" w:hAnsi="Verdana" w:cs="Arial"/>
          <w:iCs/>
          <w:sz w:val="18"/>
          <w:szCs w:val="18"/>
        </w:rPr>
      </w:pPr>
      <w:r>
        <w:rPr>
          <w:rFonts w:ascii="Verdana" w:hAnsi="Verdana" w:cs="Arial"/>
          <w:iCs/>
          <w:sz w:val="18"/>
          <w:szCs w:val="18"/>
        </w:rPr>
        <w:t>Zoals ook genoemd in de memorie van toelichting</w:t>
      </w:r>
      <w:r w:rsidR="008411E4">
        <w:rPr>
          <w:rStyle w:val="Voetnootmarkering"/>
          <w:rFonts w:ascii="Verdana" w:hAnsi="Verdana" w:cs="Arial"/>
          <w:iCs/>
          <w:sz w:val="18"/>
          <w:szCs w:val="18"/>
        </w:rPr>
        <w:footnoteReference w:id="6"/>
      </w:r>
      <w:r>
        <w:rPr>
          <w:rFonts w:ascii="Verdana" w:hAnsi="Verdana" w:cs="Arial"/>
          <w:iCs/>
          <w:sz w:val="18"/>
          <w:szCs w:val="18"/>
        </w:rPr>
        <w:t xml:space="preserve">, kan het zijn dat de standaarden en richtsnoeren uitgevaardigd door EIOPA leiden tot aanvullende regeldruk </w:t>
      </w:r>
      <w:proofErr w:type="gramStart"/>
      <w:r w:rsidR="00F01605">
        <w:rPr>
          <w:rFonts w:ascii="Verdana" w:hAnsi="Verdana" w:cs="Arial"/>
          <w:iCs/>
          <w:sz w:val="18"/>
          <w:szCs w:val="18"/>
        </w:rPr>
        <w:t>bovenop</w:t>
      </w:r>
      <w:proofErr w:type="gramEnd"/>
      <w:r>
        <w:rPr>
          <w:rFonts w:ascii="Verdana" w:hAnsi="Verdana" w:cs="Arial"/>
          <w:iCs/>
          <w:sz w:val="18"/>
          <w:szCs w:val="18"/>
        </w:rPr>
        <w:t xml:space="preserve"> </w:t>
      </w:r>
      <w:r w:rsidR="00F01605">
        <w:rPr>
          <w:rFonts w:ascii="Verdana" w:hAnsi="Verdana" w:cs="Arial"/>
          <w:iCs/>
          <w:sz w:val="18"/>
          <w:szCs w:val="18"/>
        </w:rPr>
        <w:t xml:space="preserve">de nationale implementatiewet. EIOPA moet bij het opstellen van de standaarden en richtsnoeren binnen de aan haar verstrekte mandaten opereren. </w:t>
      </w:r>
      <w:r w:rsidR="006D79D0">
        <w:rPr>
          <w:rFonts w:ascii="Verdana" w:hAnsi="Verdana" w:cs="Arial"/>
          <w:iCs/>
          <w:sz w:val="18"/>
          <w:szCs w:val="18"/>
        </w:rPr>
        <w:t>Ook is bij het opstellen van de hoofdnorm in de richtlijntekst ook rekening gehouden met lastendruk. EIOPA heeft zelf ook haar inzet openbaar gemaakt om regeldruk te beperken.</w:t>
      </w:r>
      <w:r w:rsidR="008946E8">
        <w:rPr>
          <w:rStyle w:val="Voetnootmarkering"/>
          <w:rFonts w:ascii="Verdana" w:hAnsi="Verdana" w:cs="Arial"/>
          <w:iCs/>
          <w:sz w:val="18"/>
          <w:szCs w:val="18"/>
        </w:rPr>
        <w:footnoteReference w:id="7"/>
      </w:r>
      <w:r w:rsidR="006D79D0">
        <w:rPr>
          <w:rFonts w:ascii="Verdana" w:hAnsi="Verdana" w:cs="Arial"/>
          <w:iCs/>
          <w:sz w:val="18"/>
          <w:szCs w:val="18"/>
        </w:rPr>
        <w:t xml:space="preserve"> </w:t>
      </w:r>
      <w:r w:rsidR="00F01605">
        <w:rPr>
          <w:rFonts w:ascii="Verdana" w:hAnsi="Verdana" w:cs="Arial"/>
          <w:iCs/>
          <w:sz w:val="18"/>
          <w:szCs w:val="18"/>
        </w:rPr>
        <w:t>Ik vraag</w:t>
      </w:r>
      <w:r w:rsidR="006D79D0">
        <w:rPr>
          <w:rFonts w:ascii="Verdana" w:hAnsi="Verdana" w:cs="Arial"/>
          <w:iCs/>
          <w:sz w:val="18"/>
          <w:szCs w:val="18"/>
        </w:rPr>
        <w:t xml:space="preserve"> daarnaast</w:t>
      </w:r>
      <w:r w:rsidR="00F01605">
        <w:rPr>
          <w:rFonts w:ascii="Verdana" w:hAnsi="Verdana" w:cs="Arial"/>
          <w:iCs/>
          <w:sz w:val="18"/>
          <w:szCs w:val="18"/>
        </w:rPr>
        <w:t xml:space="preserve"> in mijn contact met DNB en EIOPA </w:t>
      </w:r>
      <w:r w:rsidR="008411E4">
        <w:rPr>
          <w:rFonts w:ascii="Verdana" w:hAnsi="Verdana" w:cs="Arial"/>
          <w:iCs/>
          <w:sz w:val="18"/>
          <w:szCs w:val="18"/>
        </w:rPr>
        <w:t xml:space="preserve">doorlopend </w:t>
      </w:r>
      <w:r w:rsidR="00F01605">
        <w:rPr>
          <w:rFonts w:ascii="Verdana" w:hAnsi="Verdana" w:cs="Arial"/>
          <w:iCs/>
          <w:sz w:val="18"/>
          <w:szCs w:val="18"/>
        </w:rPr>
        <w:t xml:space="preserve">aandacht voor de regeldruk die </w:t>
      </w:r>
      <w:r w:rsidR="00F01605">
        <w:rPr>
          <w:rFonts w:ascii="Verdana" w:hAnsi="Verdana" w:cs="Arial"/>
          <w:iCs/>
          <w:sz w:val="18"/>
          <w:szCs w:val="18"/>
        </w:rPr>
        <w:lastRenderedPageBreak/>
        <w:t xml:space="preserve">voortvloeit uit gedelegeerde regelgeving. </w:t>
      </w:r>
    </w:p>
    <w:p w:rsidRPr="00DA4547" w:rsidR="00DA4547" w:rsidP="00DA4547" w:rsidRDefault="00DA4547" w14:paraId="32921976"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64672AB"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3. Wijze van implementatie en hoofdlijnen van het voorstel</w:t>
      </w:r>
    </w:p>
    <w:p w:rsidRPr="00DA4547" w:rsidR="00DA4547" w:rsidP="00DA4547" w:rsidRDefault="00DA4547" w14:paraId="47A9D26D"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8FA844D"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3.2 Hoofdlijnen implementatiewetsvoorstel</w:t>
      </w:r>
    </w:p>
    <w:p w:rsidRPr="00DA4547" w:rsidR="00DA4547" w:rsidP="00DA4547" w:rsidRDefault="00DA4547" w14:paraId="1DB25C9C"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E978FF5"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D66-fractie hechten aan een goed functionerende kapitaalmarktunie waarbij regels tussen lidstaten worden gelijkgetrokken. In hoeverre heeft de regering gebruik gemaakt van de bevoegdheid om additionele regels te implementeren boven op de minimumharmonisatie van de IRRD? Kan de regering toelichten in hoeverre Nederland hierbij afwijkt van andere Europese lidstaten en waarom, </w:t>
      </w:r>
      <w:proofErr w:type="gramStart"/>
      <w:r w:rsidRPr="00DA4547">
        <w:rPr>
          <w:rFonts w:ascii="Verdana" w:hAnsi="Verdana" w:cs="Arial"/>
          <w:i/>
          <w:sz w:val="18"/>
          <w:szCs w:val="18"/>
        </w:rPr>
        <w:t>indien</w:t>
      </w:r>
      <w:proofErr w:type="gramEnd"/>
      <w:r w:rsidRPr="00DA4547">
        <w:rPr>
          <w:rFonts w:ascii="Verdana" w:hAnsi="Verdana" w:cs="Arial"/>
          <w:i/>
          <w:sz w:val="18"/>
          <w:szCs w:val="18"/>
        </w:rPr>
        <w:t xml:space="preserve"> dit het geval is? In hoeverre kunnen deze verschillen tussen lidstaten de doelen van harmonisatie ten behoeve van de kapitaalmarkunie in de weg zitten?</w:t>
      </w:r>
    </w:p>
    <w:p w:rsidR="00DA4547" w:rsidP="00DA4547" w:rsidRDefault="00DA4547" w14:paraId="777A8830" w14:textId="77777777">
      <w:pPr>
        <w:widowControl w:val="0"/>
        <w:tabs>
          <w:tab w:val="num" w:pos="720"/>
        </w:tabs>
        <w:spacing w:line="240" w:lineRule="atLeast"/>
        <w:rPr>
          <w:rFonts w:ascii="Verdana" w:hAnsi="Verdana" w:cs="Arial"/>
          <w:i/>
          <w:sz w:val="18"/>
          <w:szCs w:val="18"/>
        </w:rPr>
      </w:pPr>
    </w:p>
    <w:p w:rsidR="008353DB" w:rsidP="002E7698" w:rsidRDefault="002E7698" w14:paraId="52E82849" w14:textId="2A7A8F59">
      <w:pPr>
        <w:widowControl w:val="0"/>
        <w:tabs>
          <w:tab w:val="num" w:pos="720"/>
        </w:tabs>
        <w:spacing w:line="240" w:lineRule="atLeast"/>
        <w:rPr>
          <w:rFonts w:ascii="Verdana" w:hAnsi="Verdana" w:cs="Arial"/>
          <w:iCs/>
          <w:sz w:val="18"/>
          <w:szCs w:val="18"/>
        </w:rPr>
      </w:pPr>
      <w:r w:rsidRPr="002E7698">
        <w:rPr>
          <w:rFonts w:ascii="Verdana" w:hAnsi="Verdana" w:cs="Arial"/>
          <w:iCs/>
          <w:sz w:val="18"/>
          <w:szCs w:val="18"/>
        </w:rPr>
        <w:t>Er is op een aantal onderdelen gebruik gemaakt van de ruimte die de richtlijn, in vorm van expliciete lidstaatopties, biedt. In paragraaf ‘3.2.6. Lidstaatopties’ van de memorie van toelichting (p</w:t>
      </w:r>
      <w:r w:rsidR="00FB404B">
        <w:rPr>
          <w:rFonts w:ascii="Verdana" w:hAnsi="Verdana" w:cs="Arial"/>
          <w:iCs/>
          <w:sz w:val="18"/>
          <w:szCs w:val="18"/>
        </w:rPr>
        <w:t>agina</w:t>
      </w:r>
      <w:r w:rsidRPr="002E7698">
        <w:rPr>
          <w:rFonts w:ascii="Verdana" w:hAnsi="Verdana" w:cs="Arial"/>
          <w:iCs/>
          <w:sz w:val="18"/>
          <w:szCs w:val="18"/>
        </w:rPr>
        <w:t xml:space="preserve"> 21 e.v.) </w:t>
      </w:r>
      <w:r>
        <w:rPr>
          <w:rFonts w:ascii="Verdana" w:hAnsi="Verdana" w:cs="Arial"/>
          <w:iCs/>
          <w:sz w:val="18"/>
          <w:szCs w:val="18"/>
        </w:rPr>
        <w:t>wordt dit nader</w:t>
      </w:r>
      <w:r w:rsidRPr="002E7698">
        <w:rPr>
          <w:rFonts w:ascii="Verdana" w:hAnsi="Verdana" w:cs="Arial"/>
          <w:iCs/>
          <w:sz w:val="18"/>
          <w:szCs w:val="18"/>
        </w:rPr>
        <w:t xml:space="preserve"> </w:t>
      </w:r>
      <w:r>
        <w:rPr>
          <w:rFonts w:ascii="Verdana" w:hAnsi="Verdana" w:cs="Arial"/>
          <w:iCs/>
          <w:sz w:val="18"/>
          <w:szCs w:val="18"/>
        </w:rPr>
        <w:t>toegelicht. In het algemeen is d</w:t>
      </w:r>
      <w:r w:rsidRPr="002E7698">
        <w:rPr>
          <w:rFonts w:ascii="Verdana" w:hAnsi="Verdana" w:cs="Arial"/>
          <w:iCs/>
          <w:sz w:val="18"/>
          <w:szCs w:val="18"/>
        </w:rPr>
        <w:t>e reden om van deze lidstaatopties gebruik</w:t>
      </w:r>
      <w:r>
        <w:rPr>
          <w:rFonts w:ascii="Verdana" w:hAnsi="Verdana" w:cs="Arial"/>
          <w:iCs/>
          <w:sz w:val="18"/>
          <w:szCs w:val="18"/>
        </w:rPr>
        <w:t xml:space="preserve"> te maken</w:t>
      </w:r>
      <w:r w:rsidRPr="002E7698">
        <w:rPr>
          <w:rFonts w:ascii="Verdana" w:hAnsi="Verdana" w:cs="Arial"/>
          <w:iCs/>
          <w:sz w:val="18"/>
          <w:szCs w:val="18"/>
        </w:rPr>
        <w:t xml:space="preserve"> om het bestaande kader in stand te houden en aanvullende lasten te </w:t>
      </w:r>
      <w:r w:rsidR="00FC66B2">
        <w:rPr>
          <w:rFonts w:ascii="Verdana" w:hAnsi="Verdana" w:cs="Arial"/>
          <w:iCs/>
          <w:sz w:val="18"/>
          <w:szCs w:val="18"/>
        </w:rPr>
        <w:t>voorkomen</w:t>
      </w:r>
      <w:r w:rsidRPr="002E7698">
        <w:rPr>
          <w:rFonts w:ascii="Verdana" w:hAnsi="Verdana" w:cs="Arial"/>
          <w:iCs/>
          <w:sz w:val="18"/>
          <w:szCs w:val="18"/>
        </w:rPr>
        <w:t xml:space="preserve">. </w:t>
      </w:r>
    </w:p>
    <w:p w:rsidR="008353DB" w:rsidP="002E7698" w:rsidRDefault="008353DB" w14:paraId="4A17C56E" w14:textId="77777777">
      <w:pPr>
        <w:widowControl w:val="0"/>
        <w:tabs>
          <w:tab w:val="num" w:pos="720"/>
        </w:tabs>
        <w:spacing w:line="240" w:lineRule="atLeast"/>
        <w:rPr>
          <w:rFonts w:ascii="Verdana" w:hAnsi="Verdana" w:cs="Arial"/>
          <w:iCs/>
          <w:sz w:val="18"/>
          <w:szCs w:val="18"/>
        </w:rPr>
      </w:pPr>
    </w:p>
    <w:p w:rsidRPr="002E7698" w:rsidR="002E7698" w:rsidP="002E7698" w:rsidRDefault="002E7698" w14:paraId="531844B3" w14:textId="3C84B4C5">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Er is </w:t>
      </w:r>
      <w:r w:rsidR="00167139">
        <w:rPr>
          <w:rFonts w:ascii="Verdana" w:hAnsi="Verdana" w:cs="Arial"/>
          <w:iCs/>
          <w:sz w:val="18"/>
          <w:szCs w:val="18"/>
        </w:rPr>
        <w:t xml:space="preserve">inderdaad </w:t>
      </w:r>
      <w:r>
        <w:rPr>
          <w:rFonts w:ascii="Verdana" w:hAnsi="Verdana" w:cs="Arial"/>
          <w:iCs/>
          <w:sz w:val="18"/>
          <w:szCs w:val="18"/>
        </w:rPr>
        <w:t>sprake van een richtlijn die minimum harmonisatie biedt. Van deze minimum harmonisatie wordt gebruikt gemaakt op twee onderdelen. Een onderdeel ziet op de reikwijdte</w:t>
      </w:r>
      <w:r w:rsidR="00FB404B">
        <w:rPr>
          <w:rFonts w:ascii="Verdana" w:hAnsi="Verdana" w:cs="Arial"/>
          <w:iCs/>
          <w:sz w:val="18"/>
          <w:szCs w:val="18"/>
        </w:rPr>
        <w:t>: h</w:t>
      </w:r>
      <w:r w:rsidRPr="002E7698">
        <w:rPr>
          <w:rFonts w:ascii="Verdana" w:hAnsi="Verdana" w:cs="Arial"/>
          <w:iCs/>
          <w:sz w:val="18"/>
          <w:szCs w:val="18"/>
        </w:rPr>
        <w:t xml:space="preserve">et wetsvoorstel is van toepassing op alle verzekeraars die onder toezicht van DNB staan. Dat houdt concreet in dat onder deze reikwijdte ook verzekeraars met beperkte risico-omvang vallen. Deze verzekeraars vallen niet onder de IRRD, maar wel onder het in Nederland </w:t>
      </w:r>
      <w:proofErr w:type="gramStart"/>
      <w:r w:rsidRPr="002E7698">
        <w:rPr>
          <w:rFonts w:ascii="Verdana" w:hAnsi="Verdana" w:cs="Arial"/>
          <w:iCs/>
          <w:sz w:val="18"/>
          <w:szCs w:val="18"/>
        </w:rPr>
        <w:t>reeds</w:t>
      </w:r>
      <w:proofErr w:type="gramEnd"/>
      <w:r w:rsidRPr="002E7698">
        <w:rPr>
          <w:rFonts w:ascii="Verdana" w:hAnsi="Verdana" w:cs="Arial"/>
          <w:iCs/>
          <w:sz w:val="18"/>
          <w:szCs w:val="18"/>
        </w:rPr>
        <w:t xml:space="preserve"> bestaande kader voor herstel en afwikkeling van verzekeraars.</w:t>
      </w:r>
      <w:r>
        <w:rPr>
          <w:rFonts w:ascii="Verdana" w:hAnsi="Verdana" w:cs="Arial"/>
          <w:iCs/>
          <w:sz w:val="18"/>
          <w:szCs w:val="18"/>
        </w:rPr>
        <w:t xml:space="preserve"> Een tweede onderdeel ziet op </w:t>
      </w:r>
      <w:r w:rsidRPr="002E7698">
        <w:rPr>
          <w:rFonts w:ascii="Verdana" w:hAnsi="Verdana" w:cs="Arial"/>
          <w:iCs/>
          <w:sz w:val="18"/>
          <w:szCs w:val="18"/>
        </w:rPr>
        <w:t xml:space="preserve">een grondslag </w:t>
      </w:r>
      <w:r>
        <w:rPr>
          <w:rFonts w:ascii="Verdana" w:hAnsi="Verdana" w:cs="Arial"/>
          <w:iCs/>
          <w:sz w:val="18"/>
          <w:szCs w:val="18"/>
        </w:rPr>
        <w:t xml:space="preserve">die wordt </w:t>
      </w:r>
      <w:r w:rsidRPr="002E7698">
        <w:rPr>
          <w:rFonts w:ascii="Verdana" w:hAnsi="Verdana" w:cs="Arial"/>
          <w:iCs/>
          <w:sz w:val="18"/>
          <w:szCs w:val="18"/>
        </w:rPr>
        <w:t xml:space="preserve">gecreëerd voor DNB om een stichting administratiekantoor afwikkeling (SAA) op te richten ten behoeve van de afwikkeling van verzekeraars (artikel 3A:121a </w:t>
      </w:r>
      <w:proofErr w:type="spellStart"/>
      <w:r w:rsidRPr="002E7698">
        <w:rPr>
          <w:rFonts w:ascii="Verdana" w:hAnsi="Verdana" w:cs="Arial"/>
          <w:iCs/>
          <w:sz w:val="18"/>
          <w:szCs w:val="18"/>
        </w:rPr>
        <w:t>Wft</w:t>
      </w:r>
      <w:proofErr w:type="spellEnd"/>
      <w:r w:rsidRPr="002E7698">
        <w:rPr>
          <w:rFonts w:ascii="Verdana" w:hAnsi="Verdana" w:cs="Arial"/>
          <w:iCs/>
          <w:sz w:val="18"/>
          <w:szCs w:val="18"/>
        </w:rPr>
        <w:t xml:space="preserve">). De SAA moet de concrete toepassing van het instrument van </w:t>
      </w:r>
      <w:proofErr w:type="spellStart"/>
      <w:r w:rsidRPr="002E7698">
        <w:rPr>
          <w:rFonts w:ascii="Verdana" w:hAnsi="Verdana" w:cs="Arial"/>
          <w:iCs/>
          <w:sz w:val="18"/>
          <w:szCs w:val="18"/>
        </w:rPr>
        <w:t>bail</w:t>
      </w:r>
      <w:proofErr w:type="spellEnd"/>
      <w:r w:rsidRPr="002E7698">
        <w:rPr>
          <w:rFonts w:ascii="Verdana" w:hAnsi="Verdana" w:cs="Arial"/>
          <w:iCs/>
          <w:sz w:val="18"/>
          <w:szCs w:val="18"/>
        </w:rPr>
        <w:t xml:space="preserve">-in in de praktijk mogelijk maken. De SAA kan (tijdelijk) eigendomsinstrumenten houden ten behoeve van houders van claimrechten als gevolg van </w:t>
      </w:r>
      <w:proofErr w:type="spellStart"/>
      <w:r w:rsidRPr="002E7698">
        <w:rPr>
          <w:rFonts w:ascii="Verdana" w:hAnsi="Verdana" w:cs="Arial"/>
          <w:i/>
          <w:iCs/>
          <w:sz w:val="18"/>
          <w:szCs w:val="18"/>
        </w:rPr>
        <w:t>bail</w:t>
      </w:r>
      <w:proofErr w:type="spellEnd"/>
      <w:r w:rsidRPr="002E7698">
        <w:rPr>
          <w:rFonts w:ascii="Verdana" w:hAnsi="Verdana" w:cs="Arial"/>
          <w:iCs/>
          <w:sz w:val="18"/>
          <w:szCs w:val="18"/>
        </w:rPr>
        <w:t>-</w:t>
      </w:r>
      <w:r w:rsidRPr="002E7698">
        <w:rPr>
          <w:rFonts w:ascii="Verdana" w:hAnsi="Verdana" w:cs="Arial"/>
          <w:i/>
          <w:iCs/>
          <w:sz w:val="18"/>
          <w:szCs w:val="18"/>
        </w:rPr>
        <w:t>in</w:t>
      </w:r>
      <w:r w:rsidRPr="002E7698">
        <w:rPr>
          <w:rFonts w:ascii="Verdana" w:hAnsi="Verdana" w:cs="Arial"/>
          <w:iCs/>
          <w:sz w:val="18"/>
          <w:szCs w:val="18"/>
        </w:rPr>
        <w:t>.</w:t>
      </w:r>
      <w:r w:rsidR="00935D3A">
        <w:rPr>
          <w:rFonts w:ascii="Verdana" w:hAnsi="Verdana" w:cs="Arial"/>
          <w:iCs/>
          <w:sz w:val="18"/>
          <w:szCs w:val="18"/>
        </w:rPr>
        <w:t xml:space="preserve"> Voor een verdere toelichting wordt verwezen naar de beantwoording </w:t>
      </w:r>
      <w:r w:rsidR="003F5D6E">
        <w:rPr>
          <w:rFonts w:ascii="Verdana" w:hAnsi="Verdana" w:cs="Arial"/>
          <w:iCs/>
          <w:sz w:val="18"/>
          <w:szCs w:val="18"/>
        </w:rPr>
        <w:t xml:space="preserve">van de vraag onder </w:t>
      </w:r>
      <w:r w:rsidR="00935D3A">
        <w:rPr>
          <w:rFonts w:ascii="Verdana" w:hAnsi="Verdana" w:cs="Arial"/>
          <w:iCs/>
          <w:sz w:val="18"/>
          <w:szCs w:val="18"/>
        </w:rPr>
        <w:t>paragraaf 2.2</w:t>
      </w:r>
      <w:r w:rsidR="003F5D6E">
        <w:rPr>
          <w:rFonts w:ascii="Verdana" w:hAnsi="Verdana" w:cs="Arial"/>
          <w:iCs/>
          <w:sz w:val="18"/>
          <w:szCs w:val="18"/>
        </w:rPr>
        <w:t xml:space="preserve"> hierboven.</w:t>
      </w:r>
    </w:p>
    <w:p w:rsidR="00BE0197" w:rsidP="00DA4547" w:rsidRDefault="00BE0197" w14:paraId="42C6027F" w14:textId="77777777">
      <w:pPr>
        <w:widowControl w:val="0"/>
        <w:tabs>
          <w:tab w:val="num" w:pos="720"/>
        </w:tabs>
        <w:spacing w:line="240" w:lineRule="atLeast"/>
        <w:rPr>
          <w:rFonts w:ascii="Verdana" w:hAnsi="Verdana" w:cs="Arial"/>
          <w:iCs/>
          <w:sz w:val="18"/>
          <w:szCs w:val="18"/>
        </w:rPr>
      </w:pPr>
    </w:p>
    <w:p w:rsidRPr="00BE0197" w:rsidR="00BE0197" w:rsidP="00DA4547" w:rsidRDefault="00A963BD" w14:paraId="2672B70F" w14:textId="344FF704">
      <w:pPr>
        <w:widowControl w:val="0"/>
        <w:tabs>
          <w:tab w:val="num" w:pos="720"/>
        </w:tabs>
        <w:spacing w:line="240" w:lineRule="atLeast"/>
        <w:rPr>
          <w:rFonts w:ascii="Verdana" w:hAnsi="Verdana" w:cs="Arial"/>
          <w:iCs/>
          <w:sz w:val="18"/>
          <w:szCs w:val="18"/>
        </w:rPr>
      </w:pPr>
      <w:r w:rsidRPr="00A963BD">
        <w:rPr>
          <w:rFonts w:ascii="Verdana" w:hAnsi="Verdana" w:cs="Arial"/>
          <w:iCs/>
          <w:sz w:val="18"/>
          <w:szCs w:val="18"/>
        </w:rPr>
        <w:t xml:space="preserve">De verwachting is dat </w:t>
      </w:r>
      <w:r w:rsidR="00FB404B">
        <w:rPr>
          <w:rFonts w:ascii="Verdana" w:hAnsi="Verdana" w:cs="Arial"/>
          <w:iCs/>
          <w:sz w:val="18"/>
          <w:szCs w:val="18"/>
        </w:rPr>
        <w:t xml:space="preserve">een </w:t>
      </w:r>
      <w:r w:rsidRPr="00A963BD">
        <w:rPr>
          <w:rFonts w:ascii="Verdana" w:hAnsi="Verdana" w:cs="Arial"/>
          <w:iCs/>
          <w:sz w:val="18"/>
          <w:szCs w:val="18"/>
        </w:rPr>
        <w:t xml:space="preserve">meer </w:t>
      </w:r>
      <w:r w:rsidR="002E7698">
        <w:rPr>
          <w:rFonts w:ascii="Verdana" w:hAnsi="Verdana" w:cs="Arial"/>
          <w:iCs/>
          <w:sz w:val="18"/>
          <w:szCs w:val="18"/>
        </w:rPr>
        <w:t>gelijk speelveld</w:t>
      </w:r>
      <w:r w:rsidRPr="00A963BD">
        <w:rPr>
          <w:rFonts w:ascii="Verdana" w:hAnsi="Verdana" w:cs="Arial"/>
          <w:iCs/>
          <w:sz w:val="18"/>
          <w:szCs w:val="18"/>
        </w:rPr>
        <w:t xml:space="preserve"> en een vergelijkbaar niveau van polishouderbescherming bevorderlijk is voor de interne (</w:t>
      </w:r>
      <w:proofErr w:type="spellStart"/>
      <w:r w:rsidRPr="00A963BD">
        <w:rPr>
          <w:rFonts w:ascii="Verdana" w:hAnsi="Verdana" w:cs="Arial"/>
          <w:iCs/>
          <w:sz w:val="18"/>
          <w:szCs w:val="18"/>
        </w:rPr>
        <w:t>verzekerings</w:t>
      </w:r>
      <w:proofErr w:type="spellEnd"/>
      <w:r w:rsidRPr="00A963BD">
        <w:rPr>
          <w:rFonts w:ascii="Verdana" w:hAnsi="Verdana" w:cs="Arial"/>
          <w:iCs/>
          <w:sz w:val="18"/>
          <w:szCs w:val="18"/>
        </w:rPr>
        <w:t>)markt</w:t>
      </w:r>
      <w:r w:rsidR="002E7698">
        <w:rPr>
          <w:rFonts w:ascii="Verdana" w:hAnsi="Verdana" w:cs="Arial"/>
          <w:iCs/>
          <w:sz w:val="18"/>
          <w:szCs w:val="18"/>
        </w:rPr>
        <w:t xml:space="preserve"> en daarmee bijdraagt aan de doelen van de kapitaalmarktunie</w:t>
      </w:r>
      <w:r w:rsidRPr="00A963BD">
        <w:rPr>
          <w:rFonts w:ascii="Verdana" w:hAnsi="Verdana" w:cs="Arial"/>
          <w:iCs/>
          <w:sz w:val="18"/>
          <w:szCs w:val="18"/>
        </w:rPr>
        <w:t xml:space="preserve">. </w:t>
      </w:r>
      <w:r w:rsidR="00BE0197">
        <w:rPr>
          <w:rFonts w:ascii="Verdana" w:hAnsi="Verdana" w:cs="Arial"/>
          <w:iCs/>
          <w:sz w:val="18"/>
          <w:szCs w:val="18"/>
        </w:rPr>
        <w:t xml:space="preserve">In algemene zin heeft alle regelgeving die leidt tot kosten, invloed op de rol van verzekeraars als investeerder binnen de kapitaalmarktunie. Financiële middelen die door verzekeraars worden besteed aan werkzaamheden in het kader van herstel- en afwikkelingsplanning kunnen niet worden besteed aan investeringen. De financiële gevolgen voor verzekeraars zijn naar verwachting </w:t>
      </w:r>
      <w:r w:rsidR="00250FC1">
        <w:rPr>
          <w:rFonts w:ascii="Verdana" w:hAnsi="Verdana" w:cs="Arial"/>
          <w:iCs/>
          <w:sz w:val="18"/>
          <w:szCs w:val="18"/>
        </w:rPr>
        <w:t xml:space="preserve">echter </w:t>
      </w:r>
      <w:r w:rsidR="00BE0197">
        <w:rPr>
          <w:rFonts w:ascii="Verdana" w:hAnsi="Verdana" w:cs="Arial"/>
          <w:iCs/>
          <w:sz w:val="18"/>
          <w:szCs w:val="18"/>
        </w:rPr>
        <w:t xml:space="preserve">beperkt ten opzichte van het huidige nationale kader. Er zullen naar verwachting vooral aanvullende kosten worden gemaakt omdat de frequentie van de verplichte actualisatie van </w:t>
      </w:r>
      <w:proofErr w:type="spellStart"/>
      <w:r w:rsidR="00BE0197">
        <w:rPr>
          <w:rFonts w:ascii="Verdana" w:hAnsi="Verdana" w:cs="Arial"/>
          <w:iCs/>
          <w:sz w:val="18"/>
          <w:szCs w:val="18"/>
        </w:rPr>
        <w:t>VCPs</w:t>
      </w:r>
      <w:proofErr w:type="spellEnd"/>
      <w:r w:rsidR="00BE0197">
        <w:rPr>
          <w:rFonts w:ascii="Verdana" w:hAnsi="Verdana" w:cs="Arial"/>
          <w:iCs/>
          <w:sz w:val="18"/>
          <w:szCs w:val="18"/>
        </w:rPr>
        <w:t xml:space="preserve"> toeneemt en DNB mogelijk andere informatie uitvraagt ten behoeve van haar afwikkelingsplanning, afhankelijk van de standaarden die EIOPA ontwikkelt daarvoor. </w:t>
      </w:r>
    </w:p>
    <w:p w:rsidRPr="00DA4547" w:rsidR="00BE0197" w:rsidP="00DA4547" w:rsidRDefault="00BE0197" w14:paraId="133C6D40"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2C77FA4"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Het wetsvoorstel introduceert een grondslag voor DNB om een stichting op te richten voor de praktische toepassing van het </w:t>
      </w:r>
      <w:proofErr w:type="spellStart"/>
      <w:r w:rsidRPr="00DA4547">
        <w:rPr>
          <w:rFonts w:ascii="Verdana" w:hAnsi="Verdana" w:cs="Arial"/>
          <w:i/>
          <w:sz w:val="18"/>
          <w:szCs w:val="18"/>
        </w:rPr>
        <w:t>bail</w:t>
      </w:r>
      <w:proofErr w:type="spellEnd"/>
      <w:r w:rsidRPr="00DA4547">
        <w:rPr>
          <w:rFonts w:ascii="Verdana" w:hAnsi="Verdana" w:cs="Arial"/>
          <w:i/>
          <w:sz w:val="18"/>
          <w:szCs w:val="18"/>
        </w:rPr>
        <w:t xml:space="preserve">-in-instrument. Kan de regering toelichten waarom voor deze vormgeving is gekozen en welke alternatieven zijn overwogen? Hoe wordt de </w:t>
      </w:r>
      <w:proofErr w:type="spellStart"/>
      <w:r w:rsidRPr="00DA4547">
        <w:rPr>
          <w:rFonts w:ascii="Verdana" w:hAnsi="Verdana" w:cs="Arial"/>
          <w:i/>
          <w:sz w:val="18"/>
          <w:szCs w:val="18"/>
        </w:rPr>
        <w:t>governance</w:t>
      </w:r>
      <w:proofErr w:type="spellEnd"/>
      <w:r w:rsidRPr="00DA4547">
        <w:rPr>
          <w:rFonts w:ascii="Verdana" w:hAnsi="Verdana" w:cs="Arial"/>
          <w:i/>
          <w:sz w:val="18"/>
          <w:szCs w:val="18"/>
        </w:rPr>
        <w:t xml:space="preserve"> en onafhankelijkheid van deze stichting geborgd? Kan de regering toelichten in hoeverre de keuze voor een stichting in lijn is met hoe andere lidstaten het </w:t>
      </w:r>
      <w:proofErr w:type="spellStart"/>
      <w:r w:rsidRPr="00DA4547">
        <w:rPr>
          <w:rFonts w:ascii="Verdana" w:hAnsi="Verdana" w:cs="Arial"/>
          <w:i/>
          <w:sz w:val="18"/>
          <w:szCs w:val="18"/>
        </w:rPr>
        <w:t>bail</w:t>
      </w:r>
      <w:proofErr w:type="spellEnd"/>
      <w:r w:rsidRPr="00DA4547">
        <w:rPr>
          <w:rFonts w:ascii="Verdana" w:hAnsi="Verdana" w:cs="Arial"/>
          <w:i/>
          <w:sz w:val="18"/>
          <w:szCs w:val="18"/>
        </w:rPr>
        <w:t xml:space="preserve">-in-instrument </w:t>
      </w:r>
      <w:r w:rsidRPr="00DA4547">
        <w:rPr>
          <w:rFonts w:ascii="Verdana" w:hAnsi="Verdana" w:cs="Arial"/>
          <w:i/>
          <w:sz w:val="18"/>
          <w:szCs w:val="18"/>
        </w:rPr>
        <w:lastRenderedPageBreak/>
        <w:t>uitvoeren?</w:t>
      </w:r>
    </w:p>
    <w:p w:rsidR="00DA4547" w:rsidP="00DA4547" w:rsidRDefault="00DA4547" w14:paraId="2A788721" w14:textId="77777777">
      <w:pPr>
        <w:widowControl w:val="0"/>
        <w:tabs>
          <w:tab w:val="num" w:pos="720"/>
        </w:tabs>
        <w:spacing w:line="240" w:lineRule="atLeast"/>
        <w:rPr>
          <w:rFonts w:ascii="Verdana" w:hAnsi="Verdana" w:cs="Arial"/>
          <w:i/>
          <w:sz w:val="18"/>
          <w:szCs w:val="18"/>
        </w:rPr>
      </w:pPr>
    </w:p>
    <w:p w:rsidR="006C6A60" w:rsidP="005D3AC0" w:rsidRDefault="009B6A15" w14:paraId="308A24D4" w14:textId="2491F231">
      <w:pPr>
        <w:widowControl w:val="0"/>
        <w:tabs>
          <w:tab w:val="num" w:pos="720"/>
        </w:tabs>
        <w:spacing w:line="240" w:lineRule="atLeast"/>
        <w:rPr>
          <w:rFonts w:ascii="Verdana" w:hAnsi="Verdana" w:cs="Arial"/>
          <w:iCs/>
          <w:sz w:val="18"/>
          <w:szCs w:val="18"/>
        </w:rPr>
      </w:pPr>
      <w:r w:rsidRPr="00694138">
        <w:rPr>
          <w:rFonts w:ascii="Verdana" w:hAnsi="Verdana" w:cs="Arial"/>
          <w:iCs/>
          <w:sz w:val="18"/>
          <w:szCs w:val="18"/>
        </w:rPr>
        <w:t xml:space="preserve">De richtlijn schrijft niet voor hoe </w:t>
      </w:r>
      <w:r>
        <w:rPr>
          <w:rFonts w:ascii="Verdana" w:hAnsi="Verdana" w:cs="Arial"/>
          <w:iCs/>
          <w:sz w:val="18"/>
          <w:szCs w:val="18"/>
        </w:rPr>
        <w:t xml:space="preserve">het afwikkelingsinstrument van </w:t>
      </w:r>
      <w:proofErr w:type="spellStart"/>
      <w:r>
        <w:rPr>
          <w:rFonts w:ascii="Verdana" w:hAnsi="Verdana" w:cs="Arial"/>
          <w:iCs/>
          <w:sz w:val="18"/>
          <w:szCs w:val="18"/>
        </w:rPr>
        <w:t>bail</w:t>
      </w:r>
      <w:proofErr w:type="spellEnd"/>
      <w:r>
        <w:rPr>
          <w:rFonts w:ascii="Verdana" w:hAnsi="Verdana" w:cs="Arial"/>
          <w:iCs/>
          <w:sz w:val="18"/>
          <w:szCs w:val="18"/>
        </w:rPr>
        <w:t>-in volledig</w:t>
      </w:r>
      <w:r w:rsidRPr="00694138">
        <w:rPr>
          <w:rFonts w:ascii="Verdana" w:hAnsi="Verdana" w:cs="Arial"/>
          <w:iCs/>
          <w:sz w:val="18"/>
          <w:szCs w:val="18"/>
        </w:rPr>
        <w:t xml:space="preserve"> </w:t>
      </w:r>
      <w:r>
        <w:rPr>
          <w:rFonts w:ascii="Verdana" w:hAnsi="Verdana" w:cs="Arial"/>
          <w:iCs/>
          <w:sz w:val="18"/>
          <w:szCs w:val="18"/>
        </w:rPr>
        <w:t xml:space="preserve">civielrechtelijk </w:t>
      </w:r>
      <w:r w:rsidRPr="00694138">
        <w:rPr>
          <w:rFonts w:ascii="Verdana" w:hAnsi="Verdana" w:cs="Arial"/>
          <w:iCs/>
          <w:sz w:val="18"/>
          <w:szCs w:val="18"/>
        </w:rPr>
        <w:t xml:space="preserve">in iedere lidstaat dient te worden </w:t>
      </w:r>
      <w:r>
        <w:rPr>
          <w:rFonts w:ascii="Verdana" w:hAnsi="Verdana" w:cs="Arial"/>
          <w:iCs/>
          <w:sz w:val="18"/>
          <w:szCs w:val="18"/>
        </w:rPr>
        <w:t xml:space="preserve">ingebed en </w:t>
      </w:r>
      <w:r w:rsidRPr="00694138">
        <w:rPr>
          <w:rFonts w:ascii="Verdana" w:hAnsi="Verdana" w:cs="Arial"/>
          <w:iCs/>
          <w:sz w:val="18"/>
          <w:szCs w:val="18"/>
        </w:rPr>
        <w:t>uitgewerkt</w:t>
      </w:r>
      <w:r>
        <w:rPr>
          <w:rFonts w:ascii="Verdana" w:hAnsi="Verdana" w:cs="Arial"/>
          <w:iCs/>
          <w:sz w:val="18"/>
          <w:szCs w:val="18"/>
        </w:rPr>
        <w:t xml:space="preserve">. </w:t>
      </w:r>
      <w:r w:rsidRPr="00694138" w:rsidR="00330943">
        <w:rPr>
          <w:rFonts w:ascii="Verdana" w:hAnsi="Verdana" w:cs="Arial"/>
          <w:iCs/>
          <w:sz w:val="18"/>
          <w:szCs w:val="18"/>
        </w:rPr>
        <w:t xml:space="preserve">Met de keuze voor de </w:t>
      </w:r>
      <w:r w:rsidR="0029240D">
        <w:rPr>
          <w:rFonts w:ascii="Verdana" w:hAnsi="Verdana" w:cs="Arial"/>
          <w:iCs/>
          <w:sz w:val="18"/>
          <w:szCs w:val="18"/>
        </w:rPr>
        <w:t>s</w:t>
      </w:r>
      <w:r w:rsidRPr="00694138" w:rsidR="00330943">
        <w:rPr>
          <w:rFonts w:ascii="Verdana" w:hAnsi="Verdana" w:cs="Arial"/>
          <w:iCs/>
          <w:sz w:val="18"/>
          <w:szCs w:val="18"/>
        </w:rPr>
        <w:t xml:space="preserve">tichting </w:t>
      </w:r>
      <w:r w:rsidR="00694138">
        <w:rPr>
          <w:rFonts w:ascii="Verdana" w:hAnsi="Verdana" w:cs="Arial"/>
          <w:iCs/>
          <w:sz w:val="18"/>
          <w:szCs w:val="18"/>
        </w:rPr>
        <w:t>administratiekantoor afwikkeling</w:t>
      </w:r>
      <w:r w:rsidRPr="00694138" w:rsidR="00694138">
        <w:rPr>
          <w:rFonts w:ascii="Verdana" w:hAnsi="Verdana" w:cs="Arial"/>
          <w:iCs/>
          <w:sz w:val="18"/>
          <w:szCs w:val="18"/>
        </w:rPr>
        <w:t xml:space="preserve"> </w:t>
      </w:r>
      <w:r w:rsidRPr="00694138" w:rsidR="00330943">
        <w:rPr>
          <w:rFonts w:ascii="Verdana" w:hAnsi="Verdana" w:cs="Arial"/>
          <w:iCs/>
          <w:sz w:val="18"/>
          <w:szCs w:val="18"/>
        </w:rPr>
        <w:t xml:space="preserve">(SAA) is aangesloten bij de </w:t>
      </w:r>
      <w:proofErr w:type="gramStart"/>
      <w:r w:rsidRPr="00694138" w:rsidR="00330943">
        <w:rPr>
          <w:rFonts w:ascii="Verdana" w:hAnsi="Verdana" w:cs="Arial"/>
          <w:iCs/>
          <w:sz w:val="18"/>
          <w:szCs w:val="18"/>
        </w:rPr>
        <w:t>reeds</w:t>
      </w:r>
      <w:proofErr w:type="gramEnd"/>
      <w:r w:rsidRPr="00694138" w:rsidR="00330943">
        <w:rPr>
          <w:rFonts w:ascii="Verdana" w:hAnsi="Verdana" w:cs="Arial"/>
          <w:iCs/>
          <w:sz w:val="18"/>
          <w:szCs w:val="18"/>
        </w:rPr>
        <w:t xml:space="preserve"> gemaakte keuzes op het terrein van afwikkeling van banken. </w:t>
      </w:r>
    </w:p>
    <w:p w:rsidR="006C6A60" w:rsidP="005D3AC0" w:rsidRDefault="006C6A60" w14:paraId="0B29D80A" w14:textId="77777777">
      <w:pPr>
        <w:widowControl w:val="0"/>
        <w:tabs>
          <w:tab w:val="num" w:pos="720"/>
        </w:tabs>
        <w:spacing w:line="240" w:lineRule="atLeast"/>
        <w:rPr>
          <w:rFonts w:ascii="Verdana" w:hAnsi="Verdana" w:cs="Arial"/>
          <w:iCs/>
          <w:sz w:val="18"/>
          <w:szCs w:val="18"/>
        </w:rPr>
      </w:pPr>
    </w:p>
    <w:p w:rsidR="006C6A60" w:rsidP="005D3AC0" w:rsidRDefault="00694138" w14:paraId="67395A47" w14:textId="130B2BB2">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Als gevolg van </w:t>
      </w:r>
      <w:r w:rsidR="006C6A60">
        <w:rPr>
          <w:rFonts w:ascii="Verdana" w:hAnsi="Verdana" w:cs="Arial"/>
          <w:iCs/>
          <w:sz w:val="18"/>
          <w:szCs w:val="18"/>
        </w:rPr>
        <w:t xml:space="preserve">toepassing van </w:t>
      </w:r>
      <w:r>
        <w:rPr>
          <w:rFonts w:ascii="Verdana" w:hAnsi="Verdana" w:cs="Arial"/>
          <w:iCs/>
          <w:sz w:val="18"/>
          <w:szCs w:val="18"/>
        </w:rPr>
        <w:t xml:space="preserve">het </w:t>
      </w:r>
      <w:proofErr w:type="spellStart"/>
      <w:r w:rsidRPr="00A963BD">
        <w:rPr>
          <w:rFonts w:ascii="Verdana" w:hAnsi="Verdana" w:cs="Arial"/>
          <w:i/>
          <w:sz w:val="18"/>
          <w:szCs w:val="18"/>
        </w:rPr>
        <w:t>bail</w:t>
      </w:r>
      <w:proofErr w:type="spellEnd"/>
      <w:r w:rsidRPr="00A963BD">
        <w:rPr>
          <w:rFonts w:ascii="Verdana" w:hAnsi="Verdana" w:cs="Arial"/>
          <w:i/>
          <w:sz w:val="18"/>
          <w:szCs w:val="18"/>
        </w:rPr>
        <w:t>-in</w:t>
      </w:r>
      <w:r>
        <w:rPr>
          <w:rFonts w:ascii="Verdana" w:hAnsi="Verdana" w:cs="Arial"/>
          <w:iCs/>
          <w:sz w:val="18"/>
          <w:szCs w:val="18"/>
        </w:rPr>
        <w:t xml:space="preserve"> instrument (afschrijving</w:t>
      </w:r>
      <w:r w:rsidR="0029240D">
        <w:rPr>
          <w:rFonts w:ascii="Verdana" w:hAnsi="Verdana" w:cs="Arial"/>
          <w:iCs/>
          <w:sz w:val="18"/>
          <w:szCs w:val="18"/>
        </w:rPr>
        <w:t>s-</w:t>
      </w:r>
      <w:r>
        <w:rPr>
          <w:rFonts w:ascii="Verdana" w:hAnsi="Verdana" w:cs="Arial"/>
          <w:iCs/>
          <w:sz w:val="18"/>
          <w:szCs w:val="18"/>
        </w:rPr>
        <w:t xml:space="preserve"> </w:t>
      </w:r>
      <w:r w:rsidR="0029240D">
        <w:rPr>
          <w:rFonts w:ascii="Verdana" w:hAnsi="Verdana" w:cs="Arial"/>
          <w:iCs/>
          <w:sz w:val="18"/>
          <w:szCs w:val="18"/>
        </w:rPr>
        <w:t>of</w:t>
      </w:r>
      <w:r>
        <w:rPr>
          <w:rFonts w:ascii="Verdana" w:hAnsi="Verdana" w:cs="Arial"/>
          <w:iCs/>
          <w:sz w:val="18"/>
          <w:szCs w:val="18"/>
        </w:rPr>
        <w:t xml:space="preserve"> omzetting</w:t>
      </w:r>
      <w:r w:rsidR="0029240D">
        <w:rPr>
          <w:rFonts w:ascii="Verdana" w:hAnsi="Verdana" w:cs="Arial"/>
          <w:iCs/>
          <w:sz w:val="18"/>
          <w:szCs w:val="18"/>
        </w:rPr>
        <w:t>sinstrument</w:t>
      </w:r>
      <w:r>
        <w:rPr>
          <w:rFonts w:ascii="Verdana" w:hAnsi="Verdana" w:cs="Arial"/>
          <w:iCs/>
          <w:sz w:val="18"/>
          <w:szCs w:val="18"/>
        </w:rPr>
        <w:t xml:space="preserve">) </w:t>
      </w:r>
      <w:r w:rsidR="006C6A60">
        <w:rPr>
          <w:rFonts w:ascii="Verdana" w:hAnsi="Verdana" w:cs="Arial"/>
          <w:iCs/>
          <w:sz w:val="18"/>
          <w:szCs w:val="18"/>
        </w:rPr>
        <w:t>kan DNB beslissen dat</w:t>
      </w:r>
      <w:r>
        <w:rPr>
          <w:rFonts w:ascii="Verdana" w:hAnsi="Verdana" w:cs="Arial"/>
          <w:iCs/>
          <w:sz w:val="18"/>
          <w:szCs w:val="18"/>
        </w:rPr>
        <w:t xml:space="preserve"> de</w:t>
      </w:r>
      <w:r w:rsidRPr="00694138">
        <w:rPr>
          <w:rFonts w:ascii="Verdana" w:hAnsi="Verdana" w:cs="Arial"/>
          <w:iCs/>
          <w:sz w:val="18"/>
          <w:szCs w:val="18"/>
        </w:rPr>
        <w:t xml:space="preserve"> SAA </w:t>
      </w:r>
      <w:r w:rsidR="006C6A60">
        <w:rPr>
          <w:rFonts w:ascii="Verdana" w:hAnsi="Verdana" w:cs="Arial"/>
          <w:iCs/>
          <w:sz w:val="18"/>
          <w:szCs w:val="18"/>
        </w:rPr>
        <w:t xml:space="preserve">(tijdelijk) eigendomsinstrumenten gaat houden ten behoeve van houders van claimrechten als gevolg van </w:t>
      </w:r>
      <w:proofErr w:type="spellStart"/>
      <w:r w:rsidR="006C6A60">
        <w:rPr>
          <w:rFonts w:ascii="Verdana" w:hAnsi="Verdana" w:cs="Arial"/>
          <w:i/>
          <w:sz w:val="18"/>
          <w:szCs w:val="18"/>
        </w:rPr>
        <w:t>bail</w:t>
      </w:r>
      <w:proofErr w:type="spellEnd"/>
      <w:r w:rsidR="006C6A60">
        <w:rPr>
          <w:rFonts w:ascii="Verdana" w:hAnsi="Verdana" w:cs="Arial"/>
          <w:iCs/>
          <w:sz w:val="18"/>
          <w:szCs w:val="18"/>
        </w:rPr>
        <w:t>-</w:t>
      </w:r>
      <w:r w:rsidR="006C6A60">
        <w:rPr>
          <w:rFonts w:ascii="Verdana" w:hAnsi="Verdana" w:cs="Arial"/>
          <w:i/>
          <w:sz w:val="18"/>
          <w:szCs w:val="18"/>
        </w:rPr>
        <w:t>in</w:t>
      </w:r>
      <w:r w:rsidRPr="00694138">
        <w:rPr>
          <w:rFonts w:ascii="Verdana" w:hAnsi="Verdana" w:cs="Arial"/>
          <w:iCs/>
          <w:sz w:val="18"/>
          <w:szCs w:val="18"/>
        </w:rPr>
        <w:t>. Op het moment dat de definitieve waardering</w:t>
      </w:r>
      <w:r w:rsidR="006C6A60">
        <w:rPr>
          <w:rFonts w:ascii="Verdana" w:hAnsi="Verdana" w:cs="Arial"/>
          <w:iCs/>
          <w:sz w:val="18"/>
          <w:szCs w:val="18"/>
        </w:rPr>
        <w:t xml:space="preserve"> is afgerond</w:t>
      </w:r>
      <w:r w:rsidRPr="00694138">
        <w:rPr>
          <w:rFonts w:ascii="Verdana" w:hAnsi="Verdana" w:cs="Arial"/>
          <w:iCs/>
          <w:sz w:val="18"/>
          <w:szCs w:val="18"/>
        </w:rPr>
        <w:t xml:space="preserve"> en de conversiekoers </w:t>
      </w:r>
      <w:r w:rsidR="006C6A60">
        <w:rPr>
          <w:rFonts w:ascii="Verdana" w:hAnsi="Verdana" w:cs="Arial"/>
          <w:iCs/>
          <w:sz w:val="18"/>
          <w:szCs w:val="18"/>
        </w:rPr>
        <w:t xml:space="preserve">door DNB </w:t>
      </w:r>
      <w:r w:rsidRPr="00694138">
        <w:rPr>
          <w:rFonts w:ascii="Verdana" w:hAnsi="Verdana" w:cs="Arial"/>
          <w:iCs/>
          <w:sz w:val="18"/>
          <w:szCs w:val="18"/>
        </w:rPr>
        <w:t>bepaald is, zullen de claimrechten worden omgewisseld in de aandelen of certificaten</w:t>
      </w:r>
      <w:r w:rsidR="006C6A60">
        <w:rPr>
          <w:rFonts w:ascii="Verdana" w:hAnsi="Verdana" w:cs="Arial"/>
          <w:iCs/>
          <w:sz w:val="18"/>
          <w:szCs w:val="18"/>
        </w:rPr>
        <w:t xml:space="preserve"> en </w:t>
      </w:r>
      <w:r w:rsidR="0029240D">
        <w:rPr>
          <w:rFonts w:ascii="Verdana" w:hAnsi="Verdana" w:cs="Arial"/>
          <w:iCs/>
          <w:sz w:val="18"/>
          <w:szCs w:val="18"/>
        </w:rPr>
        <w:t xml:space="preserve">zoveel mogelijk </w:t>
      </w:r>
      <w:r w:rsidR="006C6A60">
        <w:rPr>
          <w:rFonts w:ascii="Verdana" w:hAnsi="Verdana" w:cs="Arial"/>
          <w:iCs/>
          <w:sz w:val="18"/>
          <w:szCs w:val="18"/>
        </w:rPr>
        <w:t>worden toegekend aan de rechthebbenden</w:t>
      </w:r>
      <w:r>
        <w:rPr>
          <w:rFonts w:ascii="Verdana" w:hAnsi="Verdana" w:cs="Arial"/>
          <w:iCs/>
          <w:sz w:val="18"/>
          <w:szCs w:val="18"/>
        </w:rPr>
        <w:t xml:space="preserve">. </w:t>
      </w:r>
      <w:r w:rsidR="00A963BD">
        <w:rPr>
          <w:rFonts w:ascii="Verdana" w:hAnsi="Verdana" w:cs="Arial"/>
          <w:iCs/>
          <w:sz w:val="18"/>
          <w:szCs w:val="18"/>
        </w:rPr>
        <w:t xml:space="preserve">Op deze manier worden deze </w:t>
      </w:r>
      <w:r w:rsidR="006C6A60">
        <w:rPr>
          <w:rFonts w:ascii="Verdana" w:hAnsi="Verdana" w:cs="Arial"/>
          <w:iCs/>
          <w:sz w:val="18"/>
          <w:szCs w:val="18"/>
        </w:rPr>
        <w:t>eigendomsinstrumenten</w:t>
      </w:r>
      <w:r w:rsidR="00A963BD">
        <w:rPr>
          <w:rFonts w:ascii="Verdana" w:hAnsi="Verdana" w:cs="Arial"/>
          <w:iCs/>
          <w:sz w:val="18"/>
          <w:szCs w:val="18"/>
        </w:rPr>
        <w:t xml:space="preserve"> op afstand gezet: </w:t>
      </w:r>
      <w:r w:rsidR="006C6A60">
        <w:rPr>
          <w:rFonts w:ascii="Verdana" w:hAnsi="Verdana" w:cs="Arial"/>
          <w:iCs/>
          <w:sz w:val="18"/>
          <w:szCs w:val="18"/>
        </w:rPr>
        <w:t>zij</w:t>
      </w:r>
      <w:r w:rsidR="00A963BD">
        <w:rPr>
          <w:rFonts w:ascii="Verdana" w:hAnsi="Verdana" w:cs="Arial"/>
          <w:iCs/>
          <w:sz w:val="18"/>
          <w:szCs w:val="18"/>
        </w:rPr>
        <w:t xml:space="preserve"> staan</w:t>
      </w:r>
      <w:r>
        <w:rPr>
          <w:rFonts w:ascii="Verdana" w:hAnsi="Verdana" w:cs="Arial"/>
          <w:iCs/>
          <w:sz w:val="18"/>
          <w:szCs w:val="18"/>
        </w:rPr>
        <w:t xml:space="preserve"> niet op de balans van de afwikkelingsautoriteit en centrale bank</w:t>
      </w:r>
      <w:r w:rsidR="00A963BD">
        <w:rPr>
          <w:rFonts w:ascii="Verdana" w:hAnsi="Verdana" w:cs="Arial"/>
          <w:iCs/>
          <w:sz w:val="18"/>
          <w:szCs w:val="18"/>
        </w:rPr>
        <w:t>,</w:t>
      </w:r>
      <w:r>
        <w:rPr>
          <w:rFonts w:ascii="Verdana" w:hAnsi="Verdana" w:cs="Arial"/>
          <w:iCs/>
          <w:sz w:val="18"/>
          <w:szCs w:val="18"/>
        </w:rPr>
        <w:t xml:space="preserve"> maar </w:t>
      </w:r>
      <w:r w:rsidR="00A963BD">
        <w:rPr>
          <w:rFonts w:ascii="Verdana" w:hAnsi="Verdana" w:cs="Arial"/>
          <w:iCs/>
          <w:sz w:val="18"/>
          <w:szCs w:val="18"/>
        </w:rPr>
        <w:t xml:space="preserve">worden gehouden door </w:t>
      </w:r>
      <w:r>
        <w:rPr>
          <w:rFonts w:ascii="Verdana" w:hAnsi="Verdana" w:cs="Arial"/>
          <w:iCs/>
          <w:sz w:val="18"/>
          <w:szCs w:val="18"/>
        </w:rPr>
        <w:t>een</w:t>
      </w:r>
      <w:r w:rsidR="00A963BD">
        <w:rPr>
          <w:rFonts w:ascii="Verdana" w:hAnsi="Verdana" w:cs="Arial"/>
          <w:iCs/>
          <w:sz w:val="18"/>
          <w:szCs w:val="18"/>
        </w:rPr>
        <w:t xml:space="preserve"> separate</w:t>
      </w:r>
      <w:r>
        <w:rPr>
          <w:rFonts w:ascii="Verdana" w:hAnsi="Verdana" w:cs="Arial"/>
          <w:iCs/>
          <w:sz w:val="18"/>
          <w:szCs w:val="18"/>
        </w:rPr>
        <w:t xml:space="preserve"> stichting.</w:t>
      </w:r>
      <w:r w:rsidR="00A963BD">
        <w:rPr>
          <w:rFonts w:ascii="Verdana" w:hAnsi="Verdana" w:cs="Arial"/>
          <w:iCs/>
          <w:sz w:val="18"/>
          <w:szCs w:val="18"/>
        </w:rPr>
        <w:t xml:space="preserve"> Tegelijkertijd</w:t>
      </w:r>
      <w:r>
        <w:rPr>
          <w:rFonts w:ascii="Verdana" w:hAnsi="Verdana" w:cs="Arial"/>
          <w:iCs/>
          <w:sz w:val="18"/>
          <w:szCs w:val="18"/>
        </w:rPr>
        <w:t xml:space="preserve"> wordt ook geregeld dat </w:t>
      </w:r>
      <w:proofErr w:type="gramStart"/>
      <w:r>
        <w:rPr>
          <w:rFonts w:ascii="Verdana" w:hAnsi="Verdana" w:cs="Arial"/>
          <w:iCs/>
          <w:sz w:val="18"/>
          <w:szCs w:val="18"/>
        </w:rPr>
        <w:t>DNB instructies</w:t>
      </w:r>
      <w:proofErr w:type="gramEnd"/>
      <w:r>
        <w:rPr>
          <w:rFonts w:ascii="Verdana" w:hAnsi="Verdana" w:cs="Arial"/>
          <w:iCs/>
          <w:sz w:val="18"/>
          <w:szCs w:val="18"/>
        </w:rPr>
        <w:t xml:space="preserve"> aan deze stichting kan geven ten aanzien van haar taakuitoefening.</w:t>
      </w:r>
      <w:r w:rsidR="009B6A15">
        <w:rPr>
          <w:rFonts w:ascii="Verdana" w:hAnsi="Verdana" w:cs="Arial"/>
          <w:iCs/>
          <w:sz w:val="18"/>
          <w:szCs w:val="18"/>
        </w:rPr>
        <w:t xml:space="preserve"> De SAA heeft immers geen verdere eigen rol in de afwikkelingsstrategie dan het beheren van de genoemde </w:t>
      </w:r>
      <w:r w:rsidR="006C6A60">
        <w:rPr>
          <w:rFonts w:ascii="Verdana" w:hAnsi="Verdana" w:cs="Arial"/>
          <w:iCs/>
          <w:sz w:val="18"/>
          <w:szCs w:val="18"/>
        </w:rPr>
        <w:t xml:space="preserve">instrumenten en bij te dragen aan de uitvoering van besluiten tot </w:t>
      </w:r>
      <w:proofErr w:type="spellStart"/>
      <w:r w:rsidR="006C6A60">
        <w:rPr>
          <w:rFonts w:ascii="Verdana" w:hAnsi="Verdana" w:cs="Arial"/>
          <w:i/>
          <w:sz w:val="18"/>
          <w:szCs w:val="18"/>
        </w:rPr>
        <w:t>bail</w:t>
      </w:r>
      <w:proofErr w:type="spellEnd"/>
      <w:r w:rsidR="006C6A60">
        <w:rPr>
          <w:rFonts w:ascii="Verdana" w:hAnsi="Verdana" w:cs="Arial"/>
          <w:i/>
          <w:sz w:val="18"/>
          <w:szCs w:val="18"/>
        </w:rPr>
        <w:t>-in</w:t>
      </w:r>
      <w:r w:rsidR="006C6A60">
        <w:rPr>
          <w:rFonts w:ascii="Verdana" w:hAnsi="Verdana" w:cs="Arial"/>
          <w:iCs/>
          <w:sz w:val="18"/>
          <w:szCs w:val="18"/>
        </w:rPr>
        <w:t xml:space="preserve"> van DNB</w:t>
      </w:r>
      <w:r w:rsidR="009B6A15">
        <w:rPr>
          <w:rFonts w:ascii="Verdana" w:hAnsi="Verdana" w:cs="Arial"/>
          <w:iCs/>
          <w:sz w:val="18"/>
          <w:szCs w:val="18"/>
        </w:rPr>
        <w:t>.</w:t>
      </w:r>
      <w:r w:rsidR="006C6A60">
        <w:rPr>
          <w:rFonts w:ascii="Verdana" w:hAnsi="Verdana" w:cs="Arial"/>
          <w:iCs/>
          <w:sz w:val="18"/>
          <w:szCs w:val="18"/>
        </w:rPr>
        <w:t xml:space="preserve"> Dit wordt verder uitgewerkt met het implementatiebesluit in het Besluit bijzondere </w:t>
      </w:r>
      <w:proofErr w:type="spellStart"/>
      <w:r w:rsidR="006C6A60">
        <w:rPr>
          <w:rFonts w:ascii="Verdana" w:hAnsi="Verdana" w:cs="Arial"/>
          <w:iCs/>
          <w:sz w:val="18"/>
          <w:szCs w:val="18"/>
        </w:rPr>
        <w:t>prudentiële</w:t>
      </w:r>
      <w:proofErr w:type="spellEnd"/>
      <w:r w:rsidR="006C6A60">
        <w:rPr>
          <w:rFonts w:ascii="Verdana" w:hAnsi="Verdana" w:cs="Arial"/>
          <w:iCs/>
          <w:sz w:val="18"/>
          <w:szCs w:val="18"/>
        </w:rPr>
        <w:t xml:space="preserve"> maatregelen, beleggerscompensatie en depositogarantie </w:t>
      </w:r>
      <w:proofErr w:type="spellStart"/>
      <w:r w:rsidR="006C6A60">
        <w:rPr>
          <w:rFonts w:ascii="Verdana" w:hAnsi="Verdana" w:cs="Arial"/>
          <w:iCs/>
          <w:sz w:val="18"/>
          <w:szCs w:val="18"/>
        </w:rPr>
        <w:t>Wft</w:t>
      </w:r>
      <w:proofErr w:type="spellEnd"/>
      <w:r w:rsidR="006C6A60">
        <w:rPr>
          <w:rFonts w:ascii="Verdana" w:hAnsi="Verdana" w:cs="Arial"/>
          <w:iCs/>
          <w:sz w:val="18"/>
          <w:szCs w:val="18"/>
        </w:rPr>
        <w:t>.</w:t>
      </w:r>
      <w:r>
        <w:rPr>
          <w:rFonts w:ascii="Verdana" w:hAnsi="Verdana" w:cs="Arial"/>
          <w:iCs/>
          <w:sz w:val="18"/>
          <w:szCs w:val="18"/>
        </w:rPr>
        <w:t xml:space="preserve"> </w:t>
      </w:r>
    </w:p>
    <w:p w:rsidR="006C6A60" w:rsidP="005D3AC0" w:rsidRDefault="006C6A60" w14:paraId="7B16901A" w14:textId="77777777">
      <w:pPr>
        <w:widowControl w:val="0"/>
        <w:tabs>
          <w:tab w:val="num" w:pos="720"/>
        </w:tabs>
        <w:spacing w:line="240" w:lineRule="atLeast"/>
        <w:rPr>
          <w:rFonts w:ascii="Verdana" w:hAnsi="Verdana" w:cs="Arial"/>
          <w:iCs/>
          <w:sz w:val="18"/>
          <w:szCs w:val="18"/>
        </w:rPr>
      </w:pPr>
    </w:p>
    <w:p w:rsidR="005D3AC0" w:rsidP="005D3AC0" w:rsidRDefault="009B6A15" w14:paraId="4D53876D" w14:textId="1E493F85">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DNB heeft verschillende bevoegdheden ten aanzien van de </w:t>
      </w:r>
      <w:proofErr w:type="spellStart"/>
      <w:r w:rsidRPr="00A963BD">
        <w:rPr>
          <w:rFonts w:ascii="Verdana" w:hAnsi="Verdana" w:cs="Arial"/>
          <w:i/>
          <w:sz w:val="18"/>
          <w:szCs w:val="18"/>
        </w:rPr>
        <w:t>governance</w:t>
      </w:r>
      <w:proofErr w:type="spellEnd"/>
      <w:r>
        <w:rPr>
          <w:rFonts w:ascii="Verdana" w:hAnsi="Verdana" w:cs="Arial"/>
          <w:iCs/>
          <w:sz w:val="18"/>
          <w:szCs w:val="18"/>
        </w:rPr>
        <w:t xml:space="preserve"> van deze stichting. </w:t>
      </w:r>
      <w:r w:rsidRPr="005D3AC0" w:rsidR="005D3AC0">
        <w:rPr>
          <w:rFonts w:ascii="Verdana" w:hAnsi="Verdana" w:cs="Arial"/>
          <w:iCs/>
          <w:sz w:val="18"/>
          <w:szCs w:val="18"/>
        </w:rPr>
        <w:t>Volledigheidshalve wordt verwezen naar het advies van de Algemene Rekenkamer hierover dat is gepubliceerd op de wetgevingskalender.</w:t>
      </w:r>
      <w:r w:rsidRPr="005D3AC0" w:rsidR="005D3AC0">
        <w:rPr>
          <w:rFonts w:ascii="Verdana" w:hAnsi="Verdana" w:cs="Arial"/>
          <w:iCs/>
          <w:sz w:val="18"/>
          <w:szCs w:val="18"/>
          <w:vertAlign w:val="superscript"/>
        </w:rPr>
        <w:footnoteReference w:id="8"/>
      </w:r>
      <w:r w:rsidR="005D3AC0">
        <w:rPr>
          <w:rFonts w:ascii="Verdana" w:hAnsi="Verdana" w:cs="Arial"/>
          <w:iCs/>
          <w:sz w:val="18"/>
          <w:szCs w:val="18"/>
        </w:rPr>
        <w:t xml:space="preserve"> </w:t>
      </w:r>
      <w:r>
        <w:rPr>
          <w:rFonts w:ascii="Verdana" w:hAnsi="Verdana" w:cs="Arial"/>
          <w:iCs/>
          <w:sz w:val="18"/>
          <w:szCs w:val="18"/>
        </w:rPr>
        <w:t>Toezicht op de SAA loopt via de band van de</w:t>
      </w:r>
      <w:r w:rsidR="005D3AC0">
        <w:rPr>
          <w:rFonts w:ascii="Verdana" w:hAnsi="Verdana" w:cs="Arial"/>
          <w:iCs/>
          <w:sz w:val="18"/>
          <w:szCs w:val="18"/>
        </w:rPr>
        <w:t xml:space="preserve"> toezichtverhouding die de minister van Financiën en de Algemene Rekenkamer hebben tot DNB als zelfstandig bestuursorgaan. </w:t>
      </w:r>
    </w:p>
    <w:p w:rsidRPr="00DA4547" w:rsidR="00330943" w:rsidP="00DA4547" w:rsidRDefault="00330943" w14:paraId="10B43874" w14:textId="77777777">
      <w:pPr>
        <w:widowControl w:val="0"/>
        <w:tabs>
          <w:tab w:val="num" w:pos="720"/>
        </w:tabs>
        <w:spacing w:line="240" w:lineRule="atLeast"/>
        <w:rPr>
          <w:rFonts w:ascii="Verdana" w:hAnsi="Verdana" w:cs="Arial"/>
          <w:i/>
          <w:sz w:val="18"/>
          <w:szCs w:val="18"/>
        </w:rPr>
      </w:pPr>
    </w:p>
    <w:p w:rsidR="00DA4547" w:rsidP="00DA4547" w:rsidRDefault="00DA4547" w14:paraId="6CE4BA94"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Onder de richtlijn kan een verzekeraar met toestemming van DNB afzien van het opstellen van een afwikkelingsplan, zo constateren deze leden. Kan de regering aangeven hoe DNB dit beoordeelt en of hierdoor (potentieel systeemrelevante) verzekeraars buiten de reikwijdte van een afwikkelingsplan kunnen vallen? De leden van de D66-fractie vragen welke waarborgen er bestaan om te voorkomen dat dit ten koste gaat van de financiële stabiliteit.</w:t>
      </w:r>
    </w:p>
    <w:p w:rsidR="0067278D" w:rsidP="00DA4547" w:rsidRDefault="0067278D" w14:paraId="252C862E" w14:textId="77777777">
      <w:pPr>
        <w:widowControl w:val="0"/>
        <w:tabs>
          <w:tab w:val="num" w:pos="720"/>
        </w:tabs>
        <w:spacing w:line="240" w:lineRule="atLeast"/>
        <w:rPr>
          <w:rFonts w:ascii="Verdana" w:hAnsi="Verdana" w:cs="Arial"/>
          <w:i/>
          <w:sz w:val="18"/>
          <w:szCs w:val="18"/>
        </w:rPr>
      </w:pPr>
    </w:p>
    <w:p w:rsidRPr="0067278D" w:rsidR="0067278D" w:rsidP="0029240D" w:rsidRDefault="00232426" w14:paraId="67DB351A" w14:textId="39F3E23D">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Op grond van de richtlijn </w:t>
      </w:r>
      <w:r w:rsidR="00901FA0">
        <w:rPr>
          <w:rFonts w:ascii="Verdana" w:hAnsi="Verdana" w:cs="Arial"/>
          <w:iCs/>
          <w:sz w:val="18"/>
          <w:szCs w:val="18"/>
        </w:rPr>
        <w:t xml:space="preserve">(en de </w:t>
      </w:r>
      <w:proofErr w:type="spellStart"/>
      <w:r w:rsidR="00901FA0">
        <w:rPr>
          <w:rFonts w:ascii="Verdana" w:hAnsi="Verdana" w:cs="Arial"/>
          <w:iCs/>
          <w:sz w:val="18"/>
          <w:szCs w:val="18"/>
        </w:rPr>
        <w:t>Wft</w:t>
      </w:r>
      <w:proofErr w:type="spellEnd"/>
      <w:r w:rsidR="00901FA0">
        <w:rPr>
          <w:rFonts w:ascii="Verdana" w:hAnsi="Verdana" w:cs="Arial"/>
          <w:iCs/>
          <w:sz w:val="18"/>
          <w:szCs w:val="18"/>
        </w:rPr>
        <w:t xml:space="preserve">) </w:t>
      </w:r>
      <w:r>
        <w:rPr>
          <w:rFonts w:ascii="Verdana" w:hAnsi="Verdana" w:cs="Arial"/>
          <w:iCs/>
          <w:sz w:val="18"/>
          <w:szCs w:val="18"/>
        </w:rPr>
        <w:t>beoordeelt en bepaalt d</w:t>
      </w:r>
      <w:r w:rsidRPr="00232426">
        <w:rPr>
          <w:rFonts w:ascii="Verdana" w:hAnsi="Verdana" w:cs="Arial"/>
          <w:iCs/>
          <w:sz w:val="18"/>
          <w:szCs w:val="18"/>
        </w:rPr>
        <w:t>e afwikkelingsautoriteit</w:t>
      </w:r>
      <w:r w:rsidR="00901FA0">
        <w:rPr>
          <w:rFonts w:ascii="Verdana" w:hAnsi="Verdana" w:cs="Arial"/>
          <w:iCs/>
          <w:sz w:val="18"/>
          <w:szCs w:val="18"/>
        </w:rPr>
        <w:t xml:space="preserve"> (</w:t>
      </w:r>
      <w:r>
        <w:rPr>
          <w:rFonts w:ascii="Verdana" w:hAnsi="Verdana" w:cs="Arial"/>
          <w:iCs/>
          <w:sz w:val="18"/>
          <w:szCs w:val="18"/>
        </w:rPr>
        <w:t>DNB</w:t>
      </w:r>
      <w:r w:rsidR="00901FA0">
        <w:rPr>
          <w:rFonts w:ascii="Verdana" w:hAnsi="Verdana" w:cs="Arial"/>
          <w:iCs/>
          <w:sz w:val="18"/>
          <w:szCs w:val="18"/>
        </w:rPr>
        <w:t>)</w:t>
      </w:r>
      <w:r>
        <w:rPr>
          <w:rFonts w:ascii="Verdana" w:hAnsi="Verdana" w:cs="Arial"/>
          <w:iCs/>
          <w:sz w:val="18"/>
          <w:szCs w:val="18"/>
        </w:rPr>
        <w:t xml:space="preserve"> voor welke verzekeringsondernemingen zij </w:t>
      </w:r>
      <w:r w:rsidR="00901FA0">
        <w:rPr>
          <w:rFonts w:ascii="Verdana" w:hAnsi="Verdana" w:cs="Arial"/>
          <w:iCs/>
          <w:sz w:val="18"/>
          <w:szCs w:val="18"/>
        </w:rPr>
        <w:t xml:space="preserve">zelf </w:t>
      </w:r>
      <w:r>
        <w:rPr>
          <w:rFonts w:ascii="Verdana" w:hAnsi="Verdana" w:cs="Arial"/>
          <w:iCs/>
          <w:sz w:val="18"/>
          <w:szCs w:val="18"/>
        </w:rPr>
        <w:t>een afwikkelingsplan opstelt. De verplichting tot het opstellen van een afwikkelingsplan en het doen van afwikkelingsplanning is gericht aan de afwikkelingsautoriteit.</w:t>
      </w:r>
      <w:r w:rsidRPr="00232426">
        <w:rPr>
          <w:rFonts w:ascii="Verdana" w:hAnsi="Verdana" w:cs="Arial"/>
          <w:iCs/>
          <w:sz w:val="18"/>
          <w:szCs w:val="18"/>
        </w:rPr>
        <w:t xml:space="preserve"> </w:t>
      </w:r>
      <w:r>
        <w:rPr>
          <w:rFonts w:ascii="Verdana" w:hAnsi="Verdana" w:cs="Arial"/>
          <w:iCs/>
          <w:sz w:val="18"/>
          <w:szCs w:val="18"/>
        </w:rPr>
        <w:t xml:space="preserve">De groep ondernemingen waarvoor </w:t>
      </w:r>
      <w:proofErr w:type="gramStart"/>
      <w:r>
        <w:rPr>
          <w:rFonts w:ascii="Verdana" w:hAnsi="Verdana" w:cs="Arial"/>
          <w:iCs/>
          <w:sz w:val="18"/>
          <w:szCs w:val="18"/>
        </w:rPr>
        <w:t xml:space="preserve">DNB </w:t>
      </w:r>
      <w:r w:rsidRPr="00232426">
        <w:rPr>
          <w:rFonts w:ascii="Verdana" w:hAnsi="Verdana" w:cs="Arial"/>
          <w:iCs/>
          <w:sz w:val="18"/>
          <w:szCs w:val="18"/>
        </w:rPr>
        <w:t>afwikkelingsplannen</w:t>
      </w:r>
      <w:proofErr w:type="gramEnd"/>
      <w:r w:rsidRPr="00232426">
        <w:rPr>
          <w:rFonts w:ascii="Verdana" w:hAnsi="Verdana" w:cs="Arial"/>
          <w:iCs/>
          <w:sz w:val="18"/>
          <w:szCs w:val="18"/>
        </w:rPr>
        <w:t xml:space="preserve"> opstelt</w:t>
      </w:r>
      <w:r>
        <w:rPr>
          <w:rFonts w:ascii="Verdana" w:hAnsi="Verdana" w:cs="Arial"/>
          <w:iCs/>
          <w:sz w:val="18"/>
          <w:szCs w:val="18"/>
        </w:rPr>
        <w:t xml:space="preserve">, </w:t>
      </w:r>
      <w:r w:rsidRPr="00232426">
        <w:rPr>
          <w:rFonts w:ascii="Verdana" w:hAnsi="Verdana" w:cs="Arial"/>
          <w:iCs/>
          <w:sz w:val="18"/>
          <w:szCs w:val="18"/>
        </w:rPr>
        <w:t xml:space="preserve">selecteert </w:t>
      </w:r>
      <w:r>
        <w:rPr>
          <w:rFonts w:ascii="Verdana" w:hAnsi="Verdana" w:cs="Arial"/>
          <w:iCs/>
          <w:sz w:val="18"/>
          <w:szCs w:val="18"/>
        </w:rPr>
        <w:t xml:space="preserve">zij </w:t>
      </w:r>
      <w:r w:rsidRPr="00232426">
        <w:rPr>
          <w:rFonts w:ascii="Verdana" w:hAnsi="Verdana" w:cs="Arial"/>
          <w:iCs/>
          <w:sz w:val="18"/>
          <w:szCs w:val="18"/>
        </w:rPr>
        <w:t xml:space="preserve">op basis van </w:t>
      </w:r>
      <w:r w:rsidR="00901FA0">
        <w:rPr>
          <w:rFonts w:ascii="Verdana" w:hAnsi="Verdana" w:cs="Arial"/>
          <w:iCs/>
          <w:sz w:val="18"/>
          <w:szCs w:val="18"/>
        </w:rPr>
        <w:t xml:space="preserve">(i) </w:t>
      </w:r>
      <w:r w:rsidRPr="00232426">
        <w:rPr>
          <w:rFonts w:ascii="Verdana" w:hAnsi="Verdana" w:cs="Arial"/>
          <w:iCs/>
          <w:sz w:val="18"/>
          <w:szCs w:val="18"/>
        </w:rPr>
        <w:t xml:space="preserve">de waarschijnlijkheid dat de toepassing van een afwikkelingsmaatregel in het algemeen belang zou zijn, in geval van falen van de betreffende onderneming, </w:t>
      </w:r>
      <w:r w:rsidR="00901FA0">
        <w:rPr>
          <w:rFonts w:ascii="Verdana" w:hAnsi="Verdana" w:cs="Arial"/>
          <w:iCs/>
          <w:sz w:val="18"/>
          <w:szCs w:val="18"/>
        </w:rPr>
        <w:t xml:space="preserve">en (ii) of de ondernemingen een kritieke functie vervullen. </w:t>
      </w:r>
      <w:r w:rsidRPr="00232426">
        <w:rPr>
          <w:rFonts w:ascii="Verdana" w:hAnsi="Verdana" w:cs="Arial"/>
          <w:iCs/>
          <w:sz w:val="18"/>
          <w:szCs w:val="18"/>
        </w:rPr>
        <w:t>De afwikkelingsautoriteit houdt hierbij rekening met de noodzaak om afwikkelingsdoelstellingen te verwezenlijken en met de omvang, het bedrijfsmodel, het risicoprofiel, de verwevenheid, de vervangbaarheid en met name de grensoverschrijdende activiteiten van de betreffende verzekeringsonderneming</w:t>
      </w:r>
      <w:r>
        <w:rPr>
          <w:rFonts w:ascii="Verdana" w:hAnsi="Verdana" w:cs="Arial"/>
          <w:iCs/>
          <w:sz w:val="18"/>
          <w:szCs w:val="18"/>
        </w:rPr>
        <w:t xml:space="preserve">. </w:t>
      </w:r>
      <w:r w:rsidR="0029240D">
        <w:rPr>
          <w:rFonts w:ascii="Verdana" w:hAnsi="Verdana" w:cs="Arial"/>
          <w:iCs/>
          <w:sz w:val="18"/>
          <w:szCs w:val="18"/>
        </w:rPr>
        <w:t xml:space="preserve">De instandhouding </w:t>
      </w:r>
      <w:r w:rsidRPr="0029240D" w:rsidR="0029240D">
        <w:rPr>
          <w:rFonts w:ascii="Verdana" w:hAnsi="Verdana" w:cs="Arial"/>
          <w:iCs/>
          <w:sz w:val="18"/>
          <w:szCs w:val="18"/>
        </w:rPr>
        <w:t xml:space="preserve">van </w:t>
      </w:r>
      <w:r w:rsidR="0029240D">
        <w:rPr>
          <w:rFonts w:ascii="Verdana" w:hAnsi="Verdana" w:cs="Arial"/>
          <w:iCs/>
          <w:sz w:val="18"/>
          <w:szCs w:val="18"/>
        </w:rPr>
        <w:t xml:space="preserve">de </w:t>
      </w:r>
      <w:r w:rsidRPr="0029240D" w:rsidR="0029240D">
        <w:rPr>
          <w:rFonts w:ascii="Verdana" w:hAnsi="Verdana" w:cs="Arial"/>
          <w:iCs/>
          <w:sz w:val="18"/>
          <w:szCs w:val="18"/>
        </w:rPr>
        <w:t xml:space="preserve">financiële stabiliteit is </w:t>
      </w:r>
      <w:r w:rsidR="0029240D">
        <w:rPr>
          <w:rFonts w:ascii="Verdana" w:hAnsi="Verdana" w:cs="Arial"/>
          <w:iCs/>
          <w:sz w:val="18"/>
          <w:szCs w:val="18"/>
        </w:rPr>
        <w:t>éé</w:t>
      </w:r>
      <w:r w:rsidRPr="0029240D" w:rsidR="0029240D">
        <w:rPr>
          <w:rFonts w:ascii="Verdana" w:hAnsi="Verdana" w:cs="Arial"/>
          <w:iCs/>
          <w:sz w:val="18"/>
          <w:szCs w:val="18"/>
        </w:rPr>
        <w:t xml:space="preserve">n van de vier afwikkeldoelstellingen in de IRRD (zie art 18, tweede lid, onderdeel b). DNB dient de mogelijke gevolgen van het eventuele falen van verzekeraars op de financiële stabiliteit dus te beoordelen </w:t>
      </w:r>
      <w:r w:rsidRPr="0029240D" w:rsidR="0029240D">
        <w:rPr>
          <w:rFonts w:ascii="Verdana" w:hAnsi="Verdana" w:cs="Arial"/>
          <w:iCs/>
          <w:sz w:val="18"/>
          <w:szCs w:val="18"/>
        </w:rPr>
        <w:lastRenderedPageBreak/>
        <w:t>bij het bepalen van de vraag voor welke verzekeraars een afwikkelingsplan opgesteld moet worden.</w:t>
      </w:r>
    </w:p>
    <w:p w:rsidRPr="00DA4547" w:rsidR="00DA4547" w:rsidP="00DA4547" w:rsidRDefault="00DA4547" w14:paraId="1DD6A572"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4E95CC9F"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3.2.3 Aanpassing van de afwikkelingsdoelstellingen en algemeen-belangtoets </w:t>
      </w:r>
    </w:p>
    <w:p w:rsidRPr="00DA4547" w:rsidR="00DA4547" w:rsidP="00DA4547" w:rsidRDefault="00DA4547" w14:paraId="63D7D12B" w14:textId="77777777">
      <w:pPr>
        <w:widowControl w:val="0"/>
        <w:tabs>
          <w:tab w:val="num" w:pos="720"/>
        </w:tabs>
        <w:spacing w:line="240" w:lineRule="atLeast"/>
        <w:rPr>
          <w:rFonts w:ascii="Verdana" w:hAnsi="Verdana" w:cs="Arial"/>
          <w:i/>
          <w:sz w:val="18"/>
          <w:szCs w:val="18"/>
        </w:rPr>
      </w:pPr>
    </w:p>
    <w:p w:rsidR="00DA4547" w:rsidP="00DA4547" w:rsidRDefault="00DA4547" w14:paraId="69803D8E"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CDA-fractie lezen dat met het voorliggende wetsvoorstel de bescherming van de collectieve belangen van polishouders een zelfstandige afwikkelingsdoelstelling wordt. De regering merkt daarbij op dat hiermee geen inhoudelijke koerswijziging wordt beoogd. Kan de regering aangeven in welke opzichten de beoordeling door DNB in de praktijk anders zal zijn dan onder het huidige wettelijke kader? </w:t>
      </w:r>
    </w:p>
    <w:p w:rsidR="0067278D" w:rsidP="00DA4547" w:rsidRDefault="0067278D" w14:paraId="676A540B" w14:textId="39B9E47E">
      <w:pPr>
        <w:widowControl w:val="0"/>
        <w:tabs>
          <w:tab w:val="num" w:pos="720"/>
        </w:tabs>
        <w:spacing w:line="240" w:lineRule="atLeast"/>
        <w:rPr>
          <w:rFonts w:ascii="Verdana" w:hAnsi="Verdana" w:cs="Arial"/>
          <w:i/>
          <w:sz w:val="18"/>
          <w:szCs w:val="18"/>
        </w:rPr>
      </w:pPr>
    </w:p>
    <w:p w:rsidR="00DA5DE7" w:rsidP="00DA4547" w:rsidRDefault="00893F7A" w14:paraId="2139D5C0" w14:textId="6853E0C7">
      <w:pPr>
        <w:widowControl w:val="0"/>
        <w:tabs>
          <w:tab w:val="num" w:pos="720"/>
        </w:tabs>
        <w:spacing w:line="240" w:lineRule="atLeast"/>
        <w:rPr>
          <w:rFonts w:ascii="Verdana" w:hAnsi="Verdana" w:cs="Arial"/>
          <w:iCs/>
          <w:sz w:val="18"/>
          <w:szCs w:val="18"/>
        </w:rPr>
      </w:pPr>
      <w:r>
        <w:rPr>
          <w:rFonts w:ascii="Verdana" w:hAnsi="Verdana" w:cs="Arial"/>
          <w:iCs/>
          <w:sz w:val="18"/>
          <w:szCs w:val="18"/>
        </w:rPr>
        <w:t>Onder het huidige wettelijke kader is één van de vier afwikkelingsdoelstellingen de ‘</w:t>
      </w:r>
      <w:r w:rsidRPr="00893F7A">
        <w:rPr>
          <w:rFonts w:ascii="Verdana" w:hAnsi="Verdana" w:cs="Arial"/>
          <w:iCs/>
          <w:sz w:val="18"/>
          <w:szCs w:val="18"/>
        </w:rPr>
        <w:t xml:space="preserve">bescherming van de belangen van gerechtigden op vorderingen </w:t>
      </w:r>
      <w:proofErr w:type="gramStart"/>
      <w:r w:rsidRPr="00893F7A">
        <w:rPr>
          <w:rFonts w:ascii="Verdana" w:hAnsi="Verdana" w:cs="Arial"/>
          <w:iCs/>
          <w:sz w:val="18"/>
          <w:szCs w:val="18"/>
        </w:rPr>
        <w:t>krachtens</w:t>
      </w:r>
      <w:proofErr w:type="gramEnd"/>
      <w:r w:rsidRPr="00893F7A">
        <w:rPr>
          <w:rFonts w:ascii="Verdana" w:hAnsi="Verdana" w:cs="Arial"/>
          <w:iCs/>
          <w:sz w:val="18"/>
          <w:szCs w:val="18"/>
        </w:rPr>
        <w:t xml:space="preserve"> directe verzekering</w:t>
      </w:r>
      <w:r>
        <w:rPr>
          <w:rFonts w:ascii="Verdana" w:hAnsi="Verdana" w:cs="Arial"/>
          <w:iCs/>
          <w:sz w:val="18"/>
          <w:szCs w:val="18"/>
        </w:rPr>
        <w:t>’. Deze doelstelling is geen</w:t>
      </w:r>
      <w:r w:rsidRPr="00893F7A">
        <w:rPr>
          <w:rFonts w:ascii="Verdana" w:hAnsi="Verdana" w:cs="Arial"/>
          <w:iCs/>
          <w:sz w:val="18"/>
          <w:szCs w:val="18"/>
        </w:rPr>
        <w:t xml:space="preserve"> zelfstandige afwikkelingsdoelstelling</w:t>
      </w:r>
      <w:r w:rsidR="006150A3">
        <w:rPr>
          <w:rFonts w:ascii="Verdana" w:hAnsi="Verdana" w:cs="Arial"/>
          <w:iCs/>
          <w:sz w:val="18"/>
          <w:szCs w:val="18"/>
        </w:rPr>
        <w:t xml:space="preserve">. Dit houdt in dat het </w:t>
      </w:r>
      <w:r w:rsidRPr="00893F7A">
        <w:rPr>
          <w:rFonts w:ascii="Verdana" w:hAnsi="Verdana" w:cs="Arial"/>
          <w:iCs/>
          <w:sz w:val="18"/>
          <w:szCs w:val="18"/>
        </w:rPr>
        <w:t>alleen in combinatie met een andere afwikkelingsdoelstelling</w:t>
      </w:r>
      <w:r w:rsidR="006150A3">
        <w:rPr>
          <w:rFonts w:ascii="Verdana" w:hAnsi="Verdana" w:cs="Arial"/>
          <w:iCs/>
          <w:sz w:val="18"/>
          <w:szCs w:val="18"/>
        </w:rPr>
        <w:t>, zoals “het voorkomen van significante nadelige gevolgen voor de financiële markten”, grond</w:t>
      </w:r>
      <w:r w:rsidRPr="00893F7A" w:rsidR="006150A3">
        <w:rPr>
          <w:rFonts w:ascii="Verdana" w:hAnsi="Verdana" w:cs="Arial"/>
          <w:iCs/>
          <w:sz w:val="18"/>
          <w:szCs w:val="18"/>
        </w:rPr>
        <w:t xml:space="preserve"> </w:t>
      </w:r>
      <w:r w:rsidRPr="00893F7A">
        <w:rPr>
          <w:rFonts w:ascii="Verdana" w:hAnsi="Verdana" w:cs="Arial"/>
          <w:iCs/>
          <w:sz w:val="18"/>
          <w:szCs w:val="18"/>
        </w:rPr>
        <w:t xml:space="preserve">kan zijn om aan de afwikkelingsvoorwaarde van </w:t>
      </w:r>
      <w:r>
        <w:rPr>
          <w:rFonts w:ascii="Verdana" w:hAnsi="Verdana" w:cs="Arial"/>
          <w:iCs/>
          <w:sz w:val="18"/>
          <w:szCs w:val="18"/>
        </w:rPr>
        <w:t>‘</w:t>
      </w:r>
      <w:r w:rsidRPr="00893F7A">
        <w:rPr>
          <w:rFonts w:ascii="Verdana" w:hAnsi="Verdana" w:cs="Arial"/>
          <w:iCs/>
          <w:sz w:val="18"/>
          <w:szCs w:val="18"/>
        </w:rPr>
        <w:t>algemeen belang</w:t>
      </w:r>
      <w:r>
        <w:rPr>
          <w:rFonts w:ascii="Verdana" w:hAnsi="Verdana" w:cs="Arial"/>
          <w:iCs/>
          <w:sz w:val="18"/>
          <w:szCs w:val="18"/>
        </w:rPr>
        <w:t>’</w:t>
      </w:r>
      <w:r w:rsidRPr="00893F7A">
        <w:rPr>
          <w:rFonts w:ascii="Verdana" w:hAnsi="Verdana" w:cs="Arial"/>
          <w:iCs/>
          <w:sz w:val="18"/>
          <w:szCs w:val="18"/>
        </w:rPr>
        <w:t xml:space="preserve"> te kunnen voldoen. </w:t>
      </w:r>
      <w:r>
        <w:rPr>
          <w:rFonts w:ascii="Verdana" w:hAnsi="Verdana" w:cs="Arial"/>
          <w:iCs/>
          <w:sz w:val="18"/>
          <w:szCs w:val="18"/>
        </w:rPr>
        <w:t>Als gevolg van de IRRD wordt de wet op dit punt aangepast, waardoor de ‘</w:t>
      </w:r>
      <w:r w:rsidRPr="00893F7A">
        <w:rPr>
          <w:rFonts w:ascii="Verdana" w:hAnsi="Verdana" w:cs="Arial"/>
          <w:iCs/>
          <w:sz w:val="18"/>
          <w:szCs w:val="18"/>
        </w:rPr>
        <w:t>bescherming van de collectieve belangen van verzekeringnemers, begunstigden en indieners van vorderingen</w:t>
      </w:r>
      <w:r>
        <w:rPr>
          <w:rFonts w:ascii="Verdana" w:hAnsi="Verdana" w:cs="Arial"/>
          <w:iCs/>
          <w:sz w:val="18"/>
          <w:szCs w:val="18"/>
        </w:rPr>
        <w:t xml:space="preserve">’ (zie artikel 18, tweede lid, onderdeel a, IRRD) op zichzelf al voldoende grond is om te concluderen dat afwikkeling in het algemeen belang is. </w:t>
      </w:r>
      <w:r w:rsidR="00351C8F">
        <w:rPr>
          <w:rFonts w:ascii="Verdana" w:hAnsi="Verdana" w:cs="Arial"/>
          <w:iCs/>
          <w:sz w:val="18"/>
          <w:szCs w:val="18"/>
        </w:rPr>
        <w:t>De</w:t>
      </w:r>
      <w:r w:rsidRPr="00351C8F" w:rsidR="00351C8F">
        <w:rPr>
          <w:rFonts w:ascii="Verdana" w:hAnsi="Verdana" w:cs="Arial"/>
          <w:iCs/>
          <w:sz w:val="18"/>
          <w:szCs w:val="18"/>
        </w:rPr>
        <w:t xml:space="preserve"> IRRD </w:t>
      </w:r>
      <w:r w:rsidR="00351C8F">
        <w:rPr>
          <w:rFonts w:ascii="Verdana" w:hAnsi="Verdana" w:cs="Arial"/>
          <w:iCs/>
          <w:sz w:val="18"/>
          <w:szCs w:val="18"/>
        </w:rPr>
        <w:t xml:space="preserve">schrijft voor </w:t>
      </w:r>
      <w:r w:rsidRPr="00351C8F" w:rsidR="00351C8F">
        <w:rPr>
          <w:rFonts w:ascii="Verdana" w:hAnsi="Verdana" w:cs="Arial"/>
          <w:iCs/>
          <w:sz w:val="18"/>
          <w:szCs w:val="18"/>
        </w:rPr>
        <w:t xml:space="preserve">dat </w:t>
      </w:r>
      <w:r w:rsidR="00351C8F">
        <w:rPr>
          <w:rFonts w:ascii="Verdana" w:hAnsi="Verdana" w:cs="Arial"/>
          <w:iCs/>
          <w:sz w:val="18"/>
          <w:szCs w:val="18"/>
        </w:rPr>
        <w:t>alle</w:t>
      </w:r>
      <w:r w:rsidRPr="00351C8F" w:rsidR="00351C8F">
        <w:rPr>
          <w:rFonts w:ascii="Verdana" w:hAnsi="Verdana" w:cs="Arial"/>
          <w:iCs/>
          <w:sz w:val="18"/>
          <w:szCs w:val="18"/>
        </w:rPr>
        <w:t xml:space="preserve"> afwikkelingsdoelstellingen even relevant zijn, en dat het gewicht dat de afwikkelingsautoriteiten eraan toekennen, recht moet doen aan de aard en de omstandigheden van elke zaak. </w:t>
      </w:r>
    </w:p>
    <w:p w:rsidR="00DA5DE7" w:rsidP="00DA4547" w:rsidRDefault="00DA5DE7" w14:paraId="5594AB6E" w14:textId="77777777">
      <w:pPr>
        <w:widowControl w:val="0"/>
        <w:tabs>
          <w:tab w:val="num" w:pos="720"/>
        </w:tabs>
        <w:spacing w:line="240" w:lineRule="atLeast"/>
        <w:rPr>
          <w:rFonts w:ascii="Verdana" w:hAnsi="Verdana" w:cs="Arial"/>
          <w:iCs/>
          <w:sz w:val="18"/>
          <w:szCs w:val="18"/>
        </w:rPr>
      </w:pPr>
    </w:p>
    <w:p w:rsidRPr="00893F7A" w:rsidR="00893F7A" w:rsidP="00DA4547" w:rsidRDefault="00893F7A" w14:paraId="5428F493" w14:textId="74E310D9">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In theorie kan DNB </w:t>
      </w:r>
      <w:r w:rsidR="00351C8F">
        <w:rPr>
          <w:rFonts w:ascii="Verdana" w:hAnsi="Verdana" w:cs="Arial"/>
          <w:iCs/>
          <w:sz w:val="18"/>
          <w:szCs w:val="18"/>
        </w:rPr>
        <w:t>na implementatie van de IRRD</w:t>
      </w:r>
      <w:r>
        <w:rPr>
          <w:rFonts w:ascii="Verdana" w:hAnsi="Verdana" w:cs="Arial"/>
          <w:iCs/>
          <w:sz w:val="18"/>
          <w:szCs w:val="18"/>
        </w:rPr>
        <w:t xml:space="preserve"> sneller tot het oordeel komen dat afwikkeling in het algemeen belang is</w:t>
      </w:r>
      <w:r w:rsidR="00351C8F">
        <w:rPr>
          <w:rFonts w:ascii="Verdana" w:hAnsi="Verdana" w:cs="Arial"/>
          <w:iCs/>
          <w:sz w:val="18"/>
          <w:szCs w:val="18"/>
        </w:rPr>
        <w:t xml:space="preserve">, omdat alle vier de afwikkelingsdoelstellingen individueel </w:t>
      </w:r>
      <w:r w:rsidR="00FB404B">
        <w:rPr>
          <w:rFonts w:ascii="Verdana" w:hAnsi="Verdana" w:cs="Arial"/>
          <w:iCs/>
          <w:sz w:val="18"/>
          <w:szCs w:val="18"/>
        </w:rPr>
        <w:t xml:space="preserve">tot dat oordeel </w:t>
      </w:r>
      <w:r w:rsidR="00351C8F">
        <w:rPr>
          <w:rFonts w:ascii="Verdana" w:hAnsi="Verdana" w:cs="Arial"/>
          <w:iCs/>
          <w:sz w:val="18"/>
          <w:szCs w:val="18"/>
        </w:rPr>
        <w:t>kunnen leiden (in plaats van gecombineerd)</w:t>
      </w:r>
      <w:r>
        <w:rPr>
          <w:rFonts w:ascii="Verdana" w:hAnsi="Verdana" w:cs="Arial"/>
          <w:iCs/>
          <w:sz w:val="18"/>
          <w:szCs w:val="18"/>
        </w:rPr>
        <w:t xml:space="preserve">. </w:t>
      </w:r>
      <w:r w:rsidR="00351C8F">
        <w:rPr>
          <w:rFonts w:ascii="Verdana" w:hAnsi="Verdana" w:cs="Arial"/>
          <w:iCs/>
          <w:sz w:val="18"/>
          <w:szCs w:val="18"/>
        </w:rPr>
        <w:t>D</w:t>
      </w:r>
      <w:r w:rsidRPr="00351C8F" w:rsidR="00351C8F">
        <w:rPr>
          <w:rFonts w:ascii="Verdana" w:hAnsi="Verdana" w:cs="Arial"/>
          <w:iCs/>
          <w:sz w:val="18"/>
          <w:szCs w:val="18"/>
        </w:rPr>
        <w:t xml:space="preserve">e keuze voor afwikkeling </w:t>
      </w:r>
      <w:r w:rsidR="00351C8F">
        <w:rPr>
          <w:rFonts w:ascii="Verdana" w:hAnsi="Verdana" w:cs="Arial"/>
          <w:iCs/>
          <w:sz w:val="18"/>
          <w:szCs w:val="18"/>
        </w:rPr>
        <w:t xml:space="preserve">moet echter nog steeds </w:t>
      </w:r>
      <w:r w:rsidRPr="00351C8F" w:rsidR="00351C8F">
        <w:rPr>
          <w:rFonts w:ascii="Verdana" w:hAnsi="Verdana" w:cs="Arial"/>
          <w:iCs/>
          <w:sz w:val="18"/>
          <w:szCs w:val="18"/>
        </w:rPr>
        <w:t>noodzakelijk en evenredig zijn in het licht van de afwikkelingsdoelstellingen</w:t>
      </w:r>
      <w:r w:rsidR="00DA5DE7">
        <w:rPr>
          <w:rFonts w:ascii="Verdana" w:hAnsi="Verdana" w:cs="Arial"/>
          <w:iCs/>
          <w:sz w:val="18"/>
          <w:szCs w:val="18"/>
        </w:rPr>
        <w:t xml:space="preserve">. </w:t>
      </w:r>
      <w:r w:rsidRPr="0029240D" w:rsidR="0029240D">
        <w:rPr>
          <w:rFonts w:ascii="Verdana" w:hAnsi="Verdana" w:cs="Arial"/>
          <w:iCs/>
          <w:sz w:val="18"/>
          <w:szCs w:val="18"/>
        </w:rPr>
        <w:t>De toetsing in een concrete casus is en blijft aan DNB. Op voorhand is niet te zeggen of de wijzigingen in het wettelijk kader in een concrete casus tot een ander oordeel van DNB z</w:t>
      </w:r>
      <w:r w:rsidR="0029240D">
        <w:rPr>
          <w:rFonts w:ascii="Verdana" w:hAnsi="Verdana" w:cs="Arial"/>
          <w:iCs/>
          <w:sz w:val="18"/>
          <w:szCs w:val="18"/>
        </w:rPr>
        <w:t>ullen</w:t>
      </w:r>
      <w:r w:rsidRPr="0029240D" w:rsidR="0029240D">
        <w:rPr>
          <w:rFonts w:ascii="Verdana" w:hAnsi="Verdana" w:cs="Arial"/>
          <w:iCs/>
          <w:sz w:val="18"/>
          <w:szCs w:val="18"/>
        </w:rPr>
        <w:t xml:space="preserve"> leiden.</w:t>
      </w:r>
    </w:p>
    <w:p w:rsidRPr="00DA4547" w:rsidR="00DA4547" w:rsidP="00DA4547" w:rsidRDefault="00DA4547" w14:paraId="77C64FBE"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 </w:t>
      </w:r>
    </w:p>
    <w:p w:rsidRPr="00DA4547" w:rsidR="00DA4547" w:rsidP="00DA4547" w:rsidRDefault="00DA4547" w14:paraId="0DEE2017"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CDA-fractie constateren dat EIOPA in haar richtsnoeren voor de identificatie van kritieke functies een brede benadering hanteert, waarbij naast verzekerings- en herverzekeringsfuncties ook niet-verzekeringsfuncties en </w:t>
      </w:r>
      <w:proofErr w:type="spellStart"/>
      <w:r w:rsidRPr="00DA4547">
        <w:rPr>
          <w:rFonts w:ascii="Verdana" w:hAnsi="Verdana" w:cs="Arial"/>
          <w:i/>
          <w:sz w:val="18"/>
          <w:szCs w:val="18"/>
        </w:rPr>
        <w:t>verzekeringsgerelateerde</w:t>
      </w:r>
      <w:proofErr w:type="spellEnd"/>
      <w:r w:rsidRPr="00DA4547">
        <w:rPr>
          <w:rFonts w:ascii="Verdana" w:hAnsi="Verdana" w:cs="Arial"/>
          <w:i/>
          <w:sz w:val="18"/>
          <w:szCs w:val="18"/>
        </w:rPr>
        <w:t xml:space="preserve"> functies bij de beoordeling kunnen worden betrokken1. Hoe verhoudt deze benadering zich tot de uitleg van het begrip kritieke functies in de memorie van toelichting? Kan de regering aangeven of de EIOPA-richtsnoeren ertoe kunnen leiden dat in de praktijk meer activiteiten van verzekeraars als kritieke functie worden aangemerkt dan op basis van de memorie van toelichting kan worden verwacht? Welke gevolgen kan dit hebben voor de administratieve lasten voor verzekeraars?</w:t>
      </w:r>
    </w:p>
    <w:p w:rsidR="0067278D" w:rsidP="00DA4547" w:rsidRDefault="0067278D" w14:paraId="66AE48CE" w14:textId="67D66549">
      <w:pPr>
        <w:widowControl w:val="0"/>
        <w:tabs>
          <w:tab w:val="num" w:pos="720"/>
        </w:tabs>
        <w:spacing w:line="240" w:lineRule="atLeast"/>
        <w:rPr>
          <w:rFonts w:ascii="Verdana" w:hAnsi="Verdana" w:cs="Arial"/>
          <w:iCs/>
          <w:sz w:val="18"/>
          <w:szCs w:val="18"/>
        </w:rPr>
      </w:pPr>
    </w:p>
    <w:p w:rsidR="00AC1611" w:rsidP="00DA4547" w:rsidRDefault="00BA4AC6" w14:paraId="16587F24" w14:textId="4C8259E5">
      <w:pPr>
        <w:widowControl w:val="0"/>
        <w:tabs>
          <w:tab w:val="num" w:pos="720"/>
        </w:tabs>
        <w:spacing w:line="240" w:lineRule="atLeast"/>
        <w:rPr>
          <w:rFonts w:ascii="Verdana" w:hAnsi="Verdana" w:cs="Arial"/>
          <w:iCs/>
          <w:sz w:val="18"/>
          <w:szCs w:val="18"/>
        </w:rPr>
      </w:pPr>
      <w:r w:rsidRPr="00BA4AC6">
        <w:rPr>
          <w:rFonts w:ascii="Verdana" w:hAnsi="Verdana" w:cs="Arial"/>
          <w:iCs/>
          <w:sz w:val="18"/>
          <w:szCs w:val="18"/>
        </w:rPr>
        <w:t xml:space="preserve">Onder de IRRD is een van de afwikkelingsdoelstellingen het waarborgen van de continuïteit van kritieke functies. Deze doelstelling als zodanig bestaat nog niet in de </w:t>
      </w:r>
      <w:proofErr w:type="spellStart"/>
      <w:r w:rsidRPr="00BA4AC6">
        <w:rPr>
          <w:rFonts w:ascii="Verdana" w:hAnsi="Verdana" w:cs="Arial"/>
          <w:iCs/>
          <w:sz w:val="18"/>
          <w:szCs w:val="18"/>
        </w:rPr>
        <w:t>Wft</w:t>
      </w:r>
      <w:proofErr w:type="spellEnd"/>
      <w:r w:rsidRPr="00BA4AC6">
        <w:rPr>
          <w:rFonts w:ascii="Verdana" w:hAnsi="Verdana" w:cs="Arial"/>
          <w:iCs/>
          <w:sz w:val="18"/>
          <w:szCs w:val="18"/>
        </w:rPr>
        <w:t xml:space="preserve"> en wordt met de implementatie van de IRRD toegevoegd. Voor de definitie van kritieke functies wordt </w:t>
      </w:r>
      <w:r>
        <w:rPr>
          <w:rFonts w:ascii="Verdana" w:hAnsi="Verdana" w:cs="Arial"/>
          <w:iCs/>
          <w:sz w:val="18"/>
          <w:szCs w:val="18"/>
        </w:rPr>
        <w:t xml:space="preserve">in het wetsvoorstel </w:t>
      </w:r>
      <w:r w:rsidRPr="00BA4AC6">
        <w:rPr>
          <w:rFonts w:ascii="Verdana" w:hAnsi="Verdana" w:cs="Arial"/>
          <w:iCs/>
          <w:sz w:val="18"/>
          <w:szCs w:val="18"/>
        </w:rPr>
        <w:t xml:space="preserve">aangesloten bij de definitie in de IRRD. </w:t>
      </w:r>
      <w:r>
        <w:rPr>
          <w:rFonts w:ascii="Verdana" w:hAnsi="Verdana" w:cs="Arial"/>
          <w:iCs/>
          <w:sz w:val="18"/>
          <w:szCs w:val="18"/>
        </w:rPr>
        <w:t>In de memorie van toelichting</w:t>
      </w:r>
      <w:r w:rsidR="00AC1611">
        <w:rPr>
          <w:rStyle w:val="Voetnootmarkering"/>
          <w:rFonts w:ascii="Verdana" w:hAnsi="Verdana" w:cs="Arial"/>
          <w:iCs/>
          <w:sz w:val="18"/>
          <w:szCs w:val="18"/>
        </w:rPr>
        <w:footnoteReference w:id="9"/>
      </w:r>
      <w:r w:rsidR="00AC1611">
        <w:rPr>
          <w:rFonts w:ascii="Verdana" w:hAnsi="Verdana" w:cs="Arial"/>
          <w:iCs/>
          <w:sz w:val="18"/>
          <w:szCs w:val="18"/>
        </w:rPr>
        <w:t xml:space="preserve"> </w:t>
      </w:r>
      <w:r>
        <w:rPr>
          <w:rFonts w:ascii="Verdana" w:hAnsi="Verdana" w:cs="Arial"/>
          <w:iCs/>
          <w:sz w:val="18"/>
          <w:szCs w:val="18"/>
        </w:rPr>
        <w:t xml:space="preserve">is </w:t>
      </w:r>
      <w:proofErr w:type="gramStart"/>
      <w:r>
        <w:rPr>
          <w:rFonts w:ascii="Verdana" w:hAnsi="Verdana" w:cs="Arial"/>
          <w:iCs/>
          <w:sz w:val="18"/>
          <w:szCs w:val="18"/>
        </w:rPr>
        <w:t>tevens</w:t>
      </w:r>
      <w:proofErr w:type="gramEnd"/>
      <w:r>
        <w:rPr>
          <w:rFonts w:ascii="Verdana" w:hAnsi="Verdana" w:cs="Arial"/>
          <w:iCs/>
          <w:sz w:val="18"/>
          <w:szCs w:val="18"/>
        </w:rPr>
        <w:t xml:space="preserve"> de verwachting uitgesproken dat dit begrip niet te breed wordt uitgelegd door DNB, </w:t>
      </w:r>
      <w:r w:rsidR="00AC1611">
        <w:rPr>
          <w:rFonts w:ascii="Verdana" w:hAnsi="Verdana" w:cs="Arial"/>
          <w:iCs/>
          <w:sz w:val="18"/>
          <w:szCs w:val="18"/>
        </w:rPr>
        <w:t xml:space="preserve">namelijk dat </w:t>
      </w:r>
      <w:r w:rsidRPr="00AC1611" w:rsidR="00AC1611">
        <w:rPr>
          <w:rFonts w:ascii="Verdana" w:hAnsi="Verdana" w:cs="Arial"/>
          <w:iCs/>
          <w:sz w:val="18"/>
          <w:szCs w:val="18"/>
        </w:rPr>
        <w:t xml:space="preserve">de focus </w:t>
      </w:r>
      <w:r w:rsidR="00AC1611">
        <w:rPr>
          <w:rFonts w:ascii="Verdana" w:hAnsi="Verdana" w:cs="Arial"/>
          <w:iCs/>
          <w:sz w:val="18"/>
          <w:szCs w:val="18"/>
        </w:rPr>
        <w:t>zou moeten liggen</w:t>
      </w:r>
      <w:r w:rsidRPr="00AC1611" w:rsidR="00AC1611">
        <w:rPr>
          <w:rFonts w:ascii="Verdana" w:hAnsi="Verdana" w:cs="Arial"/>
          <w:iCs/>
          <w:sz w:val="18"/>
          <w:szCs w:val="18"/>
        </w:rPr>
        <w:t xml:space="preserve"> op typische verzekeringsactiviteiten, met bijzondere aandacht voor het belang van de continuïteit van verzekeringsdekking</w:t>
      </w:r>
      <w:r w:rsidR="00AC1611">
        <w:rPr>
          <w:rFonts w:ascii="Verdana" w:hAnsi="Verdana" w:cs="Arial"/>
          <w:iCs/>
          <w:sz w:val="18"/>
          <w:szCs w:val="18"/>
        </w:rPr>
        <w:t>. EIOPA</w:t>
      </w:r>
      <w:r w:rsidR="005C044F">
        <w:rPr>
          <w:rFonts w:ascii="Verdana" w:hAnsi="Verdana" w:cs="Arial"/>
          <w:iCs/>
          <w:sz w:val="18"/>
          <w:szCs w:val="18"/>
        </w:rPr>
        <w:t xml:space="preserve"> heeft</w:t>
      </w:r>
      <w:r w:rsidR="00AC1611">
        <w:rPr>
          <w:rFonts w:ascii="Verdana" w:hAnsi="Verdana" w:cs="Arial"/>
          <w:iCs/>
          <w:sz w:val="18"/>
          <w:szCs w:val="18"/>
        </w:rPr>
        <w:t xml:space="preserve"> een mandaat gekregen om richtsnoeren op </w:t>
      </w:r>
      <w:r w:rsidR="00AC1611">
        <w:rPr>
          <w:rFonts w:ascii="Verdana" w:hAnsi="Verdana" w:cs="Arial"/>
          <w:iCs/>
          <w:sz w:val="18"/>
          <w:szCs w:val="18"/>
        </w:rPr>
        <w:lastRenderedPageBreak/>
        <w:t xml:space="preserve">te stellen waarin criteria worden opgenomen die de autoriteiten kunnen gebruiken bij de identificatie van kritieke functies. Deze richtsnoeren zijn niet bindend, maar een hulpmiddel voor consistente toepassing van begrippen door de verschillende autoriteiten van alle lidstaten. Het is aan DNB om, indachtig de oproep in de memorie van toelichting, te wegen hoe zij de criteria van EIOPA </w:t>
      </w:r>
      <w:r w:rsidR="005C044F">
        <w:rPr>
          <w:rFonts w:ascii="Verdana" w:hAnsi="Verdana" w:cs="Arial"/>
          <w:iCs/>
          <w:sz w:val="18"/>
          <w:szCs w:val="18"/>
        </w:rPr>
        <w:t>kan toepassen</w:t>
      </w:r>
      <w:r w:rsidR="00AC1611">
        <w:rPr>
          <w:rFonts w:ascii="Verdana" w:hAnsi="Verdana" w:cs="Arial"/>
          <w:iCs/>
          <w:sz w:val="18"/>
          <w:szCs w:val="18"/>
        </w:rPr>
        <w:t xml:space="preserve"> in haar werk.  </w:t>
      </w:r>
    </w:p>
    <w:p w:rsidRPr="0088074A" w:rsidR="0088074A" w:rsidP="00DA4547" w:rsidRDefault="0088074A" w14:paraId="2CB5A02D" w14:textId="77777777">
      <w:pPr>
        <w:widowControl w:val="0"/>
        <w:tabs>
          <w:tab w:val="num" w:pos="720"/>
        </w:tabs>
        <w:spacing w:line="240" w:lineRule="atLeast"/>
        <w:rPr>
          <w:rFonts w:ascii="Verdana" w:hAnsi="Verdana" w:cs="Arial"/>
          <w:iCs/>
          <w:sz w:val="18"/>
          <w:szCs w:val="18"/>
        </w:rPr>
      </w:pPr>
    </w:p>
    <w:p w:rsidRPr="00DA4547" w:rsidR="00DA4547" w:rsidP="00DA4547" w:rsidRDefault="00DA4547" w14:paraId="7535F5FE"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3.2.6 Lidstaatopties</w:t>
      </w:r>
    </w:p>
    <w:p w:rsidRPr="00DA4547" w:rsidR="00DA4547" w:rsidP="00DA4547" w:rsidRDefault="00DA4547" w14:paraId="322B11C7"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955DD7B" w14:textId="1D47428A">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VVD-fractie lezen dat per lidstaatoptie inzichtelijk is gemaakt of daarvan gebruik wordt gemaakt en dat het Adviescollege Toetsing Regeldruk de gemaakte keuzes als lastenluw beoordeelt. Deze leden vragen de regering of bij deze afwegingen </w:t>
      </w:r>
      <w:proofErr w:type="gramStart"/>
      <w:r w:rsidRPr="00DA4547">
        <w:rPr>
          <w:rFonts w:ascii="Verdana" w:hAnsi="Verdana" w:cs="Arial"/>
          <w:i/>
          <w:sz w:val="18"/>
          <w:szCs w:val="18"/>
        </w:rPr>
        <w:t>tevens</w:t>
      </w:r>
      <w:proofErr w:type="gramEnd"/>
      <w:r w:rsidRPr="00DA4547">
        <w:rPr>
          <w:rFonts w:ascii="Verdana" w:hAnsi="Verdana" w:cs="Arial"/>
          <w:i/>
          <w:sz w:val="18"/>
          <w:szCs w:val="18"/>
        </w:rPr>
        <w:t xml:space="preserve"> is gekeken naar de wijze waarop andere grote Europese lidstaten dezelfde keuzemogelijkheden invullen. Daarnaast vernemen deze leden graag of de regering risico’s of juist kansen ziet voor Nederlandse verzekeraars door de gekozen implementatie.</w:t>
      </w:r>
    </w:p>
    <w:p w:rsidR="00DA4547" w:rsidP="00DA4547" w:rsidRDefault="00DA4547" w14:paraId="2E1E7786" w14:textId="77777777">
      <w:pPr>
        <w:widowControl w:val="0"/>
        <w:tabs>
          <w:tab w:val="num" w:pos="720"/>
        </w:tabs>
        <w:spacing w:line="240" w:lineRule="atLeast"/>
        <w:rPr>
          <w:rFonts w:ascii="Verdana" w:hAnsi="Verdana" w:cs="Arial"/>
          <w:i/>
          <w:sz w:val="18"/>
          <w:szCs w:val="18"/>
        </w:rPr>
      </w:pPr>
    </w:p>
    <w:p w:rsidR="00D34C29" w:rsidP="00D34C29" w:rsidRDefault="00815243" w14:paraId="64CD8E1B" w14:textId="077689BB">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Nederland heeft al een wettelijk kader voor het herstel en de afwikkeling van verzekeraars. </w:t>
      </w:r>
      <w:r w:rsidR="00202A98">
        <w:rPr>
          <w:rFonts w:ascii="Verdana" w:hAnsi="Verdana" w:cs="Arial"/>
          <w:iCs/>
          <w:sz w:val="18"/>
          <w:szCs w:val="18"/>
        </w:rPr>
        <w:t xml:space="preserve">Bij de implementatie is met name geprobeerd aan te sluiten bij dit </w:t>
      </w:r>
      <w:proofErr w:type="gramStart"/>
      <w:r w:rsidR="00202A98">
        <w:rPr>
          <w:rFonts w:ascii="Verdana" w:hAnsi="Verdana" w:cs="Arial"/>
          <w:iCs/>
          <w:sz w:val="18"/>
          <w:szCs w:val="18"/>
        </w:rPr>
        <w:t>reeds</w:t>
      </w:r>
      <w:proofErr w:type="gramEnd"/>
      <w:r w:rsidR="00202A98">
        <w:rPr>
          <w:rFonts w:ascii="Verdana" w:hAnsi="Verdana" w:cs="Arial"/>
          <w:iCs/>
          <w:sz w:val="18"/>
          <w:szCs w:val="18"/>
        </w:rPr>
        <w:t xml:space="preserve"> bestaande kader om de </w:t>
      </w:r>
      <w:r w:rsidR="004C54EC">
        <w:rPr>
          <w:rFonts w:ascii="Verdana" w:hAnsi="Verdana" w:cs="Arial"/>
          <w:iCs/>
          <w:sz w:val="18"/>
          <w:szCs w:val="18"/>
        </w:rPr>
        <w:t xml:space="preserve">wijzigingen </w:t>
      </w:r>
      <w:r w:rsidR="005C044F">
        <w:rPr>
          <w:rFonts w:ascii="Verdana" w:hAnsi="Verdana" w:cs="Arial"/>
          <w:iCs/>
          <w:sz w:val="18"/>
          <w:szCs w:val="18"/>
        </w:rPr>
        <w:t>voor verzekeraars</w:t>
      </w:r>
      <w:r w:rsidR="004C54EC">
        <w:rPr>
          <w:rFonts w:ascii="Verdana" w:hAnsi="Verdana" w:cs="Arial"/>
          <w:iCs/>
          <w:sz w:val="18"/>
          <w:szCs w:val="18"/>
        </w:rPr>
        <w:t xml:space="preserve"> in Nederland</w:t>
      </w:r>
      <w:r w:rsidR="00202A98">
        <w:rPr>
          <w:rFonts w:ascii="Verdana" w:hAnsi="Verdana" w:cs="Arial"/>
          <w:iCs/>
          <w:sz w:val="18"/>
          <w:szCs w:val="18"/>
        </w:rPr>
        <w:t xml:space="preserve"> zo </w:t>
      </w:r>
      <w:r w:rsidR="004C54EC">
        <w:rPr>
          <w:rFonts w:ascii="Verdana" w:hAnsi="Verdana" w:cs="Arial"/>
          <w:iCs/>
          <w:sz w:val="18"/>
          <w:szCs w:val="18"/>
        </w:rPr>
        <w:t xml:space="preserve">beperkt </w:t>
      </w:r>
      <w:r w:rsidR="00202A98">
        <w:rPr>
          <w:rFonts w:ascii="Verdana" w:hAnsi="Verdana" w:cs="Arial"/>
          <w:iCs/>
          <w:sz w:val="18"/>
          <w:szCs w:val="18"/>
        </w:rPr>
        <w:t xml:space="preserve">mogelijk te maken. Nederland heeft zich in Brussel, en DNB bij EIOPA, ingezet om het Europese kader zoveel mogelijk aan te laten sluiten bij het Nederlandse kader. Dit heeft als gevolg dat de Nederlandse verzekeringssector voorloopt op sectoren in andere lidstaten en de </w:t>
      </w:r>
      <w:r w:rsidR="005C044F">
        <w:rPr>
          <w:rFonts w:ascii="Verdana" w:hAnsi="Verdana" w:cs="Arial"/>
          <w:iCs/>
          <w:sz w:val="18"/>
          <w:szCs w:val="18"/>
        </w:rPr>
        <w:t xml:space="preserve">praktische implicaties van de IRRD </w:t>
      </w:r>
      <w:r w:rsidR="00202A98">
        <w:rPr>
          <w:rFonts w:ascii="Verdana" w:hAnsi="Verdana" w:cs="Arial"/>
          <w:iCs/>
          <w:sz w:val="18"/>
          <w:szCs w:val="18"/>
        </w:rPr>
        <w:t xml:space="preserve">relatief beperkt zijn. </w:t>
      </w:r>
      <w:r w:rsidR="009B087E">
        <w:rPr>
          <w:rFonts w:ascii="Verdana" w:hAnsi="Verdana" w:cs="Arial"/>
          <w:iCs/>
          <w:sz w:val="18"/>
          <w:szCs w:val="18"/>
        </w:rPr>
        <w:t xml:space="preserve">De komst van deze richtlijn en de implementatie zorgen voor een gelijk speelveld binnen de Europese Unie voor de Nederlandse verzekeringssector. </w:t>
      </w:r>
      <w:r w:rsidR="006617A1">
        <w:rPr>
          <w:rFonts w:ascii="Verdana" w:hAnsi="Verdana" w:cs="Arial"/>
          <w:iCs/>
          <w:sz w:val="18"/>
          <w:szCs w:val="18"/>
        </w:rPr>
        <w:t xml:space="preserve">Sectoren en toezichthoudende- afwikkelingsautoriteiten in de rest van de Europese Unie moeten veelal nog beginnen aan de praktische implementatie waardoor de uitwerking in andere lidstaten niet altijd duidelijk is. </w:t>
      </w:r>
    </w:p>
    <w:p w:rsidRPr="00DA4547" w:rsidR="0067278D" w:rsidP="00DA4547" w:rsidRDefault="0067278D" w14:paraId="501A310C" w14:textId="5BB02364">
      <w:pPr>
        <w:widowControl w:val="0"/>
        <w:tabs>
          <w:tab w:val="num" w:pos="720"/>
        </w:tabs>
        <w:spacing w:line="240" w:lineRule="atLeast"/>
        <w:rPr>
          <w:rFonts w:ascii="Verdana" w:hAnsi="Verdana" w:cs="Arial"/>
          <w:i/>
          <w:sz w:val="18"/>
          <w:szCs w:val="18"/>
        </w:rPr>
      </w:pPr>
    </w:p>
    <w:p w:rsidR="00DA4547" w:rsidP="00DA4547" w:rsidRDefault="00DA4547" w14:paraId="61DC203A"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PVV-fractie lezen dat de regering er </w:t>
      </w:r>
      <w:proofErr w:type="gramStart"/>
      <w:r w:rsidRPr="00DA4547">
        <w:rPr>
          <w:rFonts w:ascii="Verdana" w:hAnsi="Verdana" w:cs="Arial"/>
          <w:i/>
          <w:sz w:val="18"/>
          <w:szCs w:val="18"/>
        </w:rPr>
        <w:t>conform</w:t>
      </w:r>
      <w:proofErr w:type="gramEnd"/>
      <w:r w:rsidRPr="00DA4547">
        <w:rPr>
          <w:rFonts w:ascii="Verdana" w:hAnsi="Verdana" w:cs="Arial"/>
          <w:i/>
          <w:sz w:val="18"/>
          <w:szCs w:val="18"/>
        </w:rPr>
        <w:t xml:space="preserve"> het bestaande recht bewust voor heeft gekozen om de inzet van resolutiemaatregelen niet vooraf ex-ante door de rechter te laten toetsen, omwille van de "snelheid van handelen". Waarom weegt de operationele snelheid van DNB zwaarder dan het cruciale rechtsstatelijke principe van voorafgaande, onafhankelijke controle door een rechter?</w:t>
      </w:r>
    </w:p>
    <w:p w:rsidR="0067278D" w:rsidP="00DA4547" w:rsidRDefault="0067278D" w14:paraId="1F8111F5" w14:textId="77777777">
      <w:pPr>
        <w:widowControl w:val="0"/>
        <w:tabs>
          <w:tab w:val="num" w:pos="720"/>
        </w:tabs>
        <w:spacing w:line="240" w:lineRule="atLeast"/>
        <w:rPr>
          <w:rFonts w:ascii="Verdana" w:hAnsi="Verdana" w:cs="Arial"/>
          <w:i/>
          <w:sz w:val="18"/>
          <w:szCs w:val="18"/>
        </w:rPr>
      </w:pPr>
    </w:p>
    <w:p w:rsidRPr="0067278D" w:rsidR="00B72CC4" w:rsidP="00DA4547" w:rsidRDefault="005112C3" w14:paraId="4BF61FB1" w14:textId="1445BD0F">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Onafhankelijke controle door een rechter wordt geborgd </w:t>
      </w:r>
      <w:proofErr w:type="gramStart"/>
      <w:r>
        <w:rPr>
          <w:rFonts w:ascii="Verdana" w:hAnsi="Verdana" w:cs="Arial"/>
          <w:iCs/>
          <w:sz w:val="18"/>
          <w:szCs w:val="18"/>
        </w:rPr>
        <w:t>middels</w:t>
      </w:r>
      <w:proofErr w:type="gramEnd"/>
      <w:r>
        <w:rPr>
          <w:rFonts w:ascii="Verdana" w:hAnsi="Verdana" w:cs="Arial"/>
          <w:iCs/>
          <w:sz w:val="18"/>
          <w:szCs w:val="18"/>
        </w:rPr>
        <w:t xml:space="preserve"> toetsing achteraf. </w:t>
      </w:r>
      <w:r w:rsidR="005C044F">
        <w:rPr>
          <w:rFonts w:ascii="Verdana" w:hAnsi="Verdana" w:cs="Arial"/>
          <w:iCs/>
          <w:sz w:val="18"/>
          <w:szCs w:val="18"/>
        </w:rPr>
        <w:t xml:space="preserve">Het uitgangspunt van de richtlijn en van het bestaande Nederlandse kader is dat de rechter achteraf de besluiten van de resolutieautoriteit kan toetsen, </w:t>
      </w:r>
      <w:proofErr w:type="gramStart"/>
      <w:r w:rsidR="005C044F">
        <w:rPr>
          <w:rFonts w:ascii="Verdana" w:hAnsi="Verdana" w:cs="Arial"/>
          <w:iCs/>
          <w:sz w:val="18"/>
          <w:szCs w:val="18"/>
        </w:rPr>
        <w:t>indien</w:t>
      </w:r>
      <w:proofErr w:type="gramEnd"/>
      <w:r w:rsidR="005C044F">
        <w:rPr>
          <w:rFonts w:ascii="Verdana" w:hAnsi="Verdana" w:cs="Arial"/>
          <w:iCs/>
          <w:sz w:val="18"/>
          <w:szCs w:val="18"/>
        </w:rPr>
        <w:t xml:space="preserve"> deze worden aangevochten</w:t>
      </w:r>
      <w:r w:rsidR="005F5034">
        <w:rPr>
          <w:rFonts w:ascii="Verdana" w:hAnsi="Verdana" w:cs="Arial"/>
          <w:iCs/>
          <w:sz w:val="18"/>
          <w:szCs w:val="18"/>
        </w:rPr>
        <w:t xml:space="preserve">. </w:t>
      </w:r>
      <w:r w:rsidRPr="005C044F" w:rsidR="005F5034">
        <w:rPr>
          <w:rFonts w:ascii="Verdana" w:hAnsi="Verdana" w:cs="Arial"/>
          <w:i/>
          <w:sz w:val="18"/>
          <w:szCs w:val="18"/>
        </w:rPr>
        <w:t>Ex-ante</w:t>
      </w:r>
      <w:r w:rsidR="005F5034">
        <w:rPr>
          <w:rFonts w:ascii="Verdana" w:hAnsi="Verdana" w:cs="Arial"/>
          <w:iCs/>
          <w:sz w:val="18"/>
          <w:szCs w:val="18"/>
        </w:rPr>
        <w:t xml:space="preserve"> toetsing van een rechter vergt gebruikmaking van een lidstaatoptie</w:t>
      </w:r>
      <w:r w:rsidR="00837AC1">
        <w:rPr>
          <w:rFonts w:ascii="Verdana" w:hAnsi="Verdana" w:cs="Arial"/>
          <w:iCs/>
          <w:sz w:val="18"/>
          <w:szCs w:val="18"/>
        </w:rPr>
        <w:t>. H</w:t>
      </w:r>
      <w:r>
        <w:rPr>
          <w:rFonts w:ascii="Verdana" w:hAnsi="Verdana" w:cs="Arial"/>
          <w:iCs/>
          <w:sz w:val="18"/>
          <w:szCs w:val="18"/>
        </w:rPr>
        <w:t xml:space="preserve">oewel bij verzekeraars geen </w:t>
      </w:r>
      <w:r>
        <w:rPr>
          <w:rFonts w:ascii="Verdana" w:hAnsi="Verdana" w:cs="Arial"/>
          <w:i/>
          <w:sz w:val="18"/>
          <w:szCs w:val="18"/>
        </w:rPr>
        <w:t xml:space="preserve">bank run </w:t>
      </w:r>
      <w:r>
        <w:rPr>
          <w:rFonts w:ascii="Verdana" w:hAnsi="Verdana" w:cs="Arial"/>
          <w:iCs/>
          <w:sz w:val="18"/>
          <w:szCs w:val="18"/>
        </w:rPr>
        <w:t xml:space="preserve">kan optreden, waardoor acute liquiditeitsproblemen bij de onderneming ontstaan, is het </w:t>
      </w:r>
      <w:proofErr w:type="gramStart"/>
      <w:r>
        <w:rPr>
          <w:rFonts w:ascii="Verdana" w:hAnsi="Verdana" w:cs="Arial"/>
          <w:iCs/>
          <w:sz w:val="18"/>
          <w:szCs w:val="18"/>
        </w:rPr>
        <w:t>desalniettemin</w:t>
      </w:r>
      <w:proofErr w:type="gramEnd"/>
      <w:r>
        <w:rPr>
          <w:rFonts w:ascii="Verdana" w:hAnsi="Verdana" w:cs="Arial"/>
          <w:iCs/>
          <w:sz w:val="18"/>
          <w:szCs w:val="18"/>
        </w:rPr>
        <w:t xml:space="preserve"> van belang dat de resolutieautoriteit </w:t>
      </w:r>
      <w:r w:rsidR="000712F6">
        <w:rPr>
          <w:rFonts w:ascii="Verdana" w:hAnsi="Verdana" w:cs="Arial"/>
          <w:iCs/>
          <w:sz w:val="18"/>
          <w:szCs w:val="18"/>
        </w:rPr>
        <w:t>daadkrachtig en snel</w:t>
      </w:r>
      <w:r>
        <w:rPr>
          <w:rFonts w:ascii="Verdana" w:hAnsi="Verdana" w:cs="Arial"/>
          <w:iCs/>
          <w:sz w:val="18"/>
          <w:szCs w:val="18"/>
        </w:rPr>
        <w:t xml:space="preserve"> kan opereren en kan</w:t>
      </w:r>
      <w:r w:rsidR="000712F6">
        <w:rPr>
          <w:rFonts w:ascii="Verdana" w:hAnsi="Verdana" w:cs="Arial"/>
          <w:iCs/>
          <w:sz w:val="18"/>
          <w:szCs w:val="18"/>
        </w:rPr>
        <w:t xml:space="preserve"> </w:t>
      </w:r>
      <w:r>
        <w:rPr>
          <w:rFonts w:ascii="Verdana" w:hAnsi="Verdana" w:cs="Arial"/>
          <w:iCs/>
          <w:sz w:val="18"/>
          <w:szCs w:val="18"/>
        </w:rPr>
        <w:t>in</w:t>
      </w:r>
      <w:r w:rsidR="000712F6">
        <w:rPr>
          <w:rFonts w:ascii="Verdana" w:hAnsi="Verdana" w:cs="Arial"/>
          <w:iCs/>
          <w:sz w:val="18"/>
          <w:szCs w:val="18"/>
        </w:rPr>
        <w:t>grijpen</w:t>
      </w:r>
      <w:r w:rsidR="00B34087">
        <w:rPr>
          <w:rFonts w:ascii="Verdana" w:hAnsi="Verdana" w:cs="Arial"/>
          <w:iCs/>
          <w:sz w:val="18"/>
          <w:szCs w:val="18"/>
        </w:rPr>
        <w:t xml:space="preserve"> om de gevolgen</w:t>
      </w:r>
      <w:r>
        <w:rPr>
          <w:rFonts w:ascii="Verdana" w:hAnsi="Verdana" w:cs="Arial"/>
          <w:iCs/>
          <w:sz w:val="18"/>
          <w:szCs w:val="18"/>
        </w:rPr>
        <w:t xml:space="preserve"> van het omvallen van een verzekeraar voor de stabiliteit van het financiële stelsel</w:t>
      </w:r>
      <w:r w:rsidR="00B34087">
        <w:rPr>
          <w:rFonts w:ascii="Verdana" w:hAnsi="Verdana" w:cs="Arial"/>
          <w:iCs/>
          <w:sz w:val="18"/>
          <w:szCs w:val="18"/>
        </w:rPr>
        <w:t xml:space="preserve"> zoveel als mogelijk te beperken.</w:t>
      </w:r>
      <w:r w:rsidR="003B336C">
        <w:rPr>
          <w:rFonts w:ascii="Verdana" w:hAnsi="Verdana" w:cs="Arial"/>
          <w:iCs/>
          <w:sz w:val="18"/>
          <w:szCs w:val="18"/>
        </w:rPr>
        <w:t xml:space="preserve"> </w:t>
      </w:r>
      <w:r w:rsidR="00CE21A8">
        <w:rPr>
          <w:rFonts w:ascii="Verdana" w:hAnsi="Verdana" w:cs="Arial"/>
          <w:iCs/>
          <w:sz w:val="18"/>
          <w:szCs w:val="18"/>
        </w:rPr>
        <w:t xml:space="preserve">Daadkrachtig en snel opereren creëert duidelijkheid voor polishouders en bewaakt ook het vertrouwen in de markt. </w:t>
      </w:r>
      <w:r>
        <w:rPr>
          <w:rFonts w:ascii="Verdana" w:hAnsi="Verdana" w:cs="Arial"/>
          <w:iCs/>
          <w:sz w:val="18"/>
          <w:szCs w:val="18"/>
        </w:rPr>
        <w:t>Naast rechtsmiddelen die open staan tegen alle besluiten van DNB, vormen ook de wettelijke criteria die DNB in acht moet nemen alvorens te kunnen overgaan tot afwikkeling, een waarborg.</w:t>
      </w:r>
    </w:p>
    <w:p w:rsidRPr="00DA4547" w:rsidR="00DA4547" w:rsidP="00DA4547" w:rsidRDefault="00DA4547" w14:paraId="54CD3506"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F780CDB"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4. Verhouding tot hoger Europees recht</w:t>
      </w:r>
    </w:p>
    <w:p w:rsidRPr="00DA4547" w:rsidR="00DA4547" w:rsidP="00DA4547" w:rsidRDefault="00DA4547" w14:paraId="1B921A0F"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4EFE6586"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Kan de regering aan de leden van de D66-fractie aangeven in hoeverre het afwikkelingsregime voor verzekeraars na implementatie vergelijkbaar is met dat voor banken (BRRD/CMDI) en of er vanuit de Europese Commissie of </w:t>
      </w:r>
      <w:proofErr w:type="gramStart"/>
      <w:r w:rsidRPr="00DA4547">
        <w:rPr>
          <w:rFonts w:ascii="Verdana" w:hAnsi="Verdana" w:cs="Arial"/>
          <w:i/>
          <w:sz w:val="18"/>
          <w:szCs w:val="18"/>
        </w:rPr>
        <w:t xml:space="preserve">DNB </w:t>
      </w:r>
      <w:r w:rsidRPr="00DA4547">
        <w:rPr>
          <w:rFonts w:ascii="Verdana" w:hAnsi="Verdana" w:cs="Arial"/>
          <w:i/>
          <w:sz w:val="18"/>
          <w:szCs w:val="18"/>
        </w:rPr>
        <w:lastRenderedPageBreak/>
        <w:t>signalen</w:t>
      </w:r>
      <w:proofErr w:type="gramEnd"/>
      <w:r w:rsidRPr="00DA4547">
        <w:rPr>
          <w:rFonts w:ascii="Verdana" w:hAnsi="Verdana" w:cs="Arial"/>
          <w:i/>
          <w:sz w:val="18"/>
          <w:szCs w:val="18"/>
        </w:rPr>
        <w:t xml:space="preserve"> zijn dat verdere harmonisatie of zelfs een Europese afwikkelingsautoriteit voor verzekeraars wenselijk wordt geacht? De leden van de D66-fractie vragen of de regering de ambitie deelt om, net als bij de bankenunie, ook op het terrein van verzekeraarsafwikkeling naar meer Europese eenvormigheid toe te werken.</w:t>
      </w:r>
    </w:p>
    <w:p w:rsidRPr="00DA4547" w:rsidR="00DA4547" w:rsidP="00DA4547" w:rsidRDefault="00DA4547" w14:paraId="1089A8BD"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0C1B1316"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Een vergelijkbaar onderdeel met de bankenunie is de discussie over een garantiestelsel, zo constateren deze leden. Een verzekeringsgarantiestelsel (Insurance </w:t>
      </w:r>
      <w:proofErr w:type="spellStart"/>
      <w:r w:rsidRPr="00DA4547">
        <w:rPr>
          <w:rFonts w:ascii="Verdana" w:hAnsi="Verdana" w:cs="Arial"/>
          <w:i/>
          <w:sz w:val="18"/>
          <w:szCs w:val="18"/>
        </w:rPr>
        <w:t>Guarantee</w:t>
      </w:r>
      <w:proofErr w:type="spellEnd"/>
      <w:r w:rsidRPr="00DA4547">
        <w:rPr>
          <w:rFonts w:ascii="Verdana" w:hAnsi="Verdana" w:cs="Arial"/>
          <w:i/>
          <w:sz w:val="18"/>
          <w:szCs w:val="18"/>
        </w:rPr>
        <w:t xml:space="preserve"> </w:t>
      </w:r>
      <w:proofErr w:type="spellStart"/>
      <w:r w:rsidRPr="00DA4547">
        <w:rPr>
          <w:rFonts w:ascii="Verdana" w:hAnsi="Verdana" w:cs="Arial"/>
          <w:i/>
          <w:sz w:val="18"/>
          <w:szCs w:val="18"/>
        </w:rPr>
        <w:t>Scheme</w:t>
      </w:r>
      <w:proofErr w:type="spellEnd"/>
      <w:r w:rsidRPr="00DA4547">
        <w:rPr>
          <w:rFonts w:ascii="Verdana" w:hAnsi="Verdana" w:cs="Arial"/>
          <w:i/>
          <w:sz w:val="18"/>
          <w:szCs w:val="18"/>
        </w:rPr>
        <w:t>, IGS) kan polishouders bescherming bieden wanneer de verzekeraar in de problemen raakt. Kan de regering toelichten of een nationaal verzekeringsgarantiestelsel is overwogen? Zo niet, is de regering voornemens om Brussel te pleiten voor een Europees stelsel?</w:t>
      </w:r>
    </w:p>
    <w:p w:rsidR="00DA4547" w:rsidP="00DA4547" w:rsidRDefault="00DA4547" w14:paraId="05B7DDDB" w14:textId="77777777">
      <w:pPr>
        <w:widowControl w:val="0"/>
        <w:tabs>
          <w:tab w:val="num" w:pos="720"/>
        </w:tabs>
        <w:spacing w:line="240" w:lineRule="atLeast"/>
        <w:rPr>
          <w:rFonts w:ascii="Verdana" w:hAnsi="Verdana" w:cs="Arial"/>
          <w:i/>
          <w:sz w:val="18"/>
          <w:szCs w:val="18"/>
        </w:rPr>
      </w:pPr>
    </w:p>
    <w:p w:rsidR="00385482" w:rsidP="00DA4547" w:rsidRDefault="00385482" w14:paraId="40F02A08" w14:textId="51F984F1">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De IRRD is op veel onderdelen consistent met de artikelen uit de geconsolideerde versie van de BRRD. Dat is met name het geval waar het gaat om algemene bevoegdheden van de nationale resolutieautoriteit, waarborgen en instrumenten die op beide type ondernemingen van toepassing zijn (zoals de overbruggingsinstelling en de entiteit voor beheer van activa en passiva). Dit wordt vervolgens ook gereflecteerd in de Nederlandse wetgeving die daarvan een implementatie is. Door de verschillen in de bedrijfsmodellen van banken en verzekeraars, zijn de kaders echter niet volledig gelijk. </w:t>
      </w:r>
    </w:p>
    <w:p w:rsidR="00385482" w:rsidP="00DA4547" w:rsidRDefault="00385482" w14:paraId="21A703AC" w14:textId="77777777">
      <w:pPr>
        <w:widowControl w:val="0"/>
        <w:tabs>
          <w:tab w:val="num" w:pos="720"/>
        </w:tabs>
        <w:spacing w:line="240" w:lineRule="atLeast"/>
        <w:rPr>
          <w:rFonts w:ascii="Verdana" w:hAnsi="Verdana" w:cs="Arial"/>
          <w:iCs/>
          <w:sz w:val="18"/>
          <w:szCs w:val="18"/>
        </w:rPr>
      </w:pPr>
    </w:p>
    <w:p w:rsidR="00FD7913" w:rsidP="00DA4547" w:rsidRDefault="00385482" w14:paraId="26AEDDFD" w14:textId="678BD8B4">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Een belangrijk verschil tussen banken en verzekeraars is dat er bij banken een zogenaamde </w:t>
      </w:r>
      <w:r>
        <w:rPr>
          <w:rFonts w:ascii="Verdana" w:hAnsi="Verdana" w:cs="Arial"/>
          <w:i/>
          <w:sz w:val="18"/>
          <w:szCs w:val="18"/>
        </w:rPr>
        <w:t xml:space="preserve">bank run </w:t>
      </w:r>
      <w:r>
        <w:rPr>
          <w:rFonts w:ascii="Verdana" w:hAnsi="Verdana" w:cs="Arial"/>
          <w:iCs/>
          <w:sz w:val="18"/>
          <w:szCs w:val="18"/>
        </w:rPr>
        <w:t xml:space="preserve">kan optreden, waarbij depositohouders in korte tijd al hun (spaar)geld willen opnemen of verplaatsen naar een andere aanbieder, waardoor de bank acute liquiditeitsproblemen kan krijgen. Bij verzekeraars kan een dergelijke </w:t>
      </w:r>
      <w:r>
        <w:rPr>
          <w:rFonts w:ascii="Verdana" w:hAnsi="Verdana" w:cs="Arial"/>
          <w:i/>
          <w:sz w:val="18"/>
          <w:szCs w:val="18"/>
        </w:rPr>
        <w:t xml:space="preserve">run </w:t>
      </w:r>
      <w:r>
        <w:rPr>
          <w:rFonts w:ascii="Verdana" w:hAnsi="Verdana" w:cs="Arial"/>
          <w:iCs/>
          <w:sz w:val="18"/>
          <w:szCs w:val="18"/>
        </w:rPr>
        <w:t xml:space="preserve">niet optreden, omdat er geen sprake is van deposito’s en de contracten vaak niet direct kunnen worden geliquideerd. Het depositogarantiefonds heeft een rol in het tegengaan van </w:t>
      </w:r>
      <w:r>
        <w:rPr>
          <w:rFonts w:ascii="Verdana" w:hAnsi="Verdana" w:cs="Arial"/>
          <w:i/>
          <w:sz w:val="18"/>
          <w:szCs w:val="18"/>
        </w:rPr>
        <w:t>bank runs</w:t>
      </w:r>
      <w:r>
        <w:rPr>
          <w:rFonts w:ascii="Verdana" w:hAnsi="Verdana" w:cs="Arial"/>
          <w:iCs/>
          <w:sz w:val="18"/>
          <w:szCs w:val="18"/>
        </w:rPr>
        <w:t xml:space="preserve"> en heeft een stabiliserende werking bij onrust in de markt. Een dergelijke functie zou een verzekeringsgarantiestelsel niet hebben; daarbij gaat het eerder om polishouder bescherming bij tekorten achteraf. </w:t>
      </w:r>
    </w:p>
    <w:p w:rsidR="00385482" w:rsidP="00DA4547" w:rsidRDefault="00385482" w14:paraId="19FDB03D" w14:textId="77777777">
      <w:pPr>
        <w:widowControl w:val="0"/>
        <w:tabs>
          <w:tab w:val="num" w:pos="720"/>
        </w:tabs>
        <w:spacing w:line="240" w:lineRule="atLeast"/>
        <w:rPr>
          <w:rFonts w:ascii="Verdana" w:hAnsi="Verdana" w:cs="Arial"/>
          <w:iCs/>
          <w:sz w:val="18"/>
          <w:szCs w:val="18"/>
        </w:rPr>
      </w:pPr>
    </w:p>
    <w:p w:rsidR="00385482" w:rsidP="00DA4547" w:rsidRDefault="00385482" w14:paraId="367BE317" w14:textId="38211268">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Enkele jaren geleden heeft mijn ambtsvoorganger een onderzoek laten uitvoeren naar de wenselijkheid en betaalbaarheid van een nationaal verzekeringsgarantiestelsel. </w:t>
      </w:r>
      <w:r w:rsidRPr="00C244BC" w:rsidR="00C244BC">
        <w:rPr>
          <w:rFonts w:ascii="Verdana" w:hAnsi="Verdana" w:cs="Arial"/>
          <w:iCs/>
          <w:sz w:val="18"/>
          <w:szCs w:val="18"/>
        </w:rPr>
        <w:t>De conclusies naar aanleiding van het onderzoek waren dat een verzekeringsgarantiestelsel waarschijnlijk kostbaar en complex zou zijn voor de Nederlandse markt en dat</w:t>
      </w:r>
      <w:r w:rsidR="0043597B">
        <w:rPr>
          <w:rFonts w:ascii="Verdana" w:hAnsi="Verdana" w:cs="Arial"/>
          <w:iCs/>
          <w:sz w:val="18"/>
          <w:szCs w:val="18"/>
        </w:rPr>
        <w:t xml:space="preserve"> de toegevoegde waarde van</w:t>
      </w:r>
      <w:r w:rsidRPr="00C244BC" w:rsidR="00C244BC">
        <w:rPr>
          <w:rFonts w:ascii="Verdana" w:hAnsi="Verdana" w:cs="Arial"/>
          <w:iCs/>
          <w:sz w:val="18"/>
          <w:szCs w:val="18"/>
        </w:rPr>
        <w:t xml:space="preserve"> een verzekeringsgarantiestelsel beter in de context van Europese minimumharmonisatie zou kunnen worden </w:t>
      </w:r>
      <w:r w:rsidR="0043597B">
        <w:rPr>
          <w:rFonts w:ascii="Verdana" w:hAnsi="Verdana" w:cs="Arial"/>
          <w:iCs/>
          <w:sz w:val="18"/>
          <w:szCs w:val="18"/>
        </w:rPr>
        <w:t>overwogen</w:t>
      </w:r>
      <w:r w:rsidRPr="00C244BC" w:rsidR="00C244BC">
        <w:rPr>
          <w:rFonts w:ascii="Verdana" w:hAnsi="Verdana" w:cs="Arial"/>
          <w:iCs/>
          <w:sz w:val="18"/>
          <w:szCs w:val="18"/>
        </w:rPr>
        <w:t>.</w:t>
      </w:r>
      <w:r w:rsidR="00C244BC">
        <w:rPr>
          <w:rFonts w:ascii="Verdana" w:hAnsi="Verdana" w:cs="Arial"/>
          <w:iCs/>
          <w:sz w:val="18"/>
          <w:szCs w:val="18"/>
        </w:rPr>
        <w:t xml:space="preserve"> </w:t>
      </w:r>
      <w:r w:rsidRPr="00C244BC" w:rsidR="00C244BC">
        <w:rPr>
          <w:rFonts w:ascii="Verdana" w:hAnsi="Verdana" w:cs="Arial"/>
          <w:iCs/>
          <w:sz w:val="18"/>
          <w:szCs w:val="18"/>
        </w:rPr>
        <w:t>De minimumharmonisatie van verzekeringsgarantiestelsels is uiteindelijk geen onderdeel geworden van de IRRD.</w:t>
      </w:r>
      <w:r>
        <w:rPr>
          <w:rFonts w:ascii="Verdana" w:hAnsi="Verdana" w:cs="Arial"/>
          <w:iCs/>
          <w:sz w:val="18"/>
          <w:szCs w:val="18"/>
        </w:rPr>
        <w:t xml:space="preserve"> De </w:t>
      </w:r>
      <w:r w:rsidRPr="00385482">
        <w:rPr>
          <w:rFonts w:ascii="Verdana" w:hAnsi="Verdana" w:cs="Arial"/>
          <w:iCs/>
          <w:sz w:val="18"/>
          <w:szCs w:val="18"/>
        </w:rPr>
        <w:t>IRRD bevat een opdracht aan de Europese Commissie om voor 29 januari 2027</w:t>
      </w:r>
      <w:r w:rsidR="0029240D">
        <w:rPr>
          <w:rFonts w:ascii="Verdana" w:hAnsi="Verdana" w:cs="Arial"/>
          <w:iCs/>
          <w:sz w:val="18"/>
          <w:szCs w:val="18"/>
        </w:rPr>
        <w:t>,</w:t>
      </w:r>
      <w:r w:rsidRPr="0029240D" w:rsidR="0029240D">
        <w:rPr>
          <w:rFonts w:ascii="Verdana" w:hAnsi="Verdana" w:cs="Arial"/>
          <w:iCs/>
          <w:sz w:val="18"/>
          <w:szCs w:val="18"/>
        </w:rPr>
        <w:t xml:space="preserve"> na EIOPA te hebben geraadpleegd, </w:t>
      </w:r>
      <w:r w:rsidRPr="00385482">
        <w:rPr>
          <w:rFonts w:ascii="Verdana" w:hAnsi="Verdana" w:cs="Arial"/>
          <w:iCs/>
          <w:sz w:val="18"/>
          <w:szCs w:val="18"/>
        </w:rPr>
        <w:t xml:space="preserve">een rapport te presenteren waarin de noodzaak en minimumcondities van een </w:t>
      </w:r>
      <w:r w:rsidR="0029240D">
        <w:rPr>
          <w:rFonts w:ascii="Verdana" w:hAnsi="Verdana" w:cs="Arial"/>
          <w:iCs/>
          <w:sz w:val="18"/>
          <w:szCs w:val="18"/>
        </w:rPr>
        <w:t>g</w:t>
      </w:r>
      <w:r w:rsidRPr="00385482">
        <w:rPr>
          <w:rFonts w:ascii="Verdana" w:hAnsi="Verdana" w:cs="Arial"/>
          <w:iCs/>
          <w:sz w:val="18"/>
          <w:szCs w:val="18"/>
        </w:rPr>
        <w:t xml:space="preserve">eharmoniseerd kader voor verzekeringsgarantiestelsels worden besproken. In </w:t>
      </w:r>
      <w:r>
        <w:rPr>
          <w:rFonts w:ascii="Verdana" w:hAnsi="Verdana" w:cs="Arial"/>
          <w:iCs/>
          <w:sz w:val="18"/>
          <w:szCs w:val="18"/>
        </w:rPr>
        <w:t>afwachting van dit onderzoek en in het licht van de conclusies van het eerdere nationale onderzoek</w:t>
      </w:r>
      <w:r w:rsidRPr="00385482">
        <w:rPr>
          <w:rFonts w:ascii="Verdana" w:hAnsi="Verdana" w:cs="Arial"/>
          <w:iCs/>
          <w:sz w:val="18"/>
          <w:szCs w:val="18"/>
        </w:rPr>
        <w:t xml:space="preserve">, is </w:t>
      </w:r>
      <w:r>
        <w:rPr>
          <w:rFonts w:ascii="Verdana" w:hAnsi="Verdana" w:cs="Arial"/>
          <w:iCs/>
          <w:sz w:val="18"/>
          <w:szCs w:val="18"/>
        </w:rPr>
        <w:t>ervoor gekozen om nog geen ve</w:t>
      </w:r>
      <w:r w:rsidRPr="00385482">
        <w:rPr>
          <w:rFonts w:ascii="Verdana" w:hAnsi="Verdana" w:cs="Arial"/>
          <w:iCs/>
          <w:sz w:val="18"/>
          <w:szCs w:val="18"/>
        </w:rPr>
        <w:t xml:space="preserve">rzekeringsgarantiestelsel </w:t>
      </w:r>
      <w:r>
        <w:rPr>
          <w:rFonts w:ascii="Verdana" w:hAnsi="Verdana" w:cs="Arial"/>
          <w:iCs/>
          <w:sz w:val="18"/>
          <w:szCs w:val="18"/>
        </w:rPr>
        <w:t xml:space="preserve">te introduceren </w:t>
      </w:r>
      <w:r w:rsidRPr="00385482">
        <w:rPr>
          <w:rFonts w:ascii="Verdana" w:hAnsi="Verdana" w:cs="Arial"/>
          <w:iCs/>
          <w:sz w:val="18"/>
          <w:szCs w:val="18"/>
        </w:rPr>
        <w:t>met dit wetsvoorstel.</w:t>
      </w:r>
    </w:p>
    <w:p w:rsidR="00CA6AB6" w:rsidP="00DA4547" w:rsidRDefault="00CA6AB6" w14:paraId="7C504529" w14:textId="77777777">
      <w:pPr>
        <w:widowControl w:val="0"/>
        <w:tabs>
          <w:tab w:val="num" w:pos="720"/>
        </w:tabs>
        <w:spacing w:line="240" w:lineRule="atLeast"/>
        <w:rPr>
          <w:rFonts w:ascii="Verdana" w:hAnsi="Verdana" w:cs="Arial"/>
          <w:iCs/>
          <w:sz w:val="18"/>
          <w:szCs w:val="18"/>
        </w:rPr>
      </w:pPr>
    </w:p>
    <w:p w:rsidRPr="00385482" w:rsidR="00CA6AB6" w:rsidP="00DA4547" w:rsidRDefault="00933CA2" w14:paraId="2151F0A4" w14:textId="65AE9DF9">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Voordat beoordeeld kan worden of verdere harmonisatie van een verzekeringsgarantiestelsel zinvol is, dient de richtlijn eerst te zijn geïmplementeerd door de lidstaten. </w:t>
      </w:r>
      <w:r w:rsidR="00FA1375">
        <w:rPr>
          <w:rFonts w:ascii="Verdana" w:hAnsi="Verdana" w:cs="Arial"/>
          <w:iCs/>
          <w:sz w:val="18"/>
          <w:szCs w:val="18"/>
        </w:rPr>
        <w:t>Artikel 99</w:t>
      </w:r>
      <w:r w:rsidR="00CA6AB6">
        <w:rPr>
          <w:rFonts w:ascii="Verdana" w:hAnsi="Verdana" w:cs="Arial"/>
          <w:iCs/>
          <w:sz w:val="18"/>
          <w:szCs w:val="18"/>
        </w:rPr>
        <w:t xml:space="preserve"> IRRD bevat een evaluatiebepaling. </w:t>
      </w:r>
      <w:r w:rsidRPr="008763FE" w:rsidR="00CA6AB6">
        <w:rPr>
          <w:rFonts w:ascii="Verdana" w:hAnsi="Verdana" w:cs="Arial"/>
          <w:iCs/>
          <w:sz w:val="18"/>
          <w:szCs w:val="18"/>
        </w:rPr>
        <w:t>Op basis daarvan moet de Europese Commissie uiterlijk 29 januari 2030, na EIOPA te hebben geraadpleegd, een evaluatierapport indienen bij de Raad en het Europees Parlement</w:t>
      </w:r>
      <w:r w:rsidR="00CA6AB6">
        <w:rPr>
          <w:rFonts w:ascii="Verdana" w:hAnsi="Verdana" w:cs="Arial"/>
          <w:iCs/>
          <w:sz w:val="18"/>
          <w:szCs w:val="18"/>
        </w:rPr>
        <w:t>. Onderdeel van die evaluatie moet zijn of verdere harmonisatie van toegevoegde waarde is. De Europese Commissie kan</w:t>
      </w:r>
      <w:r w:rsidR="00FA1375">
        <w:rPr>
          <w:rFonts w:ascii="Verdana" w:hAnsi="Verdana" w:cs="Arial"/>
          <w:iCs/>
          <w:sz w:val="18"/>
          <w:szCs w:val="18"/>
        </w:rPr>
        <w:t xml:space="preserve"> dan</w:t>
      </w:r>
      <w:r w:rsidR="00CA6AB6">
        <w:rPr>
          <w:rFonts w:ascii="Verdana" w:hAnsi="Verdana" w:cs="Arial"/>
          <w:iCs/>
          <w:sz w:val="18"/>
          <w:szCs w:val="18"/>
        </w:rPr>
        <w:t xml:space="preserve"> met een wetsvoorstel komen</w:t>
      </w:r>
      <w:r>
        <w:rPr>
          <w:rFonts w:ascii="Verdana" w:hAnsi="Verdana" w:cs="Arial"/>
          <w:iCs/>
          <w:sz w:val="18"/>
          <w:szCs w:val="18"/>
        </w:rPr>
        <w:t xml:space="preserve"> </w:t>
      </w:r>
      <w:proofErr w:type="gramStart"/>
      <w:r w:rsidR="00FA1375">
        <w:rPr>
          <w:rFonts w:ascii="Verdana" w:hAnsi="Verdana" w:cs="Arial"/>
          <w:iCs/>
          <w:sz w:val="18"/>
          <w:szCs w:val="18"/>
        </w:rPr>
        <w:t>indien</w:t>
      </w:r>
      <w:proofErr w:type="gramEnd"/>
      <w:r w:rsidR="00FA1375">
        <w:rPr>
          <w:rFonts w:ascii="Verdana" w:hAnsi="Verdana" w:cs="Arial"/>
          <w:iCs/>
          <w:sz w:val="18"/>
          <w:szCs w:val="18"/>
        </w:rPr>
        <w:t xml:space="preserve"> zij dat nodig acht</w:t>
      </w:r>
      <w:r>
        <w:rPr>
          <w:rFonts w:ascii="Verdana" w:hAnsi="Verdana" w:cs="Arial"/>
          <w:iCs/>
          <w:sz w:val="18"/>
          <w:szCs w:val="18"/>
        </w:rPr>
        <w:t xml:space="preserve">, ik wacht </w:t>
      </w:r>
      <w:r w:rsidR="00CE7454">
        <w:rPr>
          <w:rFonts w:ascii="Verdana" w:hAnsi="Verdana" w:cs="Arial"/>
          <w:iCs/>
          <w:sz w:val="18"/>
          <w:szCs w:val="18"/>
        </w:rPr>
        <w:t>dit</w:t>
      </w:r>
      <w:r>
        <w:rPr>
          <w:rFonts w:ascii="Verdana" w:hAnsi="Verdana" w:cs="Arial"/>
          <w:iCs/>
          <w:sz w:val="18"/>
          <w:szCs w:val="18"/>
        </w:rPr>
        <w:t xml:space="preserve"> </w:t>
      </w:r>
      <w:r>
        <w:rPr>
          <w:rFonts w:ascii="Verdana" w:hAnsi="Verdana" w:cs="Arial"/>
          <w:iCs/>
          <w:sz w:val="18"/>
          <w:szCs w:val="18"/>
        </w:rPr>
        <w:lastRenderedPageBreak/>
        <w:t>evaluatie</w:t>
      </w:r>
      <w:r w:rsidR="00CE7454">
        <w:rPr>
          <w:rFonts w:ascii="Verdana" w:hAnsi="Verdana" w:cs="Arial"/>
          <w:iCs/>
          <w:sz w:val="18"/>
          <w:szCs w:val="18"/>
        </w:rPr>
        <w:t>rapport</w:t>
      </w:r>
      <w:r>
        <w:rPr>
          <w:rFonts w:ascii="Verdana" w:hAnsi="Verdana" w:cs="Arial"/>
          <w:iCs/>
          <w:sz w:val="18"/>
          <w:szCs w:val="18"/>
        </w:rPr>
        <w:t xml:space="preserve"> af</w:t>
      </w:r>
      <w:r w:rsidR="00CA6AB6">
        <w:rPr>
          <w:rFonts w:ascii="Verdana" w:hAnsi="Verdana" w:cs="Arial"/>
          <w:iCs/>
          <w:sz w:val="18"/>
          <w:szCs w:val="18"/>
        </w:rPr>
        <w:t xml:space="preserve">. </w:t>
      </w:r>
    </w:p>
    <w:p w:rsidRPr="00DA4547" w:rsidR="00FD7913" w:rsidP="00DA4547" w:rsidRDefault="00FD7913" w14:paraId="5D43BE7C"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79C6CA23"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4.2 Herstelplanning en voorbereiding van afwikkeling</w:t>
      </w:r>
    </w:p>
    <w:p w:rsidRPr="00DA4547" w:rsidR="00DA4547" w:rsidP="00DA4547" w:rsidRDefault="00DA4547" w14:paraId="5A4587AA"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87274C7"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PVV-fractie lezen dat de regering stelt dat kleine en niet-complexe ondernemingen in beginsel zijn vrijgesteld van de verplichting tot het opstellen van een Voorbereidend Crisisplan (VCP). Tegelijkertijd behoudt DNB echter de discretionaire bevoegdheid om deze kleine partijen tóch aan de VCP-verplichtingen te onderwerpen als DNB meent dat zij een "bijzonder risico op nationaal of regionaal niveau" vormen. Bovendien stijgt de frequentie voor de reguliere evaluatie van het VCP van drie naar twee jaar. Kan de regering uitsluiten dat kleine, oer-Nederlandse, regionale (onderlinge) verzekeraars die geen enkel systeemrisico vormen, door DNB alsnog worden verstikt onder de administratieve lasten en kosten van deze Brusselse herstelplanning? Welke concrete waarborgen worden ingebouwd om te voorkomen dat DNB haar uitzonderingsbevoegdheid om </w:t>
      </w:r>
      <w:proofErr w:type="spellStart"/>
      <w:r w:rsidRPr="00DA4547">
        <w:rPr>
          <w:rFonts w:ascii="Verdana" w:hAnsi="Verdana" w:cs="Arial"/>
          <w:i/>
          <w:sz w:val="18"/>
          <w:szCs w:val="18"/>
        </w:rPr>
        <w:t>VCP's</w:t>
      </w:r>
      <w:proofErr w:type="spellEnd"/>
      <w:r w:rsidRPr="00DA4547">
        <w:rPr>
          <w:rFonts w:ascii="Verdana" w:hAnsi="Verdana" w:cs="Arial"/>
          <w:i/>
          <w:sz w:val="18"/>
          <w:szCs w:val="18"/>
        </w:rPr>
        <w:t xml:space="preserve"> op te leggen aan kleine verzekeraars te ruim en bureaucratisch gaat toepassen?</w:t>
      </w:r>
    </w:p>
    <w:p w:rsidR="00DA4547" w:rsidP="00DA4547" w:rsidRDefault="00DA4547" w14:paraId="19F6BEFA" w14:textId="77777777">
      <w:pPr>
        <w:widowControl w:val="0"/>
        <w:tabs>
          <w:tab w:val="num" w:pos="720"/>
        </w:tabs>
        <w:spacing w:line="240" w:lineRule="atLeast"/>
        <w:rPr>
          <w:rFonts w:ascii="Verdana" w:hAnsi="Verdana" w:cs="Arial"/>
          <w:i/>
          <w:sz w:val="18"/>
          <w:szCs w:val="18"/>
        </w:rPr>
      </w:pPr>
    </w:p>
    <w:p w:rsidR="00A7636C" w:rsidP="00DA4547" w:rsidRDefault="00087B44" w14:paraId="30ECD497" w14:textId="1DA42995">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Verzekeraars met een beperkte risico-omvang zijn type verzekeraars die niet onder de reikwijdte van de richtlijn solvabiliteit II </w:t>
      </w:r>
      <w:r w:rsidR="00DA57A0">
        <w:rPr>
          <w:rFonts w:ascii="Verdana" w:hAnsi="Verdana" w:cs="Arial"/>
          <w:iCs/>
          <w:sz w:val="18"/>
          <w:szCs w:val="18"/>
        </w:rPr>
        <w:t>vallen</w:t>
      </w:r>
      <w:r w:rsidR="00816C65">
        <w:rPr>
          <w:rFonts w:ascii="Verdana" w:hAnsi="Verdana" w:cs="Arial"/>
          <w:iCs/>
          <w:sz w:val="18"/>
          <w:szCs w:val="18"/>
        </w:rPr>
        <w:t>. Dit type verzekeraar is</w:t>
      </w:r>
      <w:r w:rsidR="00DA57A0">
        <w:rPr>
          <w:rFonts w:ascii="Verdana" w:hAnsi="Verdana" w:cs="Arial"/>
          <w:iCs/>
          <w:sz w:val="18"/>
          <w:szCs w:val="18"/>
        </w:rPr>
        <w:t xml:space="preserve"> uitgesloten van de verplichting tot het opstellen van een VCP. Daarnaast zijn er nog k</w:t>
      </w:r>
      <w:r w:rsidR="00A200A2">
        <w:rPr>
          <w:rFonts w:ascii="Verdana" w:hAnsi="Verdana" w:cs="Arial"/>
          <w:iCs/>
          <w:sz w:val="18"/>
          <w:szCs w:val="18"/>
        </w:rPr>
        <w:t>leine en niet-complexe ondernemingen</w:t>
      </w:r>
      <w:r w:rsidR="00DA57A0">
        <w:rPr>
          <w:rFonts w:ascii="Verdana" w:hAnsi="Verdana" w:cs="Arial"/>
          <w:iCs/>
          <w:sz w:val="18"/>
          <w:szCs w:val="18"/>
        </w:rPr>
        <w:t>. Dit</w:t>
      </w:r>
      <w:r w:rsidR="00A200A2">
        <w:rPr>
          <w:rFonts w:ascii="Verdana" w:hAnsi="Verdana" w:cs="Arial"/>
          <w:iCs/>
          <w:sz w:val="18"/>
          <w:szCs w:val="18"/>
        </w:rPr>
        <w:t xml:space="preserve"> is een categorie verzekeraars die </w:t>
      </w:r>
      <w:r w:rsidR="00A7636C">
        <w:rPr>
          <w:rFonts w:ascii="Verdana" w:hAnsi="Verdana" w:cs="Arial"/>
          <w:iCs/>
          <w:sz w:val="18"/>
          <w:szCs w:val="18"/>
        </w:rPr>
        <w:t xml:space="preserve">wel </w:t>
      </w:r>
      <w:r w:rsidR="00882205">
        <w:rPr>
          <w:rFonts w:ascii="Verdana" w:hAnsi="Verdana" w:cs="Arial"/>
          <w:iCs/>
          <w:sz w:val="18"/>
          <w:szCs w:val="18"/>
        </w:rPr>
        <w:t xml:space="preserve">onder de </w:t>
      </w:r>
      <w:r w:rsidR="00A200A2">
        <w:rPr>
          <w:rFonts w:ascii="Verdana" w:hAnsi="Verdana" w:cs="Arial"/>
          <w:iCs/>
          <w:sz w:val="18"/>
          <w:szCs w:val="18"/>
        </w:rPr>
        <w:t xml:space="preserve">richtlijn </w:t>
      </w:r>
      <w:r w:rsidR="00882205">
        <w:rPr>
          <w:rFonts w:ascii="Verdana" w:hAnsi="Verdana" w:cs="Arial"/>
          <w:iCs/>
          <w:sz w:val="18"/>
          <w:szCs w:val="18"/>
        </w:rPr>
        <w:t>solvabiliteit II val</w:t>
      </w:r>
      <w:r w:rsidR="00A7636C">
        <w:rPr>
          <w:rFonts w:ascii="Verdana" w:hAnsi="Verdana" w:cs="Arial"/>
          <w:iCs/>
          <w:sz w:val="18"/>
          <w:szCs w:val="18"/>
        </w:rPr>
        <w:t>t</w:t>
      </w:r>
      <w:r w:rsidR="00816C65">
        <w:rPr>
          <w:rFonts w:ascii="Verdana" w:hAnsi="Verdana" w:cs="Arial"/>
          <w:iCs/>
          <w:sz w:val="18"/>
          <w:szCs w:val="18"/>
        </w:rPr>
        <w:t>. Deze categorie is</w:t>
      </w:r>
      <w:r w:rsidR="00882205">
        <w:rPr>
          <w:rFonts w:ascii="Verdana" w:hAnsi="Verdana" w:cs="Arial"/>
          <w:iCs/>
          <w:sz w:val="18"/>
          <w:szCs w:val="18"/>
        </w:rPr>
        <w:t xml:space="preserve"> in beginsel</w:t>
      </w:r>
      <w:r w:rsidR="00816C65">
        <w:rPr>
          <w:rFonts w:ascii="Verdana" w:hAnsi="Verdana" w:cs="Arial"/>
          <w:iCs/>
          <w:sz w:val="18"/>
          <w:szCs w:val="18"/>
        </w:rPr>
        <w:t xml:space="preserve"> ook</w:t>
      </w:r>
      <w:r w:rsidR="00882205">
        <w:rPr>
          <w:rFonts w:ascii="Verdana" w:hAnsi="Verdana" w:cs="Arial"/>
          <w:iCs/>
          <w:sz w:val="18"/>
          <w:szCs w:val="18"/>
        </w:rPr>
        <w:t xml:space="preserve"> uitgesloten van </w:t>
      </w:r>
      <w:r w:rsidR="00816C65">
        <w:rPr>
          <w:rFonts w:ascii="Verdana" w:hAnsi="Verdana" w:cs="Arial"/>
          <w:iCs/>
          <w:sz w:val="18"/>
          <w:szCs w:val="18"/>
        </w:rPr>
        <w:t xml:space="preserve">de verplichting tot </w:t>
      </w:r>
      <w:r w:rsidR="00882205">
        <w:rPr>
          <w:rFonts w:ascii="Verdana" w:hAnsi="Verdana" w:cs="Arial"/>
          <w:iCs/>
          <w:sz w:val="18"/>
          <w:szCs w:val="18"/>
        </w:rPr>
        <w:t xml:space="preserve">het opstellen van een VCP. </w:t>
      </w:r>
      <w:r w:rsidR="00816C65">
        <w:rPr>
          <w:rFonts w:ascii="Verdana" w:hAnsi="Verdana" w:cs="Arial"/>
          <w:iCs/>
          <w:sz w:val="18"/>
          <w:szCs w:val="18"/>
        </w:rPr>
        <w:t xml:space="preserve">Het kan zijn dat een verzekeraar in deze categorie toch aan deze verplichting wordt onderworpen. </w:t>
      </w:r>
      <w:r w:rsidR="00A7636C">
        <w:rPr>
          <w:rFonts w:ascii="Verdana" w:hAnsi="Verdana" w:cs="Arial"/>
          <w:iCs/>
          <w:sz w:val="18"/>
          <w:szCs w:val="18"/>
        </w:rPr>
        <w:t xml:space="preserve">Het is aan DNB om te beoordelen of een kleine en niet-complexe onderneming toch een VCP moet opstellen, </w:t>
      </w:r>
      <w:r w:rsidR="00816C65">
        <w:rPr>
          <w:rFonts w:ascii="Verdana" w:hAnsi="Verdana" w:cs="Arial"/>
          <w:iCs/>
          <w:sz w:val="18"/>
          <w:szCs w:val="18"/>
        </w:rPr>
        <w:t xml:space="preserve">dit doet zij </w:t>
      </w:r>
      <w:r w:rsidR="00A7636C">
        <w:rPr>
          <w:rFonts w:ascii="Verdana" w:hAnsi="Verdana" w:cs="Arial"/>
          <w:iCs/>
          <w:sz w:val="18"/>
          <w:szCs w:val="18"/>
        </w:rPr>
        <w:t xml:space="preserve">op basis van </w:t>
      </w:r>
      <w:r w:rsidR="004E0612">
        <w:rPr>
          <w:rFonts w:ascii="Verdana" w:hAnsi="Verdana" w:cs="Arial"/>
          <w:iCs/>
          <w:sz w:val="18"/>
          <w:szCs w:val="18"/>
        </w:rPr>
        <w:t>de in de IRRD genoemde</w:t>
      </w:r>
      <w:r w:rsidR="00A7636C">
        <w:rPr>
          <w:rFonts w:ascii="Verdana" w:hAnsi="Verdana" w:cs="Arial"/>
          <w:iCs/>
          <w:sz w:val="18"/>
          <w:szCs w:val="18"/>
        </w:rPr>
        <w:t xml:space="preserve"> criteria. </w:t>
      </w:r>
      <w:r w:rsidR="00816C65">
        <w:rPr>
          <w:rFonts w:ascii="Verdana" w:hAnsi="Verdana" w:cs="Arial"/>
          <w:iCs/>
          <w:sz w:val="18"/>
          <w:szCs w:val="18"/>
        </w:rPr>
        <w:t xml:space="preserve">Tegelijkertijd </w:t>
      </w:r>
      <w:r w:rsidR="00A7636C">
        <w:rPr>
          <w:rFonts w:ascii="Verdana" w:hAnsi="Verdana" w:cs="Arial"/>
          <w:iCs/>
          <w:sz w:val="18"/>
          <w:szCs w:val="18"/>
        </w:rPr>
        <w:t xml:space="preserve">kan DNB ook bepalen dat een verzekeraar </w:t>
      </w:r>
      <w:r w:rsidR="00816C65">
        <w:rPr>
          <w:rFonts w:ascii="Verdana" w:hAnsi="Verdana" w:cs="Arial"/>
          <w:iCs/>
          <w:sz w:val="18"/>
          <w:szCs w:val="18"/>
        </w:rPr>
        <w:t xml:space="preserve">waarvoor </w:t>
      </w:r>
      <w:r w:rsidR="00A7636C">
        <w:rPr>
          <w:rFonts w:ascii="Verdana" w:hAnsi="Verdana" w:cs="Arial"/>
          <w:iCs/>
          <w:sz w:val="18"/>
          <w:szCs w:val="18"/>
        </w:rPr>
        <w:t>de verplichting om een VCP op te stellen</w:t>
      </w:r>
      <w:r w:rsidR="00816C65">
        <w:rPr>
          <w:rFonts w:ascii="Verdana" w:hAnsi="Verdana" w:cs="Arial"/>
          <w:iCs/>
          <w:sz w:val="18"/>
          <w:szCs w:val="18"/>
        </w:rPr>
        <w:t xml:space="preserve"> geldt</w:t>
      </w:r>
      <w:r w:rsidR="00A7636C">
        <w:rPr>
          <w:rFonts w:ascii="Verdana" w:hAnsi="Verdana" w:cs="Arial"/>
          <w:iCs/>
          <w:sz w:val="18"/>
          <w:szCs w:val="18"/>
        </w:rPr>
        <w:t>, deze verplichting op vereenvoudigde wijze mag toepassen.</w:t>
      </w:r>
    </w:p>
    <w:p w:rsidR="00A7636C" w:rsidP="00DA4547" w:rsidRDefault="00A7636C" w14:paraId="26336BA7" w14:textId="77777777">
      <w:pPr>
        <w:widowControl w:val="0"/>
        <w:tabs>
          <w:tab w:val="num" w:pos="720"/>
        </w:tabs>
        <w:spacing w:line="240" w:lineRule="atLeast"/>
        <w:rPr>
          <w:rFonts w:ascii="Verdana" w:hAnsi="Verdana" w:cs="Arial"/>
          <w:iCs/>
          <w:sz w:val="18"/>
          <w:szCs w:val="18"/>
        </w:rPr>
      </w:pPr>
    </w:p>
    <w:p w:rsidRPr="00FD7913" w:rsidR="00A7636C" w:rsidP="00DA4547" w:rsidRDefault="009068EB" w14:paraId="1641F7FC" w14:textId="5D2ABE24">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Onder het bestaande </w:t>
      </w:r>
      <w:r w:rsidR="00A7636C">
        <w:rPr>
          <w:rFonts w:ascii="Verdana" w:hAnsi="Verdana" w:cs="Arial"/>
          <w:iCs/>
          <w:sz w:val="18"/>
          <w:szCs w:val="18"/>
        </w:rPr>
        <w:t xml:space="preserve">wettelijk </w:t>
      </w:r>
      <w:r>
        <w:rPr>
          <w:rFonts w:ascii="Verdana" w:hAnsi="Verdana" w:cs="Arial"/>
          <w:iCs/>
          <w:sz w:val="18"/>
          <w:szCs w:val="18"/>
        </w:rPr>
        <w:t xml:space="preserve">kader geldt de verplichting voor het opstellen </w:t>
      </w:r>
      <w:r w:rsidR="00D705EF">
        <w:rPr>
          <w:rFonts w:ascii="Verdana" w:hAnsi="Verdana" w:cs="Arial"/>
          <w:iCs/>
          <w:sz w:val="18"/>
          <w:szCs w:val="18"/>
        </w:rPr>
        <w:t>van een VCP ook voor kleine en niet-complexe verzekeraars.</w:t>
      </w:r>
      <w:r w:rsidR="004E0612">
        <w:rPr>
          <w:rFonts w:ascii="Verdana" w:hAnsi="Verdana" w:cs="Arial"/>
          <w:iCs/>
          <w:sz w:val="18"/>
          <w:szCs w:val="18"/>
        </w:rPr>
        <w:t xml:space="preserve"> Onder het nieuwe kader is het uitgangspunt dat deze kleine en niet-complexe verzekeraars niet meer aan deze verplichting zijn onderworpen.</w:t>
      </w:r>
      <w:r w:rsidR="00D705EF">
        <w:rPr>
          <w:rFonts w:ascii="Verdana" w:hAnsi="Verdana" w:cs="Arial"/>
          <w:iCs/>
          <w:sz w:val="18"/>
          <w:szCs w:val="18"/>
        </w:rPr>
        <w:t xml:space="preserve"> </w:t>
      </w:r>
      <w:r w:rsidR="00A7636C">
        <w:rPr>
          <w:rFonts w:ascii="Verdana" w:hAnsi="Verdana" w:cs="Arial"/>
          <w:iCs/>
          <w:sz w:val="18"/>
          <w:szCs w:val="18"/>
        </w:rPr>
        <w:t xml:space="preserve">Zoals ook hierboven aangegeven onder paragraaf 2.4, is de verwachting dat </w:t>
      </w:r>
      <w:r w:rsidR="004E0612">
        <w:rPr>
          <w:rFonts w:ascii="Verdana" w:hAnsi="Verdana" w:cs="Arial"/>
          <w:iCs/>
          <w:sz w:val="18"/>
          <w:szCs w:val="18"/>
        </w:rPr>
        <w:t>daardoor</w:t>
      </w:r>
      <w:r w:rsidR="00A7636C">
        <w:rPr>
          <w:rFonts w:ascii="Verdana" w:hAnsi="Verdana" w:cs="Arial"/>
          <w:iCs/>
          <w:sz w:val="18"/>
          <w:szCs w:val="18"/>
        </w:rPr>
        <w:t xml:space="preserve"> het aantal verzekeraars dat onder de VCP-plicht valt, zal afnemen</w:t>
      </w:r>
      <w:r w:rsidR="004E0612">
        <w:rPr>
          <w:rFonts w:ascii="Verdana" w:hAnsi="Verdana" w:cs="Arial"/>
          <w:iCs/>
          <w:sz w:val="18"/>
          <w:szCs w:val="18"/>
        </w:rPr>
        <w:t xml:space="preserve"> en dus sprake zal zijn van lastenvermindering ten opzichte van het huidige kader</w:t>
      </w:r>
      <w:r w:rsidR="00A7636C">
        <w:rPr>
          <w:rFonts w:ascii="Verdana" w:hAnsi="Verdana" w:cs="Arial"/>
          <w:iCs/>
          <w:sz w:val="18"/>
          <w:szCs w:val="18"/>
        </w:rPr>
        <w:t>.</w:t>
      </w:r>
    </w:p>
    <w:p w:rsidRPr="00DA4547" w:rsidR="00FD7913" w:rsidP="00DA4547" w:rsidRDefault="00FD7913" w14:paraId="4E215390"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2A0937A4"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6. Gevolgen</w:t>
      </w:r>
    </w:p>
    <w:p w:rsidRPr="00DA4547" w:rsidR="00DA4547" w:rsidP="00DA4547" w:rsidRDefault="00DA4547" w14:paraId="3EA8589C"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B5C1DD4"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6.2.1 Innovatie-effecten</w:t>
      </w:r>
    </w:p>
    <w:p w:rsidRPr="00DA4547" w:rsidR="00DA4547" w:rsidP="00DA4547" w:rsidRDefault="00DA4547" w14:paraId="77F140F4"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7D55C2E7"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 xml:space="preserve">De leden van de VVD-fractie merken op dat de regering verwacht dat de richtlijn zal bijdragen aan een gelijker speelveld binnen Europa, mede omdat Nederland </w:t>
      </w:r>
      <w:proofErr w:type="gramStart"/>
      <w:r w:rsidRPr="00DA4547">
        <w:rPr>
          <w:rFonts w:ascii="Verdana" w:hAnsi="Verdana" w:cs="Arial"/>
          <w:i/>
          <w:sz w:val="18"/>
          <w:szCs w:val="18"/>
        </w:rPr>
        <w:t>reeds</w:t>
      </w:r>
      <w:proofErr w:type="gramEnd"/>
      <w:r w:rsidRPr="00DA4547">
        <w:rPr>
          <w:rFonts w:ascii="Verdana" w:hAnsi="Verdana" w:cs="Arial"/>
          <w:i/>
          <w:sz w:val="18"/>
          <w:szCs w:val="18"/>
        </w:rPr>
        <w:t xml:space="preserve"> over een nationaal kader beschikte. Deze leden vragen op welke wijze wordt gevolgd of dit beoogde gelijke speelveld in de praktijk daadwerkelijk ontstaat, juist gezien de beleidsruimte die de richtlijn aan lidstaten laat.</w:t>
      </w:r>
    </w:p>
    <w:p w:rsidR="00A129CC" w:rsidP="00DA4547" w:rsidRDefault="00A129CC" w14:paraId="331E509B" w14:textId="77777777">
      <w:pPr>
        <w:widowControl w:val="0"/>
        <w:tabs>
          <w:tab w:val="num" w:pos="720"/>
        </w:tabs>
        <w:spacing w:line="240" w:lineRule="atLeast"/>
        <w:rPr>
          <w:rFonts w:ascii="Verdana" w:hAnsi="Verdana" w:cs="Arial"/>
          <w:iCs/>
          <w:sz w:val="18"/>
          <w:szCs w:val="18"/>
        </w:rPr>
      </w:pPr>
    </w:p>
    <w:p w:rsidR="008763FE" w:rsidP="00DA4547" w:rsidRDefault="008763FE" w14:paraId="2560D9E9" w14:textId="3DDBF30D">
      <w:pPr>
        <w:widowControl w:val="0"/>
        <w:tabs>
          <w:tab w:val="num" w:pos="720"/>
        </w:tabs>
        <w:spacing w:line="240" w:lineRule="atLeast"/>
        <w:rPr>
          <w:rFonts w:ascii="Verdana" w:hAnsi="Verdana" w:cs="Arial"/>
          <w:iCs/>
          <w:sz w:val="18"/>
          <w:szCs w:val="18"/>
        </w:rPr>
      </w:pPr>
      <w:r w:rsidRPr="008763FE">
        <w:rPr>
          <w:rFonts w:ascii="Verdana" w:hAnsi="Verdana" w:cs="Arial"/>
          <w:iCs/>
          <w:sz w:val="18"/>
          <w:szCs w:val="18"/>
        </w:rPr>
        <w:t>Artikel 99 IRRD bevat een evaluatiebepaling. Op basis daarvan moet de Europese Commissie uiterlijk 29 januari 2030, na EIOPA te hebben geraadpleegd, een evaluatierapport indienen bij de Raad en het Europees Parlement</w:t>
      </w:r>
      <w:r>
        <w:rPr>
          <w:rFonts w:ascii="Verdana" w:hAnsi="Verdana" w:cs="Arial"/>
          <w:iCs/>
          <w:sz w:val="18"/>
          <w:szCs w:val="18"/>
        </w:rPr>
        <w:t>. In dat rapport moet onder meer aan de orde komen</w:t>
      </w:r>
      <w:r w:rsidRPr="008763FE">
        <w:rPr>
          <w:rFonts w:ascii="Verdana" w:hAnsi="Verdana" w:cs="Arial"/>
          <w:iCs/>
          <w:sz w:val="18"/>
          <w:szCs w:val="18"/>
        </w:rPr>
        <w:t xml:space="preserve"> of en in welke mate de doelstellingen van deze richtlijn zijn verwezenlijkt wat betreft de werking van de interne markt en de versterking van het financiële stelsel in de EU.</w:t>
      </w:r>
      <w:r>
        <w:rPr>
          <w:rFonts w:ascii="Verdana" w:hAnsi="Verdana" w:cs="Arial"/>
          <w:iCs/>
          <w:sz w:val="18"/>
          <w:szCs w:val="18"/>
        </w:rPr>
        <w:t xml:space="preserve"> Daarnaast bevat artikel 4 IRRD bijvoorbeeld een </w:t>
      </w:r>
      <w:r w:rsidR="00823BBC">
        <w:rPr>
          <w:rFonts w:ascii="Verdana" w:hAnsi="Verdana" w:cs="Arial"/>
          <w:iCs/>
          <w:sz w:val="18"/>
          <w:szCs w:val="18"/>
        </w:rPr>
        <w:t xml:space="preserve">verplichting </w:t>
      </w:r>
      <w:r>
        <w:rPr>
          <w:rFonts w:ascii="Verdana" w:hAnsi="Verdana" w:cs="Arial"/>
          <w:iCs/>
          <w:sz w:val="18"/>
          <w:szCs w:val="18"/>
        </w:rPr>
        <w:t xml:space="preserve">voor de nationale </w:t>
      </w:r>
      <w:r w:rsidRPr="008763FE">
        <w:rPr>
          <w:rFonts w:ascii="Verdana" w:hAnsi="Verdana" w:cs="Arial"/>
          <w:iCs/>
          <w:sz w:val="18"/>
          <w:szCs w:val="18"/>
        </w:rPr>
        <w:t xml:space="preserve">toezichthoudende autoriteiten </w:t>
      </w:r>
      <w:r>
        <w:rPr>
          <w:rFonts w:ascii="Verdana" w:hAnsi="Verdana" w:cs="Arial"/>
          <w:iCs/>
          <w:sz w:val="18"/>
          <w:szCs w:val="18"/>
        </w:rPr>
        <w:t>en</w:t>
      </w:r>
      <w:r w:rsidRPr="008763FE">
        <w:rPr>
          <w:rFonts w:ascii="Verdana" w:hAnsi="Verdana" w:cs="Arial"/>
          <w:iCs/>
          <w:sz w:val="18"/>
          <w:szCs w:val="18"/>
        </w:rPr>
        <w:t xml:space="preserve"> afwikkelingsautoriteiten</w:t>
      </w:r>
      <w:r>
        <w:rPr>
          <w:rFonts w:ascii="Verdana" w:hAnsi="Verdana" w:cs="Arial"/>
          <w:iCs/>
          <w:sz w:val="18"/>
          <w:szCs w:val="18"/>
        </w:rPr>
        <w:t xml:space="preserve"> om onder </w:t>
      </w:r>
      <w:r>
        <w:rPr>
          <w:rFonts w:ascii="Verdana" w:hAnsi="Verdana" w:cs="Arial"/>
          <w:iCs/>
          <w:sz w:val="18"/>
          <w:szCs w:val="18"/>
        </w:rPr>
        <w:lastRenderedPageBreak/>
        <w:t>meer aan EIOPA te rapporteren hoeveel verzekeraars onderworpen zijn aan herstel- en afwikkelingsplanning en hoeveel verzekeraars gebruik kunnen maken van vereenvoudigde verplichtingen. EIOPA zal informatie daarover en over de eventuele verschillen in toepassing van de vereenvoudigde verplichtingen in de verschillende lidstaten jaarlijks openbaar maken.</w:t>
      </w:r>
    </w:p>
    <w:p w:rsidRPr="00DA4547" w:rsidR="008763FE" w:rsidP="00DA4547" w:rsidRDefault="008763FE" w14:paraId="4E1C91E8"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1EE213DE"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7. Uitvoering</w:t>
      </w:r>
    </w:p>
    <w:p w:rsidRPr="00DA4547" w:rsidR="00DA4547" w:rsidP="00DA4547" w:rsidRDefault="00DA4547" w14:paraId="6220F680"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259D77F3"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De leden van de D66-fractie vragen in hoeverre de kosten van het afwikkelingsinstrumentarium worden geborgd door de sector zelf.</w:t>
      </w:r>
    </w:p>
    <w:p w:rsidR="00DA4547" w:rsidP="00DA4547" w:rsidRDefault="00DA4547" w14:paraId="250F6AE3" w14:textId="77777777">
      <w:pPr>
        <w:widowControl w:val="0"/>
        <w:tabs>
          <w:tab w:val="num" w:pos="720"/>
        </w:tabs>
        <w:spacing w:line="240" w:lineRule="atLeast"/>
        <w:rPr>
          <w:rFonts w:ascii="Verdana" w:hAnsi="Verdana" w:cs="Arial"/>
          <w:i/>
          <w:sz w:val="18"/>
          <w:szCs w:val="18"/>
        </w:rPr>
      </w:pPr>
    </w:p>
    <w:p w:rsidR="008763FE" w:rsidP="00DA4547" w:rsidRDefault="008763FE" w14:paraId="7C62CA37" w14:textId="1AB137E7">
      <w:pPr>
        <w:widowControl w:val="0"/>
        <w:tabs>
          <w:tab w:val="num" w:pos="720"/>
        </w:tabs>
        <w:spacing w:line="240" w:lineRule="atLeast"/>
        <w:rPr>
          <w:rFonts w:ascii="Verdana" w:hAnsi="Verdana" w:cs="Arial"/>
          <w:iCs/>
          <w:sz w:val="18"/>
          <w:szCs w:val="18"/>
        </w:rPr>
      </w:pPr>
      <w:r>
        <w:rPr>
          <w:rFonts w:ascii="Verdana" w:hAnsi="Verdana" w:cs="Arial"/>
          <w:iCs/>
          <w:sz w:val="18"/>
          <w:szCs w:val="18"/>
        </w:rPr>
        <w:t>De kosten voor het beoordelen van herstelplannen door de toezichthouder en de kosten voor afwikkelingsplanning door DNB als afwikkelingsautoriteit</w:t>
      </w:r>
      <w:r w:rsidR="00733175">
        <w:rPr>
          <w:rFonts w:ascii="Verdana" w:hAnsi="Verdana" w:cs="Arial"/>
          <w:iCs/>
          <w:sz w:val="18"/>
          <w:szCs w:val="18"/>
        </w:rPr>
        <w:t>,</w:t>
      </w:r>
      <w:r>
        <w:rPr>
          <w:rFonts w:ascii="Verdana" w:hAnsi="Verdana" w:cs="Arial"/>
          <w:iCs/>
          <w:sz w:val="18"/>
          <w:szCs w:val="18"/>
        </w:rPr>
        <w:t xml:space="preserve"> worden omgeslagen over de relevante verzekeraars via de </w:t>
      </w:r>
      <w:r w:rsidR="00733175">
        <w:rPr>
          <w:rFonts w:ascii="Verdana" w:hAnsi="Verdana" w:cs="Arial"/>
          <w:iCs/>
          <w:sz w:val="18"/>
          <w:szCs w:val="18"/>
        </w:rPr>
        <w:t xml:space="preserve">systematiek van de </w:t>
      </w:r>
      <w:r>
        <w:rPr>
          <w:rFonts w:ascii="Verdana" w:hAnsi="Verdana" w:cs="Arial"/>
          <w:iCs/>
          <w:sz w:val="18"/>
          <w:szCs w:val="18"/>
        </w:rPr>
        <w:t>Wet bekostiging financi</w:t>
      </w:r>
      <w:r w:rsidR="00733175">
        <w:rPr>
          <w:rFonts w:ascii="Verdana" w:hAnsi="Verdana" w:cs="Arial"/>
          <w:iCs/>
          <w:sz w:val="18"/>
          <w:szCs w:val="18"/>
        </w:rPr>
        <w:t>eel toezicht 2019</w:t>
      </w:r>
      <w:r>
        <w:rPr>
          <w:rFonts w:ascii="Verdana" w:hAnsi="Verdana" w:cs="Arial"/>
          <w:iCs/>
          <w:sz w:val="18"/>
          <w:szCs w:val="18"/>
        </w:rPr>
        <w:t xml:space="preserve"> en </w:t>
      </w:r>
      <w:r w:rsidR="00733175">
        <w:rPr>
          <w:rFonts w:ascii="Verdana" w:hAnsi="Verdana" w:cs="Arial"/>
          <w:iCs/>
          <w:sz w:val="18"/>
          <w:szCs w:val="18"/>
        </w:rPr>
        <w:t>gedelegeerde regelgeving daarbij.</w:t>
      </w:r>
      <w:r w:rsidR="0043597B">
        <w:rPr>
          <w:rFonts w:ascii="Verdana" w:hAnsi="Verdana" w:cs="Arial"/>
          <w:iCs/>
          <w:sz w:val="18"/>
          <w:szCs w:val="18"/>
        </w:rPr>
        <w:t xml:space="preserve"> </w:t>
      </w:r>
      <w:r w:rsidR="00641A1B">
        <w:rPr>
          <w:rFonts w:ascii="Verdana" w:hAnsi="Verdana" w:cs="Arial"/>
          <w:iCs/>
          <w:sz w:val="18"/>
          <w:szCs w:val="18"/>
        </w:rPr>
        <w:t xml:space="preserve">De aanvullende taken voor DNB zien vooral op grensoverschrijdende samenwerking. </w:t>
      </w:r>
      <w:r w:rsidR="0043597B">
        <w:rPr>
          <w:rFonts w:ascii="Verdana" w:hAnsi="Verdana" w:cs="Arial"/>
          <w:iCs/>
          <w:sz w:val="18"/>
          <w:szCs w:val="18"/>
        </w:rPr>
        <w:t xml:space="preserve">DNB </w:t>
      </w:r>
      <w:r w:rsidR="00641A1B">
        <w:rPr>
          <w:rFonts w:ascii="Verdana" w:hAnsi="Verdana" w:cs="Arial"/>
          <w:iCs/>
          <w:sz w:val="18"/>
          <w:szCs w:val="18"/>
        </w:rPr>
        <w:t xml:space="preserve">heeft </w:t>
      </w:r>
      <w:r w:rsidR="0043597B">
        <w:rPr>
          <w:rFonts w:ascii="Verdana" w:hAnsi="Verdana" w:cs="Arial"/>
          <w:iCs/>
          <w:sz w:val="18"/>
          <w:szCs w:val="18"/>
        </w:rPr>
        <w:t xml:space="preserve">in </w:t>
      </w:r>
      <w:r w:rsidR="00641A1B">
        <w:rPr>
          <w:rFonts w:ascii="Verdana" w:hAnsi="Verdana" w:cs="Arial"/>
          <w:iCs/>
          <w:sz w:val="18"/>
          <w:szCs w:val="18"/>
        </w:rPr>
        <w:t xml:space="preserve">haar </w:t>
      </w:r>
      <w:r w:rsidR="0043597B">
        <w:rPr>
          <w:rFonts w:ascii="Verdana" w:hAnsi="Verdana" w:cs="Arial"/>
          <w:iCs/>
          <w:sz w:val="18"/>
          <w:szCs w:val="18"/>
        </w:rPr>
        <w:t xml:space="preserve">uitvoeringstoets aangegeven dat </w:t>
      </w:r>
      <w:r w:rsidR="00641A1B">
        <w:rPr>
          <w:rFonts w:ascii="Verdana" w:hAnsi="Verdana" w:cs="Arial"/>
          <w:iCs/>
          <w:sz w:val="18"/>
          <w:szCs w:val="18"/>
        </w:rPr>
        <w:t>haar</w:t>
      </w:r>
      <w:r w:rsidRPr="0043597B" w:rsidR="0043597B">
        <w:rPr>
          <w:rFonts w:ascii="Verdana" w:hAnsi="Verdana" w:cs="Arial"/>
          <w:iCs/>
          <w:sz w:val="18"/>
          <w:szCs w:val="18"/>
        </w:rPr>
        <w:t xml:space="preserve"> kostenkader 2025–2028 </w:t>
      </w:r>
      <w:proofErr w:type="gramStart"/>
      <w:r w:rsidRPr="0043597B" w:rsidR="0043597B">
        <w:rPr>
          <w:rFonts w:ascii="Verdana" w:hAnsi="Verdana" w:cs="Arial"/>
          <w:iCs/>
          <w:sz w:val="18"/>
          <w:szCs w:val="18"/>
        </w:rPr>
        <w:t>reeds</w:t>
      </w:r>
      <w:proofErr w:type="gramEnd"/>
      <w:r w:rsidRPr="0043597B" w:rsidR="0043597B">
        <w:rPr>
          <w:rFonts w:ascii="Verdana" w:hAnsi="Verdana" w:cs="Arial"/>
          <w:iCs/>
          <w:sz w:val="18"/>
          <w:szCs w:val="18"/>
        </w:rPr>
        <w:t xml:space="preserve"> voorzie</w:t>
      </w:r>
      <w:r w:rsidR="00641A1B">
        <w:rPr>
          <w:rFonts w:ascii="Verdana" w:hAnsi="Verdana" w:cs="Arial"/>
          <w:iCs/>
          <w:sz w:val="18"/>
          <w:szCs w:val="18"/>
        </w:rPr>
        <w:t>t</w:t>
      </w:r>
      <w:r w:rsidRPr="0043597B" w:rsidR="0043597B">
        <w:rPr>
          <w:rFonts w:ascii="Verdana" w:hAnsi="Verdana" w:cs="Arial"/>
          <w:iCs/>
          <w:sz w:val="18"/>
          <w:szCs w:val="18"/>
        </w:rPr>
        <w:t xml:space="preserve"> in de toename van de uitvoeringslasten</w:t>
      </w:r>
      <w:r w:rsidR="0043597B">
        <w:rPr>
          <w:rFonts w:ascii="Verdana" w:hAnsi="Verdana" w:cs="Arial"/>
          <w:iCs/>
          <w:sz w:val="18"/>
          <w:szCs w:val="18"/>
        </w:rPr>
        <w:t xml:space="preserve"> als gevolg van de IRRD.</w:t>
      </w:r>
    </w:p>
    <w:p w:rsidR="00733175" w:rsidP="00DA4547" w:rsidRDefault="00733175" w14:paraId="182CF622" w14:textId="77777777">
      <w:pPr>
        <w:widowControl w:val="0"/>
        <w:tabs>
          <w:tab w:val="num" w:pos="720"/>
        </w:tabs>
        <w:spacing w:line="240" w:lineRule="atLeast"/>
        <w:rPr>
          <w:rFonts w:ascii="Verdana" w:hAnsi="Verdana" w:cs="Arial"/>
          <w:iCs/>
          <w:sz w:val="18"/>
          <w:szCs w:val="18"/>
        </w:rPr>
      </w:pPr>
    </w:p>
    <w:p w:rsidRPr="008763FE" w:rsidR="00733175" w:rsidP="00DA4547" w:rsidRDefault="006C35D3" w14:paraId="3FED7418" w14:textId="7CF48BD0">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In een specifieke resolutiecasus, kan DNB de kosten die voor de toepassing van een afwikkelingsmaatregel worden gemaakt, verhalen op de posten genoemd in artikel 3A:133 </w:t>
      </w:r>
      <w:proofErr w:type="spellStart"/>
      <w:r>
        <w:rPr>
          <w:rFonts w:ascii="Verdana" w:hAnsi="Verdana" w:cs="Arial"/>
          <w:iCs/>
          <w:sz w:val="18"/>
          <w:szCs w:val="18"/>
        </w:rPr>
        <w:t>Wft</w:t>
      </w:r>
      <w:proofErr w:type="spellEnd"/>
      <w:r>
        <w:rPr>
          <w:rFonts w:ascii="Verdana" w:hAnsi="Verdana" w:cs="Arial"/>
          <w:iCs/>
          <w:sz w:val="18"/>
          <w:szCs w:val="18"/>
        </w:rPr>
        <w:t>. De kosten kunnen – kort gezegd – worden verhaald op de entiteit in afwikkeling, worden ingehouden op vergoedingen aan afgeschreven aandeelhouders en bepaalde andere schuldeisers, of worden verhaald op de opbrengsten uit toepassing van de SRO-tool of liquidatie van een overbruggingsentiteit of beheervehikel.</w:t>
      </w:r>
      <w:r w:rsidR="00733175">
        <w:rPr>
          <w:rFonts w:ascii="Verdana" w:hAnsi="Verdana" w:cs="Arial"/>
          <w:iCs/>
          <w:sz w:val="18"/>
          <w:szCs w:val="18"/>
        </w:rPr>
        <w:t xml:space="preserve"> Bij een tekort kan daarnaast</w:t>
      </w:r>
      <w:r>
        <w:rPr>
          <w:rFonts w:ascii="Verdana" w:hAnsi="Verdana" w:cs="Arial"/>
          <w:iCs/>
          <w:sz w:val="18"/>
          <w:szCs w:val="18"/>
        </w:rPr>
        <w:t>,</w:t>
      </w:r>
      <w:r w:rsidR="00733175">
        <w:rPr>
          <w:rFonts w:ascii="Verdana" w:hAnsi="Verdana" w:cs="Arial"/>
          <w:iCs/>
          <w:sz w:val="18"/>
          <w:szCs w:val="18"/>
        </w:rPr>
        <w:t xml:space="preserve"> ter dekking van specifieke kosten</w:t>
      </w:r>
      <w:r>
        <w:rPr>
          <w:rFonts w:ascii="Verdana" w:hAnsi="Verdana" w:cs="Arial"/>
          <w:iCs/>
          <w:sz w:val="18"/>
          <w:szCs w:val="18"/>
        </w:rPr>
        <w:t>,</w:t>
      </w:r>
      <w:r w:rsidR="00733175">
        <w:rPr>
          <w:rFonts w:ascii="Verdana" w:hAnsi="Verdana" w:cs="Arial"/>
          <w:iCs/>
          <w:sz w:val="18"/>
          <w:szCs w:val="18"/>
        </w:rPr>
        <w:t xml:space="preserve"> een beroep worden gedaan op de financieringsregeling van artikel 3A:138</w:t>
      </w:r>
      <w:r w:rsidR="00823BBC">
        <w:rPr>
          <w:rFonts w:ascii="Verdana" w:hAnsi="Verdana" w:cs="Arial"/>
          <w:iCs/>
          <w:sz w:val="18"/>
          <w:szCs w:val="18"/>
        </w:rPr>
        <w:t xml:space="preserve"> </w:t>
      </w:r>
      <w:proofErr w:type="spellStart"/>
      <w:r w:rsidR="00823BBC">
        <w:rPr>
          <w:rFonts w:ascii="Verdana" w:hAnsi="Verdana" w:cs="Arial"/>
          <w:iCs/>
          <w:sz w:val="18"/>
          <w:szCs w:val="18"/>
        </w:rPr>
        <w:t>Wft</w:t>
      </w:r>
      <w:proofErr w:type="spellEnd"/>
      <w:r w:rsidR="00733175">
        <w:rPr>
          <w:rFonts w:ascii="Verdana" w:hAnsi="Verdana" w:cs="Arial"/>
          <w:iCs/>
          <w:sz w:val="18"/>
          <w:szCs w:val="18"/>
        </w:rPr>
        <w:t xml:space="preserve">, wat inhoudt dat verzekeraars buitengewone bijdragen </w:t>
      </w:r>
      <w:r w:rsidR="00A7636C">
        <w:rPr>
          <w:rFonts w:ascii="Verdana" w:hAnsi="Verdana" w:cs="Arial"/>
          <w:iCs/>
          <w:sz w:val="18"/>
          <w:szCs w:val="18"/>
        </w:rPr>
        <w:t xml:space="preserve">moeten </w:t>
      </w:r>
      <w:r w:rsidR="00733175">
        <w:rPr>
          <w:rFonts w:ascii="Verdana" w:hAnsi="Verdana" w:cs="Arial"/>
          <w:iCs/>
          <w:sz w:val="18"/>
          <w:szCs w:val="18"/>
        </w:rPr>
        <w:t>betalen om d</w:t>
      </w:r>
      <w:r>
        <w:rPr>
          <w:rFonts w:ascii="Verdana" w:hAnsi="Verdana" w:cs="Arial"/>
          <w:iCs/>
          <w:sz w:val="18"/>
          <w:szCs w:val="18"/>
        </w:rPr>
        <w:t>i</w:t>
      </w:r>
      <w:r w:rsidR="00733175">
        <w:rPr>
          <w:rFonts w:ascii="Verdana" w:hAnsi="Verdana" w:cs="Arial"/>
          <w:iCs/>
          <w:sz w:val="18"/>
          <w:szCs w:val="18"/>
        </w:rPr>
        <w:t>e kosten te dekken. Uitgangspunt is dat de overheid niet meebetaalt aan een resolutiecasus.</w:t>
      </w:r>
    </w:p>
    <w:p w:rsidRPr="00DA4547" w:rsidR="008763FE" w:rsidP="00DA4547" w:rsidRDefault="008763FE" w14:paraId="6964095E"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B84567D"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 10. Overgangsrecht en inwerkingtreding</w:t>
      </w:r>
    </w:p>
    <w:p w:rsidRPr="00DA4547" w:rsidR="00DA4547" w:rsidP="00DA4547" w:rsidRDefault="00DA4547" w14:paraId="7EF6D2F2"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5E079070"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De leden van de CDA-fractie lezen dat de IRRD uiterlijk op 29 januari 2027 moet zijn geïmplementeerd. Heeft de regering zicht op de voortgang van de implementatie in andere lidstaten en op eventuele verschillen in de wijze van implementatie? Verwacht de regering dat deze verschillen of eventuele vertragingen gevolgen kunnen hebben voor het gelijke speelveld voor Nederlandse verzekeraars?</w:t>
      </w:r>
    </w:p>
    <w:p w:rsidR="00DA4547" w:rsidP="00DA4547" w:rsidRDefault="00DA4547" w14:paraId="633D02B6" w14:textId="77777777">
      <w:pPr>
        <w:widowControl w:val="0"/>
        <w:tabs>
          <w:tab w:val="num" w:pos="720"/>
        </w:tabs>
        <w:spacing w:line="240" w:lineRule="atLeast"/>
        <w:rPr>
          <w:rFonts w:ascii="Verdana" w:hAnsi="Verdana" w:cs="Arial"/>
          <w:i/>
          <w:sz w:val="18"/>
          <w:szCs w:val="18"/>
        </w:rPr>
      </w:pPr>
    </w:p>
    <w:p w:rsidRPr="008763FE" w:rsidR="008763FE" w:rsidP="00DA4547" w:rsidRDefault="006C35D3" w14:paraId="199E373B" w14:textId="7C3EA809">
      <w:pPr>
        <w:widowControl w:val="0"/>
        <w:tabs>
          <w:tab w:val="num" w:pos="720"/>
        </w:tabs>
        <w:spacing w:line="240" w:lineRule="atLeast"/>
        <w:rPr>
          <w:rFonts w:ascii="Verdana" w:hAnsi="Verdana" w:cs="Arial"/>
          <w:iCs/>
          <w:sz w:val="18"/>
          <w:szCs w:val="18"/>
        </w:rPr>
      </w:pPr>
      <w:r w:rsidRPr="006C35D3">
        <w:rPr>
          <w:rFonts w:ascii="Verdana" w:hAnsi="Verdana" w:cs="Arial"/>
          <w:iCs/>
          <w:sz w:val="18"/>
          <w:szCs w:val="18"/>
        </w:rPr>
        <w:t xml:space="preserve">Nederland was één van de weinige lidstaten die al een regelgevend kader voor herstel en afwikkeling van verzekeraars had voor de komst van de IRRD. Daardoor hebben veel andere lidstaten meer beleidsafwegingen moeten maken en voorbereidingen moeten treffen om de IRRD te implementeren, zoals het aanwijzen en inrichten van een nationale resolutie-autoriteit. Ik heb geen zicht op welk percentage van lidstaten naar verwachting de implementatiedeadline niet haalt. De implementatiedeadline is een wettelijke verplichting voor lidstaten. Eventuele overschrijding door verschillende lidstaten zorgt ervoor dat er later </w:t>
      </w:r>
      <w:r w:rsidR="00A7636C">
        <w:rPr>
          <w:rFonts w:ascii="Verdana" w:hAnsi="Verdana" w:cs="Arial"/>
          <w:iCs/>
          <w:sz w:val="18"/>
          <w:szCs w:val="18"/>
        </w:rPr>
        <w:t xml:space="preserve">dan gepland </w:t>
      </w:r>
      <w:r w:rsidRPr="006C35D3">
        <w:rPr>
          <w:rFonts w:ascii="Verdana" w:hAnsi="Verdana" w:cs="Arial"/>
          <w:iCs/>
          <w:sz w:val="18"/>
          <w:szCs w:val="18"/>
        </w:rPr>
        <w:t xml:space="preserve">een gelijk speelveld is gerealiseerd. De Europese Commissie handhaaft daarom op overschrijding van de termijnen. Het tempo waarin andere lidstaten hun implementatiewetgeving gereed hebben, is geen factor die wordt meegewogen in het implementatieproces. </w:t>
      </w:r>
      <w:r w:rsidR="004E6167">
        <w:rPr>
          <w:rFonts w:ascii="Verdana" w:hAnsi="Verdana" w:cs="Arial"/>
          <w:iCs/>
          <w:sz w:val="18"/>
          <w:szCs w:val="18"/>
        </w:rPr>
        <w:t>V</w:t>
      </w:r>
      <w:r w:rsidRPr="006C35D3">
        <w:rPr>
          <w:rFonts w:ascii="Verdana" w:hAnsi="Verdana" w:cs="Arial"/>
          <w:iCs/>
          <w:sz w:val="18"/>
          <w:szCs w:val="18"/>
        </w:rPr>
        <w:t>oor de komst van de IRRD was er geen gelijk speelveld voor de Nederlandse verzekeraars die in Europa grensoverschrijdend opereren</w:t>
      </w:r>
      <w:r w:rsidR="004E6167">
        <w:rPr>
          <w:rFonts w:ascii="Verdana" w:hAnsi="Verdana" w:cs="Arial"/>
          <w:iCs/>
          <w:sz w:val="18"/>
          <w:szCs w:val="18"/>
        </w:rPr>
        <w:t>. Implementatie van de IRRD in Europa zal daaraan bijdragen.</w:t>
      </w:r>
    </w:p>
    <w:p w:rsidRPr="00DA4547" w:rsidR="008763FE" w:rsidP="00DA4547" w:rsidRDefault="008763FE" w14:paraId="1B94D353"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69DDAC8" w14:textId="6CEED95B">
      <w:pPr>
        <w:widowControl w:val="0"/>
        <w:tabs>
          <w:tab w:val="num" w:pos="720"/>
        </w:tabs>
        <w:spacing w:line="240" w:lineRule="atLeast"/>
        <w:rPr>
          <w:rFonts w:ascii="Verdana" w:hAnsi="Verdana" w:cs="Arial"/>
          <w:b/>
          <w:bCs/>
          <w:iCs/>
          <w:sz w:val="18"/>
          <w:szCs w:val="18"/>
        </w:rPr>
      </w:pPr>
      <w:r w:rsidRPr="00DA4547">
        <w:rPr>
          <w:rFonts w:ascii="Verdana" w:hAnsi="Verdana" w:cs="Arial"/>
          <w:b/>
          <w:bCs/>
          <w:iCs/>
          <w:sz w:val="18"/>
          <w:szCs w:val="18"/>
        </w:rPr>
        <w:t>Artikelsgewijs</w:t>
      </w:r>
    </w:p>
    <w:p w:rsidRPr="00DA4547" w:rsidR="00DA4547" w:rsidP="00DA4547" w:rsidRDefault="00DA4547" w14:paraId="60DEFC40"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65801C08" w14:textId="77777777">
      <w:pPr>
        <w:widowControl w:val="0"/>
        <w:tabs>
          <w:tab w:val="num" w:pos="720"/>
        </w:tabs>
        <w:spacing w:line="240" w:lineRule="atLeast"/>
        <w:rPr>
          <w:rFonts w:ascii="Verdana" w:hAnsi="Verdana" w:cs="Arial"/>
          <w:b/>
          <w:bCs/>
          <w:i/>
          <w:sz w:val="18"/>
          <w:szCs w:val="18"/>
        </w:rPr>
      </w:pPr>
      <w:r w:rsidRPr="00DA4547">
        <w:rPr>
          <w:rFonts w:ascii="Verdana" w:hAnsi="Verdana" w:cs="Arial"/>
          <w:b/>
          <w:bCs/>
          <w:i/>
          <w:sz w:val="18"/>
          <w:szCs w:val="18"/>
        </w:rPr>
        <w:t>ARTIKEL I (Wet op het financieel toezicht)</w:t>
      </w:r>
    </w:p>
    <w:p w:rsidR="00DA4547" w:rsidP="00DA4547" w:rsidRDefault="00DA4547" w14:paraId="2D404DAD"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33EE13C7" w14:textId="2B6146D9">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L</w:t>
      </w:r>
      <w:r>
        <w:rPr>
          <w:rFonts w:ascii="Verdana" w:hAnsi="Verdana" w:cs="Arial"/>
          <w:i/>
          <w:sz w:val="18"/>
          <w:szCs w:val="18"/>
        </w:rPr>
        <w:t xml:space="preserve"> </w:t>
      </w:r>
      <w:r w:rsidRPr="00DA4547">
        <w:rPr>
          <w:rFonts w:ascii="Verdana" w:hAnsi="Verdana" w:cs="Arial"/>
          <w:i/>
          <w:sz w:val="18"/>
          <w:szCs w:val="18"/>
        </w:rPr>
        <w:t>(3A:79a)</w:t>
      </w:r>
    </w:p>
    <w:p w:rsidRPr="00DA4547" w:rsidR="00DA4547" w:rsidP="00DA4547" w:rsidRDefault="00DA4547" w14:paraId="4F7988F1"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0487629E"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In het nieuw voorgestelde artikel 3A:79a, tweede lid, wordt expliciet vastgelegd dat tegen een besluit van een afwikkelingsautoriteit uit een andere lidstaat (dat betrekking heeft op activa of passiva in Nederland) niet in Nederland in rechte kan worden opgekomen, zo lezen de leden van de PVV-fractie.</w:t>
      </w:r>
    </w:p>
    <w:p w:rsidRPr="00DA4547" w:rsidR="00DA4547" w:rsidP="00DA4547" w:rsidRDefault="00DA4547" w14:paraId="58DEEB70"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Deze leden vragen hoe de uitsluiting van de Nederlandse rechter zich verhoudt tot de rechtsbescherming en het fundamentele recht op effectieve voorziening in rechte (artikel 47 van het Handvest van de Grondrechten) van Nederlandse polishouders en schuldeisers? Kan de regering rechtvaardigen waarom Nederlandse burgers gedwongen moeten accepteren dat buitenlandse autoriteiten ingrijpen in hun contracten of eigendommen op Nederlands grondgebied, zonder dat zij hiertegen bescherming kunnen zoeken bij hun eigen nationale rechter?</w:t>
      </w:r>
    </w:p>
    <w:p w:rsidRPr="00650CD1" w:rsidR="00DA4547" w:rsidP="00DA4547" w:rsidRDefault="00DA4547" w14:paraId="7AFB0FAF" w14:textId="77777777">
      <w:pPr>
        <w:widowControl w:val="0"/>
        <w:tabs>
          <w:tab w:val="num" w:pos="720"/>
        </w:tabs>
        <w:spacing w:line="240" w:lineRule="atLeast"/>
        <w:rPr>
          <w:rFonts w:ascii="Verdana" w:hAnsi="Verdana" w:cs="Arial"/>
          <w:iCs/>
          <w:sz w:val="18"/>
          <w:szCs w:val="18"/>
        </w:rPr>
      </w:pPr>
    </w:p>
    <w:p w:rsidR="00EE7A64" w:rsidP="00DA4547" w:rsidRDefault="00552F70" w14:paraId="3C706615" w14:textId="1573682E">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Het uitgangspunt van deze regeling is dat het Nederlandse recht geen grond </w:t>
      </w:r>
      <w:r w:rsidR="00A51876">
        <w:rPr>
          <w:rFonts w:ascii="Verdana" w:hAnsi="Verdana" w:cs="Arial"/>
          <w:iCs/>
          <w:sz w:val="18"/>
          <w:szCs w:val="18"/>
        </w:rPr>
        <w:t>biedt</w:t>
      </w:r>
      <w:r>
        <w:rPr>
          <w:rFonts w:ascii="Verdana" w:hAnsi="Verdana" w:cs="Arial"/>
          <w:iCs/>
          <w:sz w:val="18"/>
          <w:szCs w:val="18"/>
        </w:rPr>
        <w:t xml:space="preserve"> voor de aantasting van een maatregel die door een buitenlandse afwikkelingsautoriteit is genomen.</w:t>
      </w:r>
      <w:r w:rsidR="00AA1279">
        <w:rPr>
          <w:rFonts w:ascii="Verdana" w:hAnsi="Verdana" w:cs="Arial"/>
          <w:iCs/>
          <w:sz w:val="18"/>
          <w:szCs w:val="18"/>
        </w:rPr>
        <w:t xml:space="preserve"> </w:t>
      </w:r>
      <w:r w:rsidRPr="00EE7A64" w:rsidR="00EE7A64">
        <w:rPr>
          <w:rFonts w:ascii="Verdana" w:hAnsi="Verdana" w:cs="Arial"/>
          <w:iCs/>
          <w:sz w:val="18"/>
          <w:szCs w:val="18"/>
        </w:rPr>
        <w:t>De hoofdregel is dat belanghebbenden</w:t>
      </w:r>
      <w:r w:rsidR="00A51876">
        <w:rPr>
          <w:rFonts w:ascii="Verdana" w:hAnsi="Verdana" w:cs="Arial"/>
          <w:iCs/>
          <w:sz w:val="18"/>
          <w:szCs w:val="18"/>
        </w:rPr>
        <w:t xml:space="preserve"> </w:t>
      </w:r>
      <w:r w:rsidRPr="00EE7A64" w:rsidR="00EE7A64">
        <w:rPr>
          <w:rFonts w:ascii="Verdana" w:hAnsi="Verdana" w:cs="Arial"/>
          <w:iCs/>
          <w:sz w:val="18"/>
          <w:szCs w:val="18"/>
        </w:rPr>
        <w:t>in de lidstaat waar de afwikkelingsautoriteit de afwikkelingsmaatregel heeft genomen</w:t>
      </w:r>
      <w:r w:rsidR="00A51876">
        <w:rPr>
          <w:rFonts w:ascii="Verdana" w:hAnsi="Verdana" w:cs="Arial"/>
          <w:iCs/>
          <w:sz w:val="18"/>
          <w:szCs w:val="18"/>
        </w:rPr>
        <w:t>,</w:t>
      </w:r>
      <w:r w:rsidRPr="00EE7A64" w:rsidR="00EE7A64">
        <w:rPr>
          <w:rFonts w:ascii="Verdana" w:hAnsi="Verdana" w:cs="Arial"/>
          <w:iCs/>
          <w:sz w:val="18"/>
          <w:szCs w:val="18"/>
        </w:rPr>
        <w:t xml:space="preserve"> </w:t>
      </w:r>
      <w:r w:rsidR="00A51876">
        <w:rPr>
          <w:rFonts w:ascii="Verdana" w:hAnsi="Verdana" w:cs="Arial"/>
          <w:iCs/>
          <w:sz w:val="18"/>
          <w:szCs w:val="18"/>
        </w:rPr>
        <w:t>deze</w:t>
      </w:r>
      <w:r w:rsidRPr="00EE7A64" w:rsidR="00EE7A64">
        <w:rPr>
          <w:rFonts w:ascii="Verdana" w:hAnsi="Verdana" w:cs="Arial"/>
          <w:iCs/>
          <w:sz w:val="18"/>
          <w:szCs w:val="18"/>
        </w:rPr>
        <w:t xml:space="preserve"> maatregel</w:t>
      </w:r>
      <w:r w:rsidR="00A51876">
        <w:rPr>
          <w:rFonts w:ascii="Verdana" w:hAnsi="Verdana" w:cs="Arial"/>
          <w:iCs/>
          <w:sz w:val="18"/>
          <w:szCs w:val="18"/>
        </w:rPr>
        <w:t xml:space="preserve"> kunnen aanvechten</w:t>
      </w:r>
      <w:r w:rsidR="00EE7A64">
        <w:rPr>
          <w:rFonts w:ascii="Verdana" w:hAnsi="Verdana" w:cs="Arial"/>
          <w:iCs/>
          <w:sz w:val="18"/>
          <w:szCs w:val="18"/>
        </w:rPr>
        <w:t>.</w:t>
      </w:r>
      <w:r w:rsidR="00A51876">
        <w:rPr>
          <w:rFonts w:ascii="Verdana" w:hAnsi="Verdana" w:cs="Arial"/>
          <w:iCs/>
          <w:sz w:val="18"/>
          <w:szCs w:val="18"/>
        </w:rPr>
        <w:t xml:space="preserve"> Doordat sprake is van een geharmoniseerd kader in de EU, gelden vergelijkbare criteria voor besluiten van afwikkelingsautoriteiten en moet ook tegen al deze besluiten rechtsmiddelen open staan</w:t>
      </w:r>
      <w:r w:rsidR="004E6167">
        <w:rPr>
          <w:rFonts w:ascii="Verdana" w:hAnsi="Verdana" w:cs="Arial"/>
          <w:iCs/>
          <w:sz w:val="18"/>
          <w:szCs w:val="18"/>
        </w:rPr>
        <w:t xml:space="preserve"> waarmee rechten en belangen van polishouders worden gewaarborgd</w:t>
      </w:r>
      <w:r w:rsidR="00A51876">
        <w:rPr>
          <w:rFonts w:ascii="Verdana" w:hAnsi="Verdana" w:cs="Arial"/>
          <w:iCs/>
          <w:sz w:val="18"/>
          <w:szCs w:val="18"/>
        </w:rPr>
        <w:t xml:space="preserve">. </w:t>
      </w:r>
    </w:p>
    <w:p w:rsidR="00A51876" w:rsidP="00DA4547" w:rsidRDefault="00A51876" w14:paraId="5FA1CE01" w14:textId="77777777">
      <w:pPr>
        <w:widowControl w:val="0"/>
        <w:tabs>
          <w:tab w:val="num" w:pos="720"/>
        </w:tabs>
        <w:spacing w:line="240" w:lineRule="atLeast"/>
        <w:rPr>
          <w:rFonts w:ascii="Verdana" w:hAnsi="Verdana" w:cs="Arial"/>
          <w:iCs/>
          <w:sz w:val="18"/>
          <w:szCs w:val="18"/>
        </w:rPr>
      </w:pPr>
    </w:p>
    <w:p w:rsidRPr="00650CD1" w:rsidR="00650CD1" w:rsidP="00DA4547" w:rsidRDefault="00A51876" w14:paraId="00571F53" w14:textId="253344B3">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De voornoemde regel uit artikel 3A:79a </w:t>
      </w:r>
      <w:proofErr w:type="spellStart"/>
      <w:r>
        <w:rPr>
          <w:rFonts w:ascii="Verdana" w:hAnsi="Verdana" w:cs="Arial"/>
          <w:iCs/>
          <w:sz w:val="18"/>
          <w:szCs w:val="18"/>
        </w:rPr>
        <w:t>Wft</w:t>
      </w:r>
      <w:proofErr w:type="spellEnd"/>
      <w:r>
        <w:rPr>
          <w:rFonts w:ascii="Verdana" w:hAnsi="Verdana" w:cs="Arial"/>
          <w:iCs/>
          <w:sz w:val="18"/>
          <w:szCs w:val="18"/>
        </w:rPr>
        <w:t xml:space="preserve"> gaat over bestuursrechtelijke rechtsmiddelen tegen een besluit van een afwikkelingsautoriteit. Het artikel</w:t>
      </w:r>
      <w:r w:rsidR="005530F1">
        <w:rPr>
          <w:rFonts w:ascii="Verdana" w:hAnsi="Verdana" w:cs="Arial"/>
          <w:iCs/>
          <w:sz w:val="18"/>
          <w:szCs w:val="18"/>
        </w:rPr>
        <w:t xml:space="preserve"> staat </w:t>
      </w:r>
      <w:r>
        <w:rPr>
          <w:rFonts w:ascii="Verdana" w:hAnsi="Verdana" w:cs="Arial"/>
          <w:iCs/>
          <w:sz w:val="18"/>
          <w:szCs w:val="18"/>
        </w:rPr>
        <w:t xml:space="preserve">er niet aan in de weg dat </w:t>
      </w:r>
      <w:r w:rsidRPr="001C0FB0" w:rsidR="001C0FB0">
        <w:rPr>
          <w:rFonts w:ascii="Verdana" w:hAnsi="Verdana" w:cs="Arial"/>
          <w:iCs/>
          <w:sz w:val="18"/>
          <w:szCs w:val="18"/>
        </w:rPr>
        <w:t xml:space="preserve">een belanghebbende bij de Nederlandse </w:t>
      </w:r>
      <w:r>
        <w:rPr>
          <w:rFonts w:ascii="Verdana" w:hAnsi="Verdana" w:cs="Arial"/>
          <w:iCs/>
          <w:sz w:val="18"/>
          <w:szCs w:val="18"/>
        </w:rPr>
        <w:t xml:space="preserve">civiele </w:t>
      </w:r>
      <w:r w:rsidRPr="001C0FB0" w:rsidR="001C0FB0">
        <w:rPr>
          <w:rFonts w:ascii="Verdana" w:hAnsi="Verdana" w:cs="Arial"/>
          <w:iCs/>
          <w:sz w:val="18"/>
          <w:szCs w:val="18"/>
        </w:rPr>
        <w:t>rechter</w:t>
      </w:r>
      <w:r>
        <w:rPr>
          <w:rFonts w:ascii="Verdana" w:hAnsi="Verdana" w:cs="Arial"/>
          <w:iCs/>
          <w:sz w:val="18"/>
          <w:szCs w:val="18"/>
        </w:rPr>
        <w:t xml:space="preserve"> kan proberen om schade te verhalen die hij in Nederland heeft geleden als gevolg van dat besluit.</w:t>
      </w:r>
      <w:r w:rsidR="00FF2ED7">
        <w:rPr>
          <w:rStyle w:val="Voetnootmarkering"/>
          <w:rFonts w:ascii="Verdana" w:hAnsi="Verdana" w:cs="Arial"/>
          <w:iCs/>
          <w:sz w:val="18"/>
          <w:szCs w:val="18"/>
        </w:rPr>
        <w:footnoteReference w:id="10"/>
      </w:r>
      <w:r>
        <w:rPr>
          <w:rFonts w:ascii="Verdana" w:hAnsi="Verdana" w:cs="Arial"/>
          <w:iCs/>
          <w:sz w:val="18"/>
          <w:szCs w:val="18"/>
        </w:rPr>
        <w:t xml:space="preserve">  </w:t>
      </w:r>
    </w:p>
    <w:p w:rsidRPr="00650CD1" w:rsidR="00650CD1" w:rsidP="00DA4547" w:rsidRDefault="00650CD1" w14:paraId="0C8542A6" w14:textId="77777777">
      <w:pPr>
        <w:widowControl w:val="0"/>
        <w:tabs>
          <w:tab w:val="num" w:pos="720"/>
        </w:tabs>
        <w:spacing w:line="240" w:lineRule="atLeast"/>
        <w:rPr>
          <w:rFonts w:ascii="Verdana" w:hAnsi="Verdana" w:cs="Arial"/>
          <w:iCs/>
          <w:sz w:val="18"/>
          <w:szCs w:val="18"/>
        </w:rPr>
      </w:pPr>
    </w:p>
    <w:p w:rsidRPr="00DA4547" w:rsidR="00DA4547" w:rsidP="00DA4547" w:rsidRDefault="00DA4547" w14:paraId="65BE9847" w14:textId="4BAA4D72">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SS</w:t>
      </w:r>
      <w:r>
        <w:rPr>
          <w:rFonts w:ascii="Verdana" w:hAnsi="Verdana" w:cs="Arial"/>
          <w:i/>
          <w:sz w:val="18"/>
          <w:szCs w:val="18"/>
        </w:rPr>
        <w:t xml:space="preserve"> </w:t>
      </w:r>
      <w:r w:rsidRPr="00DA4547">
        <w:rPr>
          <w:rFonts w:ascii="Verdana" w:hAnsi="Verdana" w:cs="Arial"/>
          <w:i/>
          <w:sz w:val="18"/>
          <w:szCs w:val="18"/>
        </w:rPr>
        <w:t>(3A:120)</w:t>
      </w:r>
    </w:p>
    <w:p w:rsidRPr="00DA4547" w:rsidR="00DA4547" w:rsidP="00DA4547" w:rsidRDefault="00DA4547" w14:paraId="5BE4D16E" w14:textId="77777777">
      <w:pPr>
        <w:widowControl w:val="0"/>
        <w:tabs>
          <w:tab w:val="num" w:pos="720"/>
        </w:tabs>
        <w:spacing w:line="240" w:lineRule="atLeast"/>
        <w:rPr>
          <w:rFonts w:ascii="Verdana" w:hAnsi="Verdana" w:cs="Arial"/>
          <w:i/>
          <w:sz w:val="18"/>
          <w:szCs w:val="18"/>
        </w:rPr>
      </w:pPr>
    </w:p>
    <w:p w:rsidR="00DA4547" w:rsidP="00DA4547" w:rsidRDefault="00DA4547" w14:paraId="54693881" w14:textId="56A7CE5C">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De wet verleent DNB verstrekkende en ingrijpende bevoegdheden, waaronder het eigenhandig aanstellen en ontslaan van bijzonder bestuurders en het overnemen van de volledige zeggenschap over een verzekeraar, het omzetten van de rechtsvorm van een entiteit en het toepassen van de '</w:t>
      </w:r>
      <w:proofErr w:type="spellStart"/>
      <w:r w:rsidRPr="00DA4547">
        <w:rPr>
          <w:rFonts w:ascii="Verdana" w:hAnsi="Verdana" w:cs="Arial"/>
          <w:i/>
          <w:sz w:val="18"/>
          <w:szCs w:val="18"/>
        </w:rPr>
        <w:t>bail</w:t>
      </w:r>
      <w:proofErr w:type="spellEnd"/>
      <w:r w:rsidRPr="00DA4547">
        <w:rPr>
          <w:rFonts w:ascii="Verdana" w:hAnsi="Verdana" w:cs="Arial"/>
          <w:i/>
          <w:sz w:val="18"/>
          <w:szCs w:val="18"/>
        </w:rPr>
        <w:t>-in'-tool waarbij vorderingen van polishouders en schuldeisers kunnen worden geconverteerd of afgeschreven, zo lezen de leden van de PVV-fractie. Hoe beoordeelt de regering deze enorme machtsconcentratie? Hoe garandeert de regering dat het fundamentele recht op ongestoord genot van eigendom (artikel 17 van het Handvest van de Grondrechten) hiermee niet op onevenredige en onrechtmatige wijze wordt aangetast?</w:t>
      </w:r>
    </w:p>
    <w:p w:rsidR="003207BC" w:rsidP="00DA4547" w:rsidRDefault="003207BC" w14:paraId="09B82F64" w14:textId="77777777">
      <w:pPr>
        <w:widowControl w:val="0"/>
        <w:tabs>
          <w:tab w:val="num" w:pos="720"/>
        </w:tabs>
        <w:spacing w:line="240" w:lineRule="atLeast"/>
        <w:rPr>
          <w:rFonts w:ascii="Verdana" w:hAnsi="Verdana" w:cs="Arial"/>
          <w:i/>
          <w:sz w:val="18"/>
          <w:szCs w:val="18"/>
        </w:rPr>
      </w:pPr>
    </w:p>
    <w:p w:rsidR="008D1950" w:rsidP="00DA4547" w:rsidRDefault="004679D0" w14:paraId="2C2B6970" w14:textId="3660C0BE">
      <w:pPr>
        <w:widowControl w:val="0"/>
        <w:tabs>
          <w:tab w:val="num" w:pos="720"/>
        </w:tabs>
        <w:spacing w:line="240" w:lineRule="atLeast"/>
        <w:rPr>
          <w:rFonts w:ascii="Verdana" w:hAnsi="Verdana" w:cs="Arial"/>
          <w:iCs/>
          <w:sz w:val="18"/>
          <w:szCs w:val="18"/>
        </w:rPr>
      </w:pPr>
      <w:r>
        <w:rPr>
          <w:rFonts w:ascii="Verdana" w:hAnsi="Verdana" w:cs="Arial"/>
          <w:iCs/>
          <w:sz w:val="18"/>
          <w:szCs w:val="18"/>
        </w:rPr>
        <w:t xml:space="preserve">De mogelijkheid voor DNB om een bijzondere bestuurder aan te wijzen bij een entiteit in afwikkeling of om </w:t>
      </w:r>
      <w:r w:rsidR="00683B99">
        <w:rPr>
          <w:rFonts w:ascii="Verdana" w:hAnsi="Verdana" w:cs="Arial"/>
          <w:iCs/>
          <w:sz w:val="18"/>
          <w:szCs w:val="18"/>
        </w:rPr>
        <w:t xml:space="preserve">de </w:t>
      </w:r>
      <w:r>
        <w:rPr>
          <w:rFonts w:ascii="Verdana" w:hAnsi="Verdana" w:cs="Arial"/>
          <w:iCs/>
          <w:sz w:val="18"/>
          <w:szCs w:val="18"/>
        </w:rPr>
        <w:t xml:space="preserve">zeggenschap van de entiteit in afwikkeling over te nemen is een </w:t>
      </w:r>
      <w:proofErr w:type="gramStart"/>
      <w:r>
        <w:rPr>
          <w:rFonts w:ascii="Verdana" w:hAnsi="Verdana" w:cs="Arial"/>
          <w:iCs/>
          <w:sz w:val="18"/>
          <w:szCs w:val="18"/>
        </w:rPr>
        <w:t>reeds</w:t>
      </w:r>
      <w:proofErr w:type="gramEnd"/>
      <w:r>
        <w:rPr>
          <w:rFonts w:ascii="Verdana" w:hAnsi="Verdana" w:cs="Arial"/>
          <w:iCs/>
          <w:sz w:val="18"/>
          <w:szCs w:val="18"/>
        </w:rPr>
        <w:t xml:space="preserve"> bestaande bevoegdheid. Met deze implementatie wordt toegevoegd dat het er ook meerdere bijzondere bestuurders kunnen worden aangesteld. Het klopt dat </w:t>
      </w:r>
      <w:r w:rsidRPr="008D1950" w:rsidR="008D1950">
        <w:rPr>
          <w:rFonts w:ascii="Verdana" w:hAnsi="Verdana" w:cs="Arial"/>
          <w:iCs/>
          <w:sz w:val="18"/>
          <w:szCs w:val="18"/>
        </w:rPr>
        <w:t>overname van zeggenschap en het benoemen van bijzondere bestuurders</w:t>
      </w:r>
      <w:r>
        <w:rPr>
          <w:rFonts w:ascii="Verdana" w:hAnsi="Verdana" w:cs="Arial"/>
          <w:iCs/>
          <w:sz w:val="18"/>
          <w:szCs w:val="18"/>
        </w:rPr>
        <w:t xml:space="preserve"> ingrijpende bevoegdhe</w:t>
      </w:r>
      <w:r w:rsidR="008D1950">
        <w:rPr>
          <w:rFonts w:ascii="Verdana" w:hAnsi="Verdana" w:cs="Arial"/>
          <w:iCs/>
          <w:sz w:val="18"/>
          <w:szCs w:val="18"/>
        </w:rPr>
        <w:t>den</w:t>
      </w:r>
      <w:r>
        <w:rPr>
          <w:rFonts w:ascii="Verdana" w:hAnsi="Verdana" w:cs="Arial"/>
          <w:iCs/>
          <w:sz w:val="18"/>
          <w:szCs w:val="18"/>
        </w:rPr>
        <w:t xml:space="preserve"> </w:t>
      </w:r>
      <w:r w:rsidR="008D1950">
        <w:rPr>
          <w:rFonts w:ascii="Verdana" w:hAnsi="Verdana" w:cs="Arial"/>
          <w:iCs/>
          <w:sz w:val="18"/>
          <w:szCs w:val="18"/>
        </w:rPr>
        <w:t>zijn. Dit</w:t>
      </w:r>
      <w:r>
        <w:rPr>
          <w:rFonts w:ascii="Verdana" w:hAnsi="Verdana" w:cs="Arial"/>
          <w:iCs/>
          <w:sz w:val="18"/>
          <w:szCs w:val="18"/>
        </w:rPr>
        <w:t xml:space="preserve"> gebeurt echter in een situatie waarbij de verzekeraar al in afwikkeling is genomen om de </w:t>
      </w:r>
      <w:r>
        <w:rPr>
          <w:rFonts w:ascii="Verdana" w:hAnsi="Verdana" w:cs="Arial"/>
          <w:iCs/>
          <w:sz w:val="18"/>
          <w:szCs w:val="18"/>
        </w:rPr>
        <w:lastRenderedPageBreak/>
        <w:t xml:space="preserve">gevolgen van een falende verzekeraar op de financiële stabiliteit zoveel als mogelijk te beperken. Gegeven de ingrijpende </w:t>
      </w:r>
      <w:r w:rsidR="008D1950">
        <w:rPr>
          <w:rFonts w:ascii="Verdana" w:hAnsi="Verdana" w:cs="Arial"/>
          <w:iCs/>
          <w:sz w:val="18"/>
          <w:szCs w:val="18"/>
        </w:rPr>
        <w:t>aard van deze bevoegdheden,</w:t>
      </w:r>
      <w:r>
        <w:rPr>
          <w:rFonts w:ascii="Verdana" w:hAnsi="Verdana" w:cs="Arial"/>
          <w:iCs/>
          <w:sz w:val="18"/>
          <w:szCs w:val="18"/>
        </w:rPr>
        <w:t xml:space="preserve"> wordt expliciet geregeld dat tegen </w:t>
      </w:r>
      <w:r w:rsidR="008D1950">
        <w:rPr>
          <w:rFonts w:ascii="Verdana" w:hAnsi="Verdana" w:cs="Arial"/>
          <w:iCs/>
          <w:sz w:val="18"/>
          <w:szCs w:val="18"/>
        </w:rPr>
        <w:t xml:space="preserve">besluiten van een bijzondere bestuurder </w:t>
      </w:r>
      <w:r>
        <w:rPr>
          <w:rFonts w:ascii="Verdana" w:hAnsi="Verdana" w:cs="Arial"/>
          <w:iCs/>
          <w:sz w:val="18"/>
          <w:szCs w:val="18"/>
        </w:rPr>
        <w:t xml:space="preserve">administratief beroep bij DNB kan worden ingesteld. </w:t>
      </w:r>
    </w:p>
    <w:p w:rsidR="008D1950" w:rsidP="00DA4547" w:rsidRDefault="008D1950" w14:paraId="697A9B05" w14:textId="77777777">
      <w:pPr>
        <w:widowControl w:val="0"/>
        <w:tabs>
          <w:tab w:val="num" w:pos="720"/>
        </w:tabs>
        <w:spacing w:line="240" w:lineRule="atLeast"/>
        <w:rPr>
          <w:rFonts w:ascii="Verdana" w:hAnsi="Verdana" w:cs="Arial"/>
          <w:iCs/>
          <w:sz w:val="18"/>
          <w:szCs w:val="18"/>
        </w:rPr>
      </w:pPr>
    </w:p>
    <w:p w:rsidRPr="00444049" w:rsidR="00444049" w:rsidP="00DA4547" w:rsidRDefault="008D1950" w14:paraId="4397ACFB" w14:textId="42C7A9AA">
      <w:pPr>
        <w:widowControl w:val="0"/>
        <w:tabs>
          <w:tab w:val="num" w:pos="720"/>
        </w:tabs>
        <w:spacing w:line="240" w:lineRule="atLeast"/>
        <w:rPr>
          <w:rFonts w:ascii="Verdana" w:hAnsi="Verdana" w:cs="Arial"/>
          <w:iCs/>
          <w:sz w:val="18"/>
          <w:szCs w:val="18"/>
        </w:rPr>
      </w:pPr>
      <w:r>
        <w:rPr>
          <w:rFonts w:ascii="Verdana" w:hAnsi="Verdana" w:cs="Arial"/>
          <w:iCs/>
          <w:sz w:val="18"/>
          <w:szCs w:val="18"/>
        </w:rPr>
        <w:t>Een belangrijke overkoepelende waarborg bij het optreden van de afwikkelingsautoriteit</w:t>
      </w:r>
      <w:r w:rsidR="004679D0">
        <w:rPr>
          <w:rFonts w:ascii="Verdana" w:hAnsi="Verdana" w:cs="Arial"/>
          <w:iCs/>
          <w:sz w:val="18"/>
          <w:szCs w:val="18"/>
        </w:rPr>
        <w:t xml:space="preserve"> is het ‘</w:t>
      </w:r>
      <w:r w:rsidRPr="004E0612" w:rsidR="004679D0">
        <w:rPr>
          <w:rFonts w:ascii="Verdana" w:hAnsi="Verdana" w:cs="Arial"/>
          <w:i/>
          <w:sz w:val="18"/>
          <w:szCs w:val="18"/>
        </w:rPr>
        <w:t xml:space="preserve">no </w:t>
      </w:r>
      <w:proofErr w:type="spellStart"/>
      <w:r w:rsidRPr="004E0612" w:rsidR="004679D0">
        <w:rPr>
          <w:rFonts w:ascii="Verdana" w:hAnsi="Verdana" w:cs="Arial"/>
          <w:i/>
          <w:sz w:val="18"/>
          <w:szCs w:val="18"/>
        </w:rPr>
        <w:t>creditor</w:t>
      </w:r>
      <w:proofErr w:type="spellEnd"/>
      <w:r w:rsidRPr="004E0612" w:rsidR="004679D0">
        <w:rPr>
          <w:rFonts w:ascii="Verdana" w:hAnsi="Verdana" w:cs="Arial"/>
          <w:i/>
          <w:sz w:val="18"/>
          <w:szCs w:val="18"/>
        </w:rPr>
        <w:t xml:space="preserve"> </w:t>
      </w:r>
      <w:proofErr w:type="spellStart"/>
      <w:r w:rsidRPr="004E0612" w:rsidR="004679D0">
        <w:rPr>
          <w:rFonts w:ascii="Verdana" w:hAnsi="Verdana" w:cs="Arial"/>
          <w:i/>
          <w:sz w:val="18"/>
          <w:szCs w:val="18"/>
        </w:rPr>
        <w:t>worse</w:t>
      </w:r>
      <w:proofErr w:type="spellEnd"/>
      <w:r w:rsidRPr="004E0612" w:rsidR="004679D0">
        <w:rPr>
          <w:rFonts w:ascii="Verdana" w:hAnsi="Verdana" w:cs="Arial"/>
          <w:i/>
          <w:sz w:val="18"/>
          <w:szCs w:val="18"/>
        </w:rPr>
        <w:t xml:space="preserve"> off</w:t>
      </w:r>
      <w:r w:rsidR="004679D0">
        <w:rPr>
          <w:rFonts w:ascii="Verdana" w:hAnsi="Verdana" w:cs="Arial"/>
          <w:iCs/>
          <w:sz w:val="18"/>
          <w:szCs w:val="18"/>
        </w:rPr>
        <w:t>’</w:t>
      </w:r>
      <w:r w:rsidR="004E0612">
        <w:rPr>
          <w:rFonts w:ascii="Verdana" w:hAnsi="Verdana" w:cs="Arial"/>
          <w:iCs/>
          <w:sz w:val="18"/>
          <w:szCs w:val="18"/>
        </w:rPr>
        <w:t>-</w:t>
      </w:r>
      <w:r w:rsidR="004679D0">
        <w:rPr>
          <w:rFonts w:ascii="Verdana" w:hAnsi="Verdana" w:cs="Arial"/>
          <w:iCs/>
          <w:sz w:val="18"/>
          <w:szCs w:val="18"/>
        </w:rPr>
        <w:t>principe (NCWO)</w:t>
      </w:r>
      <w:r>
        <w:rPr>
          <w:rFonts w:ascii="Verdana" w:hAnsi="Verdana" w:cs="Arial"/>
          <w:iCs/>
          <w:sz w:val="18"/>
          <w:szCs w:val="18"/>
        </w:rPr>
        <w:t>,</w:t>
      </w:r>
      <w:r w:rsidR="004679D0">
        <w:rPr>
          <w:rFonts w:ascii="Verdana" w:hAnsi="Verdana" w:cs="Arial"/>
          <w:iCs/>
          <w:sz w:val="18"/>
          <w:szCs w:val="18"/>
        </w:rPr>
        <w:t xml:space="preserve"> </w:t>
      </w:r>
      <w:r>
        <w:rPr>
          <w:rFonts w:ascii="Verdana" w:hAnsi="Verdana" w:cs="Arial"/>
          <w:iCs/>
          <w:sz w:val="18"/>
          <w:szCs w:val="18"/>
        </w:rPr>
        <w:t xml:space="preserve">dat inhoudt dat houders van eigendomsinstrumenten en </w:t>
      </w:r>
      <w:r w:rsidR="004679D0">
        <w:rPr>
          <w:rFonts w:ascii="Verdana" w:hAnsi="Verdana" w:cs="Arial"/>
          <w:iCs/>
          <w:sz w:val="18"/>
          <w:szCs w:val="18"/>
        </w:rPr>
        <w:t>schuldeisers (ook polishouders) niet slechter af mogen zijn in resolutie dan in faillissement</w:t>
      </w:r>
      <w:r w:rsidR="004304DB">
        <w:rPr>
          <w:rFonts w:ascii="Verdana" w:hAnsi="Verdana" w:cs="Arial"/>
          <w:iCs/>
          <w:sz w:val="18"/>
          <w:szCs w:val="18"/>
        </w:rPr>
        <w:t>, een scenario waarin er geen sprake is van ingrijpen door DNB</w:t>
      </w:r>
      <w:r w:rsidR="004679D0">
        <w:rPr>
          <w:rFonts w:ascii="Verdana" w:hAnsi="Verdana" w:cs="Arial"/>
          <w:iCs/>
          <w:sz w:val="18"/>
          <w:szCs w:val="18"/>
        </w:rPr>
        <w:t xml:space="preserve">. </w:t>
      </w:r>
      <w:r w:rsidR="003D44FC">
        <w:rPr>
          <w:rFonts w:ascii="Verdana" w:hAnsi="Verdana" w:cs="Arial"/>
          <w:iCs/>
          <w:sz w:val="18"/>
          <w:szCs w:val="18"/>
        </w:rPr>
        <w:t>Dit houdt in dat bij de beoordeling van DNB ten aanzien van de te nemen maatregelen zij dit principe</w:t>
      </w:r>
      <w:r>
        <w:rPr>
          <w:rFonts w:ascii="Verdana" w:hAnsi="Verdana" w:cs="Arial"/>
          <w:iCs/>
          <w:sz w:val="18"/>
          <w:szCs w:val="18"/>
        </w:rPr>
        <w:t xml:space="preserve"> zoveel mogelijk</w:t>
      </w:r>
      <w:r w:rsidR="003D44FC">
        <w:rPr>
          <w:rFonts w:ascii="Verdana" w:hAnsi="Verdana" w:cs="Arial"/>
          <w:iCs/>
          <w:sz w:val="18"/>
          <w:szCs w:val="18"/>
        </w:rPr>
        <w:t xml:space="preserve"> in acht moet nemen. </w:t>
      </w:r>
      <w:proofErr w:type="gramStart"/>
      <w:r w:rsidR="003D44FC">
        <w:rPr>
          <w:rFonts w:ascii="Verdana" w:hAnsi="Verdana" w:cs="Arial"/>
          <w:iCs/>
          <w:sz w:val="18"/>
          <w:szCs w:val="18"/>
        </w:rPr>
        <w:t>Indien</w:t>
      </w:r>
      <w:proofErr w:type="gramEnd"/>
      <w:r w:rsidR="003D44FC">
        <w:rPr>
          <w:rFonts w:ascii="Verdana" w:hAnsi="Verdana" w:cs="Arial"/>
          <w:iCs/>
          <w:sz w:val="18"/>
          <w:szCs w:val="18"/>
        </w:rPr>
        <w:t xml:space="preserve"> achteraf blijkt dat </w:t>
      </w:r>
      <w:r>
        <w:rPr>
          <w:rFonts w:ascii="Verdana" w:hAnsi="Verdana" w:cs="Arial"/>
          <w:iCs/>
          <w:sz w:val="18"/>
          <w:szCs w:val="18"/>
        </w:rPr>
        <w:t xml:space="preserve">de houders van eigendomsinstrumenten of </w:t>
      </w:r>
      <w:r w:rsidR="003D44FC">
        <w:rPr>
          <w:rFonts w:ascii="Verdana" w:hAnsi="Verdana" w:cs="Arial"/>
          <w:iCs/>
          <w:sz w:val="18"/>
          <w:szCs w:val="18"/>
        </w:rPr>
        <w:t xml:space="preserve">schuldeisers in faillissement minder verliezen hadden geleden, kan aanspraak worden gemaakt op de financieringsregeling. </w:t>
      </w:r>
    </w:p>
    <w:p w:rsidRPr="00DA4547" w:rsidR="00444049" w:rsidP="00DA4547" w:rsidRDefault="00444049" w14:paraId="5978465A"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63A992FD"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VV (3A:122a)</w:t>
      </w:r>
    </w:p>
    <w:p w:rsidRPr="00DA4547" w:rsidR="00DA4547" w:rsidP="00DA4547" w:rsidRDefault="00DA4547" w14:paraId="7B78E3DA" w14:textId="77777777">
      <w:pPr>
        <w:widowControl w:val="0"/>
        <w:tabs>
          <w:tab w:val="num" w:pos="720"/>
        </w:tabs>
        <w:spacing w:line="240" w:lineRule="atLeast"/>
        <w:rPr>
          <w:rFonts w:ascii="Verdana" w:hAnsi="Verdana" w:cs="Arial"/>
          <w:i/>
          <w:sz w:val="18"/>
          <w:szCs w:val="18"/>
        </w:rPr>
      </w:pPr>
    </w:p>
    <w:p w:rsidRPr="00DA4547" w:rsidR="00DA4547" w:rsidP="00DA4547" w:rsidRDefault="00DA4547" w14:paraId="67CA0A45" w14:textId="77777777">
      <w:pPr>
        <w:widowControl w:val="0"/>
        <w:tabs>
          <w:tab w:val="num" w:pos="720"/>
        </w:tabs>
        <w:spacing w:line="240" w:lineRule="atLeast"/>
        <w:rPr>
          <w:rFonts w:ascii="Verdana" w:hAnsi="Verdana" w:cs="Arial"/>
          <w:i/>
          <w:sz w:val="18"/>
          <w:szCs w:val="18"/>
        </w:rPr>
      </w:pPr>
      <w:r w:rsidRPr="00DA4547">
        <w:rPr>
          <w:rFonts w:ascii="Verdana" w:hAnsi="Verdana" w:cs="Arial"/>
          <w:i/>
          <w:sz w:val="18"/>
          <w:szCs w:val="18"/>
        </w:rPr>
        <w:t>Op grond van het voorgestelde artikel 3A:122a krijgt DNB de bevoegdheid om terugbetalingsrechten van verzekeringnemers onder een levensverzekeringsovereenkomst (waaronder pensioenpolissen en oudedagsvoorzieningen vallen) tijdelijk te beperken of op te schorten, zo lezen de leden van de PVV-fractie Kan de regering garanderen dat Nederlandse gepensioneerden en spaarders niet de dupe worden van het falen van een verzekeraar doordat zij in de praktijk (tijdelijk) niet bij hun opgebouwde pensioengeld kunnen? Wat is de absolute maximale termijn van een dergelijke opschorting van rechten, en hoe wordt voorkomen dat burgers hierdoor in acute betalingsproblemen geraken?</w:t>
      </w:r>
    </w:p>
    <w:p w:rsidRPr="009E13E7" w:rsidR="009E13E7" w:rsidP="00E4606A" w:rsidRDefault="009E13E7" w14:paraId="367B8207" w14:textId="7BC5610C">
      <w:pPr>
        <w:widowControl w:val="0"/>
        <w:tabs>
          <w:tab w:val="num" w:pos="720"/>
        </w:tabs>
        <w:spacing w:line="240" w:lineRule="atLeast"/>
        <w:rPr>
          <w:rFonts w:ascii="Verdana" w:hAnsi="Verdana" w:cs="Arial"/>
          <w:i/>
          <w:sz w:val="18"/>
          <w:szCs w:val="18"/>
        </w:rPr>
      </w:pPr>
    </w:p>
    <w:p w:rsidR="008D1950" w:rsidP="0014415A" w:rsidRDefault="0014415A" w14:paraId="5BE26AD8" w14:textId="38CEFF4F">
      <w:pPr>
        <w:widowControl w:val="0"/>
        <w:tabs>
          <w:tab w:val="num" w:pos="720"/>
        </w:tabs>
        <w:spacing w:line="240" w:lineRule="atLeast"/>
        <w:rPr>
          <w:rFonts w:ascii="Verdana" w:hAnsi="Verdana" w:cs="Arial"/>
          <w:sz w:val="18"/>
          <w:szCs w:val="18"/>
        </w:rPr>
      </w:pPr>
      <w:r w:rsidRPr="0014415A">
        <w:rPr>
          <w:rFonts w:ascii="Verdana" w:hAnsi="Verdana" w:cs="Arial"/>
          <w:sz w:val="18"/>
          <w:szCs w:val="18"/>
        </w:rPr>
        <w:t>Levensverzekeringen waar</w:t>
      </w:r>
      <w:r>
        <w:rPr>
          <w:rFonts w:ascii="Verdana" w:hAnsi="Verdana" w:cs="Arial"/>
          <w:sz w:val="18"/>
          <w:szCs w:val="18"/>
        </w:rPr>
        <w:t>bij</w:t>
      </w:r>
      <w:r w:rsidRPr="0014415A">
        <w:rPr>
          <w:rFonts w:ascii="Verdana" w:hAnsi="Verdana" w:cs="Arial"/>
          <w:sz w:val="18"/>
          <w:szCs w:val="18"/>
        </w:rPr>
        <w:t xml:space="preserve"> een waarde wordt opgebouwd, geven de polishouder vaak het recht om de polis voortijdig op te zeggen in ruil voor voldoening van de afkoopwaarde door de verzekeraar aan de polishouder. Polishouders die niet </w:t>
      </w:r>
      <w:proofErr w:type="gramStart"/>
      <w:r w:rsidRPr="0014415A">
        <w:rPr>
          <w:rFonts w:ascii="Verdana" w:hAnsi="Verdana" w:cs="Arial"/>
          <w:sz w:val="18"/>
          <w:szCs w:val="18"/>
        </w:rPr>
        <w:t>reeds</w:t>
      </w:r>
      <w:proofErr w:type="gramEnd"/>
      <w:r w:rsidRPr="0014415A">
        <w:rPr>
          <w:rFonts w:ascii="Verdana" w:hAnsi="Verdana" w:cs="Arial"/>
          <w:sz w:val="18"/>
          <w:szCs w:val="18"/>
        </w:rPr>
        <w:t xml:space="preserve"> vóór </w:t>
      </w:r>
      <w:r>
        <w:rPr>
          <w:rFonts w:ascii="Verdana" w:hAnsi="Verdana" w:cs="Arial"/>
          <w:sz w:val="18"/>
          <w:szCs w:val="18"/>
        </w:rPr>
        <w:t xml:space="preserve">het moment dat de betreffende verzekeraar in </w:t>
      </w:r>
      <w:r w:rsidRPr="0014415A">
        <w:rPr>
          <w:rFonts w:ascii="Verdana" w:hAnsi="Verdana" w:cs="Arial"/>
          <w:sz w:val="18"/>
          <w:szCs w:val="18"/>
        </w:rPr>
        <w:t xml:space="preserve">resolutie </w:t>
      </w:r>
      <w:r>
        <w:rPr>
          <w:rFonts w:ascii="Verdana" w:hAnsi="Verdana" w:cs="Arial"/>
          <w:sz w:val="18"/>
          <w:szCs w:val="18"/>
        </w:rPr>
        <w:t xml:space="preserve">gaat, </w:t>
      </w:r>
      <w:r w:rsidRPr="0014415A">
        <w:rPr>
          <w:rFonts w:ascii="Verdana" w:hAnsi="Verdana" w:cs="Arial"/>
          <w:sz w:val="18"/>
          <w:szCs w:val="18"/>
        </w:rPr>
        <w:t xml:space="preserve">hun afkooprecht hebben uitgeoefend, kunnen op </w:t>
      </w:r>
      <w:r>
        <w:rPr>
          <w:rFonts w:ascii="Verdana" w:hAnsi="Verdana" w:cs="Arial"/>
          <w:sz w:val="18"/>
          <w:szCs w:val="18"/>
        </w:rPr>
        <w:t>grond</w:t>
      </w:r>
      <w:r w:rsidRPr="0014415A">
        <w:rPr>
          <w:rFonts w:ascii="Verdana" w:hAnsi="Verdana" w:cs="Arial"/>
          <w:sz w:val="18"/>
          <w:szCs w:val="18"/>
        </w:rPr>
        <w:t xml:space="preserve"> van </w:t>
      </w:r>
      <w:r>
        <w:rPr>
          <w:rFonts w:ascii="Verdana" w:hAnsi="Verdana" w:cs="Arial"/>
          <w:sz w:val="18"/>
          <w:szCs w:val="18"/>
        </w:rPr>
        <w:t xml:space="preserve">het voorgestelde </w:t>
      </w:r>
      <w:r w:rsidRPr="0014415A">
        <w:rPr>
          <w:rFonts w:ascii="Verdana" w:hAnsi="Verdana" w:cs="Arial"/>
          <w:sz w:val="18"/>
          <w:szCs w:val="18"/>
        </w:rPr>
        <w:t>artikel 3</w:t>
      </w:r>
      <w:r w:rsidR="00683B99">
        <w:rPr>
          <w:rFonts w:ascii="Verdana" w:hAnsi="Verdana" w:cs="Arial"/>
          <w:sz w:val="18"/>
          <w:szCs w:val="18"/>
        </w:rPr>
        <w:t>A</w:t>
      </w:r>
      <w:r w:rsidRPr="0014415A">
        <w:rPr>
          <w:rFonts w:ascii="Verdana" w:hAnsi="Verdana" w:cs="Arial"/>
          <w:sz w:val="18"/>
          <w:szCs w:val="18"/>
        </w:rPr>
        <w:t>:122</w:t>
      </w:r>
      <w:r>
        <w:rPr>
          <w:rFonts w:ascii="Verdana" w:hAnsi="Verdana" w:cs="Arial"/>
          <w:sz w:val="18"/>
          <w:szCs w:val="18"/>
        </w:rPr>
        <w:t xml:space="preserve">a </w:t>
      </w:r>
      <w:proofErr w:type="spellStart"/>
      <w:r>
        <w:rPr>
          <w:rFonts w:ascii="Verdana" w:hAnsi="Verdana" w:cs="Arial"/>
          <w:sz w:val="18"/>
          <w:szCs w:val="18"/>
        </w:rPr>
        <w:t>Wft</w:t>
      </w:r>
      <w:proofErr w:type="spellEnd"/>
      <w:r w:rsidRPr="0014415A">
        <w:rPr>
          <w:rFonts w:ascii="Verdana" w:hAnsi="Verdana" w:cs="Arial"/>
          <w:sz w:val="18"/>
          <w:szCs w:val="18"/>
        </w:rPr>
        <w:t xml:space="preserve"> tijdelijk worden beperkt in hun mogelijkheid dit alsnog te doen tijdens resolutie. Uitoefening van de bevoegdheid </w:t>
      </w:r>
      <w:r>
        <w:rPr>
          <w:rFonts w:ascii="Verdana" w:hAnsi="Verdana" w:cs="Arial"/>
          <w:sz w:val="18"/>
          <w:szCs w:val="18"/>
        </w:rPr>
        <w:t xml:space="preserve">tot opschorting </w:t>
      </w:r>
      <w:r w:rsidRPr="0014415A">
        <w:rPr>
          <w:rFonts w:ascii="Verdana" w:hAnsi="Verdana" w:cs="Arial"/>
          <w:sz w:val="18"/>
          <w:szCs w:val="18"/>
        </w:rPr>
        <w:t>kan tot gevolg hebben dat polishouders tijdelijk niet bij de onder hun polis opgebouwde waarde kunnen.</w:t>
      </w:r>
      <w:r>
        <w:rPr>
          <w:rFonts w:ascii="Verdana" w:hAnsi="Verdana" w:cs="Arial"/>
          <w:sz w:val="18"/>
          <w:szCs w:val="18"/>
        </w:rPr>
        <w:t xml:space="preserve"> </w:t>
      </w:r>
      <w:r w:rsidRPr="0014415A">
        <w:rPr>
          <w:rFonts w:ascii="Verdana" w:hAnsi="Verdana" w:cs="Arial"/>
          <w:sz w:val="18"/>
          <w:szCs w:val="18"/>
        </w:rPr>
        <w:t xml:space="preserve">Het wetsvoorstel koppelt geen termijn aan de opschortingsmogelijkheid. De gedachte achter </w:t>
      </w:r>
      <w:r>
        <w:rPr>
          <w:rFonts w:ascii="Verdana" w:hAnsi="Verdana" w:cs="Arial"/>
          <w:sz w:val="18"/>
          <w:szCs w:val="18"/>
        </w:rPr>
        <w:t>de opschortingsmogelijkheid</w:t>
      </w:r>
      <w:r w:rsidRPr="0014415A">
        <w:rPr>
          <w:rFonts w:ascii="Verdana" w:hAnsi="Verdana" w:cs="Arial"/>
          <w:sz w:val="18"/>
          <w:szCs w:val="18"/>
        </w:rPr>
        <w:t xml:space="preserve"> is dat (i) de afwikkelingsautoriteit voldoende tijd </w:t>
      </w:r>
      <w:r>
        <w:rPr>
          <w:rFonts w:ascii="Verdana" w:hAnsi="Verdana" w:cs="Arial"/>
          <w:sz w:val="18"/>
          <w:szCs w:val="18"/>
        </w:rPr>
        <w:t xml:space="preserve">moet </w:t>
      </w:r>
      <w:r w:rsidRPr="0014415A">
        <w:rPr>
          <w:rFonts w:ascii="Verdana" w:hAnsi="Verdana" w:cs="Arial"/>
          <w:sz w:val="18"/>
          <w:szCs w:val="18"/>
        </w:rPr>
        <w:t>krijgen om de onderneming in afwikkeling te waarderen en te beoordelen welke afwikkelingsinstrumenten moeten worden toegepast</w:t>
      </w:r>
      <w:r>
        <w:rPr>
          <w:rFonts w:ascii="Verdana" w:hAnsi="Verdana" w:cs="Arial"/>
          <w:sz w:val="18"/>
          <w:szCs w:val="18"/>
        </w:rPr>
        <w:t>,</w:t>
      </w:r>
      <w:r w:rsidRPr="0014415A">
        <w:rPr>
          <w:rFonts w:ascii="Verdana" w:hAnsi="Verdana" w:cs="Arial"/>
          <w:sz w:val="18"/>
          <w:szCs w:val="18"/>
        </w:rPr>
        <w:t xml:space="preserve"> en (ii) </w:t>
      </w:r>
      <w:r>
        <w:rPr>
          <w:rFonts w:ascii="Verdana" w:hAnsi="Verdana" w:cs="Arial"/>
          <w:sz w:val="18"/>
          <w:szCs w:val="18"/>
        </w:rPr>
        <w:t xml:space="preserve">polishouders </w:t>
      </w:r>
      <w:r w:rsidRPr="0014415A">
        <w:rPr>
          <w:rFonts w:ascii="Verdana" w:hAnsi="Verdana" w:cs="Arial"/>
          <w:sz w:val="18"/>
          <w:szCs w:val="18"/>
        </w:rPr>
        <w:t xml:space="preserve">gelijk worden behandeld en zo mogelijke negatieve financiële gevolgen voor </w:t>
      </w:r>
      <w:r>
        <w:rPr>
          <w:rFonts w:ascii="Verdana" w:hAnsi="Verdana" w:cs="Arial"/>
          <w:sz w:val="18"/>
          <w:szCs w:val="18"/>
        </w:rPr>
        <w:t>polishouders</w:t>
      </w:r>
      <w:r w:rsidRPr="0014415A">
        <w:rPr>
          <w:rFonts w:ascii="Verdana" w:hAnsi="Verdana" w:cs="Arial"/>
          <w:sz w:val="18"/>
          <w:szCs w:val="18"/>
        </w:rPr>
        <w:t xml:space="preserve"> die hun verzekering niet als eersten lieten afkopen, worden voorkomen. </w:t>
      </w:r>
    </w:p>
    <w:p w:rsidR="008D1950" w:rsidP="00E4606A" w:rsidRDefault="008D1950" w14:paraId="162ECFA1" w14:textId="77777777">
      <w:pPr>
        <w:widowControl w:val="0"/>
        <w:tabs>
          <w:tab w:val="num" w:pos="720"/>
        </w:tabs>
        <w:spacing w:line="240" w:lineRule="atLeast"/>
        <w:rPr>
          <w:rFonts w:ascii="Verdana" w:hAnsi="Verdana" w:cs="Arial"/>
          <w:sz w:val="18"/>
          <w:szCs w:val="18"/>
        </w:rPr>
      </w:pPr>
    </w:p>
    <w:p w:rsidR="00683B99" w:rsidP="00E4606A" w:rsidRDefault="00ED12D1" w14:paraId="589E193A" w14:textId="77777777">
      <w:pPr>
        <w:widowControl w:val="0"/>
        <w:tabs>
          <w:tab w:val="num" w:pos="720"/>
        </w:tabs>
        <w:spacing w:line="240" w:lineRule="atLeast"/>
        <w:rPr>
          <w:rFonts w:ascii="Verdana" w:hAnsi="Verdana" w:cs="Arial"/>
          <w:sz w:val="18"/>
          <w:szCs w:val="18"/>
        </w:rPr>
      </w:pPr>
      <w:r>
        <w:rPr>
          <w:rFonts w:ascii="Verdana" w:hAnsi="Verdana" w:cs="Arial"/>
          <w:sz w:val="18"/>
          <w:szCs w:val="18"/>
        </w:rPr>
        <w:t>DNB dient bij het toepassen van afwikkelingsmaatregelen</w:t>
      </w:r>
      <w:r w:rsidR="0014415A">
        <w:rPr>
          <w:rFonts w:ascii="Verdana" w:hAnsi="Verdana" w:cs="Arial"/>
          <w:sz w:val="18"/>
          <w:szCs w:val="18"/>
        </w:rPr>
        <w:t xml:space="preserve">, waaronder de bovengenoemde bevoegdheid, </w:t>
      </w:r>
      <w:r w:rsidR="00135141">
        <w:rPr>
          <w:rFonts w:ascii="Verdana" w:hAnsi="Verdana" w:cs="Arial"/>
          <w:sz w:val="18"/>
          <w:szCs w:val="18"/>
        </w:rPr>
        <w:t>t</w:t>
      </w:r>
      <w:r>
        <w:rPr>
          <w:rFonts w:ascii="Verdana" w:hAnsi="Verdana" w:cs="Arial"/>
          <w:sz w:val="18"/>
          <w:szCs w:val="18"/>
        </w:rPr>
        <w:t xml:space="preserve">elkens de vergelijking te maken met een faillissementsscenario om het </w:t>
      </w:r>
      <w:r w:rsidR="004E0612">
        <w:rPr>
          <w:rFonts w:ascii="Verdana" w:hAnsi="Verdana" w:cs="Arial"/>
          <w:sz w:val="18"/>
          <w:szCs w:val="18"/>
        </w:rPr>
        <w:t>“</w:t>
      </w:r>
      <w:r>
        <w:rPr>
          <w:rFonts w:ascii="Verdana" w:hAnsi="Verdana" w:cs="Arial"/>
          <w:i/>
          <w:iCs/>
          <w:sz w:val="18"/>
          <w:szCs w:val="18"/>
        </w:rPr>
        <w:t xml:space="preserve">no </w:t>
      </w:r>
      <w:proofErr w:type="spellStart"/>
      <w:r>
        <w:rPr>
          <w:rFonts w:ascii="Verdana" w:hAnsi="Verdana" w:cs="Arial"/>
          <w:i/>
          <w:iCs/>
          <w:sz w:val="18"/>
          <w:szCs w:val="18"/>
        </w:rPr>
        <w:t>creditor</w:t>
      </w:r>
      <w:proofErr w:type="spellEnd"/>
      <w:r>
        <w:rPr>
          <w:rFonts w:ascii="Verdana" w:hAnsi="Verdana" w:cs="Arial"/>
          <w:i/>
          <w:iCs/>
          <w:sz w:val="18"/>
          <w:szCs w:val="18"/>
        </w:rPr>
        <w:t xml:space="preserve"> </w:t>
      </w:r>
      <w:proofErr w:type="spellStart"/>
      <w:r>
        <w:rPr>
          <w:rFonts w:ascii="Verdana" w:hAnsi="Verdana" w:cs="Arial"/>
          <w:i/>
          <w:iCs/>
          <w:sz w:val="18"/>
          <w:szCs w:val="18"/>
        </w:rPr>
        <w:t>worse</w:t>
      </w:r>
      <w:proofErr w:type="spellEnd"/>
      <w:r>
        <w:rPr>
          <w:rFonts w:ascii="Verdana" w:hAnsi="Verdana" w:cs="Arial"/>
          <w:i/>
          <w:iCs/>
          <w:sz w:val="18"/>
          <w:szCs w:val="18"/>
        </w:rPr>
        <w:t xml:space="preserve"> off</w:t>
      </w:r>
      <w:r w:rsidR="004E0612">
        <w:rPr>
          <w:rFonts w:ascii="Verdana" w:hAnsi="Verdana" w:cs="Arial"/>
          <w:sz w:val="18"/>
          <w:szCs w:val="18"/>
        </w:rPr>
        <w:t>”</w:t>
      </w:r>
      <w:r>
        <w:rPr>
          <w:rFonts w:ascii="Verdana" w:hAnsi="Verdana" w:cs="Arial"/>
          <w:sz w:val="18"/>
          <w:szCs w:val="18"/>
        </w:rPr>
        <w:t xml:space="preserve">-principe zoveel mogelijk te borgen. </w:t>
      </w:r>
      <w:proofErr w:type="gramStart"/>
      <w:r w:rsidR="00135141">
        <w:rPr>
          <w:rFonts w:ascii="Verdana" w:hAnsi="Verdana" w:cs="Arial"/>
          <w:sz w:val="18"/>
          <w:szCs w:val="18"/>
        </w:rPr>
        <w:t>Indien</w:t>
      </w:r>
      <w:proofErr w:type="gramEnd"/>
      <w:r w:rsidR="00135141">
        <w:rPr>
          <w:rFonts w:ascii="Verdana" w:hAnsi="Verdana" w:cs="Arial"/>
          <w:sz w:val="18"/>
          <w:szCs w:val="18"/>
        </w:rPr>
        <w:t xml:space="preserve"> verzekerden achteraf slechter af blijken te zijn doordat afwikkeling heeft plaatsgevonden, vergeleken met wat zij ontvangen zouden hebben in een hypothetisch faillissement, dan hebben zij recht op compensatie van het verschil (zie artikelen 3A:91 en 3A:138 </w:t>
      </w:r>
      <w:proofErr w:type="spellStart"/>
      <w:r w:rsidR="00135141">
        <w:rPr>
          <w:rFonts w:ascii="Verdana" w:hAnsi="Verdana" w:cs="Arial"/>
          <w:sz w:val="18"/>
          <w:szCs w:val="18"/>
        </w:rPr>
        <w:t>Wft</w:t>
      </w:r>
      <w:proofErr w:type="spellEnd"/>
      <w:r w:rsidR="00135141">
        <w:rPr>
          <w:rFonts w:ascii="Verdana" w:hAnsi="Verdana" w:cs="Arial"/>
          <w:sz w:val="18"/>
          <w:szCs w:val="18"/>
        </w:rPr>
        <w:t>, zoals aangepast met dit wetsvoorstel).</w:t>
      </w:r>
      <w:r w:rsidR="0014415A">
        <w:rPr>
          <w:rStyle w:val="Voetnootmarkering"/>
          <w:rFonts w:ascii="Verdana" w:hAnsi="Verdana" w:cs="Arial"/>
          <w:sz w:val="18"/>
          <w:szCs w:val="18"/>
        </w:rPr>
        <w:footnoteReference w:id="11"/>
      </w:r>
      <w:r w:rsidR="00135141">
        <w:rPr>
          <w:rFonts w:ascii="Verdana" w:hAnsi="Verdana" w:cs="Arial"/>
          <w:sz w:val="18"/>
          <w:szCs w:val="18"/>
        </w:rPr>
        <w:t xml:space="preserve">  </w:t>
      </w:r>
    </w:p>
    <w:p w:rsidR="00AA54EE" w:rsidP="00E4606A" w:rsidRDefault="00AA54EE" w14:paraId="69E6597C" w14:textId="77777777">
      <w:pPr>
        <w:widowControl w:val="0"/>
        <w:tabs>
          <w:tab w:val="num" w:pos="720"/>
        </w:tabs>
        <w:spacing w:line="240" w:lineRule="atLeast"/>
        <w:rPr>
          <w:rFonts w:ascii="Verdana" w:hAnsi="Verdana" w:cs="Arial"/>
          <w:sz w:val="18"/>
          <w:szCs w:val="18"/>
        </w:rPr>
      </w:pPr>
    </w:p>
    <w:p w:rsidRPr="00ED12D1" w:rsidR="00ED12D1" w:rsidP="00E4606A" w:rsidRDefault="00683B99" w14:paraId="0A7F03BE" w14:textId="2039F12F">
      <w:pPr>
        <w:widowControl w:val="0"/>
        <w:tabs>
          <w:tab w:val="num" w:pos="720"/>
        </w:tabs>
        <w:spacing w:line="240" w:lineRule="atLeast"/>
        <w:rPr>
          <w:rFonts w:ascii="Verdana" w:hAnsi="Verdana" w:cs="Arial"/>
          <w:sz w:val="18"/>
          <w:szCs w:val="18"/>
        </w:rPr>
      </w:pPr>
      <w:r>
        <w:rPr>
          <w:rFonts w:ascii="Verdana" w:hAnsi="Verdana" w:cs="Arial"/>
          <w:sz w:val="18"/>
          <w:szCs w:val="18"/>
        </w:rPr>
        <w:t xml:space="preserve">Het afwikkelingsraamwerk, ten opzichte van het faillissementsraamwerk, is er in algemene zin juist op gericht om het risico te beperken dat polishouders geen toegang hebben tot de door hen opgebouwde polissen. </w:t>
      </w:r>
    </w:p>
    <w:p w:rsidR="00DB522E" w:rsidP="00E4606A" w:rsidRDefault="00135141" w14:paraId="3B079F8A" w14:textId="33512500">
      <w:pPr>
        <w:widowControl w:val="0"/>
        <w:tabs>
          <w:tab w:val="num" w:pos="720"/>
        </w:tabs>
        <w:spacing w:line="240" w:lineRule="atLeast"/>
        <w:rPr>
          <w:rFonts w:ascii="Verdana" w:hAnsi="Verdana" w:cs="Arial"/>
          <w:sz w:val="18"/>
          <w:szCs w:val="18"/>
        </w:rPr>
      </w:pPr>
      <w:r>
        <w:rPr>
          <w:rFonts w:ascii="Verdana" w:hAnsi="Verdana" w:cs="Arial"/>
          <w:sz w:val="18"/>
          <w:szCs w:val="18"/>
        </w:rPr>
        <w:t xml:space="preserve"> </w:t>
      </w:r>
    </w:p>
    <w:p w:rsidRPr="007021E8" w:rsidR="00DB522E" w:rsidP="00E4606A" w:rsidRDefault="00DB522E" w14:paraId="2E805790" w14:textId="77777777">
      <w:pPr>
        <w:widowControl w:val="0"/>
        <w:tabs>
          <w:tab w:val="num" w:pos="720"/>
        </w:tabs>
        <w:spacing w:line="240" w:lineRule="atLeast"/>
        <w:rPr>
          <w:rFonts w:ascii="Verdana" w:hAnsi="Verdana" w:cs="Arial"/>
          <w:sz w:val="18"/>
          <w:szCs w:val="18"/>
        </w:rPr>
      </w:pPr>
    </w:p>
    <w:p w:rsidR="00A30F6E" w:rsidP="00E4606A" w:rsidRDefault="00EE0056" w14:paraId="0CABEE68" w14:textId="77777777">
      <w:pPr>
        <w:widowControl w:val="0"/>
        <w:tabs>
          <w:tab w:val="num" w:pos="720"/>
        </w:tabs>
        <w:spacing w:line="240" w:lineRule="atLeast"/>
        <w:rPr>
          <w:rFonts w:ascii="Verdana" w:hAnsi="Verdana" w:cs="Arial"/>
          <w:sz w:val="18"/>
          <w:szCs w:val="18"/>
        </w:rPr>
      </w:pPr>
      <w:r w:rsidRPr="007021E8">
        <w:rPr>
          <w:rFonts w:ascii="Verdana" w:hAnsi="Verdana" w:cs="Arial"/>
          <w:sz w:val="18"/>
          <w:szCs w:val="18"/>
        </w:rPr>
        <w:t>De Minister van Financiën,</w:t>
      </w:r>
    </w:p>
    <w:p w:rsidR="00DA4547" w:rsidP="00E4606A" w:rsidRDefault="00DA4547" w14:paraId="004FD123" w14:textId="77777777">
      <w:pPr>
        <w:widowControl w:val="0"/>
        <w:tabs>
          <w:tab w:val="num" w:pos="720"/>
        </w:tabs>
        <w:spacing w:line="240" w:lineRule="atLeast"/>
        <w:rPr>
          <w:rFonts w:ascii="Verdana" w:hAnsi="Verdana" w:cs="Arial"/>
          <w:sz w:val="18"/>
          <w:szCs w:val="18"/>
        </w:rPr>
      </w:pPr>
    </w:p>
    <w:p w:rsidR="00DA4547" w:rsidP="00E4606A" w:rsidRDefault="00DA4547" w14:paraId="3734F8B0" w14:textId="77777777">
      <w:pPr>
        <w:widowControl w:val="0"/>
        <w:tabs>
          <w:tab w:val="num" w:pos="720"/>
        </w:tabs>
        <w:spacing w:line="240" w:lineRule="atLeast"/>
        <w:rPr>
          <w:rFonts w:ascii="Verdana" w:hAnsi="Verdana" w:cs="Arial"/>
          <w:sz w:val="18"/>
          <w:szCs w:val="18"/>
        </w:rPr>
      </w:pPr>
    </w:p>
    <w:p w:rsidR="00DA4547" w:rsidP="00E4606A" w:rsidRDefault="00DA4547" w14:paraId="4623FDCD" w14:textId="77777777">
      <w:pPr>
        <w:widowControl w:val="0"/>
        <w:tabs>
          <w:tab w:val="num" w:pos="720"/>
        </w:tabs>
        <w:spacing w:line="240" w:lineRule="atLeast"/>
        <w:rPr>
          <w:rFonts w:ascii="Verdana" w:hAnsi="Verdana" w:cs="Arial"/>
          <w:sz w:val="18"/>
          <w:szCs w:val="18"/>
        </w:rPr>
      </w:pPr>
    </w:p>
    <w:p w:rsidR="00DA4547" w:rsidP="00E4606A" w:rsidRDefault="00DA4547" w14:paraId="58D73B68" w14:textId="77777777">
      <w:pPr>
        <w:widowControl w:val="0"/>
        <w:tabs>
          <w:tab w:val="num" w:pos="720"/>
        </w:tabs>
        <w:spacing w:line="240" w:lineRule="atLeast"/>
        <w:rPr>
          <w:rFonts w:ascii="Verdana" w:hAnsi="Verdana" w:cs="Arial"/>
          <w:sz w:val="18"/>
          <w:szCs w:val="18"/>
        </w:rPr>
      </w:pPr>
    </w:p>
    <w:p w:rsidR="00DA4547" w:rsidP="00E4606A" w:rsidRDefault="00DA4547" w14:paraId="59CFC7D0" w14:textId="77777777">
      <w:pPr>
        <w:widowControl w:val="0"/>
        <w:tabs>
          <w:tab w:val="num" w:pos="720"/>
        </w:tabs>
        <w:spacing w:line="240" w:lineRule="atLeast"/>
        <w:rPr>
          <w:rFonts w:ascii="Verdana" w:hAnsi="Verdana" w:cs="Arial"/>
          <w:sz w:val="18"/>
          <w:szCs w:val="18"/>
        </w:rPr>
      </w:pPr>
    </w:p>
    <w:p w:rsidR="00DA4547" w:rsidP="00E4606A" w:rsidRDefault="00DA4547" w14:paraId="65C99262" w14:textId="77777777">
      <w:pPr>
        <w:widowControl w:val="0"/>
        <w:tabs>
          <w:tab w:val="num" w:pos="720"/>
        </w:tabs>
        <w:spacing w:line="240" w:lineRule="atLeast"/>
        <w:rPr>
          <w:rFonts w:ascii="Verdana" w:hAnsi="Verdana" w:cs="Arial"/>
          <w:sz w:val="18"/>
          <w:szCs w:val="18"/>
        </w:rPr>
      </w:pPr>
    </w:p>
    <w:p w:rsidR="00DA4547" w:rsidP="00E4606A" w:rsidRDefault="00DA4547" w14:paraId="34DE2396" w14:textId="77777777">
      <w:pPr>
        <w:widowControl w:val="0"/>
        <w:tabs>
          <w:tab w:val="num" w:pos="720"/>
        </w:tabs>
        <w:spacing w:line="240" w:lineRule="atLeast"/>
        <w:rPr>
          <w:rFonts w:ascii="Verdana" w:hAnsi="Verdana" w:cs="Arial"/>
          <w:sz w:val="18"/>
          <w:szCs w:val="18"/>
        </w:rPr>
      </w:pPr>
    </w:p>
    <w:p w:rsidRPr="007021E8" w:rsidR="00DA4547" w:rsidP="00E4606A" w:rsidRDefault="00DA4547" w14:paraId="521276CC" w14:textId="6D24505D">
      <w:pPr>
        <w:widowControl w:val="0"/>
        <w:tabs>
          <w:tab w:val="num" w:pos="720"/>
        </w:tabs>
        <w:spacing w:line="240" w:lineRule="atLeast"/>
        <w:rPr>
          <w:rFonts w:ascii="Verdana" w:hAnsi="Verdana" w:cs="Arial"/>
          <w:sz w:val="18"/>
          <w:szCs w:val="18"/>
        </w:rPr>
      </w:pPr>
      <w:r>
        <w:rPr>
          <w:rFonts w:ascii="Verdana" w:hAnsi="Verdana" w:cs="Arial"/>
          <w:sz w:val="18"/>
          <w:szCs w:val="18"/>
        </w:rPr>
        <w:t>E. Heinen</w:t>
      </w:r>
    </w:p>
    <w:sectPr w:rsidRPr="007021E8" w:rsidR="00DA4547" w:rsidSect="00EE0056">
      <w:footerReference w:type="default" r:id="rId7"/>
      <w:pgSz w:w="11906" w:h="16838"/>
      <w:pgMar w:top="1418" w:right="1418" w:bottom="1418" w:left="323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6BB3E" w14:textId="77777777" w:rsidR="0073046F" w:rsidRDefault="0073046F" w:rsidP="00CA7D6D">
      <w:r>
        <w:separator/>
      </w:r>
    </w:p>
  </w:endnote>
  <w:endnote w:type="continuationSeparator" w:id="0">
    <w:p w14:paraId="04E8121B" w14:textId="77777777" w:rsidR="0073046F" w:rsidRDefault="0073046F" w:rsidP="00CA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408E" w14:textId="77777777" w:rsidR="00EA444F" w:rsidRPr="00DB6230" w:rsidRDefault="009A45D2">
    <w:pPr>
      <w:pStyle w:val="Voettekst"/>
      <w:jc w:val="center"/>
      <w:rPr>
        <w:rFonts w:ascii="Verdana" w:hAnsi="Verdana"/>
        <w:sz w:val="18"/>
      </w:rPr>
    </w:pPr>
    <w:r w:rsidRPr="00DB6230">
      <w:rPr>
        <w:rFonts w:ascii="Verdana" w:hAnsi="Verdana"/>
        <w:sz w:val="18"/>
      </w:rPr>
      <w:fldChar w:fldCharType="begin"/>
    </w:r>
    <w:r w:rsidR="00EA444F" w:rsidRPr="00DB6230">
      <w:rPr>
        <w:rFonts w:ascii="Verdana" w:hAnsi="Verdana"/>
        <w:sz w:val="18"/>
      </w:rPr>
      <w:instrText xml:space="preserve"> PAGE   \* MERGEFORMAT </w:instrText>
    </w:r>
    <w:r w:rsidRPr="00DB6230">
      <w:rPr>
        <w:rFonts w:ascii="Verdana" w:hAnsi="Verdana"/>
        <w:sz w:val="18"/>
      </w:rPr>
      <w:fldChar w:fldCharType="separate"/>
    </w:r>
    <w:r w:rsidR="00E4606A">
      <w:rPr>
        <w:rFonts w:ascii="Verdana" w:hAnsi="Verdana"/>
        <w:noProof/>
        <w:sz w:val="18"/>
      </w:rPr>
      <w:t>1</w:t>
    </w:r>
    <w:r w:rsidRPr="00DB6230">
      <w:rPr>
        <w:rFonts w:ascii="Verdana" w:hAnsi="Verdana"/>
        <w:sz w:val="18"/>
      </w:rPr>
      <w:fldChar w:fldCharType="end"/>
    </w:r>
  </w:p>
  <w:p w14:paraId="0F907343" w14:textId="77777777" w:rsidR="00EA444F" w:rsidRDefault="00EA44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A5E61" w14:textId="77777777" w:rsidR="0073046F" w:rsidRDefault="0073046F" w:rsidP="00CA7D6D">
      <w:r>
        <w:separator/>
      </w:r>
    </w:p>
  </w:footnote>
  <w:footnote w:type="continuationSeparator" w:id="0">
    <w:p w14:paraId="0EC14A4D" w14:textId="77777777" w:rsidR="0073046F" w:rsidRDefault="0073046F" w:rsidP="00CA7D6D">
      <w:r>
        <w:continuationSeparator/>
      </w:r>
    </w:p>
  </w:footnote>
  <w:footnote w:id="1">
    <w:p w14:paraId="045B1074" w14:textId="67225F3F" w:rsidR="00213592" w:rsidRPr="00D67827" w:rsidRDefault="00213592">
      <w:pPr>
        <w:pStyle w:val="Voetnoottekst"/>
        <w:rPr>
          <w:rFonts w:ascii="Verdana" w:hAnsi="Verdana"/>
          <w:sz w:val="15"/>
          <w:szCs w:val="15"/>
        </w:rPr>
      </w:pPr>
      <w:r w:rsidRPr="00213592">
        <w:rPr>
          <w:rStyle w:val="Voetnootmarkering"/>
          <w:rFonts w:ascii="Verdana" w:hAnsi="Verdana"/>
          <w:sz w:val="16"/>
          <w:szCs w:val="16"/>
        </w:rPr>
        <w:footnoteRef/>
      </w:r>
      <w:r w:rsidRPr="00213592">
        <w:rPr>
          <w:rFonts w:ascii="Verdana" w:hAnsi="Verdana"/>
          <w:sz w:val="16"/>
          <w:szCs w:val="16"/>
        </w:rPr>
        <w:t xml:space="preserve"> </w:t>
      </w:r>
      <w:r w:rsidR="00A4583C" w:rsidRPr="00D67827">
        <w:rPr>
          <w:rFonts w:ascii="Verdana" w:hAnsi="Verdana"/>
          <w:sz w:val="15"/>
          <w:szCs w:val="15"/>
        </w:rPr>
        <w:t>h</w:t>
      </w:r>
      <w:r w:rsidRPr="00D67827">
        <w:rPr>
          <w:rFonts w:ascii="Verdana" w:hAnsi="Verdana"/>
          <w:sz w:val="15"/>
          <w:szCs w:val="15"/>
        </w:rPr>
        <w:t>ttps://wetgevingskalender.overheid.nl/regeling/WGK027580/documenten/Tweede%20Kamer/Voorbereidende%20documenten%20gepubliceerd/1</w:t>
      </w:r>
    </w:p>
  </w:footnote>
  <w:footnote w:id="2">
    <w:p w14:paraId="5382F7D4" w14:textId="07DD93DD" w:rsidR="002E7698" w:rsidRPr="00D67827" w:rsidRDefault="002E7698">
      <w:pPr>
        <w:pStyle w:val="Voetnoottekst"/>
        <w:rPr>
          <w:rFonts w:ascii="Verdana" w:hAnsi="Verdana"/>
          <w:sz w:val="15"/>
          <w:szCs w:val="15"/>
        </w:rPr>
      </w:pPr>
      <w:r w:rsidRPr="00D67827">
        <w:rPr>
          <w:rStyle w:val="Voetnootmarkering"/>
          <w:rFonts w:ascii="Verdana" w:hAnsi="Verdana"/>
          <w:sz w:val="15"/>
          <w:szCs w:val="15"/>
        </w:rPr>
        <w:footnoteRef/>
      </w:r>
      <w:r w:rsidRPr="00D67827">
        <w:rPr>
          <w:rFonts w:ascii="Verdana" w:hAnsi="Verdana"/>
          <w:sz w:val="15"/>
          <w:szCs w:val="15"/>
        </w:rPr>
        <w:t xml:space="preserve"> Van een zogenaamde ‘nationale kop’ is geen sprake in geval van een lidstaatoptie, omdat nationale wet- en regelgeving binnen de ruimte blijft die de Europese richtlijn biedt.</w:t>
      </w:r>
    </w:p>
  </w:footnote>
  <w:footnote w:id="3">
    <w:p w14:paraId="46EC54AA" w14:textId="3D175916" w:rsidR="002969FB" w:rsidRPr="002969FB" w:rsidRDefault="002969FB">
      <w:pPr>
        <w:pStyle w:val="Voetnoottekst"/>
        <w:rPr>
          <w:rFonts w:ascii="Verdana" w:hAnsi="Verdana"/>
          <w:sz w:val="15"/>
          <w:szCs w:val="15"/>
        </w:rPr>
      </w:pPr>
      <w:r w:rsidRPr="00D67827">
        <w:rPr>
          <w:rStyle w:val="Voetnootmarkering"/>
          <w:rFonts w:ascii="Verdana" w:hAnsi="Verdana"/>
          <w:sz w:val="15"/>
          <w:szCs w:val="15"/>
        </w:rPr>
        <w:footnoteRef/>
      </w:r>
      <w:r w:rsidRPr="00D67827">
        <w:rPr>
          <w:rFonts w:ascii="Verdana" w:hAnsi="Verdana"/>
          <w:sz w:val="15"/>
          <w:szCs w:val="15"/>
        </w:rPr>
        <w:t xml:space="preserve"> Zie Richtlijn (EU) nr. 2025/2.</w:t>
      </w:r>
    </w:p>
  </w:footnote>
  <w:footnote w:id="4">
    <w:p w14:paraId="022AF972" w14:textId="20286EF8" w:rsidR="00A51774" w:rsidRPr="002D5D1A" w:rsidRDefault="00A51774">
      <w:pPr>
        <w:pStyle w:val="Voetnoottekst"/>
        <w:rPr>
          <w:rFonts w:ascii="Verdana" w:hAnsi="Verdana"/>
        </w:rPr>
      </w:pPr>
      <w:r w:rsidRPr="002D5D1A">
        <w:rPr>
          <w:rStyle w:val="Voetnootmarkering"/>
          <w:rFonts w:ascii="Verdana" w:hAnsi="Verdana"/>
          <w:sz w:val="16"/>
          <w:szCs w:val="16"/>
        </w:rPr>
        <w:footnoteRef/>
      </w:r>
      <w:r w:rsidRPr="002D5D1A">
        <w:rPr>
          <w:rFonts w:ascii="Verdana" w:hAnsi="Verdana"/>
          <w:sz w:val="16"/>
          <w:szCs w:val="16"/>
        </w:rPr>
        <w:t xml:space="preserve"> Een Uniebijkantoor is een bijkantoor </w:t>
      </w:r>
      <w:r w:rsidR="00B05933">
        <w:rPr>
          <w:rFonts w:ascii="Verdana" w:hAnsi="Verdana"/>
          <w:sz w:val="16"/>
          <w:szCs w:val="16"/>
        </w:rPr>
        <w:t xml:space="preserve">dat </w:t>
      </w:r>
      <w:r w:rsidR="00F367A4">
        <w:rPr>
          <w:rFonts w:ascii="Verdana" w:hAnsi="Verdana"/>
          <w:sz w:val="16"/>
          <w:szCs w:val="16"/>
        </w:rPr>
        <w:t xml:space="preserve">gevestigd is in een lidstaat </w:t>
      </w:r>
      <w:r w:rsidRPr="002D5D1A">
        <w:rPr>
          <w:rFonts w:ascii="Verdana" w:hAnsi="Verdana"/>
          <w:sz w:val="16"/>
          <w:szCs w:val="16"/>
        </w:rPr>
        <w:t>van een verzekeraar uit een</w:t>
      </w:r>
      <w:r w:rsidR="00F367A4">
        <w:rPr>
          <w:rFonts w:ascii="Verdana" w:hAnsi="Verdana"/>
          <w:sz w:val="16"/>
          <w:szCs w:val="16"/>
        </w:rPr>
        <w:t xml:space="preserve"> land </w:t>
      </w:r>
      <w:r w:rsidR="00B05933">
        <w:rPr>
          <w:rFonts w:ascii="Verdana" w:hAnsi="Verdana"/>
          <w:sz w:val="16"/>
          <w:szCs w:val="16"/>
        </w:rPr>
        <w:t xml:space="preserve">dat </w:t>
      </w:r>
      <w:r w:rsidR="00F367A4">
        <w:rPr>
          <w:rFonts w:ascii="Verdana" w:hAnsi="Verdana"/>
          <w:sz w:val="16"/>
          <w:szCs w:val="16"/>
        </w:rPr>
        <w:t>geen</w:t>
      </w:r>
      <w:r w:rsidRPr="002D5D1A">
        <w:rPr>
          <w:rFonts w:ascii="Verdana" w:hAnsi="Verdana"/>
          <w:sz w:val="16"/>
          <w:szCs w:val="16"/>
        </w:rPr>
        <w:t xml:space="preserve"> Europese lidstaat</w:t>
      </w:r>
      <w:r w:rsidR="00F367A4">
        <w:rPr>
          <w:rFonts w:ascii="Verdana" w:hAnsi="Verdana"/>
          <w:sz w:val="16"/>
          <w:szCs w:val="16"/>
        </w:rPr>
        <w:t xml:space="preserve"> is</w:t>
      </w:r>
      <w:r w:rsidRPr="002D5D1A">
        <w:rPr>
          <w:rFonts w:ascii="Verdana" w:hAnsi="Verdana"/>
          <w:sz w:val="16"/>
          <w:szCs w:val="16"/>
        </w:rPr>
        <w:t>.</w:t>
      </w:r>
    </w:p>
  </w:footnote>
  <w:footnote w:id="5">
    <w:p w14:paraId="5AD4AC4B" w14:textId="422C0B73" w:rsidR="00F168A8" w:rsidRPr="00F168A8" w:rsidRDefault="00F168A8">
      <w:pPr>
        <w:pStyle w:val="Voetnoottekst"/>
        <w:rPr>
          <w:rFonts w:ascii="Verdana" w:hAnsi="Verdana"/>
          <w:sz w:val="15"/>
          <w:szCs w:val="15"/>
        </w:rPr>
      </w:pPr>
      <w:r w:rsidRPr="00F168A8">
        <w:rPr>
          <w:rStyle w:val="Voetnootmarkering"/>
          <w:rFonts w:ascii="Verdana" w:hAnsi="Verdana"/>
          <w:sz w:val="15"/>
          <w:szCs w:val="15"/>
        </w:rPr>
        <w:footnoteRef/>
      </w:r>
      <w:r w:rsidRPr="00F168A8">
        <w:rPr>
          <w:rFonts w:ascii="Verdana" w:hAnsi="Verdana"/>
          <w:sz w:val="15"/>
          <w:szCs w:val="15"/>
        </w:rPr>
        <w:t xml:space="preserve"> Zie voor details ook de Verordening (EU) nr. 1094/2010 inzake de oprichting van EIOPA.</w:t>
      </w:r>
    </w:p>
  </w:footnote>
  <w:footnote w:id="6">
    <w:p w14:paraId="537EB04F" w14:textId="306D6910" w:rsidR="008411E4" w:rsidRPr="00A129CC" w:rsidRDefault="008411E4">
      <w:pPr>
        <w:pStyle w:val="Voetnoottekst"/>
        <w:rPr>
          <w:rFonts w:ascii="Verdana" w:hAnsi="Verdana"/>
          <w:sz w:val="15"/>
          <w:szCs w:val="15"/>
        </w:rPr>
      </w:pPr>
      <w:r w:rsidRPr="00A129CC">
        <w:rPr>
          <w:rStyle w:val="Voetnootmarkering"/>
          <w:rFonts w:ascii="Verdana" w:hAnsi="Verdana"/>
          <w:sz w:val="15"/>
          <w:szCs w:val="15"/>
        </w:rPr>
        <w:footnoteRef/>
      </w:r>
      <w:r w:rsidRPr="00A129CC">
        <w:rPr>
          <w:rFonts w:ascii="Verdana" w:hAnsi="Verdana"/>
          <w:sz w:val="15"/>
          <w:szCs w:val="15"/>
        </w:rPr>
        <w:t xml:space="preserve"> </w:t>
      </w:r>
      <w:r w:rsidR="00A129CC" w:rsidRPr="00A129CC">
        <w:rPr>
          <w:rFonts w:ascii="Verdana" w:hAnsi="Verdana"/>
          <w:sz w:val="15"/>
          <w:szCs w:val="15"/>
        </w:rPr>
        <w:t>Zie met name p. 33.</w:t>
      </w:r>
    </w:p>
  </w:footnote>
  <w:footnote w:id="7">
    <w:p w14:paraId="437BA4E8" w14:textId="2E9133B0" w:rsidR="008946E8" w:rsidRPr="00BD7054" w:rsidRDefault="008946E8">
      <w:pPr>
        <w:pStyle w:val="Voetnoottekst"/>
        <w:rPr>
          <w:rFonts w:ascii="Verdana" w:hAnsi="Verdana"/>
          <w:sz w:val="15"/>
          <w:szCs w:val="15"/>
        </w:rPr>
      </w:pPr>
      <w:r w:rsidRPr="008946E8">
        <w:rPr>
          <w:rStyle w:val="Voetnootmarkering"/>
          <w:rFonts w:ascii="Verdana" w:hAnsi="Verdana"/>
          <w:sz w:val="15"/>
          <w:szCs w:val="15"/>
        </w:rPr>
        <w:footnoteRef/>
      </w:r>
      <w:r w:rsidRPr="00BD7054">
        <w:rPr>
          <w:rFonts w:ascii="Verdana" w:hAnsi="Verdana"/>
          <w:sz w:val="15"/>
          <w:szCs w:val="15"/>
        </w:rPr>
        <w:t xml:space="preserve"> Zie par. 3.1 va</w:t>
      </w:r>
      <w:r>
        <w:rPr>
          <w:rFonts w:ascii="Verdana" w:hAnsi="Verdana"/>
          <w:sz w:val="15"/>
          <w:szCs w:val="15"/>
        </w:rPr>
        <w:t>n de</w:t>
      </w:r>
      <w:r w:rsidRPr="00BD7054">
        <w:rPr>
          <w:rFonts w:ascii="Verdana" w:hAnsi="Verdana"/>
          <w:sz w:val="15"/>
          <w:szCs w:val="15"/>
        </w:rPr>
        <w:t xml:space="preserve"> </w:t>
      </w:r>
      <w:r w:rsidRPr="00BD7054">
        <w:rPr>
          <w:rFonts w:ascii="Verdana" w:hAnsi="Verdana"/>
          <w:i/>
          <w:iCs/>
          <w:sz w:val="15"/>
          <w:szCs w:val="15"/>
        </w:rPr>
        <w:t xml:space="preserve">EIOPA Strategy towards 2030 </w:t>
      </w:r>
      <w:r w:rsidRPr="00BD7054">
        <w:rPr>
          <w:rFonts w:ascii="Verdana" w:hAnsi="Verdana"/>
          <w:sz w:val="15"/>
          <w:szCs w:val="15"/>
        </w:rPr>
        <w:t>(https://www.eiopa.europa.eu/document/download/1891eeae-42f8-4720-823d-4f6fd4eaad6c_en?filename=EIOPA-Strategy-Towards-2030.pdf).</w:t>
      </w:r>
    </w:p>
  </w:footnote>
  <w:footnote w:id="8">
    <w:p w14:paraId="43064395" w14:textId="77777777" w:rsidR="005D3AC0" w:rsidRPr="00BD7054" w:rsidRDefault="005D3AC0" w:rsidP="005D3AC0">
      <w:pPr>
        <w:pStyle w:val="Voetnoottekst"/>
        <w:rPr>
          <w:rFonts w:ascii="Verdana" w:hAnsi="Verdana"/>
        </w:rPr>
      </w:pPr>
      <w:r w:rsidRPr="00213592">
        <w:rPr>
          <w:rStyle w:val="Voetnootmarkering"/>
          <w:rFonts w:ascii="Verdana" w:hAnsi="Verdana"/>
          <w:sz w:val="16"/>
          <w:szCs w:val="16"/>
        </w:rPr>
        <w:footnoteRef/>
      </w:r>
      <w:r w:rsidRPr="00BD7054">
        <w:rPr>
          <w:rFonts w:ascii="Verdana" w:hAnsi="Verdana"/>
          <w:sz w:val="16"/>
          <w:szCs w:val="16"/>
        </w:rPr>
        <w:t xml:space="preserve"> h</w:t>
      </w:r>
      <w:r w:rsidRPr="00BD7054">
        <w:rPr>
          <w:rFonts w:ascii="Verdana" w:hAnsi="Verdana"/>
          <w:sz w:val="15"/>
          <w:szCs w:val="15"/>
        </w:rPr>
        <w:t>ttps://wetgevingskalender.overheid.nl/regeling/WGK027580/documenten/Tweede%20Kamer/Voorbereidende%20documenten%20gepubliceerd/1</w:t>
      </w:r>
    </w:p>
  </w:footnote>
  <w:footnote w:id="9">
    <w:p w14:paraId="19D2BDD1" w14:textId="7A06613A" w:rsidR="00AC1611" w:rsidRPr="00AC1611" w:rsidRDefault="00AC1611">
      <w:pPr>
        <w:pStyle w:val="Voetnoottekst"/>
        <w:rPr>
          <w:rFonts w:ascii="Verdana" w:hAnsi="Verdana"/>
          <w:sz w:val="15"/>
          <w:szCs w:val="15"/>
        </w:rPr>
      </w:pPr>
      <w:r w:rsidRPr="00AC1611">
        <w:rPr>
          <w:rStyle w:val="Voetnootmarkering"/>
          <w:rFonts w:ascii="Verdana" w:hAnsi="Verdana"/>
          <w:sz w:val="15"/>
          <w:szCs w:val="15"/>
        </w:rPr>
        <w:footnoteRef/>
      </w:r>
      <w:r w:rsidRPr="00AC1611">
        <w:rPr>
          <w:rFonts w:ascii="Verdana" w:hAnsi="Verdana"/>
          <w:sz w:val="15"/>
          <w:szCs w:val="15"/>
        </w:rPr>
        <w:t xml:space="preserve"> Zie onder andere p. 11 e.v. en p. 34.</w:t>
      </w:r>
    </w:p>
  </w:footnote>
  <w:footnote w:id="10">
    <w:p w14:paraId="3ADF3ABA" w14:textId="021A0626" w:rsidR="00FF2ED7" w:rsidRPr="00FF2ED7" w:rsidRDefault="00FF2ED7">
      <w:pPr>
        <w:pStyle w:val="Voetnoottekst"/>
        <w:rPr>
          <w:rFonts w:ascii="Verdana" w:hAnsi="Verdana"/>
          <w:sz w:val="15"/>
          <w:szCs w:val="15"/>
        </w:rPr>
      </w:pPr>
      <w:r w:rsidRPr="00FF2ED7">
        <w:rPr>
          <w:rStyle w:val="Voetnootmarkering"/>
          <w:rFonts w:ascii="Verdana" w:hAnsi="Verdana"/>
          <w:sz w:val="15"/>
          <w:szCs w:val="15"/>
        </w:rPr>
        <w:footnoteRef/>
      </w:r>
      <w:r w:rsidRPr="00FF2ED7">
        <w:rPr>
          <w:rFonts w:ascii="Verdana" w:hAnsi="Verdana"/>
          <w:sz w:val="15"/>
          <w:szCs w:val="15"/>
        </w:rPr>
        <w:t xml:space="preserve"> Zie ook overweging 72 van de preambule van de richtlijn</w:t>
      </w:r>
      <w:r w:rsidR="004E0612">
        <w:rPr>
          <w:rFonts w:ascii="Verdana" w:hAnsi="Verdana"/>
          <w:sz w:val="15"/>
          <w:szCs w:val="15"/>
        </w:rPr>
        <w:t xml:space="preserve"> en de artikelsgewijze toelichting bij artikel 3A:79a in de memorie van toelichting (p. 34)</w:t>
      </w:r>
      <w:r w:rsidRPr="00FF2ED7">
        <w:rPr>
          <w:rFonts w:ascii="Verdana" w:hAnsi="Verdana"/>
          <w:sz w:val="15"/>
          <w:szCs w:val="15"/>
        </w:rPr>
        <w:t>.</w:t>
      </w:r>
    </w:p>
  </w:footnote>
  <w:footnote w:id="11">
    <w:p w14:paraId="7306F16E" w14:textId="67EDF6F0" w:rsidR="0014415A" w:rsidRPr="0014415A" w:rsidRDefault="0014415A">
      <w:pPr>
        <w:pStyle w:val="Voetnoottekst"/>
        <w:rPr>
          <w:rFonts w:ascii="Verdana" w:hAnsi="Verdana"/>
          <w:sz w:val="15"/>
          <w:szCs w:val="15"/>
        </w:rPr>
      </w:pPr>
      <w:r w:rsidRPr="0014415A">
        <w:rPr>
          <w:rStyle w:val="Voetnootmarkering"/>
          <w:rFonts w:ascii="Verdana" w:hAnsi="Verdana"/>
          <w:sz w:val="15"/>
          <w:szCs w:val="15"/>
        </w:rPr>
        <w:footnoteRef/>
      </w:r>
      <w:r w:rsidRPr="0014415A">
        <w:rPr>
          <w:rFonts w:ascii="Verdana" w:hAnsi="Verdana"/>
          <w:sz w:val="15"/>
          <w:szCs w:val="15"/>
        </w:rPr>
        <w:t xml:space="preserve"> Van een schending van het “</w:t>
      </w:r>
      <w:r w:rsidRPr="0014415A">
        <w:rPr>
          <w:rFonts w:ascii="Verdana" w:hAnsi="Verdana"/>
          <w:i/>
          <w:iCs/>
          <w:sz w:val="15"/>
          <w:szCs w:val="15"/>
        </w:rPr>
        <w:t>no creditor worse off</w:t>
      </w:r>
      <w:r w:rsidRPr="0014415A">
        <w:rPr>
          <w:rFonts w:ascii="Verdana" w:hAnsi="Verdana"/>
          <w:sz w:val="15"/>
          <w:szCs w:val="15"/>
        </w:rPr>
        <w:t>”-principe zal bij de tijdelijke opschorting van afkooprechten in resolutie overigens niet snel sprake zijn. Uitgangspunt in faillissement is immers dat polishouders die pas na datum faillietverklaring hun afkooprecht uitoefenen, niet in aanmerking komen voor tussentijdse uitkering en dus in beginsel pas na langere tijd de afkoopsom (gedeeltelijk) uitgekeerd krijgen, voor zover daarvoor middelen zijn in het faillissement.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723C54"/>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C803E3"/>
    <w:multiLevelType w:val="hybridMultilevel"/>
    <w:tmpl w:val="B0FC63F4"/>
    <w:lvl w:ilvl="0" w:tplc="04130019">
      <w:start w:val="1"/>
      <w:numFmt w:val="lowerLetter"/>
      <w:lvlText w:val="%1."/>
      <w:lvlJc w:val="left"/>
      <w:pPr>
        <w:ind w:left="778" w:hanging="360"/>
      </w:pPr>
    </w:lvl>
    <w:lvl w:ilvl="1" w:tplc="04130019">
      <w:start w:val="1"/>
      <w:numFmt w:val="lowerLetter"/>
      <w:lvlText w:val="%2."/>
      <w:lvlJc w:val="left"/>
      <w:pPr>
        <w:ind w:left="1498" w:hanging="360"/>
      </w:pPr>
    </w:lvl>
    <w:lvl w:ilvl="2" w:tplc="0413001B">
      <w:start w:val="1"/>
      <w:numFmt w:val="lowerRoman"/>
      <w:lvlText w:val="%3."/>
      <w:lvlJc w:val="right"/>
      <w:pPr>
        <w:ind w:left="2218" w:hanging="180"/>
      </w:pPr>
    </w:lvl>
    <w:lvl w:ilvl="3" w:tplc="0413000F" w:tentative="1">
      <w:start w:val="1"/>
      <w:numFmt w:val="decimal"/>
      <w:lvlText w:val="%4."/>
      <w:lvlJc w:val="left"/>
      <w:pPr>
        <w:ind w:left="2938" w:hanging="360"/>
      </w:pPr>
    </w:lvl>
    <w:lvl w:ilvl="4" w:tplc="04130019" w:tentative="1">
      <w:start w:val="1"/>
      <w:numFmt w:val="lowerLetter"/>
      <w:lvlText w:val="%5."/>
      <w:lvlJc w:val="left"/>
      <w:pPr>
        <w:ind w:left="3658" w:hanging="360"/>
      </w:pPr>
    </w:lvl>
    <w:lvl w:ilvl="5" w:tplc="0413001B" w:tentative="1">
      <w:start w:val="1"/>
      <w:numFmt w:val="lowerRoman"/>
      <w:lvlText w:val="%6."/>
      <w:lvlJc w:val="right"/>
      <w:pPr>
        <w:ind w:left="4378" w:hanging="180"/>
      </w:pPr>
    </w:lvl>
    <w:lvl w:ilvl="6" w:tplc="0413000F" w:tentative="1">
      <w:start w:val="1"/>
      <w:numFmt w:val="decimal"/>
      <w:lvlText w:val="%7."/>
      <w:lvlJc w:val="left"/>
      <w:pPr>
        <w:ind w:left="5098" w:hanging="360"/>
      </w:pPr>
    </w:lvl>
    <w:lvl w:ilvl="7" w:tplc="04130019" w:tentative="1">
      <w:start w:val="1"/>
      <w:numFmt w:val="lowerLetter"/>
      <w:lvlText w:val="%8."/>
      <w:lvlJc w:val="left"/>
      <w:pPr>
        <w:ind w:left="5818" w:hanging="360"/>
      </w:pPr>
    </w:lvl>
    <w:lvl w:ilvl="8" w:tplc="0413001B" w:tentative="1">
      <w:start w:val="1"/>
      <w:numFmt w:val="lowerRoman"/>
      <w:lvlText w:val="%9."/>
      <w:lvlJc w:val="right"/>
      <w:pPr>
        <w:ind w:left="6538" w:hanging="180"/>
      </w:pPr>
    </w:lvl>
  </w:abstractNum>
  <w:abstractNum w:abstractNumId="2" w15:restartNumberingAfterBreak="0">
    <w:nsid w:val="05F66678"/>
    <w:multiLevelType w:val="hybridMultilevel"/>
    <w:tmpl w:val="F5D474E4"/>
    <w:lvl w:ilvl="0" w:tplc="4156E17C">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07F24E5"/>
    <w:multiLevelType w:val="hybridMultilevel"/>
    <w:tmpl w:val="814249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329AC"/>
    <w:multiLevelType w:val="hybridMultilevel"/>
    <w:tmpl w:val="61520D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174E10"/>
    <w:multiLevelType w:val="hybridMultilevel"/>
    <w:tmpl w:val="81143AD2"/>
    <w:lvl w:ilvl="0" w:tplc="7B921F8C">
      <w:start w:val="9"/>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B514B71"/>
    <w:multiLevelType w:val="hybridMultilevel"/>
    <w:tmpl w:val="40849036"/>
    <w:lvl w:ilvl="0" w:tplc="956AADA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A93330D"/>
    <w:multiLevelType w:val="hybridMultilevel"/>
    <w:tmpl w:val="85488334"/>
    <w:lvl w:ilvl="0" w:tplc="8556BA3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3202F26"/>
    <w:multiLevelType w:val="hybridMultilevel"/>
    <w:tmpl w:val="23A00DC4"/>
    <w:lvl w:ilvl="0" w:tplc="16643866">
      <w:start w:val="3"/>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1EC7515"/>
    <w:multiLevelType w:val="hybridMultilevel"/>
    <w:tmpl w:val="E3641564"/>
    <w:lvl w:ilvl="0" w:tplc="315CE730">
      <w:start w:val="1"/>
      <w:numFmt w:val="decimal"/>
      <w:lvlText w:val="%1."/>
      <w:lvlJc w:val="left"/>
      <w:pPr>
        <w:ind w:left="36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63132198"/>
    <w:multiLevelType w:val="hybridMultilevel"/>
    <w:tmpl w:val="EF147DCE"/>
    <w:lvl w:ilvl="0" w:tplc="1324AB8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9CD225F"/>
    <w:multiLevelType w:val="hybridMultilevel"/>
    <w:tmpl w:val="FC3C3396"/>
    <w:lvl w:ilvl="0" w:tplc="ECAE7C4C">
      <w:start w:val="1"/>
      <w:numFmt w:val="lowerLetter"/>
      <w:lvlText w:val="%1)"/>
      <w:lvlJc w:val="left"/>
      <w:pPr>
        <w:ind w:left="36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C966381"/>
    <w:multiLevelType w:val="multilevel"/>
    <w:tmpl w:val="22DE059A"/>
    <w:name w:val="List Bullet"/>
    <w:lvl w:ilvl="0">
      <w:start w:val="1"/>
      <w:numFmt w:val="decimal"/>
      <w:pStyle w:val="NumPar1"/>
      <w:lvlText w:val="%1."/>
      <w:lvlJc w:val="left"/>
      <w:pPr>
        <w:tabs>
          <w:tab w:val="num" w:pos="850"/>
        </w:tabs>
        <w:ind w:left="850" w:hanging="850"/>
      </w:pPr>
      <w:rPr>
        <w:rFonts w:cs="TimesNewRomanItalic"/>
      </w:rPr>
    </w:lvl>
    <w:lvl w:ilvl="1">
      <w:start w:val="1"/>
      <w:numFmt w:val="decimal"/>
      <w:pStyle w:val="NumPar2"/>
      <w:lvlText w:val="%1.%2."/>
      <w:lvlJc w:val="left"/>
      <w:pPr>
        <w:tabs>
          <w:tab w:val="num" w:pos="850"/>
        </w:tabs>
        <w:ind w:left="850" w:hanging="850"/>
      </w:pPr>
      <w:rPr>
        <w:rFonts w:cs="TimesNewRomanItalic"/>
      </w:rPr>
    </w:lvl>
    <w:lvl w:ilvl="2">
      <w:start w:val="1"/>
      <w:numFmt w:val="decimal"/>
      <w:pStyle w:val="NumPar3"/>
      <w:lvlText w:val="%1.%2.%3."/>
      <w:lvlJc w:val="left"/>
      <w:pPr>
        <w:tabs>
          <w:tab w:val="num" w:pos="850"/>
        </w:tabs>
        <w:ind w:left="850" w:hanging="850"/>
      </w:pPr>
      <w:rPr>
        <w:rFonts w:cs="TimesNewRomanItalic"/>
      </w:rPr>
    </w:lvl>
    <w:lvl w:ilvl="3">
      <w:start w:val="1"/>
      <w:numFmt w:val="decimal"/>
      <w:pStyle w:val="NumPar4"/>
      <w:lvlText w:val="%1.%2.%3.%4."/>
      <w:lvlJc w:val="left"/>
      <w:pPr>
        <w:tabs>
          <w:tab w:val="num" w:pos="850"/>
        </w:tabs>
        <w:ind w:left="850" w:hanging="850"/>
      </w:pPr>
      <w:rPr>
        <w:rFonts w:cs="TimesNewRomanItalic"/>
      </w:rPr>
    </w:lvl>
    <w:lvl w:ilvl="4">
      <w:start w:val="1"/>
      <w:numFmt w:val="lowerLetter"/>
      <w:lvlText w:val="(%5)"/>
      <w:lvlJc w:val="left"/>
      <w:pPr>
        <w:tabs>
          <w:tab w:val="num" w:pos="1800"/>
        </w:tabs>
        <w:ind w:left="1800" w:hanging="360"/>
      </w:pPr>
      <w:rPr>
        <w:rFonts w:cs="TimesNewRomanItalic"/>
      </w:rPr>
    </w:lvl>
    <w:lvl w:ilvl="5">
      <w:start w:val="1"/>
      <w:numFmt w:val="lowerRoman"/>
      <w:lvlText w:val="(%6)"/>
      <w:lvlJc w:val="left"/>
      <w:pPr>
        <w:tabs>
          <w:tab w:val="num" w:pos="2160"/>
        </w:tabs>
        <w:ind w:left="2160" w:hanging="360"/>
      </w:pPr>
      <w:rPr>
        <w:rFonts w:cs="TimesNewRomanItalic"/>
      </w:rPr>
    </w:lvl>
    <w:lvl w:ilvl="6">
      <w:start w:val="1"/>
      <w:numFmt w:val="decimal"/>
      <w:lvlText w:val="%7."/>
      <w:lvlJc w:val="left"/>
      <w:pPr>
        <w:tabs>
          <w:tab w:val="num" w:pos="2520"/>
        </w:tabs>
        <w:ind w:left="2520" w:hanging="360"/>
      </w:pPr>
      <w:rPr>
        <w:rFonts w:cs="TimesNewRomanItalic"/>
      </w:rPr>
    </w:lvl>
    <w:lvl w:ilvl="7">
      <w:start w:val="1"/>
      <w:numFmt w:val="lowerLetter"/>
      <w:lvlText w:val="%8."/>
      <w:lvlJc w:val="left"/>
      <w:pPr>
        <w:tabs>
          <w:tab w:val="num" w:pos="2880"/>
        </w:tabs>
        <w:ind w:left="2880" w:hanging="360"/>
      </w:pPr>
      <w:rPr>
        <w:rFonts w:cs="TimesNewRomanItalic"/>
      </w:rPr>
    </w:lvl>
    <w:lvl w:ilvl="8">
      <w:start w:val="1"/>
      <w:numFmt w:val="lowerRoman"/>
      <w:lvlText w:val="%9."/>
      <w:lvlJc w:val="left"/>
      <w:pPr>
        <w:tabs>
          <w:tab w:val="num" w:pos="3240"/>
        </w:tabs>
        <w:ind w:left="3240" w:hanging="360"/>
      </w:pPr>
      <w:rPr>
        <w:rFonts w:cs="TimesNewRomanItalic"/>
      </w:rPr>
    </w:lvl>
  </w:abstractNum>
  <w:abstractNum w:abstractNumId="13" w15:restartNumberingAfterBreak="0">
    <w:nsid w:val="7DA457BC"/>
    <w:multiLevelType w:val="hybridMultilevel"/>
    <w:tmpl w:val="C7B4EBCA"/>
    <w:lvl w:ilvl="0" w:tplc="6BCE3028">
      <w:start w:val="1"/>
      <w:numFmt w:val="lowerLetter"/>
      <w:lvlText w:val="%1."/>
      <w:lvlJc w:val="left"/>
      <w:pPr>
        <w:ind w:left="1800" w:hanging="360"/>
      </w:pPr>
      <w:rPr>
        <w:rFonts w:ascii="Verdana" w:eastAsia="Calibri" w:hAnsi="Verdana" w:cs="Arial"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16cid:durableId="2101020101">
    <w:abstractNumId w:val="0"/>
  </w:num>
  <w:num w:numId="2" w16cid:durableId="625543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7686015">
    <w:abstractNumId w:val="10"/>
  </w:num>
  <w:num w:numId="4" w16cid:durableId="1200389277">
    <w:abstractNumId w:val="9"/>
  </w:num>
  <w:num w:numId="5" w16cid:durableId="621771480">
    <w:abstractNumId w:val="13"/>
  </w:num>
  <w:num w:numId="6" w16cid:durableId="1245651400">
    <w:abstractNumId w:val="6"/>
  </w:num>
  <w:num w:numId="7" w16cid:durableId="1167549736">
    <w:abstractNumId w:val="5"/>
  </w:num>
  <w:num w:numId="8" w16cid:durableId="927426745">
    <w:abstractNumId w:val="2"/>
  </w:num>
  <w:num w:numId="9" w16cid:durableId="1186361687">
    <w:abstractNumId w:val="8"/>
  </w:num>
  <w:num w:numId="10" w16cid:durableId="1382246539">
    <w:abstractNumId w:val="11"/>
  </w:num>
  <w:num w:numId="11" w16cid:durableId="714037271">
    <w:abstractNumId w:val="2"/>
    <w:lvlOverride w:ilvl="0">
      <w:lvl w:ilvl="0" w:tplc="4156E17C">
        <w:start w:val="1"/>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2" w16cid:durableId="1495953736">
    <w:abstractNumId w:val="8"/>
    <w:lvlOverride w:ilvl="0">
      <w:lvl w:ilvl="0" w:tplc="16643866">
        <w:start w:val="3"/>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3" w16cid:durableId="724261190">
    <w:abstractNumId w:val="7"/>
  </w:num>
  <w:num w:numId="14" w16cid:durableId="1225869049">
    <w:abstractNumId w:val="3"/>
  </w:num>
  <w:num w:numId="15" w16cid:durableId="1614822683">
    <w:abstractNumId w:val="1"/>
  </w:num>
  <w:num w:numId="16" w16cid:durableId="112323349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056"/>
    <w:rsid w:val="00003712"/>
    <w:rsid w:val="00010325"/>
    <w:rsid w:val="00010FBC"/>
    <w:rsid w:val="00011F55"/>
    <w:rsid w:val="00012F05"/>
    <w:rsid w:val="0001437F"/>
    <w:rsid w:val="00014925"/>
    <w:rsid w:val="00017C4E"/>
    <w:rsid w:val="000202AB"/>
    <w:rsid w:val="0002172C"/>
    <w:rsid w:val="00024443"/>
    <w:rsid w:val="00025142"/>
    <w:rsid w:val="0002524E"/>
    <w:rsid w:val="00026C8F"/>
    <w:rsid w:val="000301DB"/>
    <w:rsid w:val="00034351"/>
    <w:rsid w:val="00034FC9"/>
    <w:rsid w:val="0003523F"/>
    <w:rsid w:val="00043D39"/>
    <w:rsid w:val="000472EF"/>
    <w:rsid w:val="000503AB"/>
    <w:rsid w:val="00054E3C"/>
    <w:rsid w:val="000575E2"/>
    <w:rsid w:val="00057A79"/>
    <w:rsid w:val="000610C1"/>
    <w:rsid w:val="00061B86"/>
    <w:rsid w:val="0006448C"/>
    <w:rsid w:val="00064EDD"/>
    <w:rsid w:val="00065A2A"/>
    <w:rsid w:val="00065C16"/>
    <w:rsid w:val="00067015"/>
    <w:rsid w:val="000712F6"/>
    <w:rsid w:val="0007130F"/>
    <w:rsid w:val="00073441"/>
    <w:rsid w:val="00076564"/>
    <w:rsid w:val="000765D1"/>
    <w:rsid w:val="000773B9"/>
    <w:rsid w:val="00080A6C"/>
    <w:rsid w:val="00082026"/>
    <w:rsid w:val="00082F60"/>
    <w:rsid w:val="0008347B"/>
    <w:rsid w:val="000841EF"/>
    <w:rsid w:val="000862E1"/>
    <w:rsid w:val="0008781D"/>
    <w:rsid w:val="00087B44"/>
    <w:rsid w:val="00087D5A"/>
    <w:rsid w:val="0009055C"/>
    <w:rsid w:val="0009097E"/>
    <w:rsid w:val="0009315E"/>
    <w:rsid w:val="00094527"/>
    <w:rsid w:val="000A0550"/>
    <w:rsid w:val="000A1C98"/>
    <w:rsid w:val="000A3D6D"/>
    <w:rsid w:val="000A3D8E"/>
    <w:rsid w:val="000A46E2"/>
    <w:rsid w:val="000A7B3E"/>
    <w:rsid w:val="000B2AF0"/>
    <w:rsid w:val="000B35D2"/>
    <w:rsid w:val="000B36D2"/>
    <w:rsid w:val="000B3ABD"/>
    <w:rsid w:val="000B4824"/>
    <w:rsid w:val="000C098E"/>
    <w:rsid w:val="000C0E4F"/>
    <w:rsid w:val="000C520B"/>
    <w:rsid w:val="000C57FC"/>
    <w:rsid w:val="000C5CE9"/>
    <w:rsid w:val="000C6404"/>
    <w:rsid w:val="000C6E45"/>
    <w:rsid w:val="000D01AD"/>
    <w:rsid w:val="000D2C35"/>
    <w:rsid w:val="000D2DEE"/>
    <w:rsid w:val="000E0443"/>
    <w:rsid w:val="000E17D5"/>
    <w:rsid w:val="000E1938"/>
    <w:rsid w:val="000E4550"/>
    <w:rsid w:val="000E74D2"/>
    <w:rsid w:val="000F1B7B"/>
    <w:rsid w:val="000F45F9"/>
    <w:rsid w:val="000F4FD8"/>
    <w:rsid w:val="00100C45"/>
    <w:rsid w:val="00101110"/>
    <w:rsid w:val="00102BFB"/>
    <w:rsid w:val="00103137"/>
    <w:rsid w:val="00104A00"/>
    <w:rsid w:val="001052B3"/>
    <w:rsid w:val="001052BA"/>
    <w:rsid w:val="001109EC"/>
    <w:rsid w:val="00110ED7"/>
    <w:rsid w:val="00114A49"/>
    <w:rsid w:val="00114B30"/>
    <w:rsid w:val="001156CC"/>
    <w:rsid w:val="00115A48"/>
    <w:rsid w:val="001212D3"/>
    <w:rsid w:val="00121C1B"/>
    <w:rsid w:val="00121D64"/>
    <w:rsid w:val="0012322C"/>
    <w:rsid w:val="00126E5A"/>
    <w:rsid w:val="001308CF"/>
    <w:rsid w:val="0013346B"/>
    <w:rsid w:val="00135141"/>
    <w:rsid w:val="001352A5"/>
    <w:rsid w:val="001366DE"/>
    <w:rsid w:val="0014199E"/>
    <w:rsid w:val="0014415A"/>
    <w:rsid w:val="001443FE"/>
    <w:rsid w:val="001450D0"/>
    <w:rsid w:val="001461F3"/>
    <w:rsid w:val="00146574"/>
    <w:rsid w:val="00150BBE"/>
    <w:rsid w:val="00153250"/>
    <w:rsid w:val="00156256"/>
    <w:rsid w:val="00160D7C"/>
    <w:rsid w:val="00161EE8"/>
    <w:rsid w:val="00163A06"/>
    <w:rsid w:val="00165ED2"/>
    <w:rsid w:val="00166CBF"/>
    <w:rsid w:val="00167139"/>
    <w:rsid w:val="0017062D"/>
    <w:rsid w:val="00172495"/>
    <w:rsid w:val="0017270E"/>
    <w:rsid w:val="00174363"/>
    <w:rsid w:val="00174A3F"/>
    <w:rsid w:val="00176F4D"/>
    <w:rsid w:val="00177056"/>
    <w:rsid w:val="00177E16"/>
    <w:rsid w:val="0018055B"/>
    <w:rsid w:val="00180850"/>
    <w:rsid w:val="00184489"/>
    <w:rsid w:val="00184697"/>
    <w:rsid w:val="001850C5"/>
    <w:rsid w:val="00192973"/>
    <w:rsid w:val="00195472"/>
    <w:rsid w:val="001A438C"/>
    <w:rsid w:val="001A45C8"/>
    <w:rsid w:val="001A7738"/>
    <w:rsid w:val="001B2157"/>
    <w:rsid w:val="001B31EB"/>
    <w:rsid w:val="001B6003"/>
    <w:rsid w:val="001B75E8"/>
    <w:rsid w:val="001C0FB0"/>
    <w:rsid w:val="001C1802"/>
    <w:rsid w:val="001C1C8A"/>
    <w:rsid w:val="001C37BE"/>
    <w:rsid w:val="001C418A"/>
    <w:rsid w:val="001D0773"/>
    <w:rsid w:val="001E1405"/>
    <w:rsid w:val="001E79CD"/>
    <w:rsid w:val="001F04B0"/>
    <w:rsid w:val="001F0E50"/>
    <w:rsid w:val="001F395B"/>
    <w:rsid w:val="001F4FAA"/>
    <w:rsid w:val="001F6A5B"/>
    <w:rsid w:val="00202A98"/>
    <w:rsid w:val="00203AAD"/>
    <w:rsid w:val="002051C9"/>
    <w:rsid w:val="00205280"/>
    <w:rsid w:val="0021016D"/>
    <w:rsid w:val="00210EF5"/>
    <w:rsid w:val="00213592"/>
    <w:rsid w:val="0021439B"/>
    <w:rsid w:val="0021725A"/>
    <w:rsid w:val="00221FCA"/>
    <w:rsid w:val="00221FDB"/>
    <w:rsid w:val="0022361C"/>
    <w:rsid w:val="00223E06"/>
    <w:rsid w:val="00223FB2"/>
    <w:rsid w:val="002262B5"/>
    <w:rsid w:val="00226993"/>
    <w:rsid w:val="002317E9"/>
    <w:rsid w:val="00232426"/>
    <w:rsid w:val="00232F2D"/>
    <w:rsid w:val="00235880"/>
    <w:rsid w:val="00240647"/>
    <w:rsid w:val="00242AC1"/>
    <w:rsid w:val="00243251"/>
    <w:rsid w:val="002436D5"/>
    <w:rsid w:val="002441D6"/>
    <w:rsid w:val="002441F7"/>
    <w:rsid w:val="0024559D"/>
    <w:rsid w:val="00246084"/>
    <w:rsid w:val="0025018B"/>
    <w:rsid w:val="00250CAC"/>
    <w:rsid w:val="00250FC1"/>
    <w:rsid w:val="00251887"/>
    <w:rsid w:val="00254565"/>
    <w:rsid w:val="00254A1D"/>
    <w:rsid w:val="00255418"/>
    <w:rsid w:val="002564D1"/>
    <w:rsid w:val="00261762"/>
    <w:rsid w:val="00261F89"/>
    <w:rsid w:val="0026438F"/>
    <w:rsid w:val="00266142"/>
    <w:rsid w:val="00267581"/>
    <w:rsid w:val="00270524"/>
    <w:rsid w:val="00271978"/>
    <w:rsid w:val="0027287F"/>
    <w:rsid w:val="00272896"/>
    <w:rsid w:val="002729FD"/>
    <w:rsid w:val="00272DD6"/>
    <w:rsid w:val="002740A8"/>
    <w:rsid w:val="002802A5"/>
    <w:rsid w:val="00280CC0"/>
    <w:rsid w:val="00281CFD"/>
    <w:rsid w:val="00282F36"/>
    <w:rsid w:val="00283585"/>
    <w:rsid w:val="00285232"/>
    <w:rsid w:val="002855C1"/>
    <w:rsid w:val="00285FA5"/>
    <w:rsid w:val="002910E8"/>
    <w:rsid w:val="0029240D"/>
    <w:rsid w:val="00295281"/>
    <w:rsid w:val="00295A08"/>
    <w:rsid w:val="002963EE"/>
    <w:rsid w:val="002969FB"/>
    <w:rsid w:val="0029762A"/>
    <w:rsid w:val="002A2364"/>
    <w:rsid w:val="002A4DC8"/>
    <w:rsid w:val="002A52A4"/>
    <w:rsid w:val="002A77AE"/>
    <w:rsid w:val="002B14C0"/>
    <w:rsid w:val="002B1630"/>
    <w:rsid w:val="002B30E5"/>
    <w:rsid w:val="002B4B5B"/>
    <w:rsid w:val="002B55D3"/>
    <w:rsid w:val="002B744B"/>
    <w:rsid w:val="002C246B"/>
    <w:rsid w:val="002C4DAD"/>
    <w:rsid w:val="002C530D"/>
    <w:rsid w:val="002C56E9"/>
    <w:rsid w:val="002C7D43"/>
    <w:rsid w:val="002D0BE0"/>
    <w:rsid w:val="002D0C8F"/>
    <w:rsid w:val="002D0E4B"/>
    <w:rsid w:val="002D5D1A"/>
    <w:rsid w:val="002D75C9"/>
    <w:rsid w:val="002E01C6"/>
    <w:rsid w:val="002E1735"/>
    <w:rsid w:val="002E206F"/>
    <w:rsid w:val="002E2AEB"/>
    <w:rsid w:val="002E7698"/>
    <w:rsid w:val="002F1571"/>
    <w:rsid w:val="002F25AE"/>
    <w:rsid w:val="002F3C8F"/>
    <w:rsid w:val="002F5603"/>
    <w:rsid w:val="00300C98"/>
    <w:rsid w:val="00302232"/>
    <w:rsid w:val="0030435A"/>
    <w:rsid w:val="0030577F"/>
    <w:rsid w:val="00311E96"/>
    <w:rsid w:val="00312F6B"/>
    <w:rsid w:val="00313594"/>
    <w:rsid w:val="003207BC"/>
    <w:rsid w:val="00320FB0"/>
    <w:rsid w:val="00322785"/>
    <w:rsid w:val="003227C1"/>
    <w:rsid w:val="003227EA"/>
    <w:rsid w:val="00326290"/>
    <w:rsid w:val="00330943"/>
    <w:rsid w:val="00331660"/>
    <w:rsid w:val="003325B0"/>
    <w:rsid w:val="0033726A"/>
    <w:rsid w:val="00342292"/>
    <w:rsid w:val="0034258F"/>
    <w:rsid w:val="00351C8F"/>
    <w:rsid w:val="003528FA"/>
    <w:rsid w:val="00353FF0"/>
    <w:rsid w:val="00356228"/>
    <w:rsid w:val="003570BA"/>
    <w:rsid w:val="00357715"/>
    <w:rsid w:val="00357C3C"/>
    <w:rsid w:val="0036159E"/>
    <w:rsid w:val="00363838"/>
    <w:rsid w:val="00363B06"/>
    <w:rsid w:val="00364B3B"/>
    <w:rsid w:val="00365040"/>
    <w:rsid w:val="00366370"/>
    <w:rsid w:val="003670EF"/>
    <w:rsid w:val="00371A42"/>
    <w:rsid w:val="00373748"/>
    <w:rsid w:val="00374A0F"/>
    <w:rsid w:val="0037623F"/>
    <w:rsid w:val="00377E5B"/>
    <w:rsid w:val="003843F6"/>
    <w:rsid w:val="00385482"/>
    <w:rsid w:val="00386288"/>
    <w:rsid w:val="00386364"/>
    <w:rsid w:val="00395835"/>
    <w:rsid w:val="00395FD6"/>
    <w:rsid w:val="00396365"/>
    <w:rsid w:val="003A2702"/>
    <w:rsid w:val="003A2FD2"/>
    <w:rsid w:val="003B0C55"/>
    <w:rsid w:val="003B1BC0"/>
    <w:rsid w:val="003B1FE3"/>
    <w:rsid w:val="003B336C"/>
    <w:rsid w:val="003B3C8A"/>
    <w:rsid w:val="003B475C"/>
    <w:rsid w:val="003B5C4A"/>
    <w:rsid w:val="003C1B65"/>
    <w:rsid w:val="003C2640"/>
    <w:rsid w:val="003C379E"/>
    <w:rsid w:val="003C3E28"/>
    <w:rsid w:val="003C4182"/>
    <w:rsid w:val="003C41E5"/>
    <w:rsid w:val="003D0413"/>
    <w:rsid w:val="003D44FC"/>
    <w:rsid w:val="003D508F"/>
    <w:rsid w:val="003D71D4"/>
    <w:rsid w:val="003E38D6"/>
    <w:rsid w:val="003E4511"/>
    <w:rsid w:val="003E561F"/>
    <w:rsid w:val="003E59A1"/>
    <w:rsid w:val="003F5D6E"/>
    <w:rsid w:val="003F5F26"/>
    <w:rsid w:val="003F7619"/>
    <w:rsid w:val="003F7E0F"/>
    <w:rsid w:val="00401379"/>
    <w:rsid w:val="0040357F"/>
    <w:rsid w:val="0040363A"/>
    <w:rsid w:val="00405DAD"/>
    <w:rsid w:val="00411C72"/>
    <w:rsid w:val="004128D8"/>
    <w:rsid w:val="004131CA"/>
    <w:rsid w:val="00413A61"/>
    <w:rsid w:val="004141C5"/>
    <w:rsid w:val="004162BF"/>
    <w:rsid w:val="0041708D"/>
    <w:rsid w:val="00421018"/>
    <w:rsid w:val="00421C69"/>
    <w:rsid w:val="00422106"/>
    <w:rsid w:val="004221B9"/>
    <w:rsid w:val="00422666"/>
    <w:rsid w:val="004253EA"/>
    <w:rsid w:val="00425B47"/>
    <w:rsid w:val="004264A6"/>
    <w:rsid w:val="00426557"/>
    <w:rsid w:val="004270A0"/>
    <w:rsid w:val="004304DB"/>
    <w:rsid w:val="00432DEF"/>
    <w:rsid w:val="00433C66"/>
    <w:rsid w:val="004347A9"/>
    <w:rsid w:val="0043564D"/>
    <w:rsid w:val="0043597B"/>
    <w:rsid w:val="0043797A"/>
    <w:rsid w:val="004408CF"/>
    <w:rsid w:val="00441382"/>
    <w:rsid w:val="00441C35"/>
    <w:rsid w:val="00441FA3"/>
    <w:rsid w:val="00444049"/>
    <w:rsid w:val="0044583D"/>
    <w:rsid w:val="00452580"/>
    <w:rsid w:val="004567D2"/>
    <w:rsid w:val="00456E4D"/>
    <w:rsid w:val="00457A8E"/>
    <w:rsid w:val="00457F01"/>
    <w:rsid w:val="004679D0"/>
    <w:rsid w:val="0047197B"/>
    <w:rsid w:val="004723FB"/>
    <w:rsid w:val="00472521"/>
    <w:rsid w:val="004728AC"/>
    <w:rsid w:val="00473BB1"/>
    <w:rsid w:val="00477D7B"/>
    <w:rsid w:val="00482BB0"/>
    <w:rsid w:val="00482C84"/>
    <w:rsid w:val="004836F7"/>
    <w:rsid w:val="00483944"/>
    <w:rsid w:val="004840F8"/>
    <w:rsid w:val="00484ECF"/>
    <w:rsid w:val="00486807"/>
    <w:rsid w:val="00487C4D"/>
    <w:rsid w:val="00492A68"/>
    <w:rsid w:val="00496843"/>
    <w:rsid w:val="00496BF1"/>
    <w:rsid w:val="004A079D"/>
    <w:rsid w:val="004A0F83"/>
    <w:rsid w:val="004A40A4"/>
    <w:rsid w:val="004A46EC"/>
    <w:rsid w:val="004A5BFE"/>
    <w:rsid w:val="004A5F03"/>
    <w:rsid w:val="004B06E3"/>
    <w:rsid w:val="004B0954"/>
    <w:rsid w:val="004B18B6"/>
    <w:rsid w:val="004B2A83"/>
    <w:rsid w:val="004B4688"/>
    <w:rsid w:val="004C0D40"/>
    <w:rsid w:val="004C2EEF"/>
    <w:rsid w:val="004C33CB"/>
    <w:rsid w:val="004C3694"/>
    <w:rsid w:val="004C453B"/>
    <w:rsid w:val="004C46A6"/>
    <w:rsid w:val="004C54EC"/>
    <w:rsid w:val="004C6858"/>
    <w:rsid w:val="004C6E52"/>
    <w:rsid w:val="004D0A15"/>
    <w:rsid w:val="004D1A59"/>
    <w:rsid w:val="004D31E9"/>
    <w:rsid w:val="004D3AA6"/>
    <w:rsid w:val="004D4A94"/>
    <w:rsid w:val="004D5372"/>
    <w:rsid w:val="004E0612"/>
    <w:rsid w:val="004E0D02"/>
    <w:rsid w:val="004E1D4D"/>
    <w:rsid w:val="004E1EDA"/>
    <w:rsid w:val="004E3F36"/>
    <w:rsid w:val="004E4BA3"/>
    <w:rsid w:val="004E6167"/>
    <w:rsid w:val="004F21DC"/>
    <w:rsid w:val="004F2629"/>
    <w:rsid w:val="004F266A"/>
    <w:rsid w:val="004F3705"/>
    <w:rsid w:val="004F6155"/>
    <w:rsid w:val="004F7158"/>
    <w:rsid w:val="005011F4"/>
    <w:rsid w:val="00503579"/>
    <w:rsid w:val="00507F99"/>
    <w:rsid w:val="00510075"/>
    <w:rsid w:val="005112C3"/>
    <w:rsid w:val="005115E4"/>
    <w:rsid w:val="0052160F"/>
    <w:rsid w:val="005242E3"/>
    <w:rsid w:val="0052638F"/>
    <w:rsid w:val="005269F8"/>
    <w:rsid w:val="00527F7B"/>
    <w:rsid w:val="0053066B"/>
    <w:rsid w:val="00533791"/>
    <w:rsid w:val="0053580D"/>
    <w:rsid w:val="005413C3"/>
    <w:rsid w:val="005428B6"/>
    <w:rsid w:val="00542FF3"/>
    <w:rsid w:val="0054332F"/>
    <w:rsid w:val="00543707"/>
    <w:rsid w:val="00545950"/>
    <w:rsid w:val="00546359"/>
    <w:rsid w:val="0054698E"/>
    <w:rsid w:val="00546F67"/>
    <w:rsid w:val="00547E39"/>
    <w:rsid w:val="00552F70"/>
    <w:rsid w:val="005530F1"/>
    <w:rsid w:val="00555237"/>
    <w:rsid w:val="00555895"/>
    <w:rsid w:val="00556020"/>
    <w:rsid w:val="005561D8"/>
    <w:rsid w:val="00561D42"/>
    <w:rsid w:val="00563ED1"/>
    <w:rsid w:val="00565FC8"/>
    <w:rsid w:val="005702EE"/>
    <w:rsid w:val="00572727"/>
    <w:rsid w:val="00572966"/>
    <w:rsid w:val="00576AC2"/>
    <w:rsid w:val="00580AC4"/>
    <w:rsid w:val="00583533"/>
    <w:rsid w:val="00585EE3"/>
    <w:rsid w:val="00586453"/>
    <w:rsid w:val="00590E4F"/>
    <w:rsid w:val="00591921"/>
    <w:rsid w:val="00593AA9"/>
    <w:rsid w:val="00595041"/>
    <w:rsid w:val="00596CB0"/>
    <w:rsid w:val="00597CD4"/>
    <w:rsid w:val="005A0884"/>
    <w:rsid w:val="005A1284"/>
    <w:rsid w:val="005A4D61"/>
    <w:rsid w:val="005B2720"/>
    <w:rsid w:val="005B38F7"/>
    <w:rsid w:val="005B3E6E"/>
    <w:rsid w:val="005B42BA"/>
    <w:rsid w:val="005B5417"/>
    <w:rsid w:val="005B6063"/>
    <w:rsid w:val="005B62D0"/>
    <w:rsid w:val="005B6644"/>
    <w:rsid w:val="005C044F"/>
    <w:rsid w:val="005C1329"/>
    <w:rsid w:val="005C16B8"/>
    <w:rsid w:val="005C22C5"/>
    <w:rsid w:val="005C6A43"/>
    <w:rsid w:val="005D189E"/>
    <w:rsid w:val="005D1B4D"/>
    <w:rsid w:val="005D2A65"/>
    <w:rsid w:val="005D3AC0"/>
    <w:rsid w:val="005D3DE8"/>
    <w:rsid w:val="005D3E97"/>
    <w:rsid w:val="005D4E37"/>
    <w:rsid w:val="005D55BE"/>
    <w:rsid w:val="005E429D"/>
    <w:rsid w:val="005E4E55"/>
    <w:rsid w:val="005E67E8"/>
    <w:rsid w:val="005F0163"/>
    <w:rsid w:val="005F4F8F"/>
    <w:rsid w:val="005F5034"/>
    <w:rsid w:val="005F7A68"/>
    <w:rsid w:val="005F7B86"/>
    <w:rsid w:val="005F7BFF"/>
    <w:rsid w:val="00600207"/>
    <w:rsid w:val="00600E47"/>
    <w:rsid w:val="006017D0"/>
    <w:rsid w:val="0060273A"/>
    <w:rsid w:val="00606CE1"/>
    <w:rsid w:val="006150A3"/>
    <w:rsid w:val="0061790C"/>
    <w:rsid w:val="006200D8"/>
    <w:rsid w:val="006218E7"/>
    <w:rsid w:val="0062478E"/>
    <w:rsid w:val="006277D3"/>
    <w:rsid w:val="00630E9A"/>
    <w:rsid w:val="0063393A"/>
    <w:rsid w:val="0063456C"/>
    <w:rsid w:val="006365AD"/>
    <w:rsid w:val="00641A1B"/>
    <w:rsid w:val="006420E2"/>
    <w:rsid w:val="006421E1"/>
    <w:rsid w:val="00650CD1"/>
    <w:rsid w:val="00651310"/>
    <w:rsid w:val="00652250"/>
    <w:rsid w:val="0065232F"/>
    <w:rsid w:val="0065341E"/>
    <w:rsid w:val="00657177"/>
    <w:rsid w:val="0066055D"/>
    <w:rsid w:val="006617A1"/>
    <w:rsid w:val="00662115"/>
    <w:rsid w:val="00666B7F"/>
    <w:rsid w:val="006707E9"/>
    <w:rsid w:val="00670F57"/>
    <w:rsid w:val="0067128C"/>
    <w:rsid w:val="0067278D"/>
    <w:rsid w:val="00672E45"/>
    <w:rsid w:val="00673C4A"/>
    <w:rsid w:val="00674D57"/>
    <w:rsid w:val="0068139B"/>
    <w:rsid w:val="00682118"/>
    <w:rsid w:val="0068214B"/>
    <w:rsid w:val="00682469"/>
    <w:rsid w:val="00683B99"/>
    <w:rsid w:val="00685966"/>
    <w:rsid w:val="006906D2"/>
    <w:rsid w:val="006910DF"/>
    <w:rsid w:val="0069160F"/>
    <w:rsid w:val="00694138"/>
    <w:rsid w:val="006941EF"/>
    <w:rsid w:val="00695237"/>
    <w:rsid w:val="00695DEA"/>
    <w:rsid w:val="006971EE"/>
    <w:rsid w:val="006A028B"/>
    <w:rsid w:val="006A0887"/>
    <w:rsid w:val="006A09BB"/>
    <w:rsid w:val="006A2FBE"/>
    <w:rsid w:val="006A7593"/>
    <w:rsid w:val="006B362A"/>
    <w:rsid w:val="006B4CB2"/>
    <w:rsid w:val="006B58FE"/>
    <w:rsid w:val="006B60E8"/>
    <w:rsid w:val="006B6781"/>
    <w:rsid w:val="006B7BD9"/>
    <w:rsid w:val="006C35D3"/>
    <w:rsid w:val="006C665D"/>
    <w:rsid w:val="006C66BB"/>
    <w:rsid w:val="006C6A60"/>
    <w:rsid w:val="006C70E5"/>
    <w:rsid w:val="006C789E"/>
    <w:rsid w:val="006C7C6A"/>
    <w:rsid w:val="006D2229"/>
    <w:rsid w:val="006D306B"/>
    <w:rsid w:val="006D38AE"/>
    <w:rsid w:val="006D4387"/>
    <w:rsid w:val="006D7917"/>
    <w:rsid w:val="006D79D0"/>
    <w:rsid w:val="006E076A"/>
    <w:rsid w:val="006E1670"/>
    <w:rsid w:val="006E4FAB"/>
    <w:rsid w:val="006E65BD"/>
    <w:rsid w:val="006E732F"/>
    <w:rsid w:val="006E7783"/>
    <w:rsid w:val="006F02C4"/>
    <w:rsid w:val="006F1467"/>
    <w:rsid w:val="006F3E78"/>
    <w:rsid w:val="006F6708"/>
    <w:rsid w:val="00700EDD"/>
    <w:rsid w:val="007021E8"/>
    <w:rsid w:val="0070450E"/>
    <w:rsid w:val="007070D1"/>
    <w:rsid w:val="00710770"/>
    <w:rsid w:val="0071103C"/>
    <w:rsid w:val="00711801"/>
    <w:rsid w:val="0071474C"/>
    <w:rsid w:val="007160F6"/>
    <w:rsid w:val="00716337"/>
    <w:rsid w:val="007168E8"/>
    <w:rsid w:val="00716CCC"/>
    <w:rsid w:val="00722843"/>
    <w:rsid w:val="007244A9"/>
    <w:rsid w:val="007248A2"/>
    <w:rsid w:val="0073046F"/>
    <w:rsid w:val="00730FC1"/>
    <w:rsid w:val="00733175"/>
    <w:rsid w:val="00733CB4"/>
    <w:rsid w:val="007342D6"/>
    <w:rsid w:val="007425A0"/>
    <w:rsid w:val="00742E90"/>
    <w:rsid w:val="0074383D"/>
    <w:rsid w:val="007449F1"/>
    <w:rsid w:val="00744AB2"/>
    <w:rsid w:val="00746ACD"/>
    <w:rsid w:val="00751F5D"/>
    <w:rsid w:val="00753016"/>
    <w:rsid w:val="007547C6"/>
    <w:rsid w:val="00755F4D"/>
    <w:rsid w:val="00755FE8"/>
    <w:rsid w:val="007577A8"/>
    <w:rsid w:val="00763A69"/>
    <w:rsid w:val="00763F83"/>
    <w:rsid w:val="007651D4"/>
    <w:rsid w:val="00766C00"/>
    <w:rsid w:val="00766E75"/>
    <w:rsid w:val="0077191A"/>
    <w:rsid w:val="00781F69"/>
    <w:rsid w:val="0078257F"/>
    <w:rsid w:val="00782BEC"/>
    <w:rsid w:val="00785159"/>
    <w:rsid w:val="00786589"/>
    <w:rsid w:val="007907D8"/>
    <w:rsid w:val="00791773"/>
    <w:rsid w:val="00792918"/>
    <w:rsid w:val="00792EA1"/>
    <w:rsid w:val="00793782"/>
    <w:rsid w:val="00794EE7"/>
    <w:rsid w:val="007A228F"/>
    <w:rsid w:val="007A2479"/>
    <w:rsid w:val="007A4A2D"/>
    <w:rsid w:val="007A7863"/>
    <w:rsid w:val="007B31F6"/>
    <w:rsid w:val="007C26AF"/>
    <w:rsid w:val="007C276F"/>
    <w:rsid w:val="007D0CEB"/>
    <w:rsid w:val="007D573F"/>
    <w:rsid w:val="007D69A5"/>
    <w:rsid w:val="007D6B56"/>
    <w:rsid w:val="007E22F9"/>
    <w:rsid w:val="007E6E76"/>
    <w:rsid w:val="007F501B"/>
    <w:rsid w:val="007F676D"/>
    <w:rsid w:val="007F7FEB"/>
    <w:rsid w:val="00801428"/>
    <w:rsid w:val="00801DD5"/>
    <w:rsid w:val="008024D9"/>
    <w:rsid w:val="00806A26"/>
    <w:rsid w:val="008106E9"/>
    <w:rsid w:val="00815243"/>
    <w:rsid w:val="008164CF"/>
    <w:rsid w:val="00816C65"/>
    <w:rsid w:val="008177A9"/>
    <w:rsid w:val="008205B4"/>
    <w:rsid w:val="00822171"/>
    <w:rsid w:val="008231F5"/>
    <w:rsid w:val="00823BBC"/>
    <w:rsid w:val="00823FDB"/>
    <w:rsid w:val="00825986"/>
    <w:rsid w:val="00825B26"/>
    <w:rsid w:val="00832099"/>
    <w:rsid w:val="00832410"/>
    <w:rsid w:val="0083343E"/>
    <w:rsid w:val="00833491"/>
    <w:rsid w:val="008335E6"/>
    <w:rsid w:val="008353DB"/>
    <w:rsid w:val="00835653"/>
    <w:rsid w:val="00835B87"/>
    <w:rsid w:val="008369FB"/>
    <w:rsid w:val="008375AA"/>
    <w:rsid w:val="00837AC1"/>
    <w:rsid w:val="008411E4"/>
    <w:rsid w:val="008418C9"/>
    <w:rsid w:val="00841BFC"/>
    <w:rsid w:val="00841F5B"/>
    <w:rsid w:val="008454FB"/>
    <w:rsid w:val="00845EB2"/>
    <w:rsid w:val="00846611"/>
    <w:rsid w:val="008534AC"/>
    <w:rsid w:val="00855DD1"/>
    <w:rsid w:val="00856624"/>
    <w:rsid w:val="00856A8D"/>
    <w:rsid w:val="00856F48"/>
    <w:rsid w:val="0086291C"/>
    <w:rsid w:val="00865A01"/>
    <w:rsid w:val="00865FC0"/>
    <w:rsid w:val="00867207"/>
    <w:rsid w:val="008743CF"/>
    <w:rsid w:val="008761AE"/>
    <w:rsid w:val="008763FE"/>
    <w:rsid w:val="0088074A"/>
    <w:rsid w:val="00881DAC"/>
    <w:rsid w:val="00882205"/>
    <w:rsid w:val="0089185D"/>
    <w:rsid w:val="00891F7F"/>
    <w:rsid w:val="00892CB8"/>
    <w:rsid w:val="00893B5A"/>
    <w:rsid w:val="00893F7A"/>
    <w:rsid w:val="008946E8"/>
    <w:rsid w:val="008947BD"/>
    <w:rsid w:val="00895890"/>
    <w:rsid w:val="00896B92"/>
    <w:rsid w:val="008971AE"/>
    <w:rsid w:val="0089724F"/>
    <w:rsid w:val="008A1D87"/>
    <w:rsid w:val="008A29C3"/>
    <w:rsid w:val="008A553C"/>
    <w:rsid w:val="008A5BD8"/>
    <w:rsid w:val="008A6498"/>
    <w:rsid w:val="008B00CA"/>
    <w:rsid w:val="008B0B30"/>
    <w:rsid w:val="008B0DD2"/>
    <w:rsid w:val="008B18BE"/>
    <w:rsid w:val="008B2CA4"/>
    <w:rsid w:val="008B2CBC"/>
    <w:rsid w:val="008B4572"/>
    <w:rsid w:val="008B664C"/>
    <w:rsid w:val="008B7374"/>
    <w:rsid w:val="008C1C43"/>
    <w:rsid w:val="008C2B74"/>
    <w:rsid w:val="008C46D6"/>
    <w:rsid w:val="008C7866"/>
    <w:rsid w:val="008C7F24"/>
    <w:rsid w:val="008D16B3"/>
    <w:rsid w:val="008D1950"/>
    <w:rsid w:val="008D1BCC"/>
    <w:rsid w:val="008D2A64"/>
    <w:rsid w:val="008D5C1A"/>
    <w:rsid w:val="008D5E5D"/>
    <w:rsid w:val="008E09E8"/>
    <w:rsid w:val="008E0A4C"/>
    <w:rsid w:val="008E23D3"/>
    <w:rsid w:val="008E282C"/>
    <w:rsid w:val="008E2B7D"/>
    <w:rsid w:val="008E512E"/>
    <w:rsid w:val="008E6716"/>
    <w:rsid w:val="008F089D"/>
    <w:rsid w:val="008F134D"/>
    <w:rsid w:val="008F68B7"/>
    <w:rsid w:val="008F6B7E"/>
    <w:rsid w:val="008F6C1A"/>
    <w:rsid w:val="00901FA0"/>
    <w:rsid w:val="009033A7"/>
    <w:rsid w:val="00903A18"/>
    <w:rsid w:val="00904431"/>
    <w:rsid w:val="009061DB"/>
    <w:rsid w:val="009066CF"/>
    <w:rsid w:val="009068EB"/>
    <w:rsid w:val="009072FD"/>
    <w:rsid w:val="009104EC"/>
    <w:rsid w:val="00910836"/>
    <w:rsid w:val="00911271"/>
    <w:rsid w:val="009123F3"/>
    <w:rsid w:val="00916A02"/>
    <w:rsid w:val="009221DB"/>
    <w:rsid w:val="009234DC"/>
    <w:rsid w:val="00924B13"/>
    <w:rsid w:val="00926245"/>
    <w:rsid w:val="00932D99"/>
    <w:rsid w:val="00933CA2"/>
    <w:rsid w:val="00935D3A"/>
    <w:rsid w:val="00936B93"/>
    <w:rsid w:val="009375AA"/>
    <w:rsid w:val="00940541"/>
    <w:rsid w:val="0094128E"/>
    <w:rsid w:val="00941A2F"/>
    <w:rsid w:val="0094248C"/>
    <w:rsid w:val="00944214"/>
    <w:rsid w:val="00946373"/>
    <w:rsid w:val="00946477"/>
    <w:rsid w:val="009469B5"/>
    <w:rsid w:val="00950C39"/>
    <w:rsid w:val="00956423"/>
    <w:rsid w:val="00957086"/>
    <w:rsid w:val="009609AE"/>
    <w:rsid w:val="009630CB"/>
    <w:rsid w:val="00964F68"/>
    <w:rsid w:val="0097053E"/>
    <w:rsid w:val="00971E2E"/>
    <w:rsid w:val="00971FBC"/>
    <w:rsid w:val="00971FDE"/>
    <w:rsid w:val="0097276F"/>
    <w:rsid w:val="009749A3"/>
    <w:rsid w:val="009753FC"/>
    <w:rsid w:val="0098052C"/>
    <w:rsid w:val="009807C7"/>
    <w:rsid w:val="009826BC"/>
    <w:rsid w:val="0098295A"/>
    <w:rsid w:val="0098703A"/>
    <w:rsid w:val="00987B0E"/>
    <w:rsid w:val="00992A13"/>
    <w:rsid w:val="0099348A"/>
    <w:rsid w:val="00993AE6"/>
    <w:rsid w:val="00994AF5"/>
    <w:rsid w:val="009964EA"/>
    <w:rsid w:val="009A3429"/>
    <w:rsid w:val="009A3E5D"/>
    <w:rsid w:val="009A45D2"/>
    <w:rsid w:val="009B0571"/>
    <w:rsid w:val="009B062D"/>
    <w:rsid w:val="009B087E"/>
    <w:rsid w:val="009B55E7"/>
    <w:rsid w:val="009B6A15"/>
    <w:rsid w:val="009C1CD3"/>
    <w:rsid w:val="009C3347"/>
    <w:rsid w:val="009C5FB5"/>
    <w:rsid w:val="009C7917"/>
    <w:rsid w:val="009D02D6"/>
    <w:rsid w:val="009D0E84"/>
    <w:rsid w:val="009D236E"/>
    <w:rsid w:val="009D39FF"/>
    <w:rsid w:val="009D4FAD"/>
    <w:rsid w:val="009D59B4"/>
    <w:rsid w:val="009E0D7E"/>
    <w:rsid w:val="009E13E7"/>
    <w:rsid w:val="009E2A99"/>
    <w:rsid w:val="009E3FAE"/>
    <w:rsid w:val="009E49B6"/>
    <w:rsid w:val="009E5B68"/>
    <w:rsid w:val="009F21F8"/>
    <w:rsid w:val="009F268F"/>
    <w:rsid w:val="009F32E3"/>
    <w:rsid w:val="009F33CC"/>
    <w:rsid w:val="009F59D9"/>
    <w:rsid w:val="009F67EA"/>
    <w:rsid w:val="00A02C95"/>
    <w:rsid w:val="00A03333"/>
    <w:rsid w:val="00A03A20"/>
    <w:rsid w:val="00A06135"/>
    <w:rsid w:val="00A062F0"/>
    <w:rsid w:val="00A11198"/>
    <w:rsid w:val="00A1138E"/>
    <w:rsid w:val="00A12696"/>
    <w:rsid w:val="00A129CC"/>
    <w:rsid w:val="00A12A63"/>
    <w:rsid w:val="00A12F21"/>
    <w:rsid w:val="00A14CCC"/>
    <w:rsid w:val="00A14EB8"/>
    <w:rsid w:val="00A16B46"/>
    <w:rsid w:val="00A17D61"/>
    <w:rsid w:val="00A200A2"/>
    <w:rsid w:val="00A22AC7"/>
    <w:rsid w:val="00A2326D"/>
    <w:rsid w:val="00A23AAC"/>
    <w:rsid w:val="00A23D6F"/>
    <w:rsid w:val="00A24389"/>
    <w:rsid w:val="00A259F5"/>
    <w:rsid w:val="00A25E85"/>
    <w:rsid w:val="00A25F4D"/>
    <w:rsid w:val="00A26BBD"/>
    <w:rsid w:val="00A30288"/>
    <w:rsid w:val="00A30F6E"/>
    <w:rsid w:val="00A3587B"/>
    <w:rsid w:val="00A36DB7"/>
    <w:rsid w:val="00A42D7E"/>
    <w:rsid w:val="00A432AF"/>
    <w:rsid w:val="00A4412B"/>
    <w:rsid w:val="00A453B7"/>
    <w:rsid w:val="00A4583C"/>
    <w:rsid w:val="00A47D4A"/>
    <w:rsid w:val="00A500C3"/>
    <w:rsid w:val="00A50361"/>
    <w:rsid w:val="00A51774"/>
    <w:rsid w:val="00A51876"/>
    <w:rsid w:val="00A53A69"/>
    <w:rsid w:val="00A54375"/>
    <w:rsid w:val="00A558BB"/>
    <w:rsid w:val="00A57CA9"/>
    <w:rsid w:val="00A602EA"/>
    <w:rsid w:val="00A60DAE"/>
    <w:rsid w:val="00A66114"/>
    <w:rsid w:val="00A6646F"/>
    <w:rsid w:val="00A67D22"/>
    <w:rsid w:val="00A72BAD"/>
    <w:rsid w:val="00A7304C"/>
    <w:rsid w:val="00A73298"/>
    <w:rsid w:val="00A7636C"/>
    <w:rsid w:val="00A76A40"/>
    <w:rsid w:val="00A7748E"/>
    <w:rsid w:val="00A813A6"/>
    <w:rsid w:val="00A8774C"/>
    <w:rsid w:val="00A87D08"/>
    <w:rsid w:val="00A94322"/>
    <w:rsid w:val="00A94B08"/>
    <w:rsid w:val="00A963BD"/>
    <w:rsid w:val="00AA00B0"/>
    <w:rsid w:val="00AA1279"/>
    <w:rsid w:val="00AA311E"/>
    <w:rsid w:val="00AA33DB"/>
    <w:rsid w:val="00AA491C"/>
    <w:rsid w:val="00AA54EE"/>
    <w:rsid w:val="00AA5631"/>
    <w:rsid w:val="00AA578F"/>
    <w:rsid w:val="00AA5A9F"/>
    <w:rsid w:val="00AA6C44"/>
    <w:rsid w:val="00AA6FBE"/>
    <w:rsid w:val="00AA70DB"/>
    <w:rsid w:val="00AB4F02"/>
    <w:rsid w:val="00AB64D1"/>
    <w:rsid w:val="00AB6F14"/>
    <w:rsid w:val="00AB7579"/>
    <w:rsid w:val="00AB7804"/>
    <w:rsid w:val="00AC1611"/>
    <w:rsid w:val="00AC2B76"/>
    <w:rsid w:val="00AC4682"/>
    <w:rsid w:val="00AC6BB8"/>
    <w:rsid w:val="00AC7CDA"/>
    <w:rsid w:val="00AD0B8F"/>
    <w:rsid w:val="00AD1429"/>
    <w:rsid w:val="00AD357F"/>
    <w:rsid w:val="00AD736C"/>
    <w:rsid w:val="00AE3A78"/>
    <w:rsid w:val="00AF399F"/>
    <w:rsid w:val="00AF4813"/>
    <w:rsid w:val="00AF4A52"/>
    <w:rsid w:val="00AF7872"/>
    <w:rsid w:val="00B00602"/>
    <w:rsid w:val="00B03313"/>
    <w:rsid w:val="00B05933"/>
    <w:rsid w:val="00B06DEF"/>
    <w:rsid w:val="00B13B16"/>
    <w:rsid w:val="00B143B0"/>
    <w:rsid w:val="00B1762D"/>
    <w:rsid w:val="00B17CD6"/>
    <w:rsid w:val="00B20B02"/>
    <w:rsid w:val="00B22D38"/>
    <w:rsid w:val="00B2373D"/>
    <w:rsid w:val="00B23964"/>
    <w:rsid w:val="00B24951"/>
    <w:rsid w:val="00B2536A"/>
    <w:rsid w:val="00B25F3A"/>
    <w:rsid w:val="00B30AC5"/>
    <w:rsid w:val="00B31347"/>
    <w:rsid w:val="00B32FEC"/>
    <w:rsid w:val="00B331DB"/>
    <w:rsid w:val="00B34087"/>
    <w:rsid w:val="00B3731C"/>
    <w:rsid w:val="00B423CA"/>
    <w:rsid w:val="00B42DAD"/>
    <w:rsid w:val="00B4558E"/>
    <w:rsid w:val="00B522BD"/>
    <w:rsid w:val="00B527F1"/>
    <w:rsid w:val="00B52C7B"/>
    <w:rsid w:val="00B535B2"/>
    <w:rsid w:val="00B5654A"/>
    <w:rsid w:val="00B579FA"/>
    <w:rsid w:val="00B61A2F"/>
    <w:rsid w:val="00B61D72"/>
    <w:rsid w:val="00B62A86"/>
    <w:rsid w:val="00B63707"/>
    <w:rsid w:val="00B651C0"/>
    <w:rsid w:val="00B658A2"/>
    <w:rsid w:val="00B66463"/>
    <w:rsid w:val="00B669F7"/>
    <w:rsid w:val="00B71A08"/>
    <w:rsid w:val="00B71E0D"/>
    <w:rsid w:val="00B72CC4"/>
    <w:rsid w:val="00B73059"/>
    <w:rsid w:val="00B74DD8"/>
    <w:rsid w:val="00B7516E"/>
    <w:rsid w:val="00B8011B"/>
    <w:rsid w:val="00B83B5A"/>
    <w:rsid w:val="00B90895"/>
    <w:rsid w:val="00B90F77"/>
    <w:rsid w:val="00B91E5A"/>
    <w:rsid w:val="00B931A3"/>
    <w:rsid w:val="00B93B57"/>
    <w:rsid w:val="00B95105"/>
    <w:rsid w:val="00B9557E"/>
    <w:rsid w:val="00B974FF"/>
    <w:rsid w:val="00BA2714"/>
    <w:rsid w:val="00BA2774"/>
    <w:rsid w:val="00BA4AC6"/>
    <w:rsid w:val="00BA7E52"/>
    <w:rsid w:val="00BB02E1"/>
    <w:rsid w:val="00BB328F"/>
    <w:rsid w:val="00BB45C5"/>
    <w:rsid w:val="00BB5F1B"/>
    <w:rsid w:val="00BB6764"/>
    <w:rsid w:val="00BB7430"/>
    <w:rsid w:val="00BC07AA"/>
    <w:rsid w:val="00BC0C0B"/>
    <w:rsid w:val="00BC17E5"/>
    <w:rsid w:val="00BD0E06"/>
    <w:rsid w:val="00BD2C2F"/>
    <w:rsid w:val="00BD47C4"/>
    <w:rsid w:val="00BD4F4D"/>
    <w:rsid w:val="00BD7054"/>
    <w:rsid w:val="00BE0197"/>
    <w:rsid w:val="00BE442E"/>
    <w:rsid w:val="00BE6BA6"/>
    <w:rsid w:val="00BE7995"/>
    <w:rsid w:val="00BF26F8"/>
    <w:rsid w:val="00BF3141"/>
    <w:rsid w:val="00BF3143"/>
    <w:rsid w:val="00BF4263"/>
    <w:rsid w:val="00BF4B76"/>
    <w:rsid w:val="00BF621F"/>
    <w:rsid w:val="00C10C8A"/>
    <w:rsid w:val="00C1106F"/>
    <w:rsid w:val="00C12BD4"/>
    <w:rsid w:val="00C14C32"/>
    <w:rsid w:val="00C1506F"/>
    <w:rsid w:val="00C1567D"/>
    <w:rsid w:val="00C16F64"/>
    <w:rsid w:val="00C22FF8"/>
    <w:rsid w:val="00C238DB"/>
    <w:rsid w:val="00C244BC"/>
    <w:rsid w:val="00C3218E"/>
    <w:rsid w:val="00C323DC"/>
    <w:rsid w:val="00C33CC9"/>
    <w:rsid w:val="00C34536"/>
    <w:rsid w:val="00C44462"/>
    <w:rsid w:val="00C50552"/>
    <w:rsid w:val="00C50C63"/>
    <w:rsid w:val="00C54307"/>
    <w:rsid w:val="00C560AD"/>
    <w:rsid w:val="00C56CE7"/>
    <w:rsid w:val="00C57FC5"/>
    <w:rsid w:val="00C61EAD"/>
    <w:rsid w:val="00C63503"/>
    <w:rsid w:val="00C644D1"/>
    <w:rsid w:val="00C648FF"/>
    <w:rsid w:val="00C6587A"/>
    <w:rsid w:val="00C70A68"/>
    <w:rsid w:val="00C71816"/>
    <w:rsid w:val="00C71900"/>
    <w:rsid w:val="00C74536"/>
    <w:rsid w:val="00C76D37"/>
    <w:rsid w:val="00C76D8F"/>
    <w:rsid w:val="00C77F65"/>
    <w:rsid w:val="00C839E4"/>
    <w:rsid w:val="00C84379"/>
    <w:rsid w:val="00C851AC"/>
    <w:rsid w:val="00C8633F"/>
    <w:rsid w:val="00C87023"/>
    <w:rsid w:val="00C87D61"/>
    <w:rsid w:val="00C91383"/>
    <w:rsid w:val="00C9140A"/>
    <w:rsid w:val="00C92DAD"/>
    <w:rsid w:val="00C9519E"/>
    <w:rsid w:val="00C95D6D"/>
    <w:rsid w:val="00C96B33"/>
    <w:rsid w:val="00CA370C"/>
    <w:rsid w:val="00CA56B4"/>
    <w:rsid w:val="00CA6953"/>
    <w:rsid w:val="00CA6AB6"/>
    <w:rsid w:val="00CA7D6D"/>
    <w:rsid w:val="00CB099A"/>
    <w:rsid w:val="00CB1622"/>
    <w:rsid w:val="00CB19DD"/>
    <w:rsid w:val="00CB49E0"/>
    <w:rsid w:val="00CB4A3B"/>
    <w:rsid w:val="00CB60AA"/>
    <w:rsid w:val="00CB7889"/>
    <w:rsid w:val="00CC6A52"/>
    <w:rsid w:val="00CC7354"/>
    <w:rsid w:val="00CC79B6"/>
    <w:rsid w:val="00CD23B0"/>
    <w:rsid w:val="00CD3CEA"/>
    <w:rsid w:val="00CD61A3"/>
    <w:rsid w:val="00CD7BEF"/>
    <w:rsid w:val="00CE09CF"/>
    <w:rsid w:val="00CE1C78"/>
    <w:rsid w:val="00CE21A8"/>
    <w:rsid w:val="00CE23BB"/>
    <w:rsid w:val="00CE6E98"/>
    <w:rsid w:val="00CE7454"/>
    <w:rsid w:val="00CF0B87"/>
    <w:rsid w:val="00CF35EC"/>
    <w:rsid w:val="00D02E52"/>
    <w:rsid w:val="00D03249"/>
    <w:rsid w:val="00D0327D"/>
    <w:rsid w:val="00D061AD"/>
    <w:rsid w:val="00D10C90"/>
    <w:rsid w:val="00D14991"/>
    <w:rsid w:val="00D16C0D"/>
    <w:rsid w:val="00D17968"/>
    <w:rsid w:val="00D20DCA"/>
    <w:rsid w:val="00D21427"/>
    <w:rsid w:val="00D225CA"/>
    <w:rsid w:val="00D22B25"/>
    <w:rsid w:val="00D23E84"/>
    <w:rsid w:val="00D24464"/>
    <w:rsid w:val="00D265B6"/>
    <w:rsid w:val="00D276C8"/>
    <w:rsid w:val="00D27E1E"/>
    <w:rsid w:val="00D3384B"/>
    <w:rsid w:val="00D34C29"/>
    <w:rsid w:val="00D35905"/>
    <w:rsid w:val="00D35C63"/>
    <w:rsid w:val="00D371FD"/>
    <w:rsid w:val="00D37F46"/>
    <w:rsid w:val="00D40CA9"/>
    <w:rsid w:val="00D41AEE"/>
    <w:rsid w:val="00D41C10"/>
    <w:rsid w:val="00D41C88"/>
    <w:rsid w:val="00D4592C"/>
    <w:rsid w:val="00D470F5"/>
    <w:rsid w:val="00D47566"/>
    <w:rsid w:val="00D51313"/>
    <w:rsid w:val="00D521A8"/>
    <w:rsid w:val="00D52246"/>
    <w:rsid w:val="00D54251"/>
    <w:rsid w:val="00D556AF"/>
    <w:rsid w:val="00D643F3"/>
    <w:rsid w:val="00D65D1F"/>
    <w:rsid w:val="00D67800"/>
    <w:rsid w:val="00D67827"/>
    <w:rsid w:val="00D67EE3"/>
    <w:rsid w:val="00D705EF"/>
    <w:rsid w:val="00D72FC1"/>
    <w:rsid w:val="00D73F8C"/>
    <w:rsid w:val="00D742F0"/>
    <w:rsid w:val="00D7488F"/>
    <w:rsid w:val="00D754AC"/>
    <w:rsid w:val="00D75C26"/>
    <w:rsid w:val="00D75EAC"/>
    <w:rsid w:val="00D81A2A"/>
    <w:rsid w:val="00D859A1"/>
    <w:rsid w:val="00D87352"/>
    <w:rsid w:val="00D9188A"/>
    <w:rsid w:val="00D9289B"/>
    <w:rsid w:val="00D930D3"/>
    <w:rsid w:val="00D962C1"/>
    <w:rsid w:val="00D96E6A"/>
    <w:rsid w:val="00D97029"/>
    <w:rsid w:val="00DA444E"/>
    <w:rsid w:val="00DA4547"/>
    <w:rsid w:val="00DA57A0"/>
    <w:rsid w:val="00DA5DE7"/>
    <w:rsid w:val="00DA773F"/>
    <w:rsid w:val="00DA7D39"/>
    <w:rsid w:val="00DB08CD"/>
    <w:rsid w:val="00DB37DB"/>
    <w:rsid w:val="00DB4929"/>
    <w:rsid w:val="00DB522E"/>
    <w:rsid w:val="00DB6230"/>
    <w:rsid w:val="00DB780E"/>
    <w:rsid w:val="00DC01DE"/>
    <w:rsid w:val="00DC74B8"/>
    <w:rsid w:val="00DD06A0"/>
    <w:rsid w:val="00DD0F98"/>
    <w:rsid w:val="00DD329C"/>
    <w:rsid w:val="00DD3651"/>
    <w:rsid w:val="00DD7820"/>
    <w:rsid w:val="00DE03F0"/>
    <w:rsid w:val="00DE27D9"/>
    <w:rsid w:val="00DE2910"/>
    <w:rsid w:val="00DE2E24"/>
    <w:rsid w:val="00DE436E"/>
    <w:rsid w:val="00DE5A8F"/>
    <w:rsid w:val="00DF0559"/>
    <w:rsid w:val="00DF1295"/>
    <w:rsid w:val="00DF19A4"/>
    <w:rsid w:val="00DF202A"/>
    <w:rsid w:val="00DF2238"/>
    <w:rsid w:val="00DF413B"/>
    <w:rsid w:val="00DF5639"/>
    <w:rsid w:val="00DF78D2"/>
    <w:rsid w:val="00E013EC"/>
    <w:rsid w:val="00E057D3"/>
    <w:rsid w:val="00E068A0"/>
    <w:rsid w:val="00E07066"/>
    <w:rsid w:val="00E07FEA"/>
    <w:rsid w:val="00E110A1"/>
    <w:rsid w:val="00E14150"/>
    <w:rsid w:val="00E161E4"/>
    <w:rsid w:val="00E1634E"/>
    <w:rsid w:val="00E165B0"/>
    <w:rsid w:val="00E176D8"/>
    <w:rsid w:val="00E20D68"/>
    <w:rsid w:val="00E21A14"/>
    <w:rsid w:val="00E22864"/>
    <w:rsid w:val="00E23212"/>
    <w:rsid w:val="00E32B82"/>
    <w:rsid w:val="00E32F5C"/>
    <w:rsid w:val="00E374BA"/>
    <w:rsid w:val="00E4221A"/>
    <w:rsid w:val="00E422CE"/>
    <w:rsid w:val="00E42BE8"/>
    <w:rsid w:val="00E4606A"/>
    <w:rsid w:val="00E512ED"/>
    <w:rsid w:val="00E53EC3"/>
    <w:rsid w:val="00E558E8"/>
    <w:rsid w:val="00E61448"/>
    <w:rsid w:val="00E61D89"/>
    <w:rsid w:val="00E6389B"/>
    <w:rsid w:val="00E65357"/>
    <w:rsid w:val="00E66C22"/>
    <w:rsid w:val="00E671C2"/>
    <w:rsid w:val="00E74652"/>
    <w:rsid w:val="00E757B0"/>
    <w:rsid w:val="00E76D0E"/>
    <w:rsid w:val="00E82656"/>
    <w:rsid w:val="00E8327F"/>
    <w:rsid w:val="00E83C93"/>
    <w:rsid w:val="00E86456"/>
    <w:rsid w:val="00E87F02"/>
    <w:rsid w:val="00E906F9"/>
    <w:rsid w:val="00E93FD9"/>
    <w:rsid w:val="00E963F9"/>
    <w:rsid w:val="00E9668F"/>
    <w:rsid w:val="00EA1E30"/>
    <w:rsid w:val="00EA2F26"/>
    <w:rsid w:val="00EA444F"/>
    <w:rsid w:val="00EA5DDA"/>
    <w:rsid w:val="00EB4694"/>
    <w:rsid w:val="00EB6044"/>
    <w:rsid w:val="00EB6B47"/>
    <w:rsid w:val="00EC3656"/>
    <w:rsid w:val="00EC795B"/>
    <w:rsid w:val="00ED0E76"/>
    <w:rsid w:val="00ED12D1"/>
    <w:rsid w:val="00ED22C0"/>
    <w:rsid w:val="00ED2654"/>
    <w:rsid w:val="00ED656C"/>
    <w:rsid w:val="00ED66F7"/>
    <w:rsid w:val="00EE0056"/>
    <w:rsid w:val="00EE2D06"/>
    <w:rsid w:val="00EE3E5F"/>
    <w:rsid w:val="00EE5D19"/>
    <w:rsid w:val="00EE6D22"/>
    <w:rsid w:val="00EE7A64"/>
    <w:rsid w:val="00EE7BBC"/>
    <w:rsid w:val="00EF101F"/>
    <w:rsid w:val="00EF40F5"/>
    <w:rsid w:val="00EF468C"/>
    <w:rsid w:val="00EF4A1F"/>
    <w:rsid w:val="00EF613C"/>
    <w:rsid w:val="00F01605"/>
    <w:rsid w:val="00F034BC"/>
    <w:rsid w:val="00F052D6"/>
    <w:rsid w:val="00F06EB4"/>
    <w:rsid w:val="00F07BFB"/>
    <w:rsid w:val="00F12BB7"/>
    <w:rsid w:val="00F12D54"/>
    <w:rsid w:val="00F13288"/>
    <w:rsid w:val="00F13944"/>
    <w:rsid w:val="00F145AA"/>
    <w:rsid w:val="00F168A8"/>
    <w:rsid w:val="00F212AD"/>
    <w:rsid w:val="00F217E9"/>
    <w:rsid w:val="00F222ED"/>
    <w:rsid w:val="00F24DF3"/>
    <w:rsid w:val="00F304FF"/>
    <w:rsid w:val="00F32BBF"/>
    <w:rsid w:val="00F33C07"/>
    <w:rsid w:val="00F354E0"/>
    <w:rsid w:val="00F367A4"/>
    <w:rsid w:val="00F44061"/>
    <w:rsid w:val="00F45211"/>
    <w:rsid w:val="00F45DF6"/>
    <w:rsid w:val="00F4618F"/>
    <w:rsid w:val="00F5098E"/>
    <w:rsid w:val="00F50BFA"/>
    <w:rsid w:val="00F51A6E"/>
    <w:rsid w:val="00F53327"/>
    <w:rsid w:val="00F53B32"/>
    <w:rsid w:val="00F55DE6"/>
    <w:rsid w:val="00F6221A"/>
    <w:rsid w:val="00F6262A"/>
    <w:rsid w:val="00F62A3B"/>
    <w:rsid w:val="00F63F35"/>
    <w:rsid w:val="00F648B8"/>
    <w:rsid w:val="00F65FD0"/>
    <w:rsid w:val="00F66E2E"/>
    <w:rsid w:val="00F71C68"/>
    <w:rsid w:val="00F737E5"/>
    <w:rsid w:val="00F74B42"/>
    <w:rsid w:val="00F7591E"/>
    <w:rsid w:val="00F80CDD"/>
    <w:rsid w:val="00F84236"/>
    <w:rsid w:val="00F853B8"/>
    <w:rsid w:val="00F913DE"/>
    <w:rsid w:val="00F931FB"/>
    <w:rsid w:val="00FA0A27"/>
    <w:rsid w:val="00FA1375"/>
    <w:rsid w:val="00FA14D3"/>
    <w:rsid w:val="00FA3AED"/>
    <w:rsid w:val="00FA495A"/>
    <w:rsid w:val="00FA7CE5"/>
    <w:rsid w:val="00FB058E"/>
    <w:rsid w:val="00FB0AE0"/>
    <w:rsid w:val="00FB0D25"/>
    <w:rsid w:val="00FB0DFF"/>
    <w:rsid w:val="00FB1C96"/>
    <w:rsid w:val="00FB1D0D"/>
    <w:rsid w:val="00FB2443"/>
    <w:rsid w:val="00FB2540"/>
    <w:rsid w:val="00FB377A"/>
    <w:rsid w:val="00FB404B"/>
    <w:rsid w:val="00FB6A5D"/>
    <w:rsid w:val="00FB6E1B"/>
    <w:rsid w:val="00FB70F9"/>
    <w:rsid w:val="00FC180F"/>
    <w:rsid w:val="00FC1A39"/>
    <w:rsid w:val="00FC4060"/>
    <w:rsid w:val="00FC66B2"/>
    <w:rsid w:val="00FC7259"/>
    <w:rsid w:val="00FC7AB1"/>
    <w:rsid w:val="00FC7EA9"/>
    <w:rsid w:val="00FD0387"/>
    <w:rsid w:val="00FD611B"/>
    <w:rsid w:val="00FD653F"/>
    <w:rsid w:val="00FD69CC"/>
    <w:rsid w:val="00FD7913"/>
    <w:rsid w:val="00FE33B2"/>
    <w:rsid w:val="00FE4CD0"/>
    <w:rsid w:val="00FE7180"/>
    <w:rsid w:val="00FF1CE6"/>
    <w:rsid w:val="00FF2ED7"/>
    <w:rsid w:val="00FF38F9"/>
    <w:rsid w:val="00FF3E8D"/>
    <w:rsid w:val="00FF442F"/>
    <w:rsid w:val="00FF649C"/>
    <w:rsid w:val="00FF7D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06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0056"/>
    <w:rPr>
      <w:rFonts w:ascii="Times New Roman" w:eastAsia="Times New Roman" w:hAnsi="Times New Roman"/>
      <w:sz w:val="24"/>
      <w:szCs w:val="24"/>
    </w:rPr>
  </w:style>
  <w:style w:type="paragraph" w:styleId="Kop1">
    <w:name w:val="heading 1"/>
    <w:basedOn w:val="Standaard"/>
    <w:next w:val="Standaard"/>
    <w:link w:val="Kop1Char"/>
    <w:qFormat/>
    <w:rsid w:val="00CA7D6D"/>
    <w:pPr>
      <w:keepNext/>
      <w:spacing w:line="360" w:lineRule="auto"/>
      <w:outlineLvl w:val="0"/>
    </w:pPr>
    <w:rPr>
      <w:b/>
      <w:lang w:val="nl"/>
    </w:rPr>
  </w:style>
  <w:style w:type="paragraph" w:styleId="Kop2">
    <w:name w:val="heading 2"/>
    <w:basedOn w:val="Standaard"/>
    <w:next w:val="Standaard"/>
    <w:link w:val="Kop2Char"/>
    <w:qFormat/>
    <w:rsid w:val="00CA7D6D"/>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qFormat/>
    <w:rsid w:val="00CA7D6D"/>
    <w:pPr>
      <w:keepNext/>
      <w:spacing w:before="240" w:after="60"/>
      <w:outlineLvl w:val="2"/>
    </w:pPr>
    <w:rPr>
      <w:rFonts w:ascii="Arial" w:hAnsi="Arial" w:cs="Arial"/>
      <w:b/>
      <w:bCs/>
      <w:sz w:val="26"/>
      <w:szCs w:val="26"/>
    </w:rPr>
  </w:style>
  <w:style w:type="paragraph" w:styleId="Kop4">
    <w:name w:val="heading 4"/>
    <w:basedOn w:val="Standaard"/>
    <w:next w:val="Standaard"/>
    <w:link w:val="Kop4Char"/>
    <w:qFormat/>
    <w:rsid w:val="00CA7D6D"/>
    <w:pPr>
      <w:keepNext/>
      <w:spacing w:before="240" w:after="60"/>
      <w:outlineLvl w:val="3"/>
    </w:pPr>
    <w:rPr>
      <w:b/>
      <w:bCs/>
      <w:sz w:val="28"/>
      <w:szCs w:val="28"/>
    </w:rPr>
  </w:style>
  <w:style w:type="paragraph" w:styleId="Kop5">
    <w:name w:val="heading 5"/>
    <w:basedOn w:val="Standaard"/>
    <w:next w:val="Standaard"/>
    <w:link w:val="Kop5Char"/>
    <w:qFormat/>
    <w:rsid w:val="00CA7D6D"/>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7D6D"/>
    <w:rPr>
      <w:rFonts w:ascii="Times New Roman" w:eastAsia="Times New Roman" w:hAnsi="Times New Roman"/>
      <w:b/>
      <w:sz w:val="24"/>
      <w:szCs w:val="24"/>
      <w:lang w:val="nl"/>
    </w:rPr>
  </w:style>
  <w:style w:type="character" w:customStyle="1" w:styleId="Kop2Char">
    <w:name w:val="Kop 2 Char"/>
    <w:basedOn w:val="Standaardalinea-lettertype"/>
    <w:link w:val="Kop2"/>
    <w:rsid w:val="00CA7D6D"/>
    <w:rPr>
      <w:rFonts w:ascii="Arial" w:eastAsia="Times New Roman" w:hAnsi="Arial" w:cs="Arial"/>
      <w:b/>
      <w:bCs/>
      <w:i/>
      <w:iCs/>
      <w:sz w:val="28"/>
      <w:szCs w:val="28"/>
    </w:rPr>
  </w:style>
  <w:style w:type="character" w:customStyle="1" w:styleId="Kop3Char">
    <w:name w:val="Kop 3 Char"/>
    <w:basedOn w:val="Standaardalinea-lettertype"/>
    <w:link w:val="Kop3"/>
    <w:rsid w:val="00CA7D6D"/>
    <w:rPr>
      <w:rFonts w:ascii="Arial" w:eastAsia="Times New Roman" w:hAnsi="Arial" w:cs="Arial"/>
      <w:b/>
      <w:bCs/>
      <w:sz w:val="26"/>
      <w:szCs w:val="26"/>
    </w:rPr>
  </w:style>
  <w:style w:type="character" w:customStyle="1" w:styleId="Kop4Char">
    <w:name w:val="Kop 4 Char"/>
    <w:basedOn w:val="Standaardalinea-lettertype"/>
    <w:link w:val="Kop4"/>
    <w:rsid w:val="00CA7D6D"/>
    <w:rPr>
      <w:rFonts w:ascii="Times New Roman" w:eastAsia="Times New Roman" w:hAnsi="Times New Roman"/>
      <w:b/>
      <w:bCs/>
      <w:sz w:val="28"/>
      <w:szCs w:val="28"/>
    </w:rPr>
  </w:style>
  <w:style w:type="character" w:customStyle="1" w:styleId="Kop5Char">
    <w:name w:val="Kop 5 Char"/>
    <w:basedOn w:val="Standaardalinea-lettertype"/>
    <w:link w:val="Kop5"/>
    <w:rsid w:val="00CA7D6D"/>
    <w:rPr>
      <w:rFonts w:ascii="Times New Roman" w:eastAsia="Times New Roman" w:hAnsi="Times New Roman"/>
      <w:b/>
      <w:bCs/>
      <w:i/>
      <w:iCs/>
      <w:sz w:val="26"/>
      <w:szCs w:val="26"/>
    </w:rPr>
  </w:style>
  <w:style w:type="paragraph" w:styleId="Normaalweb">
    <w:name w:val="Normal (Web)"/>
    <w:basedOn w:val="Standaard"/>
    <w:uiPriority w:val="99"/>
    <w:rsid w:val="00EE0056"/>
    <w:pPr>
      <w:spacing w:before="100" w:beforeAutospacing="1" w:after="100" w:afterAutospacing="1"/>
    </w:pPr>
  </w:style>
  <w:style w:type="character" w:customStyle="1" w:styleId="VoetnoottekstChar">
    <w:name w:val="Voetnoottekst Char"/>
    <w:basedOn w:val="Standaardalinea-lettertype"/>
    <w:link w:val="Voetnoottekst"/>
    <w:uiPriority w:val="99"/>
    <w:rsid w:val="00EE0056"/>
    <w:rPr>
      <w:rFonts w:ascii="Times New Roman" w:eastAsia="Times New Roman" w:hAnsi="Times New Roman"/>
    </w:rPr>
  </w:style>
  <w:style w:type="paragraph" w:styleId="Voetnoottekst">
    <w:name w:val="footnote text"/>
    <w:basedOn w:val="Standaard"/>
    <w:link w:val="VoetnoottekstChar"/>
    <w:uiPriority w:val="99"/>
    <w:rsid w:val="00EE0056"/>
    <w:rPr>
      <w:sz w:val="22"/>
      <w:szCs w:val="22"/>
      <w:lang w:eastAsia="en-US"/>
    </w:rPr>
  </w:style>
  <w:style w:type="character" w:customStyle="1" w:styleId="VoetnoottekstChar1">
    <w:name w:val="Voetnoottekst Char1"/>
    <w:basedOn w:val="Standaardalinea-lettertype"/>
    <w:uiPriority w:val="99"/>
    <w:semiHidden/>
    <w:rsid w:val="00EE0056"/>
    <w:rPr>
      <w:rFonts w:ascii="Times New Roman" w:eastAsia="Times New Roman" w:hAnsi="Times New Roman" w:cs="Times New Roman"/>
      <w:sz w:val="20"/>
      <w:szCs w:val="20"/>
      <w:lang w:eastAsia="nl-NL"/>
    </w:rPr>
  </w:style>
  <w:style w:type="paragraph" w:styleId="Geenafstand">
    <w:name w:val="No Spacing"/>
    <w:uiPriority w:val="1"/>
    <w:qFormat/>
    <w:rsid w:val="00EE0056"/>
    <w:rPr>
      <w:rFonts w:ascii="Verdana" w:hAnsi="Verdana"/>
      <w:sz w:val="18"/>
      <w:szCs w:val="22"/>
      <w:lang w:eastAsia="en-US"/>
    </w:rPr>
  </w:style>
  <w:style w:type="character" w:customStyle="1" w:styleId="KoptekstChar">
    <w:name w:val="Koptekst Char"/>
    <w:basedOn w:val="Standaardalinea-lettertype"/>
    <w:link w:val="Koptekst"/>
    <w:rsid w:val="00CA7D6D"/>
    <w:rPr>
      <w:rFonts w:ascii="Times New Roman" w:eastAsia="Times New Roman" w:hAnsi="Times New Roman"/>
      <w:sz w:val="24"/>
      <w:szCs w:val="24"/>
    </w:rPr>
  </w:style>
  <w:style w:type="paragraph" w:styleId="Koptekst">
    <w:name w:val="header"/>
    <w:basedOn w:val="Standaard"/>
    <w:link w:val="KoptekstChar"/>
    <w:rsid w:val="00CA7D6D"/>
    <w:pPr>
      <w:tabs>
        <w:tab w:val="center" w:pos="4536"/>
        <w:tab w:val="right" w:pos="9072"/>
      </w:tabs>
    </w:pPr>
  </w:style>
  <w:style w:type="character" w:customStyle="1" w:styleId="KoptekstChar1">
    <w:name w:val="Koptekst Char1"/>
    <w:basedOn w:val="Standaardalinea-lettertype"/>
    <w:uiPriority w:val="99"/>
    <w:semiHidden/>
    <w:rsid w:val="00CA7D6D"/>
    <w:rPr>
      <w:rFonts w:ascii="Times New Roman" w:eastAsia="Times New Roman" w:hAnsi="Times New Roman"/>
      <w:sz w:val="24"/>
      <w:szCs w:val="24"/>
    </w:rPr>
  </w:style>
  <w:style w:type="character" w:customStyle="1" w:styleId="VoettekstChar">
    <w:name w:val="Voettekst Char"/>
    <w:basedOn w:val="Standaardalinea-lettertype"/>
    <w:link w:val="Voettekst"/>
    <w:uiPriority w:val="99"/>
    <w:rsid w:val="00CA7D6D"/>
    <w:rPr>
      <w:rFonts w:ascii="Times New Roman" w:eastAsia="Times New Roman" w:hAnsi="Times New Roman"/>
      <w:sz w:val="24"/>
      <w:szCs w:val="24"/>
    </w:rPr>
  </w:style>
  <w:style w:type="paragraph" w:styleId="Voettekst">
    <w:name w:val="footer"/>
    <w:basedOn w:val="Standaard"/>
    <w:link w:val="VoettekstChar"/>
    <w:uiPriority w:val="99"/>
    <w:rsid w:val="00CA7D6D"/>
    <w:pPr>
      <w:tabs>
        <w:tab w:val="center" w:pos="4536"/>
        <w:tab w:val="right" w:pos="9072"/>
      </w:tabs>
    </w:pPr>
  </w:style>
  <w:style w:type="character" w:customStyle="1" w:styleId="VoettekstChar1">
    <w:name w:val="Voettekst Char1"/>
    <w:basedOn w:val="Standaardalinea-lettertype"/>
    <w:uiPriority w:val="99"/>
    <w:semiHidden/>
    <w:rsid w:val="00CA7D6D"/>
    <w:rPr>
      <w:rFonts w:ascii="Times New Roman" w:eastAsia="Times New Roman" w:hAnsi="Times New Roman"/>
      <w:sz w:val="24"/>
      <w:szCs w:val="24"/>
    </w:rPr>
  </w:style>
  <w:style w:type="character" w:customStyle="1" w:styleId="BallontekstChar">
    <w:name w:val="Ballontekst Char"/>
    <w:basedOn w:val="Standaardalinea-lettertype"/>
    <w:link w:val="Ballontekst"/>
    <w:semiHidden/>
    <w:rsid w:val="00CA7D6D"/>
    <w:rPr>
      <w:rFonts w:ascii="Tahoma" w:eastAsia="Times New Roman" w:hAnsi="Tahoma" w:cs="Tahoma"/>
      <w:sz w:val="16"/>
      <w:szCs w:val="16"/>
    </w:rPr>
  </w:style>
  <w:style w:type="paragraph" w:styleId="Ballontekst">
    <w:name w:val="Balloon Text"/>
    <w:basedOn w:val="Standaard"/>
    <w:link w:val="BallontekstChar"/>
    <w:semiHidden/>
    <w:rsid w:val="00CA7D6D"/>
    <w:rPr>
      <w:rFonts w:ascii="Tahoma" w:hAnsi="Tahoma" w:cs="Tahoma"/>
      <w:sz w:val="16"/>
      <w:szCs w:val="16"/>
    </w:rPr>
  </w:style>
  <w:style w:type="character" w:customStyle="1" w:styleId="Nadrukvet">
    <w:name w:val="Nadruk (vet)"/>
    <w:rsid w:val="00CA7D6D"/>
    <w:rPr>
      <w:b/>
    </w:rPr>
  </w:style>
  <w:style w:type="paragraph" w:customStyle="1" w:styleId="Plattetekstrechts">
    <w:name w:val="Platte tekst (rechts)"/>
    <w:uiPriority w:val="99"/>
    <w:rsid w:val="00CA7D6D"/>
    <w:pPr>
      <w:widowControl w:val="0"/>
      <w:autoSpaceDE w:val="0"/>
      <w:autoSpaceDN w:val="0"/>
      <w:adjustRightInd w:val="0"/>
      <w:jc w:val="right"/>
    </w:pPr>
    <w:rPr>
      <w:rFonts w:ascii="Arial" w:eastAsia="Times New Roman" w:hAnsi="Arial" w:cs="Arial"/>
    </w:rPr>
  </w:style>
  <w:style w:type="paragraph" w:customStyle="1" w:styleId="Onderdeelvaneenlijstdiepte1">
    <w:name w:val="Onderdeel van een lijst (diepte 1)"/>
    <w:rsid w:val="00CA7D6D"/>
    <w:pPr>
      <w:widowControl w:val="0"/>
      <w:autoSpaceDE w:val="0"/>
      <w:autoSpaceDN w:val="0"/>
      <w:adjustRightInd w:val="0"/>
      <w:ind w:left="960" w:hanging="320"/>
    </w:pPr>
    <w:rPr>
      <w:rFonts w:ascii="Arial" w:eastAsia="Times New Roman" w:hAnsi="Arial" w:cs="Arial"/>
    </w:rPr>
  </w:style>
  <w:style w:type="character" w:styleId="Hyperlink">
    <w:name w:val="Hyperlink"/>
    <w:basedOn w:val="Standaardalinea-lettertype"/>
    <w:rsid w:val="00CA7D6D"/>
    <w:rPr>
      <w:color w:val="0000FF"/>
      <w:u w:val="single"/>
    </w:rPr>
  </w:style>
  <w:style w:type="character" w:customStyle="1" w:styleId="TekstopmerkingChar">
    <w:name w:val="Tekst opmerking Char"/>
    <w:basedOn w:val="Standaardalinea-lettertype"/>
    <w:link w:val="Tekstopmerking"/>
    <w:uiPriority w:val="99"/>
    <w:semiHidden/>
    <w:rsid w:val="00CA7D6D"/>
    <w:rPr>
      <w:rFonts w:ascii="Times New Roman" w:eastAsia="Times New Roman" w:hAnsi="Times New Roman"/>
    </w:rPr>
  </w:style>
  <w:style w:type="paragraph" w:styleId="Tekstopmerking">
    <w:name w:val="annotation text"/>
    <w:basedOn w:val="Standaard"/>
    <w:link w:val="TekstopmerkingChar"/>
    <w:uiPriority w:val="99"/>
    <w:semiHidden/>
    <w:rsid w:val="00CA7D6D"/>
    <w:rPr>
      <w:sz w:val="20"/>
      <w:szCs w:val="20"/>
    </w:rPr>
  </w:style>
  <w:style w:type="character" w:customStyle="1" w:styleId="TekstopmerkingChar1">
    <w:name w:val="Tekst opmerking Char1"/>
    <w:basedOn w:val="Standaardalinea-lettertype"/>
    <w:uiPriority w:val="99"/>
    <w:semiHidden/>
    <w:rsid w:val="00CA7D6D"/>
    <w:rPr>
      <w:rFonts w:ascii="Times New Roman" w:eastAsia="Times New Roman" w:hAnsi="Times New Roman"/>
    </w:rPr>
  </w:style>
  <w:style w:type="character" w:customStyle="1" w:styleId="OnderwerpvanopmerkingChar">
    <w:name w:val="Onderwerp van opmerking Char"/>
    <w:basedOn w:val="TekstopmerkingChar"/>
    <w:link w:val="Onderwerpvanopmerking"/>
    <w:semiHidden/>
    <w:rsid w:val="00CA7D6D"/>
    <w:rPr>
      <w:rFonts w:ascii="Times New Roman" w:eastAsia="Times New Roman" w:hAnsi="Times New Roman"/>
      <w:b/>
      <w:bCs/>
    </w:rPr>
  </w:style>
  <w:style w:type="paragraph" w:styleId="Onderwerpvanopmerking">
    <w:name w:val="annotation subject"/>
    <w:basedOn w:val="Tekstopmerking"/>
    <w:next w:val="Tekstopmerking"/>
    <w:link w:val="OnderwerpvanopmerkingChar"/>
    <w:semiHidden/>
    <w:rsid w:val="00CA7D6D"/>
    <w:rPr>
      <w:b/>
      <w:bCs/>
    </w:rPr>
  </w:style>
  <w:style w:type="character" w:customStyle="1" w:styleId="OnderwerpvanopmerkingChar1">
    <w:name w:val="Onderwerp van opmerking Char1"/>
    <w:basedOn w:val="TekstopmerkingChar1"/>
    <w:uiPriority w:val="99"/>
    <w:semiHidden/>
    <w:rsid w:val="00CA7D6D"/>
    <w:rPr>
      <w:rFonts w:ascii="Times New Roman" w:eastAsia="Times New Roman" w:hAnsi="Times New Roman"/>
      <w:b/>
      <w:bCs/>
    </w:rPr>
  </w:style>
  <w:style w:type="character" w:customStyle="1" w:styleId="Nadrukcursief">
    <w:name w:val="Nadruk (cursief)"/>
    <w:rsid w:val="00CA7D6D"/>
    <w:rPr>
      <w:i/>
      <w:iCs/>
    </w:rPr>
  </w:style>
  <w:style w:type="character" w:customStyle="1" w:styleId="PlattetekstChar">
    <w:name w:val="Platte tekst Char"/>
    <w:basedOn w:val="Standaardalinea-lettertype"/>
    <w:link w:val="Plattetekst"/>
    <w:rsid w:val="00CA7D6D"/>
    <w:rPr>
      <w:rFonts w:ascii="Arial" w:eastAsia="Times New Roman" w:hAnsi="Arial"/>
    </w:rPr>
  </w:style>
  <w:style w:type="paragraph" w:styleId="Plattetekst">
    <w:name w:val="Body Text"/>
    <w:basedOn w:val="Standaard"/>
    <w:link w:val="PlattetekstChar"/>
    <w:rsid w:val="00CA7D6D"/>
    <w:pPr>
      <w:tabs>
        <w:tab w:val="left" w:pos="1418"/>
        <w:tab w:val="left" w:pos="2835"/>
        <w:tab w:val="left" w:pos="4253"/>
        <w:tab w:val="left" w:pos="5670"/>
      </w:tabs>
      <w:suppressAutoHyphens/>
      <w:spacing w:line="360" w:lineRule="auto"/>
    </w:pPr>
    <w:rPr>
      <w:rFonts w:ascii="Arial" w:hAnsi="Arial"/>
      <w:sz w:val="20"/>
      <w:szCs w:val="20"/>
    </w:rPr>
  </w:style>
  <w:style w:type="character" w:customStyle="1" w:styleId="PlattetekstChar1">
    <w:name w:val="Platte tekst Char1"/>
    <w:basedOn w:val="Standaardalinea-lettertype"/>
    <w:uiPriority w:val="99"/>
    <w:semiHidden/>
    <w:rsid w:val="00CA7D6D"/>
    <w:rPr>
      <w:rFonts w:ascii="Times New Roman" w:eastAsia="Times New Roman" w:hAnsi="Times New Roman"/>
      <w:sz w:val="24"/>
      <w:szCs w:val="24"/>
    </w:rPr>
  </w:style>
  <w:style w:type="character" w:styleId="Zwaar">
    <w:name w:val="Strong"/>
    <w:basedOn w:val="Standaardalinea-lettertype"/>
    <w:qFormat/>
    <w:rsid w:val="00CA7D6D"/>
    <w:rPr>
      <w:b/>
      <w:bCs/>
    </w:rPr>
  </w:style>
  <w:style w:type="paragraph" w:styleId="Lijstopsomteken">
    <w:name w:val="List Bullet"/>
    <w:basedOn w:val="Standaard"/>
    <w:autoRedefine/>
    <w:rsid w:val="00CA7D6D"/>
    <w:pPr>
      <w:numPr>
        <w:numId w:val="1"/>
      </w:numPr>
    </w:pPr>
  </w:style>
  <w:style w:type="paragraph" w:customStyle="1" w:styleId="CharChar3">
    <w:name w:val="Char Char3"/>
    <w:basedOn w:val="Standaard"/>
    <w:rsid w:val="00CA7D6D"/>
    <w:pPr>
      <w:spacing w:after="160" w:line="240" w:lineRule="exact"/>
    </w:pPr>
    <w:rPr>
      <w:rFonts w:ascii="Tahoma" w:hAnsi="Tahoma"/>
      <w:sz w:val="20"/>
      <w:szCs w:val="20"/>
      <w:lang w:val="en-US" w:eastAsia="en-US"/>
    </w:rPr>
  </w:style>
  <w:style w:type="paragraph" w:customStyle="1" w:styleId="Default">
    <w:name w:val="Default"/>
    <w:rsid w:val="00CA7D6D"/>
    <w:pPr>
      <w:autoSpaceDE w:val="0"/>
      <w:autoSpaceDN w:val="0"/>
      <w:adjustRightInd w:val="0"/>
    </w:pPr>
    <w:rPr>
      <w:rFonts w:ascii="EUAlbertina" w:eastAsia="Times New Roman" w:hAnsi="EUAlbertina" w:cs="EUAlbertina"/>
      <w:color w:val="000000"/>
      <w:sz w:val="24"/>
      <w:szCs w:val="24"/>
    </w:rPr>
  </w:style>
  <w:style w:type="paragraph" w:customStyle="1" w:styleId="NumPar1">
    <w:name w:val="NumPar 1"/>
    <w:basedOn w:val="Standaard"/>
    <w:next w:val="Standaard"/>
    <w:rsid w:val="00CA7D6D"/>
    <w:pPr>
      <w:numPr>
        <w:numId w:val="2"/>
      </w:numPr>
      <w:spacing w:before="120" w:after="120"/>
      <w:jc w:val="both"/>
    </w:pPr>
    <w:rPr>
      <w:lang w:eastAsia="de-DE"/>
    </w:rPr>
  </w:style>
  <w:style w:type="paragraph" w:customStyle="1" w:styleId="NumPar2">
    <w:name w:val="NumPar 2"/>
    <w:basedOn w:val="Standaard"/>
    <w:next w:val="Standaard"/>
    <w:rsid w:val="00CA7D6D"/>
    <w:pPr>
      <w:numPr>
        <w:ilvl w:val="1"/>
        <w:numId w:val="2"/>
      </w:numPr>
      <w:spacing w:before="120" w:after="120"/>
      <w:jc w:val="both"/>
    </w:pPr>
    <w:rPr>
      <w:lang w:eastAsia="de-DE"/>
    </w:rPr>
  </w:style>
  <w:style w:type="paragraph" w:customStyle="1" w:styleId="NumPar3">
    <w:name w:val="NumPar 3"/>
    <w:basedOn w:val="Standaard"/>
    <w:next w:val="Standaard"/>
    <w:rsid w:val="00CA7D6D"/>
    <w:pPr>
      <w:numPr>
        <w:ilvl w:val="2"/>
        <w:numId w:val="2"/>
      </w:numPr>
      <w:spacing w:before="120" w:after="120"/>
      <w:jc w:val="both"/>
    </w:pPr>
    <w:rPr>
      <w:lang w:eastAsia="de-DE"/>
    </w:rPr>
  </w:style>
  <w:style w:type="paragraph" w:customStyle="1" w:styleId="NumPar4">
    <w:name w:val="NumPar 4"/>
    <w:basedOn w:val="Standaard"/>
    <w:next w:val="Standaard"/>
    <w:rsid w:val="00CA7D6D"/>
    <w:pPr>
      <w:numPr>
        <w:ilvl w:val="3"/>
        <w:numId w:val="2"/>
      </w:numPr>
      <w:spacing w:before="120" w:after="120"/>
      <w:jc w:val="both"/>
    </w:pPr>
    <w:rPr>
      <w:lang w:eastAsia="de-DE"/>
    </w:rPr>
  </w:style>
  <w:style w:type="paragraph" w:customStyle="1" w:styleId="Kopartikel">
    <w:name w:val="Kop (artikel)"/>
    <w:rsid w:val="00CA7D6D"/>
    <w:pPr>
      <w:widowControl w:val="0"/>
      <w:autoSpaceDE w:val="0"/>
      <w:autoSpaceDN w:val="0"/>
      <w:adjustRightInd w:val="0"/>
      <w:spacing w:after="240"/>
    </w:pPr>
    <w:rPr>
      <w:rFonts w:ascii="Arial" w:eastAsia="Times New Roman" w:hAnsi="Arial" w:cs="Arial"/>
      <w:b/>
      <w:bCs/>
    </w:rPr>
  </w:style>
  <w:style w:type="paragraph" w:customStyle="1" w:styleId="Parlementair">
    <w:name w:val="Parlementair"/>
    <w:rsid w:val="00CA7D6D"/>
    <w:pPr>
      <w:widowControl w:val="0"/>
      <w:autoSpaceDE w:val="0"/>
      <w:autoSpaceDN w:val="0"/>
      <w:adjustRightInd w:val="0"/>
      <w:spacing w:after="240"/>
      <w:jc w:val="right"/>
    </w:pPr>
    <w:rPr>
      <w:rFonts w:ascii="Arial" w:eastAsia="Times New Roman" w:hAnsi="Arial" w:cs="Arial"/>
      <w:i/>
      <w:iCs/>
      <w:sz w:val="16"/>
      <w:szCs w:val="16"/>
    </w:rPr>
  </w:style>
  <w:style w:type="paragraph" w:styleId="Lijstalinea">
    <w:name w:val="List Paragraph"/>
    <w:basedOn w:val="Standaard"/>
    <w:uiPriority w:val="34"/>
    <w:qFormat/>
    <w:rsid w:val="00CA7D6D"/>
    <w:pPr>
      <w:spacing w:after="200" w:line="276" w:lineRule="auto"/>
      <w:ind w:left="720"/>
      <w:contextualSpacing/>
    </w:pPr>
    <w:rPr>
      <w:rFonts w:ascii="Verdana" w:eastAsia="Calibri" w:hAnsi="Verdana"/>
      <w:sz w:val="18"/>
      <w:szCs w:val="22"/>
      <w:lang w:eastAsia="en-US"/>
    </w:rPr>
  </w:style>
  <w:style w:type="paragraph" w:customStyle="1" w:styleId="1CharCharChar">
    <w:name w:val="1 Char Char Char"/>
    <w:basedOn w:val="Standaard"/>
    <w:rsid w:val="00CA7D6D"/>
    <w:pPr>
      <w:widowControl w:val="0"/>
      <w:tabs>
        <w:tab w:val="left" w:pos="540"/>
        <w:tab w:val="left" w:pos="1260"/>
        <w:tab w:val="left" w:pos="1800"/>
      </w:tabs>
      <w:spacing w:before="240" w:after="160" w:line="240" w:lineRule="exact"/>
    </w:pPr>
    <w:rPr>
      <w:rFonts w:ascii="Verdana" w:eastAsia="SimSun" w:hAnsi="Verdana"/>
      <w:sz w:val="22"/>
      <w:szCs w:val="20"/>
      <w:lang w:val="en-GB" w:eastAsia="zh-CN"/>
    </w:rPr>
  </w:style>
  <w:style w:type="paragraph" w:customStyle="1" w:styleId="Opmaakprofiel1">
    <w:name w:val="Opmaakprofiel1"/>
    <w:basedOn w:val="Standaard"/>
    <w:rsid w:val="00CA7D6D"/>
    <w:pPr>
      <w:spacing w:line="360" w:lineRule="auto"/>
      <w:ind w:firstLine="708"/>
    </w:pPr>
  </w:style>
  <w:style w:type="character" w:styleId="Paginanummer">
    <w:name w:val="page number"/>
    <w:basedOn w:val="Standaardalinea-lettertype"/>
    <w:rsid w:val="00CA7D6D"/>
  </w:style>
  <w:style w:type="character" w:customStyle="1" w:styleId="lidnr">
    <w:name w:val="lidnr"/>
    <w:basedOn w:val="Standaardalinea-lettertype"/>
    <w:rsid w:val="00CA7D6D"/>
  </w:style>
  <w:style w:type="character" w:customStyle="1" w:styleId="ol">
    <w:name w:val="ol"/>
    <w:basedOn w:val="Standaardalinea-lettertype"/>
    <w:rsid w:val="00CA7D6D"/>
  </w:style>
  <w:style w:type="character" w:styleId="Voetnootmarkering">
    <w:name w:val="footnote reference"/>
    <w:basedOn w:val="Standaardalinea-lettertype"/>
    <w:uiPriority w:val="99"/>
    <w:rsid w:val="00CA7D6D"/>
    <w:rPr>
      <w:vertAlign w:val="superscript"/>
    </w:rPr>
  </w:style>
  <w:style w:type="character" w:styleId="GevolgdeHyperlink">
    <w:name w:val="FollowedHyperlink"/>
    <w:basedOn w:val="Standaardalinea-lettertype"/>
    <w:rsid w:val="00CA7D6D"/>
    <w:rPr>
      <w:color w:val="800080"/>
      <w:u w:val="single"/>
    </w:rPr>
  </w:style>
  <w:style w:type="paragraph" w:styleId="Lijst">
    <w:name w:val="List"/>
    <w:basedOn w:val="Standaard"/>
    <w:rsid w:val="00CA7D6D"/>
    <w:pPr>
      <w:ind w:left="283" w:hanging="283"/>
    </w:pPr>
  </w:style>
  <w:style w:type="paragraph" w:styleId="Lijst2">
    <w:name w:val="List 2"/>
    <w:basedOn w:val="Standaard"/>
    <w:rsid w:val="00CA7D6D"/>
    <w:pPr>
      <w:ind w:left="566" w:hanging="283"/>
    </w:pPr>
  </w:style>
  <w:style w:type="paragraph" w:styleId="Lijstvoortzetting">
    <w:name w:val="List Continue"/>
    <w:basedOn w:val="Standaard"/>
    <w:rsid w:val="00CA7D6D"/>
    <w:pPr>
      <w:spacing w:after="120"/>
      <w:ind w:left="283"/>
    </w:pPr>
  </w:style>
  <w:style w:type="paragraph" w:styleId="Lijstvoortzetting2">
    <w:name w:val="List Continue 2"/>
    <w:basedOn w:val="Standaard"/>
    <w:rsid w:val="00CA7D6D"/>
    <w:pPr>
      <w:spacing w:after="120"/>
      <w:ind w:left="566"/>
    </w:pPr>
  </w:style>
  <w:style w:type="paragraph" w:customStyle="1" w:styleId="CharChar1">
    <w:name w:val="Char Char1"/>
    <w:basedOn w:val="Standaard"/>
    <w:rsid w:val="00CA7D6D"/>
    <w:pPr>
      <w:spacing w:after="160" w:line="240" w:lineRule="exact"/>
    </w:pPr>
    <w:rPr>
      <w:rFonts w:ascii="Arial" w:hAnsi="Arial" w:cs="Arial"/>
      <w:sz w:val="20"/>
      <w:szCs w:val="20"/>
      <w:lang w:val="en-US" w:eastAsia="en-US"/>
    </w:rPr>
  </w:style>
  <w:style w:type="paragraph" w:styleId="Inhopg2">
    <w:name w:val="toc 2"/>
    <w:basedOn w:val="Standaard"/>
    <w:next w:val="Standaard"/>
    <w:rsid w:val="00CA7D6D"/>
    <w:pPr>
      <w:suppressAutoHyphens/>
      <w:spacing w:before="120" w:after="120"/>
      <w:ind w:left="240"/>
      <w:jc w:val="both"/>
    </w:pPr>
    <w:rPr>
      <w:szCs w:val="20"/>
      <w:lang w:val="en-GB" w:eastAsia="ar-SA"/>
    </w:rPr>
  </w:style>
  <w:style w:type="paragraph" w:customStyle="1" w:styleId="Typedudocument">
    <w:name w:val="Type du document"/>
    <w:basedOn w:val="Standaard"/>
    <w:next w:val="Standaard"/>
    <w:rsid w:val="00CA7D6D"/>
    <w:pPr>
      <w:spacing w:before="360"/>
      <w:jc w:val="center"/>
    </w:pPr>
    <w:rPr>
      <w:b/>
      <w:lang w:eastAsia="de-DE"/>
    </w:rPr>
  </w:style>
  <w:style w:type="paragraph" w:customStyle="1" w:styleId="mtop">
    <w:name w:val="mtop"/>
    <w:basedOn w:val="Standaard"/>
    <w:rsid w:val="00CA7D6D"/>
    <w:pPr>
      <w:spacing w:before="100" w:beforeAutospacing="1" w:after="100" w:afterAutospacing="1"/>
    </w:pPr>
  </w:style>
  <w:style w:type="character" w:customStyle="1" w:styleId="staatscourantkop2">
    <w:name w:val="staatscourant_kop2"/>
    <w:basedOn w:val="Standaardalinea-lettertype"/>
    <w:rsid w:val="00CA7D6D"/>
    <w:rPr>
      <w:b/>
      <w:bCs/>
      <w:color w:val="E67C00"/>
      <w:sz w:val="31"/>
      <w:szCs w:val="31"/>
    </w:rPr>
  </w:style>
  <w:style w:type="paragraph" w:styleId="Tekstzonderopmaak">
    <w:name w:val="Plain Text"/>
    <w:basedOn w:val="Standaard"/>
    <w:link w:val="TekstzonderopmaakChar"/>
    <w:uiPriority w:val="99"/>
    <w:unhideWhenUsed/>
    <w:rsid w:val="00CA7D6D"/>
    <w:rPr>
      <w:rFonts w:ascii="Verdana" w:eastAsia="Calibri" w:hAnsi="Verdana"/>
      <w:sz w:val="20"/>
      <w:szCs w:val="21"/>
      <w:lang w:eastAsia="en-US"/>
    </w:rPr>
  </w:style>
  <w:style w:type="character" w:customStyle="1" w:styleId="TekstzonderopmaakChar">
    <w:name w:val="Tekst zonder opmaak Char"/>
    <w:basedOn w:val="Standaardalinea-lettertype"/>
    <w:link w:val="Tekstzonderopmaak"/>
    <w:uiPriority w:val="99"/>
    <w:rsid w:val="00CA7D6D"/>
    <w:rPr>
      <w:rFonts w:ascii="Verdana" w:hAnsi="Verdana"/>
      <w:szCs w:val="21"/>
      <w:lang w:eastAsia="en-US"/>
    </w:rPr>
  </w:style>
  <w:style w:type="paragraph" w:styleId="Lijst3">
    <w:name w:val="List 3"/>
    <w:basedOn w:val="Standaard"/>
    <w:uiPriority w:val="99"/>
    <w:unhideWhenUsed/>
    <w:rsid w:val="00CA7D6D"/>
    <w:pPr>
      <w:ind w:left="849" w:hanging="283"/>
      <w:contextualSpacing/>
    </w:pPr>
  </w:style>
  <w:style w:type="paragraph" w:customStyle="1" w:styleId="Geenafstand1">
    <w:name w:val="Geen afstand1"/>
    <w:rsid w:val="005F7A68"/>
    <w:rPr>
      <w:rFonts w:eastAsia="Times New Roman"/>
      <w:sz w:val="22"/>
      <w:szCs w:val="22"/>
      <w:lang w:eastAsia="en-US"/>
    </w:rPr>
  </w:style>
  <w:style w:type="character" w:styleId="Verwijzingopmerking">
    <w:name w:val="annotation reference"/>
    <w:basedOn w:val="Standaardalinea-lettertype"/>
    <w:uiPriority w:val="99"/>
    <w:semiHidden/>
    <w:rsid w:val="00832099"/>
    <w:rPr>
      <w:sz w:val="16"/>
      <w:szCs w:val="16"/>
    </w:rPr>
  </w:style>
  <w:style w:type="paragraph" w:styleId="Plattetekst2">
    <w:name w:val="Body Text 2"/>
    <w:basedOn w:val="Standaard"/>
    <w:link w:val="Plattetekst2Char"/>
    <w:uiPriority w:val="99"/>
    <w:semiHidden/>
    <w:unhideWhenUsed/>
    <w:rsid w:val="007A7863"/>
    <w:pPr>
      <w:spacing w:after="120" w:line="480" w:lineRule="auto"/>
    </w:pPr>
  </w:style>
  <w:style w:type="character" w:customStyle="1" w:styleId="Plattetekst2Char">
    <w:name w:val="Platte tekst 2 Char"/>
    <w:basedOn w:val="Standaardalinea-lettertype"/>
    <w:link w:val="Plattetekst2"/>
    <w:uiPriority w:val="99"/>
    <w:semiHidden/>
    <w:rsid w:val="007A7863"/>
    <w:rPr>
      <w:rFonts w:ascii="Times New Roman" w:eastAsia="Times New Roman" w:hAnsi="Times New Roman"/>
      <w:sz w:val="24"/>
      <w:szCs w:val="24"/>
    </w:rPr>
  </w:style>
  <w:style w:type="paragraph" w:customStyle="1" w:styleId="Plattetekstmidden">
    <w:name w:val="Platte tekst (midden)"/>
    <w:rsid w:val="007A7863"/>
    <w:pPr>
      <w:widowControl w:val="0"/>
      <w:autoSpaceDE w:val="0"/>
      <w:autoSpaceDN w:val="0"/>
      <w:adjustRightInd w:val="0"/>
      <w:spacing w:after="240"/>
      <w:jc w:val="center"/>
    </w:pPr>
    <w:rPr>
      <w:rFonts w:ascii="Arial" w:eastAsia="Times New Roman" w:hAnsi="Arial" w:cs="Arial"/>
    </w:rPr>
  </w:style>
  <w:style w:type="character" w:customStyle="1" w:styleId="st1">
    <w:name w:val="st1"/>
    <w:basedOn w:val="Standaardalinea-lettertype"/>
    <w:rsid w:val="007168E8"/>
  </w:style>
  <w:style w:type="paragraph" w:styleId="Revisie">
    <w:name w:val="Revision"/>
    <w:hidden/>
    <w:uiPriority w:val="99"/>
    <w:semiHidden/>
    <w:rsid w:val="00A73298"/>
    <w:rPr>
      <w:rFonts w:ascii="Times New Roman" w:eastAsia="Times New Roman" w:hAnsi="Times New Roman"/>
      <w:sz w:val="24"/>
      <w:szCs w:val="24"/>
    </w:rPr>
  </w:style>
  <w:style w:type="paragraph" w:customStyle="1" w:styleId="CM1">
    <w:name w:val="CM1"/>
    <w:basedOn w:val="Standaard"/>
    <w:next w:val="Standaard"/>
    <w:uiPriority w:val="99"/>
    <w:rsid w:val="00E07FEA"/>
    <w:pPr>
      <w:autoSpaceDE w:val="0"/>
      <w:autoSpaceDN w:val="0"/>
      <w:adjustRightInd w:val="0"/>
    </w:pPr>
    <w:rPr>
      <w:rFonts w:ascii="EUAlbertina" w:eastAsia="Calibri" w:hAnsi="EUAlbertina"/>
    </w:rPr>
  </w:style>
  <w:style w:type="character" w:styleId="Onopgelostemelding">
    <w:name w:val="Unresolved Mention"/>
    <w:basedOn w:val="Standaardalinea-lettertype"/>
    <w:uiPriority w:val="99"/>
    <w:semiHidden/>
    <w:unhideWhenUsed/>
    <w:rsid w:val="00673C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7677">
      <w:bodyDiv w:val="1"/>
      <w:marLeft w:val="0"/>
      <w:marRight w:val="0"/>
      <w:marTop w:val="0"/>
      <w:marBottom w:val="0"/>
      <w:divBdr>
        <w:top w:val="none" w:sz="0" w:space="0" w:color="auto"/>
        <w:left w:val="none" w:sz="0" w:space="0" w:color="auto"/>
        <w:bottom w:val="none" w:sz="0" w:space="0" w:color="auto"/>
        <w:right w:val="none" w:sz="0" w:space="0" w:color="auto"/>
      </w:divBdr>
    </w:div>
    <w:div w:id="152380378">
      <w:bodyDiv w:val="1"/>
      <w:marLeft w:val="0"/>
      <w:marRight w:val="0"/>
      <w:marTop w:val="0"/>
      <w:marBottom w:val="0"/>
      <w:divBdr>
        <w:top w:val="none" w:sz="0" w:space="0" w:color="auto"/>
        <w:left w:val="none" w:sz="0" w:space="0" w:color="auto"/>
        <w:bottom w:val="none" w:sz="0" w:space="0" w:color="auto"/>
        <w:right w:val="none" w:sz="0" w:space="0" w:color="auto"/>
      </w:divBdr>
    </w:div>
    <w:div w:id="219949713">
      <w:bodyDiv w:val="1"/>
      <w:marLeft w:val="0"/>
      <w:marRight w:val="0"/>
      <w:marTop w:val="0"/>
      <w:marBottom w:val="0"/>
      <w:divBdr>
        <w:top w:val="none" w:sz="0" w:space="0" w:color="auto"/>
        <w:left w:val="none" w:sz="0" w:space="0" w:color="auto"/>
        <w:bottom w:val="none" w:sz="0" w:space="0" w:color="auto"/>
        <w:right w:val="none" w:sz="0" w:space="0" w:color="auto"/>
      </w:divBdr>
    </w:div>
    <w:div w:id="302545671">
      <w:bodyDiv w:val="1"/>
      <w:marLeft w:val="0"/>
      <w:marRight w:val="0"/>
      <w:marTop w:val="0"/>
      <w:marBottom w:val="0"/>
      <w:divBdr>
        <w:top w:val="none" w:sz="0" w:space="0" w:color="auto"/>
        <w:left w:val="none" w:sz="0" w:space="0" w:color="auto"/>
        <w:bottom w:val="none" w:sz="0" w:space="0" w:color="auto"/>
        <w:right w:val="none" w:sz="0" w:space="0" w:color="auto"/>
      </w:divBdr>
    </w:div>
    <w:div w:id="557207000">
      <w:bodyDiv w:val="1"/>
      <w:marLeft w:val="0"/>
      <w:marRight w:val="0"/>
      <w:marTop w:val="0"/>
      <w:marBottom w:val="0"/>
      <w:divBdr>
        <w:top w:val="none" w:sz="0" w:space="0" w:color="auto"/>
        <w:left w:val="none" w:sz="0" w:space="0" w:color="auto"/>
        <w:bottom w:val="none" w:sz="0" w:space="0" w:color="auto"/>
        <w:right w:val="none" w:sz="0" w:space="0" w:color="auto"/>
      </w:divBdr>
    </w:div>
    <w:div w:id="659769870">
      <w:bodyDiv w:val="1"/>
      <w:marLeft w:val="0"/>
      <w:marRight w:val="0"/>
      <w:marTop w:val="0"/>
      <w:marBottom w:val="0"/>
      <w:divBdr>
        <w:top w:val="none" w:sz="0" w:space="0" w:color="auto"/>
        <w:left w:val="none" w:sz="0" w:space="0" w:color="auto"/>
        <w:bottom w:val="none" w:sz="0" w:space="0" w:color="auto"/>
        <w:right w:val="none" w:sz="0" w:space="0" w:color="auto"/>
      </w:divBdr>
    </w:div>
    <w:div w:id="1044252451">
      <w:bodyDiv w:val="1"/>
      <w:marLeft w:val="0"/>
      <w:marRight w:val="0"/>
      <w:marTop w:val="0"/>
      <w:marBottom w:val="0"/>
      <w:divBdr>
        <w:top w:val="none" w:sz="0" w:space="0" w:color="auto"/>
        <w:left w:val="none" w:sz="0" w:space="0" w:color="auto"/>
        <w:bottom w:val="none" w:sz="0" w:space="0" w:color="auto"/>
        <w:right w:val="none" w:sz="0" w:space="0" w:color="auto"/>
      </w:divBdr>
    </w:div>
    <w:div w:id="1575628871">
      <w:bodyDiv w:val="1"/>
      <w:marLeft w:val="0"/>
      <w:marRight w:val="0"/>
      <w:marTop w:val="0"/>
      <w:marBottom w:val="0"/>
      <w:divBdr>
        <w:top w:val="none" w:sz="0" w:space="0" w:color="auto"/>
        <w:left w:val="none" w:sz="0" w:space="0" w:color="auto"/>
        <w:bottom w:val="none" w:sz="0" w:space="0" w:color="auto"/>
        <w:right w:val="none" w:sz="0" w:space="0" w:color="auto"/>
      </w:divBdr>
    </w:div>
    <w:div w:id="192977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7357</ap:Words>
  <ap:Characters>40466</ap:Characters>
  <ap:DocSecurity>0</ap:DocSecurity>
  <ap:Lines>337</ap:Lines>
  <ap:Paragraphs>95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47728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2026-09-29T13:58:00.0000000Z</dcterms:created>
  <dcterms:modified xsi:type="dcterms:W3CDTF">2026-09-29T13:58:00.0000000Z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2024-06-27T15:26:16Z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a97a17e1-1602-4526-8083-488e4790d109</vt:lpwstr>
  </property>
  <property fmtid="{D5CDD505-2E9C-101B-9397-08002B2CF9AE}" pid="8" name="MSIP_Label_6800fede-0e59-47ad-af95-4e63bbdb932d_ContentBits">
    <vt:lpwstr>0</vt:lpwstr>
  </property>
</Properties>
</file>