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42A5ACE6" w14:textId="77777777">
        <w:tc>
          <w:tcPr>
            <w:tcW w:w="6379" w:type="dxa"/>
            <w:gridSpan w:val="2"/>
            <w:tcBorders>
              <w:top w:val="nil"/>
              <w:left w:val="nil"/>
              <w:bottom w:val="nil"/>
              <w:right w:val="nil"/>
            </w:tcBorders>
            <w:vAlign w:val="center"/>
          </w:tcPr>
          <w:p w:rsidR="004330ED" w:rsidP="00EA1CE4" w:rsidRDefault="004330ED" w14:paraId="23F94B08"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2DC03B0A"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790F111C" w14:textId="77777777">
        <w:trPr>
          <w:cantSplit/>
        </w:trPr>
        <w:tc>
          <w:tcPr>
            <w:tcW w:w="10348" w:type="dxa"/>
            <w:gridSpan w:val="3"/>
            <w:tcBorders>
              <w:top w:val="single" w:color="auto" w:sz="4" w:space="0"/>
              <w:left w:val="nil"/>
              <w:bottom w:val="nil"/>
              <w:right w:val="nil"/>
            </w:tcBorders>
          </w:tcPr>
          <w:p w:rsidR="004330ED" w:rsidP="004A1E29" w:rsidRDefault="004330ED" w14:paraId="68E6CB38"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0062BC">
              <w:rPr>
                <w:rFonts w:ascii="Times New Roman" w:hAnsi="Times New Roman"/>
                <w:b w:val="0"/>
              </w:rPr>
              <w:t>6</w:t>
            </w:r>
            <w:r w:rsidRPr="00E908D7" w:rsidR="00E908D7">
              <w:rPr>
                <w:rFonts w:ascii="Times New Roman" w:hAnsi="Times New Roman"/>
                <w:b w:val="0"/>
              </w:rPr>
              <w:t>-202</w:t>
            </w:r>
            <w:r w:rsidR="000062BC">
              <w:rPr>
                <w:rFonts w:ascii="Times New Roman" w:hAnsi="Times New Roman"/>
                <w:b w:val="0"/>
              </w:rPr>
              <w:t>7</w:t>
            </w:r>
          </w:p>
        </w:tc>
      </w:tr>
      <w:tr w:rsidR="004330ED" w:rsidTr="00EA1CE4" w14:paraId="59C010B1" w14:textId="77777777">
        <w:trPr>
          <w:cantSplit/>
        </w:trPr>
        <w:tc>
          <w:tcPr>
            <w:tcW w:w="10348" w:type="dxa"/>
            <w:gridSpan w:val="3"/>
            <w:tcBorders>
              <w:top w:val="nil"/>
              <w:left w:val="nil"/>
              <w:bottom w:val="nil"/>
              <w:right w:val="nil"/>
            </w:tcBorders>
          </w:tcPr>
          <w:p w:rsidR="004330ED" w:rsidP="00BF623B" w:rsidRDefault="004330ED" w14:paraId="52106358" w14:textId="77777777">
            <w:pPr>
              <w:pStyle w:val="Amendement"/>
              <w:tabs>
                <w:tab w:val="clear" w:pos="3310"/>
                <w:tab w:val="clear" w:pos="3600"/>
              </w:tabs>
              <w:rPr>
                <w:rFonts w:ascii="Times New Roman" w:hAnsi="Times New Roman"/>
                <w:b w:val="0"/>
              </w:rPr>
            </w:pPr>
          </w:p>
        </w:tc>
      </w:tr>
      <w:tr w:rsidR="004330ED" w:rsidTr="00EA1CE4" w14:paraId="05EEB33A" w14:textId="77777777">
        <w:trPr>
          <w:cantSplit/>
        </w:trPr>
        <w:tc>
          <w:tcPr>
            <w:tcW w:w="10348" w:type="dxa"/>
            <w:gridSpan w:val="3"/>
            <w:tcBorders>
              <w:top w:val="nil"/>
              <w:left w:val="nil"/>
              <w:bottom w:val="single" w:color="auto" w:sz="4" w:space="0"/>
              <w:right w:val="nil"/>
            </w:tcBorders>
          </w:tcPr>
          <w:p w:rsidR="004330ED" w:rsidP="00BF623B" w:rsidRDefault="004330ED" w14:paraId="384D3B74" w14:textId="77777777">
            <w:pPr>
              <w:pStyle w:val="Amendement"/>
              <w:tabs>
                <w:tab w:val="clear" w:pos="3310"/>
                <w:tab w:val="clear" w:pos="3600"/>
              </w:tabs>
              <w:rPr>
                <w:rFonts w:ascii="Times New Roman" w:hAnsi="Times New Roman"/>
              </w:rPr>
            </w:pPr>
          </w:p>
        </w:tc>
      </w:tr>
      <w:tr w:rsidR="004330ED" w:rsidTr="00EA1CE4" w14:paraId="051620D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315E62A1"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0CFA9AED" w14:textId="77777777">
            <w:pPr>
              <w:suppressAutoHyphens/>
              <w:ind w:left="-70"/>
              <w:rPr>
                <w:b/>
              </w:rPr>
            </w:pPr>
          </w:p>
        </w:tc>
      </w:tr>
      <w:tr w:rsidR="003C21AC" w:rsidTr="00EA1CE4" w14:paraId="665F3BB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531D7" w14:paraId="3CF56D35" w14:textId="78F66EC9">
            <w:pPr>
              <w:pStyle w:val="Amendement"/>
              <w:tabs>
                <w:tab w:val="clear" w:pos="3310"/>
                <w:tab w:val="clear" w:pos="3600"/>
              </w:tabs>
              <w:rPr>
                <w:rFonts w:ascii="Times New Roman" w:hAnsi="Times New Roman"/>
              </w:rPr>
            </w:pPr>
            <w:r>
              <w:rPr>
                <w:rFonts w:ascii="Times New Roman" w:hAnsi="Times New Roman"/>
              </w:rPr>
              <w:t>36 924</w:t>
            </w:r>
          </w:p>
        </w:tc>
        <w:tc>
          <w:tcPr>
            <w:tcW w:w="7371" w:type="dxa"/>
            <w:gridSpan w:val="2"/>
          </w:tcPr>
          <w:p w:rsidRPr="003531D7" w:rsidR="003C21AC" w:rsidP="003531D7" w:rsidRDefault="003531D7" w14:paraId="2E6B5316" w14:textId="0EDB8C9A">
            <w:pPr>
              <w:rPr>
                <w:b/>
                <w:bCs/>
                <w:szCs w:val="24"/>
              </w:rPr>
            </w:pPr>
            <w:r w:rsidRPr="003531D7">
              <w:rPr>
                <w:b/>
                <w:bCs/>
                <w:szCs w:val="24"/>
              </w:rPr>
              <w:t>Wijziging van de Wet op het financieel toezicht, Boek 7 van het Burgerlijk Wetboek, de Wet handhaving consumentenbescherming en de Overgangswet nieuw Burgerlijk Wetboek ter implementatie van Richtlijn (EU) 2023/2225 inzake kredietovereenkomsten voor consumenten (Implementatiewet herziene richtlijn consumentenkrediet)</w:t>
            </w:r>
          </w:p>
        </w:tc>
      </w:tr>
      <w:tr w:rsidR="003C21AC" w:rsidTr="00EA1CE4" w14:paraId="29A7B59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6E83F689"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5795D20A" w14:textId="77777777">
            <w:pPr>
              <w:pStyle w:val="Amendement"/>
              <w:tabs>
                <w:tab w:val="clear" w:pos="3310"/>
                <w:tab w:val="clear" w:pos="3600"/>
              </w:tabs>
              <w:ind w:left="-70"/>
              <w:rPr>
                <w:rFonts w:ascii="Times New Roman" w:hAnsi="Times New Roman"/>
              </w:rPr>
            </w:pPr>
          </w:p>
        </w:tc>
      </w:tr>
      <w:tr w:rsidR="003C21AC" w:rsidTr="00EA1CE4" w14:paraId="2508C60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21EECB56" w14:textId="77777777">
            <w:pPr>
              <w:pStyle w:val="Amendement"/>
              <w:tabs>
                <w:tab w:val="clear" w:pos="3310"/>
                <w:tab w:val="clear" w:pos="3600"/>
              </w:tabs>
              <w:rPr>
                <w:rFonts w:ascii="Times New Roman" w:hAnsi="Times New Roman"/>
              </w:rPr>
            </w:pPr>
          </w:p>
        </w:tc>
        <w:tc>
          <w:tcPr>
            <w:tcW w:w="7371" w:type="dxa"/>
            <w:gridSpan w:val="2"/>
          </w:tcPr>
          <w:p w:rsidRPr="00C035D4" w:rsidR="003C21AC" w:rsidP="003531D7" w:rsidRDefault="003C21AC" w14:paraId="60FB556B" w14:textId="77777777">
            <w:pPr>
              <w:pStyle w:val="Amendement"/>
              <w:tabs>
                <w:tab w:val="clear" w:pos="3310"/>
                <w:tab w:val="clear" w:pos="3600"/>
              </w:tabs>
              <w:rPr>
                <w:rFonts w:ascii="Times New Roman" w:hAnsi="Times New Roman"/>
              </w:rPr>
            </w:pPr>
          </w:p>
        </w:tc>
      </w:tr>
      <w:tr w:rsidR="003C21AC" w:rsidTr="00EA1CE4" w14:paraId="257EF47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5CA20AC7" w14:textId="339655A7">
            <w:pPr>
              <w:pStyle w:val="Amendement"/>
              <w:tabs>
                <w:tab w:val="clear" w:pos="3310"/>
                <w:tab w:val="clear" w:pos="3600"/>
              </w:tabs>
              <w:rPr>
                <w:rFonts w:ascii="Times New Roman" w:hAnsi="Times New Roman"/>
              </w:rPr>
            </w:pPr>
            <w:r w:rsidRPr="00C035D4">
              <w:rPr>
                <w:rFonts w:ascii="Times New Roman" w:hAnsi="Times New Roman"/>
              </w:rPr>
              <w:t xml:space="preserve">Nr. </w:t>
            </w:r>
            <w:r w:rsidR="008010D6">
              <w:rPr>
                <w:rFonts w:ascii="Times New Roman" w:hAnsi="Times New Roman"/>
                <w:caps/>
              </w:rPr>
              <w:t>25</w:t>
            </w:r>
          </w:p>
        </w:tc>
        <w:tc>
          <w:tcPr>
            <w:tcW w:w="7371" w:type="dxa"/>
            <w:gridSpan w:val="2"/>
          </w:tcPr>
          <w:p w:rsidRPr="00C035D4" w:rsidR="003C21AC" w:rsidP="006E0971" w:rsidRDefault="003C21AC" w14:paraId="4F846762" w14:textId="61216B74">
            <w:pPr>
              <w:pStyle w:val="Amendement"/>
              <w:tabs>
                <w:tab w:val="clear" w:pos="3310"/>
                <w:tab w:val="clear" w:pos="3600"/>
              </w:tabs>
              <w:ind w:left="-70"/>
              <w:rPr>
                <w:rFonts w:ascii="Times New Roman" w:hAnsi="Times New Roman"/>
                <w:caps/>
              </w:rPr>
            </w:pPr>
            <w:r w:rsidRPr="00C035D4">
              <w:rPr>
                <w:rFonts w:ascii="Times New Roman" w:hAnsi="Times New Roman"/>
                <w:caps/>
              </w:rPr>
              <w:t xml:space="preserve">AMENDEMENT VAN HET LID </w:t>
            </w:r>
            <w:r w:rsidR="0007327E">
              <w:rPr>
                <w:rFonts w:ascii="Times New Roman" w:hAnsi="Times New Roman"/>
                <w:caps/>
              </w:rPr>
              <w:t>Hoogeveen</w:t>
            </w:r>
          </w:p>
        </w:tc>
      </w:tr>
      <w:tr w:rsidR="003C21AC" w:rsidTr="00EA1CE4" w14:paraId="05C349D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127464BA"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1648E699" w14:textId="517C2E64">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8010D6">
              <w:rPr>
                <w:rFonts w:ascii="Times New Roman" w:hAnsi="Times New Roman"/>
                <w:b w:val="0"/>
              </w:rPr>
              <w:t>29 september 2026</w:t>
            </w:r>
          </w:p>
        </w:tc>
      </w:tr>
      <w:tr w:rsidR="00B01BA6" w:rsidTr="00EA1CE4" w14:paraId="0689B74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2FF355F4"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25353D9F" w14:textId="77777777">
            <w:pPr>
              <w:pStyle w:val="Amendement"/>
              <w:tabs>
                <w:tab w:val="clear" w:pos="3310"/>
                <w:tab w:val="clear" w:pos="3600"/>
              </w:tabs>
              <w:ind w:left="-70"/>
              <w:rPr>
                <w:rFonts w:ascii="Times New Roman" w:hAnsi="Times New Roman"/>
                <w:b w:val="0"/>
              </w:rPr>
            </w:pPr>
          </w:p>
        </w:tc>
      </w:tr>
      <w:tr w:rsidRPr="00EA69AC" w:rsidR="00B01BA6" w:rsidTr="00EA1CE4" w14:paraId="4B6AD77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6C4919AC" w14:textId="77777777">
            <w:pPr>
              <w:ind w:firstLine="284"/>
            </w:pPr>
            <w:r w:rsidRPr="00EA69AC">
              <w:t>De ondergetekende stelt het volgende amendement voor:</w:t>
            </w:r>
          </w:p>
        </w:tc>
      </w:tr>
    </w:tbl>
    <w:p w:rsidRPr="00EA69AC" w:rsidR="004330ED" w:rsidP="00D774B3" w:rsidRDefault="004330ED" w14:paraId="5CD9C7ED" w14:textId="77777777"/>
    <w:p w:rsidRPr="00EA69AC" w:rsidR="004330ED" w:rsidP="00EA1CE4" w:rsidRDefault="004330ED" w14:paraId="29D7B00E" w14:textId="77777777">
      <w:r w:rsidRPr="00EA69AC">
        <w:t>I</w:t>
      </w:r>
    </w:p>
    <w:p w:rsidRPr="00EA69AC" w:rsidR="005B1DCC" w:rsidP="00BF623B" w:rsidRDefault="005B1DCC" w14:paraId="5289E493" w14:textId="77777777"/>
    <w:p w:rsidR="003531D7" w:rsidP="00EA1CE4" w:rsidRDefault="003531D7" w14:paraId="6F323521" w14:textId="77777777">
      <w:r>
        <w:tab/>
        <w:t>In artikel I, onderdeel C, onder 3, vervalt in het voorgestelde vierde lid “</w:t>
      </w:r>
      <w:r w:rsidRPr="00671403">
        <w:t>tot zes maanden na inwerkingtreding van de Implementatiewet herziene richtlijn consumentenkrediet</w:t>
      </w:r>
      <w:r>
        <w:t xml:space="preserve">”. </w:t>
      </w:r>
    </w:p>
    <w:p w:rsidR="003531D7" w:rsidP="00EA1CE4" w:rsidRDefault="003531D7" w14:paraId="028AEDBA" w14:textId="77777777"/>
    <w:p w:rsidR="003531D7" w:rsidP="00EA1CE4" w:rsidRDefault="003531D7" w14:paraId="4B39FEA8" w14:textId="77777777">
      <w:r>
        <w:t>II</w:t>
      </w:r>
    </w:p>
    <w:p w:rsidR="003531D7" w:rsidP="00EA1CE4" w:rsidRDefault="003531D7" w14:paraId="003E7532" w14:textId="77777777"/>
    <w:p w:rsidR="00EA1CE4" w:rsidP="00EA1CE4" w:rsidRDefault="003531D7" w14:paraId="5A80CB8D" w14:textId="64AB223F">
      <w:r>
        <w:tab/>
        <w:t>In artikel IV vervalt in het voorgestelde artikel 211aa, derde lid, “</w:t>
      </w:r>
      <w:r w:rsidRPr="00671403">
        <w:t>tot zes maanden na inwerkingtreding van de Implementatiewet herziene richtlijn consumentenkrediet</w:t>
      </w:r>
      <w:r>
        <w:t>”.</w:t>
      </w:r>
      <w:r>
        <w:tab/>
      </w:r>
    </w:p>
    <w:p w:rsidR="003531D7" w:rsidP="00EA1CE4" w:rsidRDefault="003531D7" w14:paraId="2AEE5261" w14:textId="77777777"/>
    <w:p w:rsidRPr="00EA69AC" w:rsidR="003C21AC" w:rsidP="00EA1CE4" w:rsidRDefault="003C21AC" w14:paraId="1A0DB6B1" w14:textId="77777777">
      <w:pPr>
        <w:rPr>
          <w:b/>
        </w:rPr>
      </w:pPr>
      <w:r w:rsidRPr="00EA69AC">
        <w:rPr>
          <w:b/>
        </w:rPr>
        <w:t>Toelichting</w:t>
      </w:r>
    </w:p>
    <w:p w:rsidRPr="00EA69AC" w:rsidR="003C21AC" w:rsidP="00BF623B" w:rsidRDefault="003C21AC" w14:paraId="1B266F4E" w14:textId="77777777"/>
    <w:p w:rsidRPr="0007327E" w:rsidR="0007327E" w:rsidP="0007327E" w:rsidRDefault="0007327E" w14:paraId="3EBE3540" w14:textId="77777777">
      <w:r w:rsidRPr="0007327E">
        <w:t>Dit amendement maakt blijvend gebruik van de lidstaatoptie uit artikel 2, vijfde lid, van Richtlijn om kaarten met uitgestelde debitering onder de daar genoemde voorwaarden uit te zonderen van het toepassingsbereik van de herziene richtlijn consumentenkrediet. De richtlijn biedt lidstaten expliciet de mogelijkheid deze kaarten uit te zonderen wanneer zij worden verstrekt door een krediet- of betaalinstelling, binnen 40 dagen volledig moeten worden afgelost, renteloos zijn en slechts beperkte kosten kennen.</w:t>
      </w:r>
    </w:p>
    <w:p w:rsidRPr="0007327E" w:rsidR="0007327E" w:rsidP="0007327E" w:rsidRDefault="0007327E" w14:paraId="220DB563" w14:textId="77777777"/>
    <w:p w:rsidRPr="0007327E" w:rsidR="0007327E" w:rsidP="0007327E" w:rsidRDefault="0007327E" w14:paraId="02F46857" w14:textId="77777777">
      <w:r w:rsidRPr="0007327E">
        <w:t>De indiener acht het niet proportioneel om kaarten met uitgestelde debitering onder hetzelfde zware regime te brengen. Bij de in Nederland gebruikte vorm van de creditcard wordt het openstaande saldo iedere maand volledig afgelost. Een consument kan de schuld daardoor niet op laten lopen. Eventuele betalingsproblemen worden snel zichtbaar doordat het gehele openstaande bedrag binnen korte termijn moet worden voldaan.</w:t>
      </w:r>
    </w:p>
    <w:p w:rsidRPr="0007327E" w:rsidR="0007327E" w:rsidP="0007327E" w:rsidRDefault="0007327E" w14:paraId="75538F1E" w14:textId="77777777"/>
    <w:p w:rsidRPr="0007327E" w:rsidR="0007327E" w:rsidP="0007327E" w:rsidRDefault="0007327E" w14:paraId="21A676FA" w14:textId="77777777">
      <w:r w:rsidRPr="0007327E">
        <w:t>De indiener ziet kaarten met uitgestelde debitering als een toegankelijke en veilige vorm van betaling. Het onder de volledige reikwijdte van de richtlijn brengen van deze kaarten leidt tot aanvullende verplichtingen en kosten voor aanbieders. Dat kan ervoor zorgen dat deze betaalvorm duurder en minder toegankelijk wordt terwijl daarvoor, gelet op het beperkte risicoprofiel, onvoldoende aanleiding voor bestaat.</w:t>
      </w:r>
    </w:p>
    <w:p w:rsidRPr="0007327E" w:rsidR="0007327E" w:rsidP="0007327E" w:rsidRDefault="0007327E" w14:paraId="0A2F0FCB" w14:textId="77777777"/>
    <w:p w:rsidRPr="0007327E" w:rsidR="0007327E" w:rsidP="0007327E" w:rsidRDefault="0007327E" w14:paraId="4A7D9059" w14:textId="77777777">
      <w:r w:rsidRPr="0007327E">
        <w:t xml:space="preserve">De indiener is van mening dat een laagdrempelige betaalvorm niet onnodig ontoegankelijker moet worden gemaakt door haar onder hetzelfde regime te brengen als wezenlijk risicovollere kredietproducten. De indiener acht het bovendien ongewenst dat Nederlandse consumenten en aanbieders met zwaardere regels </w:t>
      </w:r>
      <w:r w:rsidRPr="0007327E">
        <w:lastRenderedPageBreak/>
        <w:t>worden geconfronteerd dan in omringende lidstaten. Duitsland, Frankrijk en België maken wel gebruik van de lidstaatoptie en zonderen kaarten met uitgestelde debitering uit van het toepassingsbereik van de richtlijn.</w:t>
      </w:r>
    </w:p>
    <w:p w:rsidRPr="0007327E" w:rsidR="0007327E" w:rsidP="0007327E" w:rsidRDefault="0007327E" w14:paraId="4E17899D" w14:textId="77777777"/>
    <w:p w:rsidRPr="0007327E" w:rsidR="0007327E" w:rsidP="0007327E" w:rsidRDefault="0007327E" w14:paraId="7807195C" w14:textId="77777777">
      <w:r w:rsidRPr="0007327E">
        <w:t>Het amendement zorgt voor volledige benutting van artikel 2, vijfde lid, van de richtlijn en vervangt de voorgestelde tijdelijke overgangsregeling van zes maanden door een structurele uitzondering voor kaarten die aan de voorwaarden van dat artikel voldoen.</w:t>
      </w:r>
    </w:p>
    <w:p w:rsidRPr="00EA69AC" w:rsidR="005B1DCC" w:rsidP="00BF623B" w:rsidRDefault="005B1DCC" w14:paraId="189444CA" w14:textId="77777777"/>
    <w:p w:rsidRPr="00EA69AC" w:rsidR="00B4708A" w:rsidP="00EA1CE4" w:rsidRDefault="0007327E" w14:paraId="0B1FCA29" w14:textId="0DA955B7">
      <w:r>
        <w:t>Hoogeveen</w:t>
      </w:r>
    </w:p>
    <w:sectPr w:rsidRPr="00EA69AC" w:rsidR="00B4708A"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7D187" w14:textId="77777777" w:rsidR="009B6429" w:rsidRDefault="009B6429">
      <w:pPr>
        <w:spacing w:line="20" w:lineRule="exact"/>
      </w:pPr>
    </w:p>
  </w:endnote>
  <w:endnote w:type="continuationSeparator" w:id="0">
    <w:p w14:paraId="43EF1D37" w14:textId="77777777" w:rsidR="009B6429" w:rsidRDefault="009B6429">
      <w:pPr>
        <w:pStyle w:val="Amendement"/>
      </w:pPr>
      <w:r>
        <w:rPr>
          <w:b w:val="0"/>
        </w:rPr>
        <w:t xml:space="preserve"> </w:t>
      </w:r>
    </w:p>
  </w:endnote>
  <w:endnote w:type="continuationNotice" w:id="1">
    <w:p w14:paraId="1446F6E5" w14:textId="77777777" w:rsidR="009B6429" w:rsidRDefault="009B6429">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944C99" w14:textId="77777777" w:rsidR="009B6429" w:rsidRDefault="009B6429">
      <w:pPr>
        <w:pStyle w:val="Amendement"/>
      </w:pPr>
      <w:r>
        <w:rPr>
          <w:b w:val="0"/>
        </w:rPr>
        <w:separator/>
      </w:r>
    </w:p>
  </w:footnote>
  <w:footnote w:type="continuationSeparator" w:id="0">
    <w:p w14:paraId="02CDB375" w14:textId="77777777" w:rsidR="009B6429" w:rsidRDefault="009B642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1D7"/>
    <w:rsid w:val="000062BC"/>
    <w:rsid w:val="00052244"/>
    <w:rsid w:val="0007327E"/>
    <w:rsid w:val="0007471A"/>
    <w:rsid w:val="000D17BF"/>
    <w:rsid w:val="00134D6D"/>
    <w:rsid w:val="00157CAF"/>
    <w:rsid w:val="001656EE"/>
    <w:rsid w:val="0016653D"/>
    <w:rsid w:val="001D56AF"/>
    <w:rsid w:val="001E0E21"/>
    <w:rsid w:val="00212E0A"/>
    <w:rsid w:val="002153B0"/>
    <w:rsid w:val="0021777F"/>
    <w:rsid w:val="00241DD0"/>
    <w:rsid w:val="002A0713"/>
    <w:rsid w:val="003531D7"/>
    <w:rsid w:val="003C21AC"/>
    <w:rsid w:val="003C5218"/>
    <w:rsid w:val="003C7876"/>
    <w:rsid w:val="003E2308"/>
    <w:rsid w:val="003E2F98"/>
    <w:rsid w:val="00413B00"/>
    <w:rsid w:val="0042574B"/>
    <w:rsid w:val="004330ED"/>
    <w:rsid w:val="00481C91"/>
    <w:rsid w:val="004911E3"/>
    <w:rsid w:val="00497D57"/>
    <w:rsid w:val="004A1E29"/>
    <w:rsid w:val="004A7DD4"/>
    <w:rsid w:val="004B50D8"/>
    <w:rsid w:val="004B5B90"/>
    <w:rsid w:val="00501109"/>
    <w:rsid w:val="005703C9"/>
    <w:rsid w:val="00597703"/>
    <w:rsid w:val="005A6097"/>
    <w:rsid w:val="005B1DCC"/>
    <w:rsid w:val="005B7323"/>
    <w:rsid w:val="005C25B9"/>
    <w:rsid w:val="006267E6"/>
    <w:rsid w:val="006558D2"/>
    <w:rsid w:val="00672D25"/>
    <w:rsid w:val="006738BC"/>
    <w:rsid w:val="006D3E69"/>
    <w:rsid w:val="006E0971"/>
    <w:rsid w:val="007709F6"/>
    <w:rsid w:val="00783215"/>
    <w:rsid w:val="007965FC"/>
    <w:rsid w:val="007D2608"/>
    <w:rsid w:val="008010D6"/>
    <w:rsid w:val="008164E5"/>
    <w:rsid w:val="00830081"/>
    <w:rsid w:val="008467D7"/>
    <w:rsid w:val="00852541"/>
    <w:rsid w:val="00865D47"/>
    <w:rsid w:val="0088452C"/>
    <w:rsid w:val="008D7DCB"/>
    <w:rsid w:val="009055DB"/>
    <w:rsid w:val="00905ECB"/>
    <w:rsid w:val="0096165D"/>
    <w:rsid w:val="00993E91"/>
    <w:rsid w:val="009A409F"/>
    <w:rsid w:val="009B5845"/>
    <w:rsid w:val="009B6429"/>
    <w:rsid w:val="009C0C1F"/>
    <w:rsid w:val="00A10505"/>
    <w:rsid w:val="00A1288B"/>
    <w:rsid w:val="00A53203"/>
    <w:rsid w:val="00A772EB"/>
    <w:rsid w:val="00B01BA6"/>
    <w:rsid w:val="00B4708A"/>
    <w:rsid w:val="00BD1C94"/>
    <w:rsid w:val="00BF623B"/>
    <w:rsid w:val="00C035D4"/>
    <w:rsid w:val="00C679BF"/>
    <w:rsid w:val="00C81BBD"/>
    <w:rsid w:val="00CD3132"/>
    <w:rsid w:val="00CE27CD"/>
    <w:rsid w:val="00D134F3"/>
    <w:rsid w:val="00D47D01"/>
    <w:rsid w:val="00D54B17"/>
    <w:rsid w:val="00D774B3"/>
    <w:rsid w:val="00DB0FD9"/>
    <w:rsid w:val="00DD35A5"/>
    <w:rsid w:val="00DE2948"/>
    <w:rsid w:val="00DF68BE"/>
    <w:rsid w:val="00DF712A"/>
    <w:rsid w:val="00E25DF4"/>
    <w:rsid w:val="00E3485D"/>
    <w:rsid w:val="00E6619B"/>
    <w:rsid w:val="00E908D7"/>
    <w:rsid w:val="00EA1CE4"/>
    <w:rsid w:val="00EA69AC"/>
    <w:rsid w:val="00EB40A1"/>
    <w:rsid w:val="00EC3112"/>
    <w:rsid w:val="00ED5E57"/>
    <w:rsid w:val="00EE1BD8"/>
    <w:rsid w:val="00EE5ABF"/>
    <w:rsid w:val="00FA3A35"/>
    <w:rsid w:val="00FA5BBE"/>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5A5B5A"/>
  <w15:docId w15:val="{06E3CD13-64F6-40EF-9DD4-12CC33514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character" w:styleId="Hyperlink">
    <w:name w:val="Hyperlink"/>
    <w:basedOn w:val="Standaardalinea-lettertype"/>
    <w:unhideWhenUsed/>
    <w:rsid w:val="003531D7"/>
    <w:rPr>
      <w:color w:val="0000FF" w:themeColor="hyperlink"/>
      <w:u w:val="single"/>
    </w:rPr>
  </w:style>
  <w:style w:type="character" w:styleId="Onopgelostemelding">
    <w:name w:val="Unresolved Mention"/>
    <w:basedOn w:val="Standaardalinea-lettertype"/>
    <w:uiPriority w:val="99"/>
    <w:semiHidden/>
    <w:unhideWhenUsed/>
    <w:rsid w:val="003531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468</ap:Words>
  <ap:Characters>2574</ap:Characters>
  <ap:DocSecurity>0</ap:DocSecurity>
  <ap:Lines>21</ap:Lines>
  <ap:Paragraphs>6</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3036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2005-08-22T11:50:00.0000000Z</lastPrinted>
  <dcterms:created xsi:type="dcterms:W3CDTF">2026-09-29T13:08:00.0000000Z</dcterms:created>
  <dcterms:modified xsi:type="dcterms:W3CDTF">2026-09-29T13:08:00.0000000Z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