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BB4" w:rsidRDefault="00F81BB4" w14:paraId="093344BC" w14:textId="77777777">
      <w:pPr>
        <w:spacing w:line="240" w:lineRule="auto"/>
      </w:pPr>
      <w:bookmarkStart w:name="_GoBack" w:id="0"/>
      <w:bookmarkEnd w:id="0"/>
    </w:p>
    <w:p w:rsidR="00F81BB4" w:rsidRDefault="007A78F7" w14:paraId="0EE0974C" w14:textId="77777777">
      <w:pPr>
        <w:spacing w:line="240" w:lineRule="auto"/>
      </w:pPr>
      <w:r>
        <w:t xml:space="preserve">Geachte voorzitter, </w:t>
      </w:r>
    </w:p>
    <w:p w:rsidR="00F81BB4" w:rsidRDefault="00F81BB4" w14:paraId="5918FE86" w14:textId="77777777">
      <w:pPr>
        <w:spacing w:line="240" w:lineRule="auto"/>
      </w:pPr>
    </w:p>
    <w:p w:rsidR="00F81BB4" w:rsidRDefault="00530353" w14:paraId="446927B0" w14:textId="4FF1251C">
      <w:pPr>
        <w:spacing w:line="240" w:lineRule="auto"/>
      </w:pPr>
      <w:r>
        <w:t>D</w:t>
      </w:r>
      <w:r w:rsidR="003E0E75">
        <w:t xml:space="preserve">e Kamer </w:t>
      </w:r>
      <w:r>
        <w:t xml:space="preserve">wordt jaarlijks </w:t>
      </w:r>
      <w:r w:rsidR="003E0E75">
        <w:t xml:space="preserve">geïnformeerd over de veiligheid van het vervoer van gevaarlijke stoffen in Nederland. Zoals beschreven in de </w:t>
      </w:r>
      <w:r>
        <w:t xml:space="preserve">voorgaande </w:t>
      </w:r>
      <w:r w:rsidR="003E0E75">
        <w:t>Kamerbrief die op 3 november 2025</w:t>
      </w:r>
      <w:r w:rsidR="003E0E75">
        <w:rPr>
          <w:rStyle w:val="FootnoteReference"/>
        </w:rPr>
        <w:footnoteReference w:id="1"/>
      </w:r>
      <w:r w:rsidR="003E0E75">
        <w:t xml:space="preserve"> aan de Kamer is gestuurd, is die veiligheid van groot belang</w:t>
      </w:r>
      <w:r w:rsidR="003212A8">
        <w:t>,</w:t>
      </w:r>
      <w:r w:rsidR="003E0E75">
        <w:t xml:space="preserve"> ook voor een veilige en gezonde leefomgeving. Het vervoer is aan diverse ontwikkelingen onderhevig, waarop wordt ingegaan in deze brief. Daarnaast worden </w:t>
      </w:r>
      <w:r>
        <w:t xml:space="preserve">zoals gebruikelijk </w:t>
      </w:r>
      <w:r w:rsidR="003E0E75">
        <w:t xml:space="preserve">de monitoringsgegevens van het nationale vervoer van gevaarlijke stoffen gedeeld. </w:t>
      </w:r>
    </w:p>
    <w:p w:rsidR="00F81BB4" w:rsidRDefault="00F81BB4" w14:paraId="112473EA" w14:textId="77777777">
      <w:pPr>
        <w:spacing w:line="240" w:lineRule="auto"/>
        <w:rPr>
          <w:b/>
          <w:bCs/>
        </w:rPr>
      </w:pPr>
    </w:p>
    <w:p w:rsidR="00F81BB4" w:rsidRDefault="007A78F7" w14:paraId="3E7F9DD7" w14:textId="77777777">
      <w:pPr>
        <w:spacing w:line="240" w:lineRule="auto"/>
        <w:rPr>
          <w:b/>
          <w:bCs/>
        </w:rPr>
      </w:pPr>
      <w:r>
        <w:rPr>
          <w:b/>
          <w:bCs/>
        </w:rPr>
        <w:t>Internationale regelgeving</w:t>
      </w:r>
    </w:p>
    <w:p w:rsidR="00F81BB4" w:rsidRDefault="007A78F7" w14:paraId="18DAF473" w14:textId="34248792">
      <w:pPr>
        <w:spacing w:line="240" w:lineRule="auto"/>
        <w:rPr>
          <w:i/>
          <w:iCs/>
        </w:rPr>
      </w:pPr>
      <w:r>
        <w:t xml:space="preserve">Het vervoer van gevaarlijke stoffen moet aan de internationale veiligheidsvoorschriften voldoen. Het vervoer </w:t>
      </w:r>
      <w:r w:rsidR="003E0E75">
        <w:t>d</w:t>
      </w:r>
      <w:r>
        <w:t xml:space="preserve">at aan deze voorschriften voldoet, </w:t>
      </w:r>
      <w:r w:rsidR="003E0E75">
        <w:t xml:space="preserve">moet op grond van die internationale </w:t>
      </w:r>
      <w:r w:rsidR="006F1CB3">
        <w:t>regelgeving</w:t>
      </w:r>
      <w:r>
        <w:t xml:space="preserve"> als </w:t>
      </w:r>
      <w:r w:rsidR="003E0E75">
        <w:t xml:space="preserve">voldoende </w:t>
      </w:r>
      <w:r>
        <w:t>veilig worden beschouwd. Heldere en eenduidige voorschriften leiden</w:t>
      </w:r>
      <w:r w:rsidR="003E0E75">
        <w:t xml:space="preserve"> daarnaast</w:t>
      </w:r>
      <w:r>
        <w:t xml:space="preserve"> tot duidelijkheid en zekerheid voor alle betrokken partijen rondom het vervoer.</w:t>
      </w:r>
      <w:r w:rsidR="006F1CB3">
        <w:t xml:space="preserve"> Per 1 januari 2027 treden de nieuwe versies van de internationale regelgeving in werking en worden deze ook geïmplementeerd in de nationale wetgeving</w:t>
      </w:r>
      <w:r w:rsidR="003212A8">
        <w:t>.</w:t>
      </w:r>
      <w:r>
        <w:t xml:space="preserve"> Sinds de vorige Kamerbrief zijn er </w:t>
      </w:r>
      <w:r w:rsidR="003212A8">
        <w:t xml:space="preserve">daarnaast </w:t>
      </w:r>
      <w:r>
        <w:t xml:space="preserve">ontwikkelingen geweest op de </w:t>
      </w:r>
      <w:r w:rsidR="003E0E75">
        <w:t>hieronder beschreven</w:t>
      </w:r>
      <w:r>
        <w:t xml:space="preserve"> </w:t>
      </w:r>
      <w:r w:rsidR="003E0E75">
        <w:t>dossiers</w:t>
      </w:r>
      <w:r>
        <w:t xml:space="preserve">. </w:t>
      </w:r>
    </w:p>
    <w:p w:rsidR="00F81BB4" w:rsidRDefault="00F81BB4" w14:paraId="78052EE0" w14:textId="77777777">
      <w:pPr>
        <w:spacing w:line="240" w:lineRule="auto"/>
        <w:rPr>
          <w:i/>
          <w:iCs/>
        </w:rPr>
      </w:pPr>
    </w:p>
    <w:p w:rsidR="00F81BB4" w:rsidRDefault="007A78F7" w14:paraId="79E44D32" w14:textId="77777777">
      <w:pPr>
        <w:pStyle w:val="NoSpacing"/>
        <w:rPr>
          <w:rFonts w:ascii="Verdana" w:hAnsi="Verdana"/>
          <w:i/>
          <w:iCs/>
          <w:sz w:val="18"/>
          <w:szCs w:val="18"/>
        </w:rPr>
      </w:pPr>
      <w:r>
        <w:rPr>
          <w:rFonts w:ascii="Verdana" w:hAnsi="Verdana"/>
          <w:i/>
          <w:iCs/>
          <w:sz w:val="18"/>
          <w:szCs w:val="18"/>
        </w:rPr>
        <w:t>Vervoeren van vloeibare waterstof (LH</w:t>
      </w:r>
      <w:r>
        <w:rPr>
          <w:rFonts w:ascii="Verdana" w:hAnsi="Verdana"/>
          <w:i/>
          <w:iCs/>
          <w:sz w:val="18"/>
          <w:szCs w:val="18"/>
          <w:vertAlign w:val="subscript"/>
        </w:rPr>
        <w:t>2</w:t>
      </w:r>
      <w:r>
        <w:rPr>
          <w:rFonts w:ascii="Verdana" w:hAnsi="Verdana"/>
          <w:i/>
          <w:iCs/>
          <w:sz w:val="18"/>
          <w:szCs w:val="18"/>
        </w:rPr>
        <w:t>) via de binnenvaart</w:t>
      </w:r>
      <w:r>
        <w:rPr>
          <w:rFonts w:ascii="Verdana" w:hAnsi="Verdana"/>
          <w:sz w:val="18"/>
          <w:szCs w:val="18"/>
        </w:rPr>
        <w:t xml:space="preserve"> </w:t>
      </w:r>
    </w:p>
    <w:p w:rsidR="00F81BB4" w:rsidRDefault="007A78F7" w14:paraId="467260E3" w14:textId="69A96567">
      <w:pPr>
        <w:pStyle w:val="NoSpacing"/>
        <w:rPr>
          <w:rFonts w:ascii="Verdana" w:hAnsi="Verdana"/>
          <w:sz w:val="18"/>
          <w:szCs w:val="18"/>
        </w:rPr>
      </w:pPr>
      <w:r>
        <w:rPr>
          <w:rFonts w:ascii="Verdana" w:hAnsi="Verdana"/>
          <w:sz w:val="18"/>
          <w:szCs w:val="18"/>
        </w:rPr>
        <w:t>Het belang van het mogelijk maken van vervoer van (gekoelde) vloeibare waterstof (LH</w:t>
      </w:r>
      <w:r>
        <w:rPr>
          <w:rFonts w:ascii="Verdana" w:hAnsi="Verdana"/>
          <w:sz w:val="18"/>
          <w:szCs w:val="18"/>
          <w:vertAlign w:val="subscript"/>
        </w:rPr>
        <w:t>2</w:t>
      </w:r>
      <w:r>
        <w:rPr>
          <w:rFonts w:ascii="Verdana" w:hAnsi="Verdana"/>
          <w:sz w:val="18"/>
          <w:szCs w:val="18"/>
        </w:rPr>
        <w:t xml:space="preserve">) in bulk per binnenvaarttanker kan voor de energietransitie niet voldoende worden </w:t>
      </w:r>
      <w:r w:rsidR="00B6173F">
        <w:rPr>
          <w:rFonts w:ascii="Verdana" w:hAnsi="Verdana"/>
          <w:sz w:val="18"/>
          <w:szCs w:val="18"/>
        </w:rPr>
        <w:t>benadrukt</w:t>
      </w:r>
      <w:r>
        <w:rPr>
          <w:rFonts w:ascii="Verdana" w:hAnsi="Verdana"/>
          <w:sz w:val="18"/>
          <w:szCs w:val="18"/>
        </w:rPr>
        <w:t>. Momenteel is dit nog niet toegestaan in de internationale veiligheidsvoorschriften. Daarom wordt onderzocht of, vooruitlopend op structurele verankering in de regelgeving, een bijzondere machtiging kan worden verleend om vloeibare waterstof te vervoeren tussen Amsterdam en Duisburg. Hiervoor wordt nauw samengewerkt tussen het ministerie van Infrastructuur en Waterstaat (IenW), het ministerie van Economische Zaken en Klimaat</w:t>
      </w:r>
      <w:r w:rsidR="00543EC0">
        <w:rPr>
          <w:rFonts w:ascii="Verdana" w:hAnsi="Verdana"/>
          <w:sz w:val="18"/>
          <w:szCs w:val="18"/>
        </w:rPr>
        <w:t xml:space="preserve"> (EZK)</w:t>
      </w:r>
      <w:r>
        <w:rPr>
          <w:rFonts w:ascii="Verdana" w:hAnsi="Verdana"/>
          <w:sz w:val="18"/>
          <w:szCs w:val="18"/>
        </w:rPr>
        <w:t xml:space="preserve">, betrokken marktpartijen en de Duitse overheid. </w:t>
      </w:r>
      <w:r w:rsidR="003E0E75">
        <w:rPr>
          <w:rFonts w:ascii="Verdana" w:hAnsi="Verdana"/>
          <w:sz w:val="18"/>
          <w:szCs w:val="18"/>
        </w:rPr>
        <w:t xml:space="preserve">De gesprekken over de noodzakelijke technische voorschriften tijdens het vervoer van vloeibare waterstof via de binnenvaart verlopen voorspoedig. </w:t>
      </w:r>
      <w:r w:rsidR="00543EC0">
        <w:rPr>
          <w:rFonts w:ascii="Verdana" w:hAnsi="Verdana"/>
          <w:sz w:val="18"/>
          <w:szCs w:val="18"/>
        </w:rPr>
        <w:t>D</w:t>
      </w:r>
      <w:r w:rsidR="003E0E75">
        <w:rPr>
          <w:rFonts w:ascii="Verdana" w:hAnsi="Verdana"/>
          <w:sz w:val="18"/>
          <w:szCs w:val="18"/>
        </w:rPr>
        <w:t xml:space="preserve">aarbij </w:t>
      </w:r>
      <w:r w:rsidR="00543EC0">
        <w:rPr>
          <w:rFonts w:ascii="Verdana" w:hAnsi="Verdana"/>
          <w:sz w:val="18"/>
          <w:szCs w:val="18"/>
        </w:rPr>
        <w:t xml:space="preserve">wordt ook </w:t>
      </w:r>
      <w:r w:rsidR="003E0E75">
        <w:rPr>
          <w:rFonts w:ascii="Verdana" w:hAnsi="Verdana"/>
          <w:sz w:val="18"/>
          <w:szCs w:val="18"/>
        </w:rPr>
        <w:t>gekeken naar ervaringen die in de zeevaart zijn opgedaan bij het vervoer van vloeibare waterstof in bulk. I</w:t>
      </w:r>
      <w:r>
        <w:rPr>
          <w:rFonts w:ascii="Verdana" w:hAnsi="Verdana"/>
          <w:sz w:val="18"/>
          <w:szCs w:val="18"/>
        </w:rPr>
        <w:t xml:space="preserve">n een volgende brief wordt de Kamer geïnformeerd over de voortgang van dit project. </w:t>
      </w:r>
    </w:p>
    <w:p w:rsidR="001909A2" w:rsidRDefault="001909A2" w14:paraId="2B080DB8" w14:textId="77777777">
      <w:pPr>
        <w:pStyle w:val="NoSpacing"/>
        <w:rPr>
          <w:rFonts w:ascii="Verdana" w:hAnsi="Verdana"/>
          <w:sz w:val="18"/>
          <w:szCs w:val="18"/>
        </w:rPr>
      </w:pPr>
    </w:p>
    <w:p w:rsidR="00F81BB4" w:rsidRDefault="00F81BB4" w14:paraId="2CFBC9B2" w14:textId="77777777">
      <w:pPr>
        <w:spacing w:line="240" w:lineRule="auto"/>
        <w:rPr>
          <w:i/>
          <w:iCs/>
        </w:rPr>
      </w:pPr>
    </w:p>
    <w:p w:rsidR="00F81BB4" w:rsidRDefault="007A78F7" w14:paraId="52757459" w14:textId="77777777">
      <w:pPr>
        <w:spacing w:line="240" w:lineRule="auto"/>
        <w:rPr>
          <w:i/>
          <w:iCs/>
        </w:rPr>
      </w:pPr>
      <w:r>
        <w:rPr>
          <w:i/>
          <w:iCs/>
        </w:rPr>
        <w:lastRenderedPageBreak/>
        <w:t xml:space="preserve">Aanpassing aan tankwagons voor vervoer van giftige stoffen per spoor </w:t>
      </w:r>
    </w:p>
    <w:p w:rsidR="00F81BB4" w:rsidRDefault="003E0E75" w14:paraId="7EFD6D7E" w14:textId="73883FD4">
      <w:pPr>
        <w:spacing w:line="240" w:lineRule="auto"/>
        <w:rPr>
          <w:i/>
          <w:iCs/>
        </w:rPr>
      </w:pPr>
      <w:r>
        <w:t>Het is de verwachting dat in Nederland het vervoer van ammoniak mogelijk zal toenemen door de rol van ammoniak in de energietransitie. Het vervoer ervan vindt onder de strengste voorschriften plaats</w:t>
      </w:r>
      <w:r w:rsidR="004C4ECE">
        <w:t>, gezien de giftige eigenschappen van deze stof</w:t>
      </w:r>
      <w:r>
        <w:t>. Tegelijk</w:t>
      </w:r>
      <w:r w:rsidR="004C4ECE">
        <w:t>ertijd</w:t>
      </w:r>
      <w:r>
        <w:t xml:space="preserve"> blijven er nieuwe ontwikkelingen plaatsvinden die mogelijk kunnen bijdragen aan een hoger veiligheidsniveau. Een voorbeeld daarvan is dat de moeren van een deksel voor een inspectievoorziening verdiept kunnen worden aangebracht. Nederland zet zich</w:t>
      </w:r>
      <w:r w:rsidR="0098373C">
        <w:t xml:space="preserve"> ervoor</w:t>
      </w:r>
      <w:r>
        <w:t xml:space="preserve"> in </w:t>
      </w:r>
      <w:r w:rsidR="0098373C">
        <w:t>dat</w:t>
      </w:r>
      <w:r>
        <w:t xml:space="preserve"> deze voorziening, die kan voorkomen dat het deksel beschadigd of open raakt bij een ongeval, verplicht wordt </w:t>
      </w:r>
      <w:r w:rsidR="00FE50DE">
        <w:t xml:space="preserve">in de internationale regelgeving </w:t>
      </w:r>
      <w:r w:rsidR="004C4ECE">
        <w:t>en geldt voor</w:t>
      </w:r>
      <w:r>
        <w:t xml:space="preserve"> het vervoer van giftige stoffen per spoor, waaronder ammoniak. Zo ontstaat er een zogenoemde extra </w:t>
      </w:r>
      <w:r>
        <w:rPr>
          <w:i/>
          <w:iCs/>
        </w:rPr>
        <w:t xml:space="preserve">line of defense. </w:t>
      </w:r>
      <w:r>
        <w:t>Naast dat Nederland op deze manier aandacht heeft voor nieuwe technische ontwikkelingen</w:t>
      </w:r>
      <w:r w:rsidR="004C4ECE">
        <w:t>,</w:t>
      </w:r>
      <w:r>
        <w:t xml:space="preserve"> past Nederland hiermee ook het principe van leren van incidenten toe. </w:t>
      </w:r>
      <w:r w:rsidR="004C4ECE">
        <w:t>I</w:t>
      </w:r>
      <w:r>
        <w:t>n 2022</w:t>
      </w:r>
      <w:r w:rsidR="004C4ECE">
        <w:t xml:space="preserve"> heeft</w:t>
      </w:r>
      <w:r>
        <w:t xml:space="preserve"> in Servië een incident plaatsgevonden waarbij een trein, geladen met onder meer ammoniak, is </w:t>
      </w:r>
      <w:r w:rsidR="00B6173F">
        <w:t>ontspoord</w:t>
      </w:r>
      <w:r>
        <w:t xml:space="preserve"> en waar de moeren van </w:t>
      </w:r>
      <w:r w:rsidR="00FE50DE">
        <w:t>de</w:t>
      </w:r>
      <w:r>
        <w:t xml:space="preserve"> inspectie</w:t>
      </w:r>
      <w:r w:rsidR="00FE50DE">
        <w:t>voorziening</w:t>
      </w:r>
      <w:r>
        <w:t xml:space="preserve"> zijn geschraapt. Al is de situatie</w:t>
      </w:r>
      <w:r w:rsidR="004C4ECE">
        <w:t xml:space="preserve"> en kwaliteit</w:t>
      </w:r>
      <w:r>
        <w:t xml:space="preserve"> van het spoor in Servië </w:t>
      </w:r>
      <w:r w:rsidR="004C4ECE">
        <w:t>in het geheel niet</w:t>
      </w:r>
      <w:r>
        <w:t xml:space="preserve"> vergelijkbaar met dat van Nederland</w:t>
      </w:r>
      <w:r w:rsidR="004C4ECE">
        <w:t>,</w:t>
      </w:r>
      <w:r>
        <w:t xml:space="preserve"> </w:t>
      </w:r>
      <w:r w:rsidR="004C4ECE">
        <w:t>is</w:t>
      </w:r>
      <w:r>
        <w:t xml:space="preserve"> het belangrijk </w:t>
      </w:r>
      <w:r w:rsidR="004C4ECE">
        <w:t>ook</w:t>
      </w:r>
      <w:r>
        <w:t xml:space="preserve"> van dit soort incidenten te leren.  </w:t>
      </w:r>
    </w:p>
    <w:p w:rsidR="00F81BB4" w:rsidRDefault="00F81BB4" w14:paraId="5B5E81F1" w14:textId="77777777">
      <w:pPr>
        <w:pStyle w:val="NoSpacing"/>
        <w:rPr>
          <w:rFonts w:ascii="Verdana" w:hAnsi="Verdana"/>
          <w:sz w:val="18"/>
          <w:szCs w:val="18"/>
        </w:rPr>
      </w:pPr>
    </w:p>
    <w:p w:rsidR="00F81BB4" w:rsidRDefault="007A78F7" w14:paraId="53ABEE77" w14:textId="77777777">
      <w:pPr>
        <w:pStyle w:val="NoSpacing"/>
        <w:rPr>
          <w:rFonts w:ascii="Verdana" w:hAnsi="Verdana"/>
          <w:i/>
          <w:iCs/>
          <w:sz w:val="18"/>
          <w:szCs w:val="18"/>
        </w:rPr>
      </w:pPr>
      <w:r>
        <w:rPr>
          <w:rFonts w:ascii="Verdana" w:hAnsi="Verdana"/>
          <w:i/>
          <w:iCs/>
          <w:sz w:val="18"/>
          <w:szCs w:val="18"/>
        </w:rPr>
        <w:t>Voorkomen van incidenten door begassing</w:t>
      </w:r>
    </w:p>
    <w:p w:rsidR="00F81BB4" w:rsidRDefault="007A78F7" w14:paraId="05E82500" w14:textId="7BA89455">
      <w:pPr>
        <w:pStyle w:val="NoSpacing"/>
        <w:rPr>
          <w:rFonts w:ascii="Verdana" w:hAnsi="Verdana"/>
          <w:sz w:val="18"/>
          <w:szCs w:val="18"/>
        </w:rPr>
      </w:pPr>
      <w:r>
        <w:rPr>
          <w:rFonts w:ascii="Verdana" w:hAnsi="Verdana"/>
          <w:sz w:val="18"/>
          <w:szCs w:val="18"/>
        </w:rPr>
        <w:t xml:space="preserve">Om tijdens het vervoer van graan, diervoer en houtproducten met de binnenvaart een incident als gevolg van het begassen van de lading met (giftige) gassingsmiddelen te voorkomen, zijn </w:t>
      </w:r>
      <w:r w:rsidR="004C4ECE">
        <w:rPr>
          <w:rFonts w:ascii="Verdana" w:hAnsi="Verdana"/>
          <w:sz w:val="18"/>
          <w:szCs w:val="18"/>
        </w:rPr>
        <w:t xml:space="preserve">hiervoor </w:t>
      </w:r>
      <w:r>
        <w:rPr>
          <w:rFonts w:ascii="Verdana" w:hAnsi="Verdana"/>
          <w:sz w:val="18"/>
          <w:szCs w:val="18"/>
        </w:rPr>
        <w:t>nieuwe veiligheidsvoorschriften vastgesteld. D</w:t>
      </w:r>
      <w:r w:rsidR="004C4ECE">
        <w:rPr>
          <w:rFonts w:ascii="Verdana" w:hAnsi="Verdana"/>
          <w:sz w:val="18"/>
          <w:szCs w:val="18"/>
        </w:rPr>
        <w:t>eze voorschriften zijn</w:t>
      </w:r>
      <w:r>
        <w:rPr>
          <w:rFonts w:ascii="Verdana" w:hAnsi="Verdana"/>
          <w:sz w:val="18"/>
          <w:szCs w:val="18"/>
        </w:rPr>
        <w:t xml:space="preserve"> op initiatief van Nederland en in samenwerking met de sector tot stand gekomen, naar aanleiding van incidenten</w:t>
      </w:r>
      <w:r w:rsidR="004C4ECE">
        <w:rPr>
          <w:rFonts w:ascii="Verdana" w:hAnsi="Verdana"/>
          <w:sz w:val="18"/>
          <w:szCs w:val="18"/>
        </w:rPr>
        <w:t xml:space="preserve"> </w:t>
      </w:r>
      <w:r w:rsidR="00B52C11">
        <w:rPr>
          <w:rFonts w:ascii="Verdana" w:hAnsi="Verdana"/>
          <w:sz w:val="18"/>
          <w:szCs w:val="18"/>
        </w:rPr>
        <w:t xml:space="preserve">in het verleden </w:t>
      </w:r>
      <w:r w:rsidR="004C4ECE">
        <w:rPr>
          <w:rFonts w:ascii="Verdana" w:hAnsi="Verdana"/>
          <w:sz w:val="18"/>
          <w:szCs w:val="18"/>
        </w:rPr>
        <w:t>tijdens dit vervoer</w:t>
      </w:r>
      <w:r>
        <w:rPr>
          <w:rFonts w:ascii="Verdana" w:hAnsi="Verdana"/>
          <w:sz w:val="18"/>
          <w:szCs w:val="18"/>
        </w:rPr>
        <w:t>. Door onder meer het verplicht stellen van gasmetingen en alarmvoorzieningen kunnen gevaarlijke situaties tijdig worden gesignaleerd en aangepakt. Door deze nieuwe voorschriften wordt de veiligheid van bemanning en de omgeving verbeterd.</w:t>
      </w:r>
      <w:r w:rsidR="000A4FF7">
        <w:rPr>
          <w:rFonts w:ascii="Verdana" w:hAnsi="Verdana"/>
          <w:sz w:val="18"/>
          <w:szCs w:val="18"/>
        </w:rPr>
        <w:t xml:space="preserve"> Internationaal is afgesproken dat de lidstaten de uitwerking van de nieuwe voorschriften actief monitoren, om de effectiviteit van de maatregelen te kunnen evalueren.</w:t>
      </w:r>
      <w:r>
        <w:rPr>
          <w:rFonts w:ascii="Verdana" w:hAnsi="Verdana"/>
          <w:sz w:val="18"/>
          <w:szCs w:val="18"/>
        </w:rPr>
        <w:t xml:space="preserve"> De Europese binnenvaartsector wordt op initiatief van Nederland actief geïnformeerd over de toepassing van de nieuwe voorschriften</w:t>
      </w:r>
      <w:r w:rsidR="004C4ECE">
        <w:rPr>
          <w:rFonts w:ascii="Verdana" w:hAnsi="Verdana"/>
          <w:sz w:val="18"/>
          <w:szCs w:val="18"/>
        </w:rPr>
        <w:t>, ook in de landen waar dit vervoer</w:t>
      </w:r>
      <w:r w:rsidR="00500704">
        <w:rPr>
          <w:rFonts w:ascii="Verdana" w:hAnsi="Verdana"/>
          <w:sz w:val="18"/>
          <w:szCs w:val="18"/>
        </w:rPr>
        <w:t xml:space="preserve"> vaak</w:t>
      </w:r>
      <w:r w:rsidR="004C4ECE">
        <w:rPr>
          <w:rFonts w:ascii="Verdana" w:hAnsi="Verdana"/>
          <w:sz w:val="18"/>
          <w:szCs w:val="18"/>
        </w:rPr>
        <w:t xml:space="preserve"> zijn oorsprong vindt (met name in Oost-Europa)</w:t>
      </w:r>
      <w:r>
        <w:rPr>
          <w:rFonts w:ascii="Verdana" w:hAnsi="Verdana"/>
          <w:sz w:val="18"/>
          <w:szCs w:val="18"/>
        </w:rPr>
        <w:t xml:space="preserve">. </w:t>
      </w:r>
    </w:p>
    <w:p w:rsidR="00F81BB4" w:rsidRDefault="00F81BB4" w14:paraId="35E01557" w14:textId="77777777">
      <w:pPr>
        <w:pStyle w:val="NoSpacing"/>
        <w:rPr>
          <w:rFonts w:ascii="Verdana" w:hAnsi="Verdana"/>
          <w:sz w:val="18"/>
          <w:szCs w:val="18"/>
        </w:rPr>
      </w:pPr>
    </w:p>
    <w:p w:rsidR="00F81BB4" w:rsidRDefault="007A78F7" w14:paraId="709F881D" w14:textId="08701ED7">
      <w:pPr>
        <w:pStyle w:val="NoSpacing"/>
        <w:rPr>
          <w:rFonts w:ascii="Verdana" w:hAnsi="Verdana"/>
          <w:sz w:val="18"/>
          <w:szCs w:val="18"/>
        </w:rPr>
      </w:pPr>
      <w:r>
        <w:rPr>
          <w:rFonts w:ascii="Verdana" w:hAnsi="Verdana"/>
          <w:sz w:val="18"/>
          <w:szCs w:val="18"/>
        </w:rPr>
        <w:t xml:space="preserve">Incidenten door begassing kunnen zich ook voordoen bij de overslag van zeevaart naar binnenvaart. Daarom zet Nederland zich ook bij de International Maritime Organisation (IMO) in voor het aanscherpen van richtlijnen voor het gassen van ladingen in de zeevaart. </w:t>
      </w:r>
    </w:p>
    <w:p w:rsidR="00F81BB4" w:rsidRDefault="00F81BB4" w14:paraId="3335B4C0" w14:textId="77777777">
      <w:pPr>
        <w:spacing w:line="240" w:lineRule="auto"/>
        <w:rPr>
          <w:b/>
          <w:bCs/>
        </w:rPr>
      </w:pPr>
    </w:p>
    <w:p w:rsidR="00F81BB4" w:rsidRDefault="007A78F7" w14:paraId="2E63F91A" w14:textId="77777777">
      <w:pPr>
        <w:spacing w:line="240" w:lineRule="auto"/>
        <w:rPr>
          <w:b/>
          <w:bCs/>
        </w:rPr>
      </w:pPr>
      <w:r>
        <w:rPr>
          <w:b/>
          <w:bCs/>
        </w:rPr>
        <w:t xml:space="preserve">Nationale beleidsinzet </w:t>
      </w:r>
    </w:p>
    <w:p w:rsidR="00F81BB4" w:rsidRDefault="007A78F7" w14:paraId="6B28F0BD" w14:textId="22A419F4">
      <w:pPr>
        <w:spacing w:line="240" w:lineRule="auto"/>
      </w:pPr>
      <w:r>
        <w:t>Met diverse Nederlandse bedrijven en sectoren zijn vrijwillige afspraken (convenanten) gemaakt over het vervoeren van gevaarlijke stoffen</w:t>
      </w:r>
      <w:r w:rsidR="004C4ECE">
        <w:t xml:space="preserve"> in Nederland</w:t>
      </w:r>
      <w:r>
        <w:t xml:space="preserve">. Daarnaast zijn in Nederland aanvullende voorschriften op internationale regelgeving van kracht via zogenaamde nationale bepalingen (N-bepalingen). </w:t>
      </w:r>
      <w:r w:rsidR="004C4ECE">
        <w:t>Ook</w:t>
      </w:r>
      <w:r>
        <w:t xml:space="preserve"> wordt het vervoer van gevaarlijke stoffen</w:t>
      </w:r>
      <w:r w:rsidR="004C4ECE">
        <w:t xml:space="preserve"> in Nederland ieder jaar</w:t>
      </w:r>
      <w:r>
        <w:t xml:space="preserve"> gemonitord om ontwikkelingen in kaart te houden en te signaleren. </w:t>
      </w:r>
      <w:r w:rsidR="004C4ECE">
        <w:t>Verder wordt er gewerkt aan de versterking van de veiligheid van spoorwegemplacementen</w:t>
      </w:r>
      <w:r>
        <w:t xml:space="preserve">. Onderstaand worden deze ontwikkelingen uiteengezet. Het beleid rondom het basisnet en de herziening daarvan is in 2026 besproken in een bestuurlijk traject. Over </w:t>
      </w:r>
      <w:r w:rsidR="00B17502">
        <w:t xml:space="preserve">de uitkomsten van dit </w:t>
      </w:r>
      <w:r>
        <w:t xml:space="preserve">traject </w:t>
      </w:r>
      <w:r w:rsidR="00B17502">
        <w:t>wordt de Tweede Kamer separaat geïnformeerd</w:t>
      </w:r>
      <w:r w:rsidDel="00B17502" w:rsidR="00B17502">
        <w:t xml:space="preserve"> </w:t>
      </w:r>
      <w:r w:rsidR="00B17502">
        <w:t xml:space="preserve">door </w:t>
      </w:r>
      <w:r>
        <w:t>de staatssecretaris van IenW en de minister van VRO</w:t>
      </w:r>
      <w:r w:rsidR="0099522E">
        <w:t>.</w:t>
      </w:r>
    </w:p>
    <w:p w:rsidR="00F81BB4" w:rsidRDefault="00F81BB4" w14:paraId="1CA8692A" w14:textId="77777777">
      <w:pPr>
        <w:spacing w:line="240" w:lineRule="auto"/>
      </w:pPr>
    </w:p>
    <w:p w:rsidR="00F81BB4" w:rsidRDefault="007A78F7" w14:paraId="03D73652" w14:textId="77777777">
      <w:pPr>
        <w:spacing w:line="240" w:lineRule="auto"/>
        <w:rPr>
          <w:i/>
          <w:iCs/>
        </w:rPr>
      </w:pPr>
      <w:r>
        <w:rPr>
          <w:i/>
          <w:iCs/>
        </w:rPr>
        <w:t>Monitoring basisnet</w:t>
      </w:r>
    </w:p>
    <w:p w:rsidR="00F81BB4" w:rsidRDefault="007A78F7" w14:paraId="724B94E5" w14:textId="2888A9D4">
      <w:pPr>
        <w:spacing w:line="240" w:lineRule="auto"/>
      </w:pPr>
      <w:r>
        <w:t>Monitoring van het vervoer van gevaarlijke stoffen over spoor, water en weg in Nederland vindt jaarlijks plaats, zoals vastgelegd in de Wet Vervoer gevaarlijke stoffen</w:t>
      </w:r>
      <w:r>
        <w:rPr>
          <w:rStyle w:val="FootnoteReference"/>
        </w:rPr>
        <w:footnoteReference w:id="2"/>
      </w:r>
      <w:r>
        <w:t>. Volgens de statistieken van het CBS</w:t>
      </w:r>
      <w:r w:rsidR="009D36B2">
        <w:t xml:space="preserve"> uit 2025</w:t>
      </w:r>
      <w:r>
        <w:t xml:space="preserve"> </w:t>
      </w:r>
      <w:r w:rsidR="009601D1">
        <w:t xml:space="preserve">vond </w:t>
      </w:r>
      <w:r>
        <w:t>ongeveer 55% van het vervoer van gevaarlijke stoffen over het water plaats (40% via zeevaart en 15% via binnenvaart)</w:t>
      </w:r>
      <w:r w:rsidR="009D36B2">
        <w:t>, 40% door buisleidingen</w:t>
      </w:r>
      <w:r>
        <w:t xml:space="preserve">, 2% over de weg en 0,8% </w:t>
      </w:r>
      <w:r w:rsidR="009D36B2">
        <w:t>over het</w:t>
      </w:r>
      <w:r>
        <w:t xml:space="preserve"> spoor</w:t>
      </w:r>
      <w:r>
        <w:rPr>
          <w:rStyle w:val="FootnoteReference"/>
        </w:rPr>
        <w:footnoteReference w:id="3"/>
      </w:r>
      <w:r>
        <w:t>.</w:t>
      </w:r>
    </w:p>
    <w:p w:rsidR="00F81BB4" w:rsidRDefault="00F81BB4" w14:paraId="589BFC5E" w14:textId="77777777">
      <w:pPr>
        <w:spacing w:line="240" w:lineRule="auto"/>
      </w:pPr>
    </w:p>
    <w:p w:rsidR="00F81BB4" w:rsidRDefault="007A78F7" w14:paraId="732D80A1" w14:textId="7BE82490">
      <w:pPr>
        <w:spacing w:line="240" w:lineRule="auto"/>
      </w:pPr>
      <w:r>
        <w:t>Net als voorgaande jaren blijkt uit de monitoringrapportage dat voor het basisnet water alle vervoerstromen ook in 2025 binnen de risicoplafonds zijn gebleven. De vervoersaantallen zijn in vergelijking met voorgaande jaren vrijwel gelijk gebleven.</w:t>
      </w:r>
    </w:p>
    <w:p w:rsidR="00F81BB4" w:rsidRDefault="00F81BB4" w14:paraId="33ACA291" w14:textId="77777777">
      <w:pPr>
        <w:spacing w:line="240" w:lineRule="auto"/>
      </w:pPr>
    </w:p>
    <w:p w:rsidR="001909A2" w:rsidP="005A2456" w:rsidRDefault="007A78F7" w14:paraId="52913AC6" w14:textId="6946B7C7">
      <w:pPr>
        <w:spacing w:line="240" w:lineRule="auto"/>
      </w:pPr>
      <w:r>
        <w:t xml:space="preserve">Voor het vervoer van gevaarlijke stoffen over de weg </w:t>
      </w:r>
      <w:r w:rsidR="007814B8">
        <w:t xml:space="preserve">geldt </w:t>
      </w:r>
      <w:r>
        <w:t>in 2025 een daling van de vervoersaantallen van een aantal stoffen. Er is in 2025 één overschrijding van de PR10</w:t>
      </w:r>
      <w:r>
        <w:rPr>
          <w:vertAlign w:val="superscript"/>
        </w:rPr>
        <w:t xml:space="preserve">-6 </w:t>
      </w:r>
      <w:r>
        <w:t>ge</w:t>
      </w:r>
      <w:r w:rsidR="00B67FA1">
        <w:t>monitord</w:t>
      </w:r>
      <w:r w:rsidR="004C4ECE">
        <w:t>.</w:t>
      </w:r>
      <w:r>
        <w:t xml:space="preserve"> </w:t>
      </w:r>
      <w:r w:rsidR="004C4ECE">
        <w:t>D</w:t>
      </w:r>
      <w:r>
        <w:t>it betreft een wegvak waar de gerealiseerde plaatsgebonden risicocontour 10</w:t>
      </w:r>
      <w:r>
        <w:rPr>
          <w:vertAlign w:val="superscript"/>
        </w:rPr>
        <w:t>-6</w:t>
      </w:r>
      <w:r>
        <w:t xml:space="preserve"> (PR10</w:t>
      </w:r>
      <w:r>
        <w:rPr>
          <w:vertAlign w:val="superscript"/>
        </w:rPr>
        <w:t>-6</w:t>
      </w:r>
      <w:r>
        <w:t xml:space="preserve">) twee meter groter is dan het </w:t>
      </w:r>
      <w:r w:rsidR="00D90EBD">
        <w:t xml:space="preserve">in het basisnet vastgestelde </w:t>
      </w:r>
      <w:r>
        <w:t>risicoplafond. Binnen de gerealiseerde contour staan geen (zeer) kwetsbare objecten. De overschrijding is voornamelijk het gevolg van het toegenomen vervoer van LNG (</w:t>
      </w:r>
      <w:r>
        <w:rPr>
          <w:i/>
          <w:iCs/>
        </w:rPr>
        <w:t>liquified natural gas)</w:t>
      </w:r>
      <w:r w:rsidR="006809C9">
        <w:t>.</w:t>
      </w:r>
    </w:p>
    <w:p w:rsidR="001909A2" w:rsidP="005A2456" w:rsidRDefault="001909A2" w14:paraId="6664D733" w14:textId="77777777">
      <w:pPr>
        <w:spacing w:line="240" w:lineRule="auto"/>
      </w:pPr>
    </w:p>
    <w:p w:rsidR="005A2456" w:rsidP="005A2456" w:rsidRDefault="005A2456" w14:paraId="2AC29C86" w14:textId="17AAC608">
      <w:pPr>
        <w:spacing w:line="240" w:lineRule="auto"/>
      </w:pPr>
      <w:r>
        <w:t>Om de monitoring toekomstbestendig te maken, is dit jaar een energierapportage opgesteld voor het wegvervoer. Deze energierapportage is bedoeld om inzichtelijk te maken wat de effecten van de energietransitie zijn op het vervoer van gevaarlijke stoffen</w:t>
      </w:r>
      <w:r w:rsidR="005064A2">
        <w:t xml:space="preserve"> over de weg</w:t>
      </w:r>
      <w:r>
        <w:t>. Daarbij is gekeken naar de toe- en afname van specifieke vervoersstromen. In het rapport wordt aangegeven dat er in 2025 ten opzichte van 2020 op een aantal geselecteerde wegvakken een toename te zien is in het vervoer van waterstof (gas en vloeibaar) en ammoniak (gas). Het vervoer van LNG op deze specifieke vakken is afgenomen. Omdat deze rapportage voor de eerste keer is opgesteld, kunnen er geen conclusies worden getrokken op basis van deze aantallen. De komende jaren zal worden gewerkt aan verbetering van deze rapportage en wordt onderzocht hoe inzichtelijk gemaakt kan worden of er sprake is van</w:t>
      </w:r>
      <w:r w:rsidR="00B6173F">
        <w:t xml:space="preserve"> een</w:t>
      </w:r>
      <w:r>
        <w:t xml:space="preserve"> modal shift. </w:t>
      </w:r>
    </w:p>
    <w:p w:rsidR="00F81BB4" w:rsidRDefault="00F81BB4" w14:paraId="78F0BC1C" w14:textId="77777777">
      <w:pPr>
        <w:spacing w:line="240" w:lineRule="auto"/>
      </w:pPr>
    </w:p>
    <w:p w:rsidR="00F81BB4" w:rsidRDefault="007A78F7" w14:paraId="713FCA0A" w14:textId="1C467B51">
      <w:pPr>
        <w:spacing w:line="240" w:lineRule="auto"/>
      </w:pPr>
      <w:r>
        <w:t xml:space="preserve">Voor het vervoer van gevaarlijke stoffen over het spoor </w:t>
      </w:r>
      <w:r w:rsidR="00B30E0C">
        <w:t xml:space="preserve">was </w:t>
      </w:r>
      <w:r>
        <w:t>in 2025 in het algemeen een daling van de vervoersaantallen</w:t>
      </w:r>
      <w:r w:rsidR="00B30E0C">
        <w:t xml:space="preserve"> waarneembaar</w:t>
      </w:r>
      <w:r>
        <w:t xml:space="preserve">. Daarnaast </w:t>
      </w:r>
      <w:r w:rsidR="00D9476C">
        <w:t xml:space="preserve">heeft </w:t>
      </w:r>
      <w:r>
        <w:t>een verschuiving van het vervoer</w:t>
      </w:r>
      <w:r w:rsidR="00D20243">
        <w:t xml:space="preserve"> plaatsgevonden</w:t>
      </w:r>
      <w:r>
        <w:t>, van de Betuweroute naar de Brabantroute en de Bentheimroute. Dit leid</w:t>
      </w:r>
      <w:r w:rsidR="002A2647">
        <w:t>de</w:t>
      </w:r>
      <w:r>
        <w:t xml:space="preserve"> op de Brabantroute tot een aanhoudende overschrijding van de PR10</w:t>
      </w:r>
      <w:r>
        <w:rPr>
          <w:vertAlign w:val="superscript"/>
        </w:rPr>
        <w:t>-6</w:t>
      </w:r>
      <w:r>
        <w:t xml:space="preserve"> plafonds op vier spoorvakken en een nieuwe overschrijding (gerealiseerd risico is gelijk aan het risicoplafond) op een spoorvak. Binnen de</w:t>
      </w:r>
      <w:r w:rsidR="004C4ECE">
        <w:t>ze gerealiseerde</w:t>
      </w:r>
      <w:r>
        <w:t xml:space="preserve"> PR10</w:t>
      </w:r>
      <w:r>
        <w:rPr>
          <w:vertAlign w:val="superscript"/>
        </w:rPr>
        <w:t>-6</w:t>
      </w:r>
      <w:r>
        <w:t xml:space="preserve"> </w:t>
      </w:r>
      <w:r w:rsidR="004C4ECE">
        <w:t xml:space="preserve">contouren </w:t>
      </w:r>
      <w:r>
        <w:t xml:space="preserve">staan geen (zeer) kwetsbare objecten. De directe aanleiding voor de verschuiving </w:t>
      </w:r>
      <w:r w:rsidR="00BA4788">
        <w:t xml:space="preserve">van de Betuweroute naar de Brabant- en Bentheimroute </w:t>
      </w:r>
      <w:r w:rsidR="004C4ECE">
        <w:t>zijn</w:t>
      </w:r>
      <w:r>
        <w:t xml:space="preserve"> de werkzaamheden die gedurende het hele jaar 2025 aan de Duitse zijde van de Betuweroute plaatsvonden</w:t>
      </w:r>
      <w:r w:rsidR="004C4ECE">
        <w:t xml:space="preserve"> (het zogeheten derde spoor)</w:t>
      </w:r>
      <w:r w:rsidR="00B45AC7">
        <w:t>.</w:t>
      </w:r>
      <w:r>
        <w:t xml:space="preserve"> </w:t>
      </w:r>
      <w:r w:rsidR="00B45AC7">
        <w:t xml:space="preserve">Hierdoor was </w:t>
      </w:r>
      <w:r>
        <w:t xml:space="preserve">vervoer over de Betuweroute geheel of gedeeltelijk gestremd. </w:t>
      </w:r>
      <w:r w:rsidR="004C4ECE">
        <w:t>Het</w:t>
      </w:r>
      <w:r>
        <w:t xml:space="preserve"> is de verwachting dat</w:t>
      </w:r>
      <w:r w:rsidR="004C4ECE">
        <w:t xml:space="preserve"> in 2026</w:t>
      </w:r>
      <w:r>
        <w:t xml:space="preserve">, in vergelijking met 2025, het vervoer weer meer over de Betuweroute zal plaatsvinden en minder over de Brabant- en Bentheimroute. </w:t>
      </w:r>
    </w:p>
    <w:p w:rsidR="00F81BB4" w:rsidRDefault="00F81BB4" w14:paraId="4BDC6A98" w14:textId="77777777">
      <w:pPr>
        <w:spacing w:line="240" w:lineRule="auto"/>
      </w:pPr>
    </w:p>
    <w:p w:rsidR="00F81BB4" w:rsidRDefault="007A78F7" w14:paraId="61F22D2C" w14:textId="77777777">
      <w:pPr>
        <w:spacing w:line="240" w:lineRule="auto"/>
        <w:rPr>
          <w:i/>
          <w:iCs/>
        </w:rPr>
      </w:pPr>
      <w:r>
        <w:rPr>
          <w:i/>
          <w:iCs/>
        </w:rPr>
        <w:t>Emplacementenproject: van vergunningvoorschriften naar algemene regels</w:t>
      </w:r>
    </w:p>
    <w:p w:rsidR="00F81BB4" w:rsidRDefault="00251F54" w14:paraId="41E6EE44" w14:textId="15EFBB3A">
      <w:pPr>
        <w:spacing w:line="240" w:lineRule="auto"/>
      </w:pPr>
      <w:r w:rsidRPr="00251F54">
        <w:t xml:space="preserve">In het emplacementenproject zijn 26 emplacementen opgenomen waarvoor maatregelenpakketten kunnen gaan gelden. Dit wordt opgenomen in algemene regels op rijksniveau waardoor de lokale vergunningplicht voor emplacementen komt te vervallen. </w:t>
      </w:r>
      <w:r w:rsidR="007A78F7">
        <w:t>De gemeenten Dordrecht en Roosendaal hebben aangegeven dat zij, gezien de geringe rangeerhandelingen op het lokale emplacement, geen reden zien om opgenomen te worden in de lijst met emplacementen waarvoor maatregelen en voorzieningen gelden. Deze gemeenten zullen daarom bij de aanstaande wetswijziging niet meer op de lijst met emplacementen terugkomen. Deze emplacementen blijven onderdeel van de hoofdspoorweginfrastructuur</w:t>
      </w:r>
      <w:r w:rsidR="004C4ECE">
        <w:t>,</w:t>
      </w:r>
      <w:r w:rsidR="007A78F7">
        <w:t xml:space="preserve"> waarover ook vervoer van gevaarlijke stoffen plaatsvindt en waar rangeerhandelingen kunnen plaatsvinden.</w:t>
      </w:r>
    </w:p>
    <w:p w:rsidR="00F81BB4" w:rsidRDefault="007A78F7" w14:paraId="534F89C2" w14:textId="0C8470F2">
      <w:pPr>
        <w:spacing w:line="240" w:lineRule="auto"/>
      </w:pPr>
      <w:r>
        <w:t>Zoals eerder met de Kamer gecommuniceerd</w:t>
      </w:r>
      <w:r>
        <w:rPr>
          <w:rStyle w:val="FootnoteReference"/>
        </w:rPr>
        <w:footnoteReference w:id="4"/>
      </w:r>
      <w:r>
        <w:t>, wordt op basis van de motie</w:t>
      </w:r>
      <w:r w:rsidR="00B6173F">
        <w:t>s</w:t>
      </w:r>
      <w:r>
        <w:t xml:space="preserve"> Veltman</w:t>
      </w:r>
      <w:r>
        <w:rPr>
          <w:rStyle w:val="FootnoteReference"/>
        </w:rPr>
        <w:footnoteReference w:id="5"/>
      </w:r>
      <w:r>
        <w:t xml:space="preserve"> met gemeenten Zwijndrecht en Rotterdam gesproken over mogelijke uitzondering op de uniforme regels. In zeer uitzonderlijke gevallen kan een uitzondering worden opgenomen in de hierboven benoemde algemene regels.</w:t>
      </w:r>
    </w:p>
    <w:p w:rsidR="00F81BB4" w:rsidRDefault="00F81BB4" w14:paraId="2D64B643" w14:textId="77777777">
      <w:pPr>
        <w:spacing w:line="240" w:lineRule="auto"/>
      </w:pPr>
    </w:p>
    <w:p w:rsidR="00F81BB4" w:rsidRDefault="007A78F7" w14:paraId="0BB0F991" w14:textId="77777777">
      <w:pPr>
        <w:spacing w:line="240" w:lineRule="auto"/>
      </w:pPr>
      <w:bookmarkStart w:name="_Hlk234926947" w:id="1"/>
      <w:r>
        <w:rPr>
          <w:i/>
          <w:iCs/>
        </w:rPr>
        <w:t>Convenanten</w:t>
      </w:r>
    </w:p>
    <w:p w:rsidR="00F81BB4" w:rsidRDefault="007A78F7" w14:paraId="1F62DF42" w14:textId="368F53CB">
      <w:pPr>
        <w:spacing w:line="240" w:lineRule="auto"/>
        <w:rPr>
          <w:i/>
          <w:iCs/>
        </w:rPr>
      </w:pPr>
      <w:r>
        <w:t xml:space="preserve">Jaarlijks wordt de naleving van het convenant </w:t>
      </w:r>
      <w:r>
        <w:rPr>
          <w:i/>
          <w:iCs/>
        </w:rPr>
        <w:t>Warme-BLEVE vrij samenstellen en rijden van treinen</w:t>
      </w:r>
      <w:r>
        <w:rPr>
          <w:rStyle w:val="FootnoteReference"/>
          <w:i/>
          <w:iCs/>
        </w:rPr>
        <w:footnoteReference w:id="6"/>
      </w:r>
      <w:r>
        <w:rPr>
          <w:b/>
          <w:bCs/>
          <w:i/>
          <w:iCs/>
          <w:vertAlign w:val="superscript"/>
        </w:rPr>
        <w:t xml:space="preserve"> </w:t>
      </w:r>
      <w:r>
        <w:t xml:space="preserve">door ProRail gemonitord. In 2025 heeft 95% van de treinen Warme-BLEVE vrij gereden. Een aantal treinen kon door overmacht niet warme-BLEVE vrij worden gereden of reed over een uitgesloten traject. Hiermee is het realisatiepercentage licht gedaald ten opzichte 2024 en gelijk aan 2023. </w:t>
      </w:r>
      <w:bookmarkEnd w:id="1"/>
      <w:r>
        <w:t xml:space="preserve">In 2026 wordt het convenant Warme-BLEVE vrij samenstellen en rijden van treinen geëvalueerd en worden partijen gevraagd het convenant te verlengen. </w:t>
      </w:r>
    </w:p>
    <w:p w:rsidR="00F81BB4" w:rsidRDefault="00F81BB4" w14:paraId="2F1BA791" w14:textId="77777777">
      <w:pPr>
        <w:spacing w:line="240" w:lineRule="auto"/>
        <w:rPr>
          <w:i/>
          <w:iCs/>
        </w:rPr>
      </w:pPr>
    </w:p>
    <w:p w:rsidR="00F81BB4" w:rsidRDefault="007A78F7" w14:paraId="52F82F2E" w14:textId="77777777">
      <w:pPr>
        <w:spacing w:line="240" w:lineRule="auto"/>
        <w:rPr>
          <w:i/>
          <w:iCs/>
        </w:rPr>
      </w:pPr>
      <w:r>
        <w:rPr>
          <w:i/>
          <w:iCs/>
        </w:rPr>
        <w:t xml:space="preserve">Toekomst nationale bepalingen </w:t>
      </w:r>
    </w:p>
    <w:p w:rsidR="00F81BB4" w:rsidRDefault="007A78F7" w14:paraId="1636D8D2" w14:textId="3D733975">
      <w:pPr>
        <w:spacing w:line="240" w:lineRule="auto"/>
      </w:pPr>
      <w:bookmarkStart w:name="_Hlk235706252" w:id="2"/>
      <w:r>
        <w:t xml:space="preserve">Tijdens een interne review van de </w:t>
      </w:r>
      <w:r w:rsidR="006F1CB3">
        <w:t>eerdergenoe</w:t>
      </w:r>
      <w:r w:rsidR="00CF68F6">
        <w:t>m</w:t>
      </w:r>
      <w:r w:rsidR="006F1CB3">
        <w:t xml:space="preserve">de </w:t>
      </w:r>
      <w:r w:rsidR="001C2D47">
        <w:t>nationale bepalingen (</w:t>
      </w:r>
      <w:r>
        <w:t>N-bepalingen</w:t>
      </w:r>
      <w:r w:rsidR="001C2D47">
        <w:t>)</w:t>
      </w:r>
      <w:r>
        <w:t xml:space="preserve"> is gebleken dat een deel van deze bepalingen kan worden geschrapt, omdat deze verouderd zijn of omdat er internationale voorschriften zijn die in voldoende mate de veiligheid waarborgen op de betreffende onderwerpen. Een ander deel van de N-bepalingen moet </w:t>
      </w:r>
      <w:r w:rsidR="006F1CB3">
        <w:t xml:space="preserve">inhoudelijk </w:t>
      </w:r>
      <w:r>
        <w:t xml:space="preserve">worden </w:t>
      </w:r>
      <w:r w:rsidR="006F1CB3">
        <w:t>herzien</w:t>
      </w:r>
      <w:r>
        <w:t>. Het grootste deel van de wijzigingen zal in de loop van 2027 meegenomen worden in de</w:t>
      </w:r>
      <w:r w:rsidR="00E408AD">
        <w:t xml:space="preserve"> wijzigingsregeling in verband met de</w:t>
      </w:r>
      <w:r>
        <w:t xml:space="preserve"> tweejaarlijkse aanpassingen van de betreffende internationale regelgeving. Hiermee draagt het ministerie van IenW bij aan het kabinetsbrede voornemen om regeldruk te verminderen waar mogelijk.</w:t>
      </w:r>
      <w:bookmarkEnd w:id="2"/>
    </w:p>
    <w:p w:rsidR="00F81BB4" w:rsidRDefault="00F81BB4" w14:paraId="5128B359" w14:textId="77777777">
      <w:pPr>
        <w:spacing w:line="240" w:lineRule="auto"/>
      </w:pPr>
    </w:p>
    <w:p w:rsidR="00F81BB4" w:rsidRDefault="007A78F7" w14:paraId="21754CFA" w14:textId="77777777">
      <w:pPr>
        <w:spacing w:line="240" w:lineRule="auto"/>
      </w:pPr>
      <w:r>
        <w:rPr>
          <w:i/>
          <w:iCs/>
        </w:rPr>
        <w:t>Bouwen over, onder en in infrastructuur waarover gevaarlijke stoffen worden vervoerd</w:t>
      </w:r>
    </w:p>
    <w:p w:rsidR="00F81BB4" w:rsidRDefault="007A78F7" w14:paraId="2C16DF06" w14:textId="0510D50A">
      <w:pPr>
        <w:spacing w:line="240" w:lineRule="auto"/>
      </w:pPr>
      <w:r>
        <w:t>De woningbouwopgave leidt tot nieuwe ruimtelijke ontwikkelingen langs infrastructuur waarover ook gevaarlijke stoffen worden vervoerd. Bij het bouwen</w:t>
      </w:r>
      <w:r>
        <w:rPr>
          <w:b/>
          <w:bCs/>
        </w:rPr>
        <w:t xml:space="preserve"> </w:t>
      </w:r>
      <w:r w:rsidR="00D90EBD">
        <w:t>over en onder</w:t>
      </w:r>
      <w:r>
        <w:t xml:space="preserve"> de infrastructuur kan gedacht worden aan woningen, hotels, kantoren</w:t>
      </w:r>
      <w:r w:rsidR="00D90EBD">
        <w:t>, winkels die over de weg of het spoor of in een onderdoorgang</w:t>
      </w:r>
      <w:r w:rsidRPr="00D90EBD" w:rsidR="00D90EBD">
        <w:t xml:space="preserve"> </w:t>
      </w:r>
      <w:r w:rsidR="00D90EBD">
        <w:t xml:space="preserve">worden gebouwd. Bij bouwen in de infrastructuur kan worden gedacht aan bouwwerken die in het water worden gebouwd bijvoorbeeld </w:t>
      </w:r>
      <w:r>
        <w:t>voor de binnenvaart. Bij het bouwen boven, onder en in transportassen waarover vervoer met gevaarlijke stoffen plaatsvindt, moet rekening worden gehouden met de mogelijke effecten van dit vervoer. Het RIVM heeft een kennisnotitie opgesteld waarbij is gekeken naar casuïstiek van bestaande locaties waarbij boven, onder of in de infrastructuur is gebouwd</w:t>
      </w:r>
      <w:r>
        <w:rPr>
          <w:rStyle w:val="FootnoteReference"/>
        </w:rPr>
        <w:footnoteReference w:id="7"/>
      </w:r>
      <w:r>
        <w:t>. Momenteel is het RIVM een tweede kennisnotitie aan het opstellen ten aanzien van (overwegingen van) veiligheidsmaatregelen die in deze casussen terug te vinden zijn. Deze notities zullen op de Maatregelenwiki</w:t>
      </w:r>
      <w:r>
        <w:rPr>
          <w:rStyle w:val="FootnoteReference"/>
        </w:rPr>
        <w:footnoteReference w:id="8"/>
      </w:r>
      <w:r w:rsidR="006F1CB3">
        <w:t xml:space="preserve"> van het RIVM</w:t>
      </w:r>
      <w:r>
        <w:t xml:space="preserve"> worden gedeeld en kunnen worden gebruikt door partijen die nieuwe projecten boven, onder of in de infrastructuur ontwerpen. </w:t>
      </w:r>
      <w:r w:rsidR="00645297">
        <w:t>Op deze manier wordt de kennis gedeeld om woningbouw over, onder en in de infrastructuur veilig te kunnen realiseren.</w:t>
      </w:r>
    </w:p>
    <w:p w:rsidR="00F81BB4" w:rsidRDefault="00F81BB4" w14:paraId="0476B89C" w14:textId="77777777">
      <w:pPr>
        <w:spacing w:line="240" w:lineRule="auto"/>
        <w:rPr>
          <w:b/>
          <w:bCs/>
        </w:rPr>
      </w:pPr>
    </w:p>
    <w:p w:rsidRPr="00FD0C70" w:rsidR="006B799D" w:rsidRDefault="006B799D" w14:paraId="4ACA7516" w14:textId="11A80EB8">
      <w:pPr>
        <w:spacing w:line="240" w:lineRule="auto"/>
        <w:rPr>
          <w:b/>
          <w:bCs/>
        </w:rPr>
      </w:pPr>
      <w:r w:rsidRPr="001909A2">
        <w:rPr>
          <w:b/>
          <w:bCs/>
        </w:rPr>
        <w:t>Tot slot</w:t>
      </w:r>
    </w:p>
    <w:p w:rsidR="00F81BB4" w:rsidRDefault="003535CF" w14:paraId="4F8B987D" w14:textId="54284457">
      <w:pPr>
        <w:spacing w:line="240" w:lineRule="auto"/>
      </w:pPr>
      <w:r w:rsidRPr="003535CF">
        <w:t xml:space="preserve">Het vervoer van gevaarlijke stoffen is noodzakelijk voor onze economie, de werkgelegenheid in onze havens en in de chemie. </w:t>
      </w:r>
      <w:r w:rsidR="009922D6">
        <w:t xml:space="preserve">Nederland kan </w:t>
      </w:r>
      <w:r w:rsidRPr="003535CF">
        <w:t xml:space="preserve">niet zonder. </w:t>
      </w:r>
      <w:r>
        <w:t xml:space="preserve">Met </w:t>
      </w:r>
      <w:r w:rsidR="00B61C26">
        <w:t xml:space="preserve">de monitoring en </w:t>
      </w:r>
      <w:r>
        <w:t xml:space="preserve">de beleidsinzet in deze Kamerbrief laat het ministerie van IenW zien hoe </w:t>
      </w:r>
      <w:r w:rsidR="009D36B2">
        <w:t>di</w:t>
      </w:r>
      <w:r>
        <w:t xml:space="preserve">t vervoer van gevaarlijke stoffen veilig wordt gehouden. De Kamer wordt </w:t>
      </w:r>
      <w:r w:rsidR="00F720E4">
        <w:t xml:space="preserve">jaarlijks </w:t>
      </w:r>
      <w:r>
        <w:t>geïnformeerd over de voortgang op deze dossiers.</w:t>
      </w:r>
    </w:p>
    <w:p w:rsidR="00F81BB4" w:rsidRDefault="007A78F7" w14:paraId="3965D8A4" w14:textId="1B266662">
      <w:pPr>
        <w:pStyle w:val="Slotzin"/>
        <w:spacing w:line="240" w:lineRule="auto"/>
      </w:pPr>
      <w:r>
        <w:t>Hoogachtend,</w:t>
      </w:r>
      <w:r>
        <w:br/>
      </w:r>
    </w:p>
    <w:p w:rsidR="00F81BB4" w:rsidRDefault="007A78F7" w14:paraId="1334CE44" w14:textId="1D4294FC">
      <w:pPr>
        <w:pStyle w:val="OndertekeningArea1"/>
        <w:spacing w:line="240" w:lineRule="auto"/>
      </w:pPr>
      <w:r>
        <w:t>DE STAATSSECRETARIS VAN INFRASTRUCTUUR EN WATERSTAAT,</w:t>
      </w:r>
    </w:p>
    <w:p w:rsidR="00F81BB4" w:rsidRDefault="00F81BB4" w14:paraId="6BD9D381" w14:textId="77777777">
      <w:pPr>
        <w:spacing w:line="240" w:lineRule="auto"/>
      </w:pPr>
    </w:p>
    <w:p w:rsidR="00F81BB4" w:rsidRDefault="00F81BB4" w14:paraId="1E93DCAC" w14:textId="77777777">
      <w:pPr>
        <w:spacing w:line="240" w:lineRule="auto"/>
      </w:pPr>
    </w:p>
    <w:p w:rsidR="00F81BB4" w:rsidRDefault="00F81BB4" w14:paraId="29858009" w14:textId="77777777">
      <w:pPr>
        <w:spacing w:line="240" w:lineRule="auto"/>
      </w:pPr>
    </w:p>
    <w:p w:rsidR="007A78F7" w:rsidRDefault="007A78F7" w14:paraId="05FECDB6" w14:textId="77777777">
      <w:pPr>
        <w:spacing w:line="240" w:lineRule="auto"/>
      </w:pPr>
    </w:p>
    <w:p w:rsidR="00F81BB4" w:rsidRDefault="00F81BB4" w14:paraId="018DB30A" w14:textId="77777777">
      <w:pPr>
        <w:spacing w:line="240" w:lineRule="auto"/>
      </w:pPr>
    </w:p>
    <w:p w:rsidR="00F81BB4" w:rsidRDefault="007A78F7" w14:paraId="341A2AF9" w14:textId="77777777">
      <w:pPr>
        <w:spacing w:line="240" w:lineRule="auto"/>
      </w:pPr>
      <w:r>
        <w:t>Annet Bertram</w:t>
      </w:r>
    </w:p>
    <w:sectPr w:rsidR="00F81BB4">
      <w:headerReference w:type="default" r:id="rId9"/>
      <w:headerReference w:type="first" r:id="rId10"/>
      <w:pgSz w:w="11905" w:h="16837"/>
      <w:pgMar w:top="2948" w:right="2777" w:bottom="1020"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D35398" w14:textId="77777777" w:rsidR="003A73D5" w:rsidRDefault="003A73D5">
      <w:pPr>
        <w:spacing w:line="240" w:lineRule="auto"/>
      </w:pPr>
      <w:r>
        <w:separator/>
      </w:r>
    </w:p>
  </w:endnote>
  <w:endnote w:type="continuationSeparator" w:id="0">
    <w:p w14:paraId="1CC993C4" w14:textId="77777777" w:rsidR="003A73D5" w:rsidRDefault="003A73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00C201" w14:textId="77777777" w:rsidR="003A73D5" w:rsidRDefault="003A73D5">
      <w:pPr>
        <w:spacing w:line="240" w:lineRule="auto"/>
      </w:pPr>
      <w:r>
        <w:separator/>
      </w:r>
    </w:p>
  </w:footnote>
  <w:footnote w:type="continuationSeparator" w:id="0">
    <w:p w14:paraId="23785E6A" w14:textId="77777777" w:rsidR="003A73D5" w:rsidRDefault="003A73D5">
      <w:pPr>
        <w:spacing w:line="240" w:lineRule="auto"/>
      </w:pPr>
      <w:r>
        <w:continuationSeparator/>
      </w:r>
    </w:p>
  </w:footnote>
  <w:footnote w:id="1">
    <w:p w14:paraId="5ADB9FDF" w14:textId="77777777" w:rsidR="00F81BB4" w:rsidRDefault="007A78F7">
      <w:pPr>
        <w:pStyle w:val="FootnoteText"/>
        <w:rPr>
          <w:sz w:val="16"/>
          <w:szCs w:val="16"/>
        </w:rPr>
      </w:pPr>
      <w:r>
        <w:rPr>
          <w:rStyle w:val="FootnoteReference"/>
          <w:rFonts w:ascii="Aptos"/>
          <w:sz w:val="16"/>
          <w:szCs w:val="16"/>
        </w:rPr>
        <w:footnoteRef/>
      </w:r>
      <w:r>
        <w:rPr>
          <w:rFonts w:ascii="Aptos"/>
          <w:sz w:val="16"/>
          <w:szCs w:val="16"/>
        </w:rPr>
        <w:t xml:space="preserve"> Kamerbrief Vervoer Gevaarlijke Stoffen, 3 november 2025, 30373-81</w:t>
      </w:r>
    </w:p>
  </w:footnote>
  <w:footnote w:id="2">
    <w:p w14:paraId="79875295" w14:textId="77777777" w:rsidR="00F81BB4" w:rsidRDefault="007A78F7">
      <w:pPr>
        <w:pStyle w:val="FootnoteText"/>
        <w:rPr>
          <w:highlight w:val="yellow"/>
        </w:rPr>
      </w:pPr>
      <w:r>
        <w:rPr>
          <w:rStyle w:val="FootnoteReference"/>
          <w:rFonts w:ascii="Aptos"/>
          <w:sz w:val="16"/>
          <w:szCs w:val="16"/>
        </w:rPr>
        <w:footnoteRef/>
      </w:r>
      <w:r>
        <w:rPr>
          <w:rFonts w:ascii="Aptos"/>
          <w:sz w:val="16"/>
          <w:szCs w:val="16"/>
        </w:rPr>
        <w:t xml:space="preserve"> </w:t>
      </w:r>
      <w:hyperlink r:id="rId1">
        <w:r w:rsidR="00F81BB4">
          <w:rPr>
            <w:rStyle w:val="Hyperlink"/>
            <w:rFonts w:ascii="Aptos"/>
            <w:color w:val="467886"/>
            <w:sz w:val="16"/>
            <w:szCs w:val="16"/>
          </w:rPr>
          <w:t>Jaarverslag Basisnet en monitoringrapportages | Informatiepunt Leefomgeving</w:t>
        </w:r>
      </w:hyperlink>
    </w:p>
  </w:footnote>
  <w:footnote w:id="3">
    <w:p w14:paraId="577813FD" w14:textId="77777777" w:rsidR="00F81BB4" w:rsidRDefault="007A78F7">
      <w:pPr>
        <w:pStyle w:val="FootnoteText"/>
        <w:rPr>
          <w:sz w:val="16"/>
          <w:szCs w:val="16"/>
        </w:rPr>
      </w:pPr>
      <w:r>
        <w:rPr>
          <w:rStyle w:val="FootnoteReference"/>
          <w:rFonts w:ascii="Aptos"/>
        </w:rPr>
        <w:footnoteRef/>
      </w:r>
      <w:r>
        <w:rPr>
          <w:rFonts w:ascii="Aptos"/>
        </w:rPr>
        <w:t xml:space="preserve"> </w:t>
      </w:r>
      <w:r>
        <w:rPr>
          <w:rFonts w:ascii="Aptos"/>
          <w:sz w:val="16"/>
          <w:szCs w:val="16"/>
        </w:rPr>
        <w:t xml:space="preserve">CBS-data over het jaar 2023, </w:t>
      </w:r>
      <w:hyperlink r:id="rId2">
        <w:r w:rsidR="00F81BB4">
          <w:rPr>
            <w:rStyle w:val="Hyperlink"/>
            <w:rFonts w:ascii="Aptos"/>
            <w:color w:val="467886"/>
            <w:sz w:val="16"/>
            <w:szCs w:val="16"/>
          </w:rPr>
          <w:t>Vervoer van gevaarlijke stoffen op laagste punt sinds 2015 | CBS</w:t>
        </w:r>
      </w:hyperlink>
    </w:p>
  </w:footnote>
  <w:footnote w:id="4">
    <w:p w14:paraId="34A3C679" w14:textId="77777777" w:rsidR="00F81BB4" w:rsidRDefault="007A78F7">
      <w:pPr>
        <w:pStyle w:val="FootnoteText"/>
        <w:rPr>
          <w:sz w:val="16"/>
          <w:szCs w:val="16"/>
        </w:rPr>
      </w:pPr>
      <w:r>
        <w:rPr>
          <w:rStyle w:val="FootnoteReference"/>
          <w:rFonts w:ascii="Aptos"/>
          <w:sz w:val="16"/>
          <w:szCs w:val="16"/>
        </w:rPr>
        <w:footnoteRef/>
      </w:r>
      <w:r>
        <w:rPr>
          <w:rFonts w:ascii="Aptos"/>
          <w:sz w:val="16"/>
          <w:szCs w:val="16"/>
        </w:rPr>
        <w:t xml:space="preserve"> Kamerbrief Vervoer Gevaarlijke Stoffen, 3 november 2025, 30373-81</w:t>
      </w:r>
    </w:p>
  </w:footnote>
  <w:footnote w:id="5">
    <w:p w14:paraId="0A01E993" w14:textId="63F23521" w:rsidR="00F81BB4" w:rsidRDefault="007A78F7">
      <w:pPr>
        <w:pStyle w:val="FootnoteText"/>
        <w:rPr>
          <w:sz w:val="16"/>
          <w:szCs w:val="16"/>
        </w:rPr>
      </w:pPr>
      <w:r>
        <w:rPr>
          <w:rStyle w:val="FootnoteReference"/>
          <w:rFonts w:ascii="Aptos"/>
          <w:sz w:val="16"/>
          <w:szCs w:val="16"/>
        </w:rPr>
        <w:footnoteRef/>
      </w:r>
      <w:r>
        <w:rPr>
          <w:rFonts w:ascii="Aptos"/>
          <w:sz w:val="16"/>
          <w:szCs w:val="16"/>
        </w:rPr>
        <w:t xml:space="preserve"> Motie l</w:t>
      </w:r>
      <w:r w:rsidR="00B6173F">
        <w:rPr>
          <w:rFonts w:ascii="Aptos"/>
          <w:sz w:val="16"/>
          <w:szCs w:val="16"/>
        </w:rPr>
        <w:t xml:space="preserve">id Veltman c.s. </w:t>
      </w:r>
      <w:r>
        <w:rPr>
          <w:rFonts w:ascii="Aptos"/>
          <w:sz w:val="16"/>
          <w:szCs w:val="16"/>
        </w:rPr>
        <w:t>Kamerstuk 29 984, nr. 1083</w:t>
      </w:r>
      <w:r w:rsidR="00B6173F">
        <w:rPr>
          <w:rFonts w:ascii="Aptos"/>
          <w:sz w:val="16"/>
          <w:szCs w:val="16"/>
        </w:rPr>
        <w:t xml:space="preserve"> en Motie lid Veltman c.s. Kamerstuk 29 984, nr. 1237</w:t>
      </w:r>
    </w:p>
  </w:footnote>
  <w:footnote w:id="6">
    <w:p w14:paraId="066A692C" w14:textId="77777777" w:rsidR="00F81BB4" w:rsidRDefault="007A78F7">
      <w:pPr>
        <w:pStyle w:val="FootnoteText"/>
      </w:pPr>
      <w:r>
        <w:rPr>
          <w:rStyle w:val="FootnoteReference"/>
          <w:rFonts w:ascii="Aptos"/>
        </w:rPr>
        <w:footnoteRef/>
      </w:r>
      <w:r>
        <w:rPr>
          <w:rFonts w:ascii="Aptos"/>
        </w:rPr>
        <w:t xml:space="preserve"> </w:t>
      </w:r>
      <w:r>
        <w:rPr>
          <w:rFonts w:ascii="Aptos"/>
          <w:sz w:val="16"/>
          <w:szCs w:val="16"/>
        </w:rPr>
        <w:t>Een BLEVE is een boiling liquid expanding vapour explosion</w:t>
      </w:r>
    </w:p>
  </w:footnote>
  <w:footnote w:id="7">
    <w:p w14:paraId="3B517C60" w14:textId="77777777" w:rsidR="00F81BB4" w:rsidRDefault="007A78F7">
      <w:pPr>
        <w:pStyle w:val="FootnoteText"/>
        <w:rPr>
          <w:sz w:val="16"/>
          <w:szCs w:val="16"/>
        </w:rPr>
      </w:pPr>
      <w:r>
        <w:rPr>
          <w:rStyle w:val="FootnoteReference"/>
          <w:rFonts w:ascii="Aptos"/>
        </w:rPr>
        <w:footnoteRef/>
      </w:r>
      <w:r>
        <w:rPr>
          <w:rFonts w:ascii="Aptos"/>
        </w:rPr>
        <w:t xml:space="preserve"> </w:t>
      </w:r>
      <w:hyperlink r:id="rId3">
        <w:r w:rsidR="00F81BB4">
          <w:rPr>
            <w:rStyle w:val="Hyperlink"/>
            <w:rFonts w:ascii="Aptos"/>
            <w:color w:val="467886"/>
            <w:sz w:val="16"/>
            <w:szCs w:val="16"/>
          </w:rPr>
          <w:t>https://www.rivm.nl/publicaties/inventarisatie-gebouwen-of-locaties-over-onder-of-in-transportroutes-vervoer</w:t>
        </w:r>
      </w:hyperlink>
      <w:r>
        <w:rPr>
          <w:rFonts w:ascii="Aptos"/>
          <w:sz w:val="16"/>
          <w:szCs w:val="16"/>
        </w:rPr>
        <w:t xml:space="preserve"> </w:t>
      </w:r>
    </w:p>
  </w:footnote>
  <w:footnote w:id="8">
    <w:p w14:paraId="401D3BFA" w14:textId="77777777" w:rsidR="00F81BB4" w:rsidRDefault="007A78F7">
      <w:pPr>
        <w:pStyle w:val="FootnoteText"/>
        <w:rPr>
          <w:sz w:val="16"/>
          <w:szCs w:val="16"/>
        </w:rPr>
      </w:pPr>
      <w:r>
        <w:rPr>
          <w:rStyle w:val="FootnoteReference"/>
          <w:rFonts w:ascii="Aptos"/>
          <w:sz w:val="16"/>
          <w:szCs w:val="16"/>
        </w:rPr>
        <w:footnoteRef/>
      </w:r>
      <w:hyperlink r:id="rId4">
        <w:r w:rsidR="00F81BB4">
          <w:rPr>
            <w:rStyle w:val="Hyperlink"/>
            <w:rFonts w:ascii="Aptos"/>
            <w:color w:val="467886"/>
            <w:sz w:val="16"/>
            <w:szCs w:val="16"/>
          </w:rPr>
          <w:t>Inventarisatie gebouwen of locaties over, onder of in transportroutes vervoer gevaarlijke stoffen over de weg, vaarweg en het spoor | Maatregelenwiki</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6FC991" w14:textId="77777777" w:rsidR="00F81BB4" w:rsidRDefault="000734A7">
    <w:r>
      <w:pict w14:anchorId="20452FEB">
        <v:shapetype id="_x0000_t202" coordsize="21600,21600" o:spt="202" path="m,l,21600r21600,l21600,xe">
          <v:stroke joinstyle="miter"/>
          <v:path gradientshapeok="t" o:connecttype="rect"/>
        </v:shapetype>
        <v:shape id="7268d852-823c-11ee-8554-0242ac120003" o:spid="_x0000_s1026" type="#_x0000_t202" style="position:absolute;margin-left:464.85pt;margin-top:150.2pt;width:99.2pt;height:629.25pt;z-index:251651584;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64486E25" w14:textId="77777777" w:rsidR="00F81BB4" w:rsidRDefault="007A78F7">
                <w:pPr>
                  <w:pStyle w:val="AfzendgegevensKop0"/>
                </w:pPr>
                <w:r>
                  <w:t>Ministerie van Infrastructuur en Waterstaat</w:t>
                </w:r>
              </w:p>
              <w:p w14:paraId="5FB78935" w14:textId="77777777" w:rsidR="007A78F7" w:rsidRDefault="007A78F7" w:rsidP="007A78F7"/>
              <w:p w14:paraId="45DF5C10" w14:textId="77777777" w:rsidR="007A78F7" w:rsidRPr="007A78F7" w:rsidRDefault="007A78F7" w:rsidP="007A78F7">
                <w:pPr>
                  <w:pStyle w:val="Referentiegegevenskop"/>
                  <w:spacing w:line="276" w:lineRule="auto"/>
                </w:pPr>
                <w:r w:rsidRPr="007A78F7">
                  <w:t xml:space="preserve">Ons kenmerk </w:t>
                </w:r>
              </w:p>
              <w:p w14:paraId="24DBBA44" w14:textId="77777777" w:rsidR="007A78F7" w:rsidRPr="007A78F7" w:rsidRDefault="007A78F7" w:rsidP="007A78F7">
                <w:pPr>
                  <w:pStyle w:val="Referentiegegevenskop"/>
                  <w:spacing w:line="276" w:lineRule="auto"/>
                  <w:rPr>
                    <w:b w:val="0"/>
                    <w:bCs/>
                  </w:rPr>
                </w:pPr>
                <w:r w:rsidRPr="007A78F7">
                  <w:rPr>
                    <w:b w:val="0"/>
                    <w:bCs/>
                  </w:rPr>
                  <w:t>IENW/BSK-2026/180980</w:t>
                </w:r>
              </w:p>
              <w:p w14:paraId="66C8F156" w14:textId="77777777" w:rsidR="007A78F7" w:rsidRPr="007A78F7" w:rsidRDefault="007A78F7" w:rsidP="007A78F7"/>
            </w:txbxContent>
          </v:textbox>
          <w10:wrap anchorx="page"/>
          <w10:anchorlock/>
        </v:shape>
      </w:pict>
    </w:r>
    <w:r>
      <w:pict w14:anchorId="194C1D18">
        <v:shape id="7268d871-823c-11ee-8554-0242ac120003" o:spid="_x0000_s1027" type="#_x0000_t202" style="position:absolute;margin-left:464.85pt;margin-top:805pt;width:99pt;height:14.25pt;z-index:251652608;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740F485E" w14:textId="77777777" w:rsidR="00F81BB4" w:rsidRDefault="007A78F7">
                <w:pPr>
                  <w:pStyle w:val="Referentiegegevens"/>
                </w:pPr>
                <w:r>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1</w:t>
                </w:r>
                <w:r>
                  <w:fldChar w:fldCharType="end"/>
                </w:r>
              </w:p>
            </w:txbxContent>
          </v:textbox>
          <w10:wrap anchorx="page"/>
          <w10:anchorlock/>
        </v:shape>
      </w:pict>
    </w:r>
    <w:r>
      <w:pict w14:anchorId="1804E994">
        <v:shape id="726221f1-823c-11ee-8554-0242ac120003" o:spid="_x0000_s1028" type="#_x0000_t202" style="position:absolute;margin-left:79.35pt;margin-top:805pt;width:141.75pt;height:14.25pt;z-index:251653632;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190F37DD" w14:textId="77777777" w:rsidR="00F81BB4" w:rsidRDefault="00F81BB4"/>
            </w:txbxContent>
          </v:textbox>
          <w10:wrap anchorx="page"/>
          <w10:anchorlock/>
        </v:shape>
      </w:pict>
    </w:r>
    <w:r>
      <w:pict w14:anchorId="0F818DAA">
        <v:shape id="726e58e4-823c-11ee-8554-0242ac120003" o:spid="_x0000_s1029" type="#_x0000_t202" style="position:absolute;margin-left:79.35pt;margin-top:94.45pt;width:187.5pt;height:22.5pt;z-index:251654656;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38BE4DE2" w14:textId="77777777" w:rsidR="00F81BB4" w:rsidRDefault="00F81BB4"/>
            </w:txbxContent>
          </v:textbox>
          <w10:wrap anchorx="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B3790" w14:textId="77777777" w:rsidR="00F81BB4" w:rsidRDefault="000734A7">
    <w:pPr>
      <w:spacing w:after="7029" w:line="14" w:lineRule="exact"/>
    </w:pPr>
    <w:r>
      <w:pict w14:anchorId="78245D64">
        <v:shapetype id="_x0000_t202" coordsize="21600,21600" o:spt="202" path="m,l,21600r21600,l21600,xe">
          <v:stroke joinstyle="miter"/>
          <v:path gradientshapeok="t" o:connecttype="rect"/>
        </v:shapetype>
        <v:shape id="72622181-823c-11ee-8554-0242ac120003" o:spid="_x0000_s1030" type="#_x0000_t202" style="position:absolute;margin-left:79.35pt;margin-top:805pt;width:141.75pt;height:14.25pt;z-index:251655680;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6A3D97B8" w14:textId="77777777" w:rsidR="00F81BB4" w:rsidRDefault="00F81BB4"/>
            </w:txbxContent>
          </v:textbox>
          <w10:wrap anchorx="page"/>
          <w10:anchorlock/>
        </v:shape>
      </w:pict>
    </w:r>
    <w:r>
      <w:pict w14:anchorId="261FACBB">
        <v:shape id="7268d813-823c-11ee-8554-0242ac120003" o:spid="_x0000_s1031" type="#_x0000_t202" style="position:absolute;margin-left:466.25pt;margin-top:805pt;width:99pt;height:14.25pt;z-index:251656704;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09102412" w14:textId="53A98453" w:rsidR="00F81BB4" w:rsidRDefault="007A78F7">
                <w:pPr>
                  <w:pStyle w:val="Referentiegegevens"/>
                </w:pPr>
                <w:r>
                  <w:t xml:space="preserve">Page </w:t>
                </w:r>
                <w:r>
                  <w:fldChar w:fldCharType="begin"/>
                </w:r>
                <w:r>
                  <w:instrText>PAGE</w:instrText>
                </w:r>
                <w:r>
                  <w:fldChar w:fldCharType="separate"/>
                </w:r>
                <w:r w:rsidR="000734A7">
                  <w:rPr>
                    <w:noProof/>
                  </w:rPr>
                  <w:t>1</w:t>
                </w:r>
                <w:r>
                  <w:fldChar w:fldCharType="end"/>
                </w:r>
                <w:r>
                  <w:t xml:space="preserve"> of </w:t>
                </w:r>
                <w:r>
                  <w:fldChar w:fldCharType="begin"/>
                </w:r>
                <w:r>
                  <w:instrText>NUMPAGES</w:instrText>
                </w:r>
                <w:r>
                  <w:fldChar w:fldCharType="separate"/>
                </w:r>
                <w:r w:rsidR="000734A7">
                  <w:rPr>
                    <w:noProof/>
                  </w:rPr>
                  <w:t>1</w:t>
                </w:r>
                <w:r>
                  <w:fldChar w:fldCharType="end"/>
                </w:r>
              </w:p>
            </w:txbxContent>
          </v:textbox>
          <w10:wrap anchorx="page"/>
          <w10:anchorlock/>
        </v:shape>
      </w:pict>
    </w:r>
    <w:r>
      <w:pict w14:anchorId="28324EE3">
        <v:shape id="7268d739-823c-11ee-8554-0242ac120003" o:spid="_x0000_s1032" type="#_x0000_t202" style="position:absolute;margin-left:466.25pt;margin-top:153.05pt;width:99.2pt;height:630.7pt;z-index:251657728;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1ECFE8B2" w14:textId="77777777" w:rsidR="00F81BB4" w:rsidRDefault="007A78F7">
                <w:pPr>
                  <w:pStyle w:val="AfzendgegevensKop0"/>
                </w:pPr>
                <w:r>
                  <w:t>Ministerie van Infrastructuur en Waterstaat</w:t>
                </w:r>
              </w:p>
              <w:p w14:paraId="291EA8BE" w14:textId="77777777" w:rsidR="00F81BB4" w:rsidRDefault="00F81BB4">
                <w:pPr>
                  <w:pStyle w:val="WitregelW1"/>
                </w:pPr>
              </w:p>
              <w:p w14:paraId="183C3DB8" w14:textId="77777777" w:rsidR="00F81BB4" w:rsidRDefault="007A78F7">
                <w:pPr>
                  <w:pStyle w:val="Afzendgegevens"/>
                </w:pPr>
                <w:r>
                  <w:t>Rijnstraat 8</w:t>
                </w:r>
              </w:p>
              <w:p w14:paraId="5A187443" w14:textId="796BCC66" w:rsidR="00F81BB4" w:rsidRPr="0099522E" w:rsidRDefault="007A78F7">
                <w:pPr>
                  <w:pStyle w:val="Afzendgegevens"/>
                  <w:rPr>
                    <w:lang w:val="de-DE"/>
                  </w:rPr>
                </w:pPr>
                <w:r w:rsidRPr="0099522E">
                  <w:rPr>
                    <w:lang w:val="de-DE"/>
                  </w:rPr>
                  <w:t xml:space="preserve">2515 </w:t>
                </w:r>
                <w:r w:rsidR="00000E08" w:rsidRPr="0099522E">
                  <w:rPr>
                    <w:lang w:val="de-DE"/>
                  </w:rPr>
                  <w:t>XP Den</w:t>
                </w:r>
                <w:r w:rsidRPr="0099522E">
                  <w:rPr>
                    <w:lang w:val="de-DE"/>
                  </w:rPr>
                  <w:t xml:space="preserve"> Haag</w:t>
                </w:r>
              </w:p>
              <w:p w14:paraId="773125EC" w14:textId="77777777" w:rsidR="00F81BB4" w:rsidRPr="0099522E" w:rsidRDefault="007A78F7">
                <w:pPr>
                  <w:pStyle w:val="Afzendgegevens"/>
                  <w:rPr>
                    <w:lang w:val="de-DE"/>
                  </w:rPr>
                </w:pPr>
                <w:r w:rsidRPr="0099522E">
                  <w:rPr>
                    <w:lang w:val="de-DE"/>
                  </w:rPr>
                  <w:t>Postbus 20901</w:t>
                </w:r>
              </w:p>
              <w:p w14:paraId="3388CB0B" w14:textId="77777777" w:rsidR="00F81BB4" w:rsidRPr="0099522E" w:rsidRDefault="007A78F7">
                <w:pPr>
                  <w:pStyle w:val="Afzendgegevens"/>
                  <w:rPr>
                    <w:lang w:val="de-DE"/>
                  </w:rPr>
                </w:pPr>
                <w:r w:rsidRPr="0099522E">
                  <w:rPr>
                    <w:lang w:val="de-DE"/>
                  </w:rPr>
                  <w:t>2500 EX Den Haag</w:t>
                </w:r>
              </w:p>
              <w:p w14:paraId="21E225A9" w14:textId="77777777" w:rsidR="00F81BB4" w:rsidRPr="0099522E" w:rsidRDefault="00F81BB4">
                <w:pPr>
                  <w:pStyle w:val="WitregelW1"/>
                  <w:rPr>
                    <w:lang w:val="de-DE"/>
                  </w:rPr>
                </w:pPr>
              </w:p>
              <w:p w14:paraId="7BCB94DD" w14:textId="77777777" w:rsidR="00F81BB4" w:rsidRPr="0099522E" w:rsidRDefault="007A78F7">
                <w:pPr>
                  <w:pStyle w:val="Afzendgegevens"/>
                  <w:rPr>
                    <w:lang w:val="de-DE"/>
                  </w:rPr>
                </w:pPr>
                <w:r w:rsidRPr="0099522E">
                  <w:rPr>
                    <w:lang w:val="de-DE"/>
                  </w:rPr>
                  <w:t>T   070-456 0000</w:t>
                </w:r>
              </w:p>
              <w:p w14:paraId="4C1AE5A2" w14:textId="77777777" w:rsidR="00F81BB4" w:rsidRDefault="007A78F7">
                <w:pPr>
                  <w:pStyle w:val="Afzendgegevens"/>
                </w:pPr>
                <w:r>
                  <w:t>F   070-456 1111</w:t>
                </w:r>
              </w:p>
              <w:p w14:paraId="3EE861BA" w14:textId="77777777" w:rsidR="00F81BB4" w:rsidRPr="007A78F7" w:rsidRDefault="00F81BB4" w:rsidP="007A78F7">
                <w:pPr>
                  <w:pStyle w:val="WitregelW2"/>
                  <w:spacing w:line="276" w:lineRule="auto"/>
                  <w:rPr>
                    <w:sz w:val="13"/>
                    <w:szCs w:val="13"/>
                  </w:rPr>
                </w:pPr>
              </w:p>
              <w:p w14:paraId="769AC01D" w14:textId="77777777" w:rsidR="007A78F7" w:rsidRPr="007A78F7" w:rsidRDefault="007A78F7" w:rsidP="007A78F7">
                <w:pPr>
                  <w:pStyle w:val="Referentiegegevenskop"/>
                  <w:spacing w:line="276" w:lineRule="auto"/>
                </w:pPr>
                <w:r w:rsidRPr="007A78F7">
                  <w:t xml:space="preserve">Ons kenmerk </w:t>
                </w:r>
              </w:p>
              <w:p w14:paraId="5577E273" w14:textId="241C8EB0" w:rsidR="00F81BB4" w:rsidRPr="007A78F7" w:rsidRDefault="007A78F7" w:rsidP="007A78F7">
                <w:pPr>
                  <w:pStyle w:val="Referentiegegevenskop"/>
                  <w:spacing w:line="276" w:lineRule="auto"/>
                  <w:rPr>
                    <w:b w:val="0"/>
                    <w:bCs/>
                  </w:rPr>
                </w:pPr>
                <w:r w:rsidRPr="007A78F7">
                  <w:rPr>
                    <w:b w:val="0"/>
                    <w:bCs/>
                  </w:rPr>
                  <w:t>IENW/BSK-2026/180980</w:t>
                </w:r>
              </w:p>
              <w:p w14:paraId="76828387" w14:textId="77777777" w:rsidR="00F81BB4" w:rsidRPr="007A78F7" w:rsidRDefault="00F81BB4" w:rsidP="007A78F7">
                <w:pPr>
                  <w:pStyle w:val="WitregelW1"/>
                  <w:spacing w:line="276" w:lineRule="auto"/>
                  <w:rPr>
                    <w:sz w:val="13"/>
                    <w:szCs w:val="13"/>
                  </w:rPr>
                </w:pPr>
              </w:p>
              <w:p w14:paraId="07FCB8A0" w14:textId="77777777" w:rsidR="00F81BB4" w:rsidRPr="007A78F7" w:rsidRDefault="007A78F7" w:rsidP="007A78F7">
                <w:pPr>
                  <w:pStyle w:val="Referentiegegevenskop"/>
                  <w:spacing w:line="276" w:lineRule="auto"/>
                </w:pPr>
                <w:r w:rsidRPr="007A78F7">
                  <w:t>Bijlage(n)</w:t>
                </w:r>
              </w:p>
              <w:p w14:paraId="054378DE" w14:textId="21C4280C" w:rsidR="00F81BB4" w:rsidRPr="007A78F7" w:rsidRDefault="007A78F7" w:rsidP="007A78F7">
                <w:pPr>
                  <w:pStyle w:val="Referentiegegevens"/>
                  <w:spacing w:line="276" w:lineRule="auto"/>
                </w:pPr>
                <w:r w:rsidRPr="007A78F7">
                  <w:t>1</w:t>
                </w:r>
              </w:p>
              <w:p w14:paraId="08808C9B" w14:textId="77777777" w:rsidR="00F81BB4" w:rsidRDefault="00F81BB4"/>
            </w:txbxContent>
          </v:textbox>
          <w10:wrap anchorx="page"/>
          <w10:anchorlock/>
        </v:shape>
      </w:pict>
    </w:r>
    <w:r>
      <w:pict w14:anchorId="2D0922D9">
        <v:shape id="7268d758-823c-11ee-8554-0242ac120003" o:spid="_x0000_s1033" type="#_x0000_t202" style="position:absolute;margin-left:277.75pt;margin-top:0;width:36.85pt;height:124.7pt;z-index:251658752;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561FE523" w14:textId="77777777" w:rsidR="00F81BB4" w:rsidRDefault="007A78F7">
                <w:pPr>
                  <w:spacing w:line="240" w:lineRule="auto"/>
                </w:pPr>
                <w:r>
                  <w:rPr>
                    <w:noProof/>
                    <w:lang w:val="en-GB" w:eastAsia="en-GB"/>
                  </w:rPr>
                  <w:drawing>
                    <wp:inline distT="0" distB="0" distL="0" distR="0" wp14:anchorId="04FCCA48" wp14:editId="70E8E89F">
                      <wp:extent cx="467999" cy="1583861"/>
                      <wp:effectExtent l="0" t="0" r="0" b="0"/>
                      <wp:docPr id="9" name="Rijkslint"/>
                      <wp:cNvGraphicFramePr/>
                      <a:graphic xmlns:a="http://schemas.openxmlformats.org/drawingml/2006/main">
                        <a:graphicData uri="http://schemas.openxmlformats.org/drawingml/2006/picture">
                          <pic:pic xmlns:pic="http://schemas.openxmlformats.org/drawingml/2006/picture">
                            <pic:nvPicPr>
                              <pic:cNvPr id="9" name="Rijkslint"/>
                              <pic:cNvPicPr/>
                            </pic:nvPicPr>
                            <pic:blipFill>
                              <a:blip r:embed="rId1"/>
                              <a:stretch>
                                <a:fillRect/>
                              </a:stretch>
                            </pic:blipFill>
                            <pic:spPr bwMode="auto">
                              <a:xfrm>
                                <a:off x="0" y="0"/>
                                <a:ext cx="467995" cy="1583865"/>
                              </a:xfrm>
                              <a:prstGeom prst="rect">
                                <a:avLst/>
                              </a:prstGeom>
                            </pic:spPr>
                          </pic:pic>
                        </a:graphicData>
                      </a:graphic>
                    </wp:inline>
                  </w:drawing>
                </w:r>
              </w:p>
            </w:txbxContent>
          </v:textbox>
          <w10:wrap anchorx="page"/>
          <w10:anchorlock/>
        </v:shape>
      </w:pict>
    </w:r>
    <w:r>
      <w:pict w14:anchorId="528AA424">
        <v:shape id="7268d778-823c-11ee-8554-0242ac120003" o:spid="_x0000_s1034" type="#_x0000_t202" style="position:absolute;margin-left:314.6pt;margin-top:0;width:184.25pt;height:124.7pt;z-index:251659776;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27BF4E7B" w14:textId="77777777" w:rsidR="00F81BB4" w:rsidRDefault="007A78F7">
                <w:pPr>
                  <w:spacing w:line="240" w:lineRule="auto"/>
                </w:pPr>
                <w:r>
                  <w:rPr>
                    <w:noProof/>
                    <w:lang w:val="en-GB" w:eastAsia="en-GB"/>
                  </w:rPr>
                  <w:drawing>
                    <wp:inline distT="0" distB="0" distL="0" distR="0" wp14:anchorId="32310C01" wp14:editId="1EA6601A">
                      <wp:extent cx="2339968" cy="1582828"/>
                      <wp:effectExtent l="0" t="0" r="0" b="0"/>
                      <wp:docPr id="11" name="IENM_Brief_aan_Parlement"/>
                      <wp:cNvGraphicFramePr/>
                      <a:graphic xmlns:a="http://schemas.openxmlformats.org/drawingml/2006/main">
                        <a:graphicData uri="http://schemas.openxmlformats.org/drawingml/2006/picture">
                          <pic:pic xmlns:pic="http://schemas.openxmlformats.org/drawingml/2006/picture">
                            <pic:nvPicPr>
                              <pic:cNvPr id="11" name="IENM_Brief_aan_Parlement"/>
                              <pic:cNvPicPr/>
                            </pic:nvPicPr>
                            <pic:blipFill>
                              <a:blip r:embed="rId2"/>
                              <a:stretch>
                                <a:fillRect/>
                              </a:stretch>
                            </pic:blipFill>
                            <pic:spPr bwMode="auto">
                              <a:xfrm>
                                <a:off x="0" y="0"/>
                                <a:ext cx="2339975" cy="1582834"/>
                              </a:xfrm>
                              <a:prstGeom prst="rect">
                                <a:avLst/>
                              </a:prstGeom>
                            </pic:spPr>
                          </pic:pic>
                        </a:graphicData>
                      </a:graphic>
                    </wp:inline>
                  </w:drawing>
                </w:r>
              </w:p>
            </w:txbxContent>
          </v:textbox>
          <w10:wrap anchorx="page"/>
          <w10:anchorlock/>
        </v:shape>
      </w:pict>
    </w:r>
    <w:r>
      <w:pict w14:anchorId="2BC7D398">
        <v:shape id="7268d797-823c-11ee-8554-0242ac120003" o:spid="_x0000_s1035" type="#_x0000_t202" style="position:absolute;margin-left:79.35pt;margin-top:133.2pt;width:280.6pt;height:11.3pt;z-index:251660800;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3D4BD41D" w14:textId="77777777" w:rsidR="00F81BB4" w:rsidRDefault="007A78F7">
                <w:pPr>
                  <w:pStyle w:val="Referentiegegevens"/>
                </w:pPr>
                <w:r>
                  <w:t>&gt; Retouradres Postbus 20901 2500 EX  Den Haag</w:t>
                </w:r>
              </w:p>
            </w:txbxContent>
          </v:textbox>
          <w10:wrap anchorx="page"/>
          <w10:anchorlock/>
        </v:shape>
      </w:pict>
    </w:r>
    <w:r>
      <w:pict w14:anchorId="2C0D31E1">
        <v:shape id="7268d7b6-823c-11ee-8554-0242ac120003" o:spid="_x0000_s1036" type="#_x0000_t202" style="position:absolute;margin-left:79.35pt;margin-top:153.05pt;width:274.95pt;height:85pt;z-index:251661824;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5D9C82AB" w14:textId="77777777" w:rsidR="007A78F7" w:rsidRDefault="007A78F7" w:rsidP="007A78F7">
                <w:r>
                  <w:t>De voorzitter van de Tweede Kamer</w:t>
                </w:r>
                <w:r>
                  <w:br/>
                  <w:t>der Staten-Generaal</w:t>
                </w:r>
                <w:r>
                  <w:br/>
                  <w:t>Postbus 20018</w:t>
                </w:r>
                <w:r>
                  <w:br/>
                  <w:t>2500 EA  DEN HAAG</w:t>
                </w:r>
              </w:p>
              <w:p w14:paraId="4297F7CB" w14:textId="77777777" w:rsidR="00F81BB4" w:rsidRDefault="00F81BB4"/>
            </w:txbxContent>
          </v:textbox>
          <w10:wrap anchorx="page"/>
          <w10:anchorlock/>
        </v:shape>
      </w:pict>
    </w:r>
    <w:r>
      <w:pict w14:anchorId="113F5F68">
        <v:shape id="7266255e-823c-11ee-8554-0242ac120003" o:spid="_x0000_s1037" type="#_x0000_t202" style="position:absolute;margin-left:79.35pt;margin-top:286.25pt;width:323.25pt;height:49.6pt;z-index:251662848;visibility:visible;mso-wrap-style:square;mso-wrap-distance-left:0;mso-wrap-distance-top:0;mso-wrap-distance-right:0;mso-wrap-distance-bottom:0;mso-position-horizontal:absolute;mso-position-horizontal-relative:page;mso-position-vertical:absolute;v-text-anchor:top" filled="f" stroked="f">
          <v:textbox inset="0,0,0,0">
            <w:txbxContent>
              <w:tbl>
                <w:tblPr>
                  <w:tblW w:w="0" w:type="auto"/>
                  <w:tblLayout w:type="fixed"/>
                  <w:tblLook w:val="07E0" w:firstRow="1" w:lastRow="1" w:firstColumn="1" w:lastColumn="1" w:noHBand="1" w:noVBand="1"/>
                </w:tblPr>
                <w:tblGrid>
                  <w:gridCol w:w="1140"/>
                  <w:gridCol w:w="5400"/>
                </w:tblGrid>
                <w:tr w:rsidR="00F81BB4" w14:paraId="742286D2" w14:textId="77777777">
                  <w:trPr>
                    <w:trHeight w:val="200"/>
                  </w:trPr>
                  <w:tc>
                    <w:tcPr>
                      <w:tcW w:w="1140" w:type="dxa"/>
                    </w:tcPr>
                    <w:p w14:paraId="29581115" w14:textId="77777777" w:rsidR="00F81BB4" w:rsidRDefault="00F81BB4"/>
                  </w:tc>
                  <w:tc>
                    <w:tcPr>
                      <w:tcW w:w="5400" w:type="dxa"/>
                    </w:tcPr>
                    <w:p w14:paraId="329408CE" w14:textId="77777777" w:rsidR="00F81BB4" w:rsidRDefault="00F81BB4"/>
                  </w:tc>
                </w:tr>
                <w:tr w:rsidR="00F81BB4" w14:paraId="412350F8" w14:textId="77777777">
                  <w:trPr>
                    <w:trHeight w:val="240"/>
                  </w:trPr>
                  <w:tc>
                    <w:tcPr>
                      <w:tcW w:w="1140" w:type="dxa"/>
                    </w:tcPr>
                    <w:p w14:paraId="6B9B2B22" w14:textId="77777777" w:rsidR="00F81BB4" w:rsidRDefault="007A78F7">
                      <w:r>
                        <w:t>Datum</w:t>
                      </w:r>
                    </w:p>
                  </w:tc>
                  <w:tc>
                    <w:tcPr>
                      <w:tcW w:w="5400" w:type="dxa"/>
                    </w:tcPr>
                    <w:p w14:paraId="3AD2B981" w14:textId="2763E1BB" w:rsidR="00F81BB4" w:rsidRDefault="00000E08">
                      <w:r>
                        <w:t>29 september 2026</w:t>
                      </w:r>
                    </w:p>
                  </w:tc>
                </w:tr>
                <w:tr w:rsidR="00F81BB4" w14:paraId="26987B6E" w14:textId="77777777">
                  <w:trPr>
                    <w:trHeight w:val="240"/>
                  </w:trPr>
                  <w:tc>
                    <w:tcPr>
                      <w:tcW w:w="1140" w:type="dxa"/>
                    </w:tcPr>
                    <w:p w14:paraId="02E62266" w14:textId="77777777" w:rsidR="00F81BB4" w:rsidRDefault="007A78F7">
                      <w:r>
                        <w:t>Betreft</w:t>
                      </w:r>
                    </w:p>
                  </w:tc>
                  <w:tc>
                    <w:tcPr>
                      <w:tcW w:w="5400" w:type="dxa"/>
                    </w:tcPr>
                    <w:p w14:paraId="51C25089" w14:textId="77777777" w:rsidR="00F81BB4" w:rsidRDefault="007A78F7">
                      <w:r>
                        <w:t xml:space="preserve">Veilig vervoer van gevaarlijke stoffen </w:t>
                      </w:r>
                    </w:p>
                  </w:tc>
                </w:tr>
                <w:tr w:rsidR="00F81BB4" w14:paraId="11FB5AA5" w14:textId="77777777">
                  <w:trPr>
                    <w:trHeight w:val="200"/>
                  </w:trPr>
                  <w:tc>
                    <w:tcPr>
                      <w:tcW w:w="1140" w:type="dxa"/>
                    </w:tcPr>
                    <w:p w14:paraId="42C3E568" w14:textId="77777777" w:rsidR="00F81BB4" w:rsidRDefault="00F81BB4"/>
                  </w:tc>
                  <w:tc>
                    <w:tcPr>
                      <w:tcW w:w="5400" w:type="dxa"/>
                    </w:tcPr>
                    <w:p w14:paraId="70449454" w14:textId="77777777" w:rsidR="00F81BB4" w:rsidRDefault="00F81BB4"/>
                  </w:tc>
                </w:tr>
              </w:tbl>
              <w:p w14:paraId="72D136CB" w14:textId="77777777" w:rsidR="00F81BB4" w:rsidRDefault="00F81BB4"/>
            </w:txbxContent>
          </v:textbox>
          <w10:wrap anchorx="page"/>
          <w10:anchorlock/>
        </v:shape>
      </w:pict>
    </w:r>
    <w:r>
      <w:pict w14:anchorId="473BC404">
        <v:shape id="726e24d6-823c-11ee-8554-0242ac120003" o:spid="_x0000_s1038" type="#_x0000_t202" style="position:absolute;margin-left:79.35pt;margin-top:94.45pt;width:187.5pt;height:22.5pt;z-index:251663872;visibility:visible;mso-wrap-style:square;mso-wrap-distance-left:0;mso-wrap-distance-top:0;mso-wrap-distance-right:0;mso-wrap-distance-bottom:0;mso-position-horizontal:absolute;mso-position-horizontal-relative:page;mso-position-vertical:absolute;v-text-anchor:top" filled="f" stroked="f">
          <v:textbox inset="0,0,0,0">
            <w:txbxContent>
              <w:p w14:paraId="4DDE44EC" w14:textId="77777777" w:rsidR="00F81BB4" w:rsidRDefault="00F81BB4"/>
            </w:txbxContent>
          </v:textbox>
          <w10:wrap anchorx="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AB2C1F"/>
    <w:multiLevelType w:val="multilevel"/>
    <w:tmpl w:val="24AD4E40"/>
    <w:name w:val="Huisstijl nummering met nummer"/>
    <w:lvl w:ilvl="0">
      <w:start w:val="1"/>
      <w:numFmt w:val="decimal"/>
      <w:pStyle w:val="Huisstijl-Kop1"/>
      <w:lvlText w:val="%1"/>
      <w:lvlJc w:val="left"/>
      <w:pPr>
        <w:ind w:left="0" w:firstLine="0"/>
      </w:pPr>
    </w:lvl>
    <w:lvl w:ilvl="1">
      <w:start w:val="1"/>
      <w:numFmt w:val="decimal"/>
      <w:pStyle w:val="Huisstijl-Kop2"/>
      <w:lvlText w:val="%1.%2"/>
      <w:lvlJc w:val="left"/>
      <w:pPr>
        <w:ind w:left="0" w:firstLine="0"/>
      </w:pPr>
    </w:lvl>
    <w:lvl w:ilvl="2">
      <w:start w:val="1"/>
      <w:numFmt w:val="decimal"/>
      <w:pStyle w:val="Huisstijl-Kop3"/>
      <w:lvlText w:val="%1.%2.%3"/>
      <w:lvlJc w:val="left"/>
      <w:pPr>
        <w:ind w:left="0" w:firstLine="0"/>
      </w:pPr>
    </w:lvl>
    <w:lvl w:ilvl="3">
      <w:start w:val="1"/>
      <w:numFmt w:val="decimal"/>
      <w:pStyle w:val="Huisstijl-Kop4"/>
      <w:lvlText w:val="%1.%2.%3.%4"/>
      <w:lvlJc w:val="left"/>
      <w:pPr>
        <w:ind w:left="0" w:firstLine="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2CAA460"/>
    <w:multiLevelType w:val="multilevel"/>
    <w:tmpl w:val="DCEB7853"/>
    <w:name w:val="SSF nummering overeenkomst"/>
    <w:lvl w:ilvl="0">
      <w:start w:val="1"/>
      <w:numFmt w:val="decimal"/>
      <w:pStyle w:val="SSFNummeringKredietovereenkomst"/>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6BC9A8C"/>
    <w:multiLevelType w:val="multilevel"/>
    <w:tmpl w:val="CC6663F4"/>
    <w:name w:val="NEa opsomming"/>
    <w:lvl w:ilvl="0">
      <w:start w:val="1"/>
      <w:numFmt w:val="decimal"/>
      <w:pStyle w:val="NEastandaardopsomming"/>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5B1F212"/>
    <w:multiLevelType w:val="multilevel"/>
    <w:tmpl w:val="2172BEA3"/>
    <w:name w:val="Huisstijl opsomming colofon en inleiding"/>
    <w:lvl w:ilvl="0">
      <w:start w:val="1"/>
      <w:numFmt w:val="bullet"/>
      <w:pStyle w:val="Huisstijl-Colofon"/>
      <w:lvlText w:val="·"/>
      <w:lvlJc w:val="left"/>
      <w:pPr>
        <w:ind w:left="0" w:firstLine="0"/>
      </w:pPr>
      <w:rPr>
        <w:rFonts w:ascii="Symbol" w:hAnsi="Symbol"/>
        <w:color w:val="FFFFFF"/>
      </w:rPr>
    </w:lvl>
    <w:lvl w:ilvl="1">
      <w:start w:val="1"/>
      <w:numFmt w:val="bullet"/>
      <w:pStyle w:val="Huisstijl-Bijlagezletter"/>
      <w:lvlText w:val="·"/>
      <w:lvlJc w:val="left"/>
      <w:pPr>
        <w:ind w:left="-1120" w:firstLine="1120"/>
      </w:pPr>
      <w:rPr>
        <w:rFonts w:ascii="Symbol" w:hAnsi="Symbol"/>
        <w:color w:val="FFFFFF"/>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9862DC1"/>
    <w:multiLevelType w:val="multilevel"/>
    <w:tmpl w:val="9DBD2666"/>
    <w:name w:val="ANVS - Inhoudsopgave 9"/>
    <w:lvl w:ilvl="0">
      <w:start w:val="1"/>
      <w:numFmt w:val="bullet"/>
      <w:pStyle w:val="ANVS-Hoofdstukongenummerd"/>
      <w:lvlText w:val="·"/>
      <w:lvlJc w:val="left"/>
      <w:pPr>
        <w:ind w:left="0" w:hanging="1020"/>
      </w:pPr>
      <w:rPr>
        <w:rFonts w:ascii="Symbol" w:hAnsi="Symbol"/>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A35C8DFC"/>
    <w:multiLevelType w:val="multilevel"/>
    <w:tmpl w:val="22035E65"/>
    <w:name w:val="Huisstijl - Bijlage A"/>
    <w:lvl w:ilvl="0">
      <w:start w:val="1"/>
      <w:numFmt w:val="upperLetter"/>
      <w:pStyle w:val="Huisstijl-Bijlage"/>
      <w:lvlText w:val="Bijlage %1"/>
      <w:lvlJc w:val="left"/>
      <w:pPr>
        <w:ind w:left="0" w:hanging="14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B73E5EDF"/>
    <w:multiLevelType w:val="multilevel"/>
    <w:tmpl w:val="7D8E4424"/>
    <w:name w:val="NEa memo bestuur opsomming"/>
    <w:lvl w:ilvl="0">
      <w:start w:val="1"/>
      <w:numFmt w:val="bullet"/>
      <w:pStyle w:val="NEamemobestuur"/>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D866A8A1"/>
    <w:multiLevelType w:val="multilevel"/>
    <w:tmpl w:val="4E55358F"/>
    <w:name w:val="ILT Rapport 16a nummering"/>
    <w:lvl w:ilvl="0">
      <w:start w:val="1"/>
      <w:numFmt w:val="decimal"/>
      <w:pStyle w:val="ILTRapportnummerniv1"/>
      <w:lvlText w:val="%1."/>
      <w:lvlJc w:val="left"/>
      <w:pPr>
        <w:ind w:left="0" w:hanging="1120"/>
      </w:pPr>
    </w:lvl>
    <w:lvl w:ilvl="1">
      <w:start w:val="1"/>
      <w:numFmt w:val="decimal"/>
      <w:pStyle w:val="ILTRapport-je"/>
      <w:lvlText w:val="-"/>
      <w:lvlJc w:val="left"/>
      <w:pPr>
        <w:ind w:left="280" w:hanging="28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DBC51F7B"/>
    <w:multiLevelType w:val="multilevel"/>
    <w:tmpl w:val="88045F74"/>
    <w:name w:val="Huisstijl nummering zonder nummer"/>
    <w:lvl w:ilvl="0">
      <w:start w:val="1"/>
      <w:numFmt w:val="bullet"/>
      <w:pStyle w:val="Huisstijl-Kopznr1"/>
      <w:lvlText w:val="·"/>
      <w:lvlJc w:val="left"/>
      <w:pPr>
        <w:ind w:left="0" w:firstLine="0"/>
      </w:pPr>
      <w:rPr>
        <w:rFonts w:ascii="Symbol" w:hAnsi="Symbol"/>
        <w:color w:val="FFFFFF"/>
      </w:rPr>
    </w:lvl>
    <w:lvl w:ilvl="1">
      <w:start w:val="1"/>
      <w:numFmt w:val="bullet"/>
      <w:pStyle w:val="Huisstijl-Kopznr2"/>
      <w:lvlText w:val="·"/>
      <w:lvlJc w:val="left"/>
      <w:pPr>
        <w:ind w:left="0" w:firstLine="0"/>
      </w:pPr>
      <w:rPr>
        <w:rFonts w:ascii="Symbol" w:hAnsi="Symbol"/>
        <w:color w:val="FFFFFF"/>
      </w:rPr>
    </w:lvl>
    <w:lvl w:ilvl="2">
      <w:start w:val="1"/>
      <w:numFmt w:val="bullet"/>
      <w:pStyle w:val="Huisstijl-Kopznr3"/>
      <w:lvlText w:val="·"/>
      <w:lvlJc w:val="left"/>
      <w:pPr>
        <w:ind w:left="0" w:firstLine="0"/>
      </w:pPr>
      <w:rPr>
        <w:rFonts w:ascii="Symbol" w:hAnsi="Symbol"/>
        <w:color w:val="FFFFFF"/>
      </w:rPr>
    </w:lvl>
    <w:lvl w:ilvl="3">
      <w:start w:val="1"/>
      <w:numFmt w:val="bullet"/>
      <w:pStyle w:val="Huisstijl-Kopznr4"/>
      <w:lvlText w:val="·"/>
      <w:lvlJc w:val="left"/>
      <w:pPr>
        <w:ind w:left="0" w:firstLine="0"/>
      </w:pPr>
      <w:rPr>
        <w:rFonts w:ascii="Symbol" w:hAnsi="Symbol"/>
        <w:color w:val="FFFFFF"/>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E70D4DCA"/>
    <w:multiLevelType w:val="multilevel"/>
    <w:tmpl w:val="2CA1866A"/>
    <w:name w:val="ANVS - Hoofdstuknummering"/>
    <w:lvl w:ilvl="0">
      <w:start w:val="1"/>
      <w:numFmt w:val="decimal"/>
      <w:pStyle w:val="ANVS-Hoofdstuk"/>
      <w:lvlText w:val="%1"/>
      <w:lvlJc w:val="left"/>
      <w:pPr>
        <w:ind w:left="0" w:hanging="1020"/>
      </w:pPr>
    </w:lvl>
    <w:lvl w:ilvl="1">
      <w:start w:val="1"/>
      <w:numFmt w:val="decimal"/>
      <w:pStyle w:val="ANVS-Paragraaf"/>
      <w:lvlText w:val="%1.%2."/>
      <w:lvlJc w:val="left"/>
      <w:pPr>
        <w:ind w:left="0" w:hanging="1020"/>
      </w:pPr>
    </w:lvl>
    <w:lvl w:ilvl="2">
      <w:start w:val="1"/>
      <w:numFmt w:val="decimal"/>
      <w:pStyle w:val="ANVS-Subparagraaf"/>
      <w:lvlText w:val="%1.%2.%3."/>
      <w:lvlJc w:val="left"/>
      <w:pPr>
        <w:ind w:left="0" w:hanging="1020"/>
      </w:pPr>
    </w:lvl>
    <w:lvl w:ilvl="3">
      <w:start w:val="1"/>
      <w:numFmt w:val="decimal"/>
      <w:pStyle w:val="ANVS-Subsubparagraaf"/>
      <w:lvlText w:val="%1.%2.%3.%4."/>
      <w:lvlJc w:val="left"/>
      <w:pPr>
        <w:ind w:left="0" w:hanging="10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83922EA"/>
    <w:multiLevelType w:val="hybridMultilevel"/>
    <w:tmpl w:val="739E17A0"/>
    <w:lvl w:ilvl="0" w:tplc="04FA4348">
      <w:start w:val="1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12287A3F"/>
    <w:multiLevelType w:val="multilevel"/>
    <w:tmpl w:val="4CEAFEB4"/>
    <w:name w:val="NEa opsomming extra lijst"/>
    <w:lvl w:ilvl="0">
      <w:start w:val="1"/>
      <w:numFmt w:val="decimal"/>
      <w:pStyle w:val="NEaopsommingextra"/>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CDF8ED8"/>
    <w:multiLevelType w:val="multilevel"/>
    <w:tmpl w:val="3322A147"/>
    <w:name w:val="NEa opsomming (letters) 2"/>
    <w:lvl w:ilvl="0">
      <w:start w:val="1"/>
      <w:numFmt w:val="lowerLetter"/>
      <w:pStyle w:val="NEaopsommingletters"/>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D7643BF"/>
    <w:multiLevelType w:val="multilevel"/>
    <w:tmpl w:val="381A08E7"/>
    <w:name w:val="Standaard opsomming lijst"/>
    <w:lvl w:ilvl="0">
      <w:start w:val="1"/>
      <w:numFmt w:val="bullet"/>
      <w:pStyle w:val="Standaard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12842F4"/>
    <w:multiLevelType w:val="multilevel"/>
    <w:tmpl w:val="5F419513"/>
    <w:name w:val="ILT Opsomming lijst"/>
    <w:lvl w:ilvl="0">
      <w:start w:val="1"/>
      <w:numFmt w:val="decimal"/>
      <w:pStyle w:val="ILTOpsomming"/>
      <w:lvlText w:val="%1."/>
      <w:lvlJc w:val="left"/>
      <w:pPr>
        <w:ind w:left="740" w:hanging="380"/>
      </w:pPr>
    </w:lvl>
    <w:lvl w:ilvl="1">
      <w:start w:val="1"/>
      <w:numFmt w:val="decimal"/>
      <w:pStyle w:val="ILTOpsomming15"/>
      <w:lvlText w:val="%2."/>
      <w:lvlJc w:val="left"/>
      <w:pPr>
        <w:ind w:left="760" w:hanging="400"/>
      </w:pPr>
    </w:lvl>
    <w:lvl w:ilvl="2">
      <w:start w:val="1"/>
      <w:numFmt w:val="bullet"/>
      <w:pStyle w:val="ILTOpsommingbullet"/>
      <w:lvlText w:val="·"/>
      <w:lvlJc w:val="left"/>
      <w:pPr>
        <w:ind w:left="284" w:hanging="284"/>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344163C"/>
    <w:multiLevelType w:val="multilevel"/>
    <w:tmpl w:val="9E7A7FB7"/>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33B11F23"/>
    <w:multiLevelType w:val="multilevel"/>
    <w:tmpl w:val="F5AA45B3"/>
    <w:name w:val="ANVS - Opsomming"/>
    <w:lvl w:ilvl="0">
      <w:start w:val="1"/>
      <w:numFmt w:val="bullet"/>
      <w:pStyle w:val="ANVS-Opsommingstekens"/>
      <w:lvlText w:val="·"/>
      <w:lvlJc w:val="left"/>
      <w:pPr>
        <w:ind w:left="226" w:hanging="226"/>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E7845A0"/>
    <w:multiLevelType w:val="hybridMultilevel"/>
    <w:tmpl w:val="B1768A9C"/>
    <w:lvl w:ilvl="0" w:tplc="C5CC99D2">
      <w:numFmt w:val="bullet"/>
      <w:lvlText w:val="-"/>
      <w:lvlJc w:val="left"/>
      <w:pPr>
        <w:ind w:left="720" w:hanging="360"/>
      </w:pPr>
      <w:rPr>
        <w:rFonts w:ascii="Aptos" w:eastAsiaTheme="minorHAnsi"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0AED776"/>
    <w:multiLevelType w:val="multilevel"/>
    <w:tmpl w:val="2B2B2ACC"/>
    <w:name w:val="OIM Rapport hfst en paragraafnummering"/>
    <w:lvl w:ilvl="0">
      <w:start w:val="1"/>
      <w:numFmt w:val="decimal"/>
      <w:pStyle w:val="OIMRapportHoofdstuk"/>
      <w:lvlText w:val="%1."/>
      <w:lvlJc w:val="left"/>
      <w:pPr>
        <w:ind w:left="0" w:hanging="1120"/>
      </w:pPr>
    </w:lvl>
    <w:lvl w:ilvl="1">
      <w:start w:val="1"/>
      <w:numFmt w:val="decimal"/>
      <w:pStyle w:val="OIMRapportParagraaf"/>
      <w:lvlText w:val="%1.%2."/>
      <w:lvlJc w:val="left"/>
      <w:pPr>
        <w:ind w:left="0" w:hanging="1120"/>
      </w:pPr>
    </w:lvl>
    <w:lvl w:ilvl="2">
      <w:start w:val="1"/>
      <w:numFmt w:val="decimal"/>
      <w:pStyle w:val="OIMRapportAlineakop"/>
      <w:lvlText w:val="%1.%2.%3."/>
      <w:lvlJc w:val="left"/>
      <w:pPr>
        <w:ind w:left="0" w:hanging="112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32AE1EB"/>
    <w:multiLevelType w:val="multilevel"/>
    <w:tmpl w:val="B064F958"/>
    <w:name w:val="DP opsomming"/>
    <w:lvl w:ilvl="0">
      <w:start w:val="1"/>
      <w:numFmt w:val="decimal"/>
      <w:pStyle w:val="DPstandaardopsomming"/>
      <w:lvlText w:val="%1."/>
      <w:lvlJc w:val="left"/>
      <w:pPr>
        <w:ind w:left="360" w:hanging="360"/>
      </w:pPr>
    </w:lvl>
    <w:lvl w:ilvl="1">
      <w:start w:val="1"/>
      <w:numFmt w:val="decimal"/>
      <w:pStyle w:val="DPstandaardopsomming2"/>
      <w:lvlText w:val="%2."/>
      <w:lvlJc w:val="left"/>
      <w:pPr>
        <w:ind w:left="7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772F1E4"/>
    <w:multiLevelType w:val="multilevel"/>
    <w:tmpl w:val="414BB5ED"/>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1" w15:restartNumberingAfterBreak="0">
    <w:nsid w:val="608936DC"/>
    <w:multiLevelType w:val="hybridMultilevel"/>
    <w:tmpl w:val="85A0D42A"/>
    <w:lvl w:ilvl="0" w:tplc="B492D980">
      <w:start w:val="1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6BB414DF"/>
    <w:multiLevelType w:val="hybridMultilevel"/>
    <w:tmpl w:val="CA5840EE"/>
    <w:lvl w:ilvl="0" w:tplc="B492D980">
      <w:start w:val="14"/>
      <w:numFmt w:val="bullet"/>
      <w:lvlText w:val="-"/>
      <w:lvlJc w:val="left"/>
      <w:pPr>
        <w:ind w:left="720" w:hanging="360"/>
      </w:pPr>
      <w:rPr>
        <w:rFonts w:ascii="Verdana" w:eastAsia="DejaVu Sans" w:hAnsi="Verdana"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66F4445"/>
    <w:multiLevelType w:val="multilevel"/>
    <w:tmpl w:val="C9721CB6"/>
    <w:name w:val="SSF nummering overeenkomst (letters)"/>
    <w:lvl w:ilvl="0">
      <w:start w:val="1"/>
      <w:numFmt w:val="upperLetter"/>
      <w:pStyle w:val="SSFNummeringKredietovereenkomstA"/>
      <w:lvlText w:val="%1."/>
      <w:lvlJc w:val="left"/>
      <w:pPr>
        <w:ind w:left="720" w:hanging="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8DC7487"/>
    <w:multiLevelType w:val="multilevel"/>
    <w:tmpl w:val="ECD44060"/>
    <w:name w:val="OIM Rapport Opsomminglijst"/>
    <w:lvl w:ilvl="0">
      <w:start w:val="1"/>
      <w:numFmt w:val="bullet"/>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A8721FC"/>
    <w:multiLevelType w:val="multilevel"/>
    <w:tmpl w:val="69B96B60"/>
    <w:name w:val="OIM Rapport Nummerlijst"/>
    <w:lvl w:ilvl="0">
      <w:start w:val="1"/>
      <w:numFmt w:val="decimal"/>
      <w:pStyle w:val="OIMRapportNummering"/>
      <w:lvlText w:val="%1."/>
      <w:lvlJc w:val="left"/>
      <w:pPr>
        <w:ind w:left="283" w:hanging="28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F40290A"/>
    <w:multiLevelType w:val="multilevel"/>
    <w:tmpl w:val="6D6B5058"/>
    <w:name w:val="NEa Opsommingsteken korte streep"/>
    <w:lvl w:ilvl="0">
      <w:start w:val="1"/>
      <w:numFmt w:val="decimal"/>
      <w:pStyle w:val="NEaOpsommingstekst"/>
      <w:lvlText w:val="-"/>
      <w:lvlJc w:val="left"/>
      <w:pPr>
        <w:ind w:left="353" w:hanging="353"/>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4"/>
  </w:num>
  <w:num w:numId="3">
    <w:abstractNumId w:val="16"/>
  </w:num>
  <w:num w:numId="4">
    <w:abstractNumId w:val="19"/>
  </w:num>
  <w:num w:numId="5">
    <w:abstractNumId w:val="20"/>
  </w:num>
  <w:num w:numId="6">
    <w:abstractNumId w:val="5"/>
  </w:num>
  <w:num w:numId="7">
    <w:abstractNumId w:val="0"/>
  </w:num>
  <w:num w:numId="8">
    <w:abstractNumId w:val="8"/>
  </w:num>
  <w:num w:numId="9">
    <w:abstractNumId w:val="3"/>
  </w:num>
  <w:num w:numId="10">
    <w:abstractNumId w:val="14"/>
  </w:num>
  <w:num w:numId="11">
    <w:abstractNumId w:val="7"/>
  </w:num>
  <w:num w:numId="12">
    <w:abstractNumId w:val="15"/>
  </w:num>
  <w:num w:numId="13">
    <w:abstractNumId w:val="26"/>
  </w:num>
  <w:num w:numId="14">
    <w:abstractNumId w:val="6"/>
  </w:num>
  <w:num w:numId="15">
    <w:abstractNumId w:val="2"/>
  </w:num>
  <w:num w:numId="16">
    <w:abstractNumId w:val="12"/>
  </w:num>
  <w:num w:numId="17">
    <w:abstractNumId w:val="11"/>
  </w:num>
  <w:num w:numId="18">
    <w:abstractNumId w:val="25"/>
  </w:num>
  <w:num w:numId="19">
    <w:abstractNumId w:val="24"/>
  </w:num>
  <w:num w:numId="20">
    <w:abstractNumId w:val="18"/>
  </w:num>
  <w:num w:numId="21">
    <w:abstractNumId w:val="1"/>
  </w:num>
  <w:num w:numId="22">
    <w:abstractNumId w:val="23"/>
  </w:num>
  <w:num w:numId="23">
    <w:abstractNumId w:val="13"/>
  </w:num>
  <w:num w:numId="24">
    <w:abstractNumId w:val="10"/>
  </w:num>
  <w:num w:numId="25">
    <w:abstractNumId w:val="21"/>
  </w:num>
  <w:num w:numId="26">
    <w:abstractNumId w:val="22"/>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ttachedTemplate r:id="rId1"/>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43CE"/>
    <w:rsid w:val="000004DF"/>
    <w:rsid w:val="00000E08"/>
    <w:rsid w:val="00001527"/>
    <w:rsid w:val="00005427"/>
    <w:rsid w:val="000059A4"/>
    <w:rsid w:val="0000753D"/>
    <w:rsid w:val="0000770F"/>
    <w:rsid w:val="00011639"/>
    <w:rsid w:val="000147D3"/>
    <w:rsid w:val="00014875"/>
    <w:rsid w:val="00017051"/>
    <w:rsid w:val="00032DBF"/>
    <w:rsid w:val="00034036"/>
    <w:rsid w:val="00034E4C"/>
    <w:rsid w:val="00045952"/>
    <w:rsid w:val="0004654A"/>
    <w:rsid w:val="000511D4"/>
    <w:rsid w:val="0005667E"/>
    <w:rsid w:val="00061CE6"/>
    <w:rsid w:val="00062099"/>
    <w:rsid w:val="00064A33"/>
    <w:rsid w:val="000656C3"/>
    <w:rsid w:val="00072BCB"/>
    <w:rsid w:val="000734A7"/>
    <w:rsid w:val="00083FAA"/>
    <w:rsid w:val="00087300"/>
    <w:rsid w:val="00090B13"/>
    <w:rsid w:val="00094088"/>
    <w:rsid w:val="00097CD4"/>
    <w:rsid w:val="000A4A7A"/>
    <w:rsid w:val="000A4FF7"/>
    <w:rsid w:val="000B042B"/>
    <w:rsid w:val="000B14F9"/>
    <w:rsid w:val="000B3CC0"/>
    <w:rsid w:val="000B5569"/>
    <w:rsid w:val="000C1B7A"/>
    <w:rsid w:val="000C5246"/>
    <w:rsid w:val="000C6385"/>
    <w:rsid w:val="000C6889"/>
    <w:rsid w:val="000D0102"/>
    <w:rsid w:val="000D140F"/>
    <w:rsid w:val="000D49A7"/>
    <w:rsid w:val="000E0700"/>
    <w:rsid w:val="000E780C"/>
    <w:rsid w:val="000F2718"/>
    <w:rsid w:val="000F4B70"/>
    <w:rsid w:val="000F58C1"/>
    <w:rsid w:val="000F5FF9"/>
    <w:rsid w:val="000F66A0"/>
    <w:rsid w:val="000F70F9"/>
    <w:rsid w:val="000F7C2F"/>
    <w:rsid w:val="00101989"/>
    <w:rsid w:val="001026CA"/>
    <w:rsid w:val="00105F7B"/>
    <w:rsid w:val="0010604F"/>
    <w:rsid w:val="00106947"/>
    <w:rsid w:val="00111462"/>
    <w:rsid w:val="00112FB7"/>
    <w:rsid w:val="001140A3"/>
    <w:rsid w:val="00114771"/>
    <w:rsid w:val="001177D2"/>
    <w:rsid w:val="001177DD"/>
    <w:rsid w:val="00117939"/>
    <w:rsid w:val="0012039B"/>
    <w:rsid w:val="00120616"/>
    <w:rsid w:val="001216D2"/>
    <w:rsid w:val="001219A8"/>
    <w:rsid w:val="001225A6"/>
    <w:rsid w:val="00124837"/>
    <w:rsid w:val="001250CD"/>
    <w:rsid w:val="001265EA"/>
    <w:rsid w:val="00127D26"/>
    <w:rsid w:val="00130465"/>
    <w:rsid w:val="00133C91"/>
    <w:rsid w:val="00135C8B"/>
    <w:rsid w:val="0013745C"/>
    <w:rsid w:val="0014016C"/>
    <w:rsid w:val="0014034C"/>
    <w:rsid w:val="00142115"/>
    <w:rsid w:val="00143527"/>
    <w:rsid w:val="001548DD"/>
    <w:rsid w:val="00154BF8"/>
    <w:rsid w:val="001569DE"/>
    <w:rsid w:val="00163CF4"/>
    <w:rsid w:val="0016664B"/>
    <w:rsid w:val="00166C70"/>
    <w:rsid w:val="00173826"/>
    <w:rsid w:val="0017600F"/>
    <w:rsid w:val="001769F1"/>
    <w:rsid w:val="00176A29"/>
    <w:rsid w:val="00181266"/>
    <w:rsid w:val="00185971"/>
    <w:rsid w:val="00185D38"/>
    <w:rsid w:val="00187CF5"/>
    <w:rsid w:val="001909A2"/>
    <w:rsid w:val="00194320"/>
    <w:rsid w:val="001A3D46"/>
    <w:rsid w:val="001A3E5A"/>
    <w:rsid w:val="001B5B37"/>
    <w:rsid w:val="001B5FE2"/>
    <w:rsid w:val="001B7052"/>
    <w:rsid w:val="001C2D47"/>
    <w:rsid w:val="001C3846"/>
    <w:rsid w:val="001D3A2F"/>
    <w:rsid w:val="001D6E1C"/>
    <w:rsid w:val="001E3281"/>
    <w:rsid w:val="001E49B3"/>
    <w:rsid w:val="001E7A50"/>
    <w:rsid w:val="001F6CFE"/>
    <w:rsid w:val="00200E52"/>
    <w:rsid w:val="00202CCD"/>
    <w:rsid w:val="002041F6"/>
    <w:rsid w:val="00204B6C"/>
    <w:rsid w:val="002055DD"/>
    <w:rsid w:val="00206C88"/>
    <w:rsid w:val="00214A30"/>
    <w:rsid w:val="00215043"/>
    <w:rsid w:val="00216684"/>
    <w:rsid w:val="002173BA"/>
    <w:rsid w:val="00217FAF"/>
    <w:rsid w:val="00220B9C"/>
    <w:rsid w:val="00223D87"/>
    <w:rsid w:val="002260A9"/>
    <w:rsid w:val="00230BE5"/>
    <w:rsid w:val="00231BE3"/>
    <w:rsid w:val="002348EE"/>
    <w:rsid w:val="00235A10"/>
    <w:rsid w:val="0023648B"/>
    <w:rsid w:val="002414FE"/>
    <w:rsid w:val="00242023"/>
    <w:rsid w:val="00242918"/>
    <w:rsid w:val="002444AF"/>
    <w:rsid w:val="002463B4"/>
    <w:rsid w:val="00251A69"/>
    <w:rsid w:val="00251F54"/>
    <w:rsid w:val="00253599"/>
    <w:rsid w:val="002538CD"/>
    <w:rsid w:val="002539FA"/>
    <w:rsid w:val="00254A10"/>
    <w:rsid w:val="0025530A"/>
    <w:rsid w:val="00256216"/>
    <w:rsid w:val="00262057"/>
    <w:rsid w:val="002634EE"/>
    <w:rsid w:val="00263E2E"/>
    <w:rsid w:val="00276C2E"/>
    <w:rsid w:val="002774A1"/>
    <w:rsid w:val="002817B1"/>
    <w:rsid w:val="00283CBE"/>
    <w:rsid w:val="00286FBE"/>
    <w:rsid w:val="0028735B"/>
    <w:rsid w:val="002901AF"/>
    <w:rsid w:val="002919CD"/>
    <w:rsid w:val="00293EED"/>
    <w:rsid w:val="002A2647"/>
    <w:rsid w:val="002A4204"/>
    <w:rsid w:val="002A5F86"/>
    <w:rsid w:val="002A6E2A"/>
    <w:rsid w:val="002B0022"/>
    <w:rsid w:val="002B0B08"/>
    <w:rsid w:val="002B3533"/>
    <w:rsid w:val="002D4CAF"/>
    <w:rsid w:val="002D5220"/>
    <w:rsid w:val="002E03EB"/>
    <w:rsid w:val="002E0A4D"/>
    <w:rsid w:val="002E1018"/>
    <w:rsid w:val="002E4BAF"/>
    <w:rsid w:val="002E7638"/>
    <w:rsid w:val="002F02F5"/>
    <w:rsid w:val="002F3AA8"/>
    <w:rsid w:val="002F50FB"/>
    <w:rsid w:val="002F5BDD"/>
    <w:rsid w:val="00300A1F"/>
    <w:rsid w:val="00302EB5"/>
    <w:rsid w:val="00307BC6"/>
    <w:rsid w:val="00315D02"/>
    <w:rsid w:val="0031618A"/>
    <w:rsid w:val="003212A8"/>
    <w:rsid w:val="003243C5"/>
    <w:rsid w:val="0033350A"/>
    <w:rsid w:val="0033352A"/>
    <w:rsid w:val="0033679D"/>
    <w:rsid w:val="00336DCA"/>
    <w:rsid w:val="003411BF"/>
    <w:rsid w:val="00342D8F"/>
    <w:rsid w:val="0034594D"/>
    <w:rsid w:val="00345B2C"/>
    <w:rsid w:val="00350877"/>
    <w:rsid w:val="00351D27"/>
    <w:rsid w:val="003535CF"/>
    <w:rsid w:val="00356052"/>
    <w:rsid w:val="0035687C"/>
    <w:rsid w:val="003614C3"/>
    <w:rsid w:val="003654ED"/>
    <w:rsid w:val="00365678"/>
    <w:rsid w:val="00370AFB"/>
    <w:rsid w:val="003722F4"/>
    <w:rsid w:val="00372F21"/>
    <w:rsid w:val="00375B32"/>
    <w:rsid w:val="00376D12"/>
    <w:rsid w:val="0037789F"/>
    <w:rsid w:val="00380CFF"/>
    <w:rsid w:val="00380E34"/>
    <w:rsid w:val="00381EAF"/>
    <w:rsid w:val="00382F9C"/>
    <w:rsid w:val="00384096"/>
    <w:rsid w:val="0038429C"/>
    <w:rsid w:val="00387F70"/>
    <w:rsid w:val="00391F81"/>
    <w:rsid w:val="003A64B5"/>
    <w:rsid w:val="003A73D5"/>
    <w:rsid w:val="003B05FB"/>
    <w:rsid w:val="003B656C"/>
    <w:rsid w:val="003C1456"/>
    <w:rsid w:val="003C5E96"/>
    <w:rsid w:val="003C639C"/>
    <w:rsid w:val="003C7264"/>
    <w:rsid w:val="003E034F"/>
    <w:rsid w:val="003E0E75"/>
    <w:rsid w:val="003E216C"/>
    <w:rsid w:val="003E24CE"/>
    <w:rsid w:val="003E7B9A"/>
    <w:rsid w:val="003F26FC"/>
    <w:rsid w:val="003F4571"/>
    <w:rsid w:val="00400E69"/>
    <w:rsid w:val="0041467E"/>
    <w:rsid w:val="0041501A"/>
    <w:rsid w:val="004161D6"/>
    <w:rsid w:val="00420715"/>
    <w:rsid w:val="004237A3"/>
    <w:rsid w:val="00426401"/>
    <w:rsid w:val="004312A6"/>
    <w:rsid w:val="00433556"/>
    <w:rsid w:val="0043534B"/>
    <w:rsid w:val="00436184"/>
    <w:rsid w:val="00445709"/>
    <w:rsid w:val="0045107F"/>
    <w:rsid w:val="00452DBC"/>
    <w:rsid w:val="00453895"/>
    <w:rsid w:val="004576FB"/>
    <w:rsid w:val="00461318"/>
    <w:rsid w:val="00473AE6"/>
    <w:rsid w:val="00474107"/>
    <w:rsid w:val="0047565F"/>
    <w:rsid w:val="004772DD"/>
    <w:rsid w:val="00482433"/>
    <w:rsid w:val="00484619"/>
    <w:rsid w:val="004962ED"/>
    <w:rsid w:val="004A0A97"/>
    <w:rsid w:val="004A0C6D"/>
    <w:rsid w:val="004A546B"/>
    <w:rsid w:val="004A785A"/>
    <w:rsid w:val="004B7461"/>
    <w:rsid w:val="004C36F1"/>
    <w:rsid w:val="004C4ECE"/>
    <w:rsid w:val="004C67D9"/>
    <w:rsid w:val="004C6818"/>
    <w:rsid w:val="004C6F05"/>
    <w:rsid w:val="004D00C4"/>
    <w:rsid w:val="004D04CA"/>
    <w:rsid w:val="004E45CF"/>
    <w:rsid w:val="004E460A"/>
    <w:rsid w:val="004E5361"/>
    <w:rsid w:val="004E7339"/>
    <w:rsid w:val="004F0197"/>
    <w:rsid w:val="004F1AF4"/>
    <w:rsid w:val="004F2B17"/>
    <w:rsid w:val="004F6076"/>
    <w:rsid w:val="00500704"/>
    <w:rsid w:val="0050098C"/>
    <w:rsid w:val="00502D8A"/>
    <w:rsid w:val="00502F79"/>
    <w:rsid w:val="005046DC"/>
    <w:rsid w:val="005064A2"/>
    <w:rsid w:val="00517FC2"/>
    <w:rsid w:val="005235A8"/>
    <w:rsid w:val="005246B7"/>
    <w:rsid w:val="00530353"/>
    <w:rsid w:val="005328EA"/>
    <w:rsid w:val="00543EC0"/>
    <w:rsid w:val="00544413"/>
    <w:rsid w:val="00545FFD"/>
    <w:rsid w:val="005475B8"/>
    <w:rsid w:val="005476F3"/>
    <w:rsid w:val="005503E3"/>
    <w:rsid w:val="00550F16"/>
    <w:rsid w:val="0055189E"/>
    <w:rsid w:val="0055245C"/>
    <w:rsid w:val="005525FB"/>
    <w:rsid w:val="0055404A"/>
    <w:rsid w:val="0056254D"/>
    <w:rsid w:val="0056494D"/>
    <w:rsid w:val="00565395"/>
    <w:rsid w:val="0057108B"/>
    <w:rsid w:val="00574340"/>
    <w:rsid w:val="00574E9B"/>
    <w:rsid w:val="0057608C"/>
    <w:rsid w:val="00580F60"/>
    <w:rsid w:val="00582214"/>
    <w:rsid w:val="00584EC9"/>
    <w:rsid w:val="0058521A"/>
    <w:rsid w:val="005920DD"/>
    <w:rsid w:val="00593A64"/>
    <w:rsid w:val="005A1B8A"/>
    <w:rsid w:val="005A2456"/>
    <w:rsid w:val="005A3C80"/>
    <w:rsid w:val="005A5275"/>
    <w:rsid w:val="005A6984"/>
    <w:rsid w:val="005B15E3"/>
    <w:rsid w:val="005B2065"/>
    <w:rsid w:val="005C0B8A"/>
    <w:rsid w:val="005C1074"/>
    <w:rsid w:val="005C5633"/>
    <w:rsid w:val="005C7C7A"/>
    <w:rsid w:val="005D4C67"/>
    <w:rsid w:val="005D5874"/>
    <w:rsid w:val="005D66E8"/>
    <w:rsid w:val="005E079A"/>
    <w:rsid w:val="005E4EF9"/>
    <w:rsid w:val="005E5971"/>
    <w:rsid w:val="005E6551"/>
    <w:rsid w:val="005E7F83"/>
    <w:rsid w:val="005F0660"/>
    <w:rsid w:val="005F0D91"/>
    <w:rsid w:val="005F78A3"/>
    <w:rsid w:val="00600922"/>
    <w:rsid w:val="006042DE"/>
    <w:rsid w:val="00614114"/>
    <w:rsid w:val="0061509D"/>
    <w:rsid w:val="0061542B"/>
    <w:rsid w:val="00616B17"/>
    <w:rsid w:val="006218C0"/>
    <w:rsid w:val="0063016E"/>
    <w:rsid w:val="00634694"/>
    <w:rsid w:val="00634B75"/>
    <w:rsid w:val="00634E52"/>
    <w:rsid w:val="006367A3"/>
    <w:rsid w:val="00636C9F"/>
    <w:rsid w:val="00644CBD"/>
    <w:rsid w:val="00645297"/>
    <w:rsid w:val="0065228B"/>
    <w:rsid w:val="006542E8"/>
    <w:rsid w:val="00666C16"/>
    <w:rsid w:val="00673209"/>
    <w:rsid w:val="00674188"/>
    <w:rsid w:val="006809C9"/>
    <w:rsid w:val="00682849"/>
    <w:rsid w:val="006838F4"/>
    <w:rsid w:val="0068711D"/>
    <w:rsid w:val="0069105A"/>
    <w:rsid w:val="00693F6F"/>
    <w:rsid w:val="006960D6"/>
    <w:rsid w:val="006A4544"/>
    <w:rsid w:val="006A4D6B"/>
    <w:rsid w:val="006B0DFB"/>
    <w:rsid w:val="006B56FB"/>
    <w:rsid w:val="006B7547"/>
    <w:rsid w:val="006B799D"/>
    <w:rsid w:val="006B7CE1"/>
    <w:rsid w:val="006C16E2"/>
    <w:rsid w:val="006C1763"/>
    <w:rsid w:val="006C3973"/>
    <w:rsid w:val="006C4D38"/>
    <w:rsid w:val="006C5EB3"/>
    <w:rsid w:val="006C66DD"/>
    <w:rsid w:val="006D00B2"/>
    <w:rsid w:val="006D103E"/>
    <w:rsid w:val="006D66BE"/>
    <w:rsid w:val="006D7F05"/>
    <w:rsid w:val="006E020F"/>
    <w:rsid w:val="006E2426"/>
    <w:rsid w:val="006E5FD1"/>
    <w:rsid w:val="006F12C8"/>
    <w:rsid w:val="006F1CB3"/>
    <w:rsid w:val="006F38FC"/>
    <w:rsid w:val="006F48B6"/>
    <w:rsid w:val="006F7FE3"/>
    <w:rsid w:val="00700152"/>
    <w:rsid w:val="0070029A"/>
    <w:rsid w:val="00707672"/>
    <w:rsid w:val="007111A7"/>
    <w:rsid w:val="00714003"/>
    <w:rsid w:val="007147C1"/>
    <w:rsid w:val="007166A7"/>
    <w:rsid w:val="00717667"/>
    <w:rsid w:val="0072182B"/>
    <w:rsid w:val="00722E5F"/>
    <w:rsid w:val="0073315A"/>
    <w:rsid w:val="00736ED4"/>
    <w:rsid w:val="0074187A"/>
    <w:rsid w:val="0074245D"/>
    <w:rsid w:val="007444EA"/>
    <w:rsid w:val="007502A1"/>
    <w:rsid w:val="00750463"/>
    <w:rsid w:val="007521D4"/>
    <w:rsid w:val="00754868"/>
    <w:rsid w:val="00755ED6"/>
    <w:rsid w:val="00763091"/>
    <w:rsid w:val="007653AF"/>
    <w:rsid w:val="00766206"/>
    <w:rsid w:val="00773801"/>
    <w:rsid w:val="0077618B"/>
    <w:rsid w:val="007814B8"/>
    <w:rsid w:val="00783539"/>
    <w:rsid w:val="007849EF"/>
    <w:rsid w:val="00785E16"/>
    <w:rsid w:val="00790217"/>
    <w:rsid w:val="007902FA"/>
    <w:rsid w:val="00790BB4"/>
    <w:rsid w:val="00790FB6"/>
    <w:rsid w:val="0079322E"/>
    <w:rsid w:val="00793D51"/>
    <w:rsid w:val="00796B52"/>
    <w:rsid w:val="00797AC8"/>
    <w:rsid w:val="007A1D67"/>
    <w:rsid w:val="007A5307"/>
    <w:rsid w:val="007A6806"/>
    <w:rsid w:val="007A78F7"/>
    <w:rsid w:val="007A7DC9"/>
    <w:rsid w:val="007B3D82"/>
    <w:rsid w:val="007B42BE"/>
    <w:rsid w:val="007C10FD"/>
    <w:rsid w:val="007C4E4E"/>
    <w:rsid w:val="007C6E0D"/>
    <w:rsid w:val="007D1A59"/>
    <w:rsid w:val="007D2D6E"/>
    <w:rsid w:val="007D2F43"/>
    <w:rsid w:val="007D4E03"/>
    <w:rsid w:val="007D728F"/>
    <w:rsid w:val="007E2BC6"/>
    <w:rsid w:val="007E30C4"/>
    <w:rsid w:val="007E71C4"/>
    <w:rsid w:val="007F2476"/>
    <w:rsid w:val="007F3739"/>
    <w:rsid w:val="007F49E6"/>
    <w:rsid w:val="007F66E6"/>
    <w:rsid w:val="007F6942"/>
    <w:rsid w:val="007F6DE3"/>
    <w:rsid w:val="007F7251"/>
    <w:rsid w:val="007F7425"/>
    <w:rsid w:val="0080628A"/>
    <w:rsid w:val="008101B7"/>
    <w:rsid w:val="00813984"/>
    <w:rsid w:val="008162A3"/>
    <w:rsid w:val="008203CB"/>
    <w:rsid w:val="0083034F"/>
    <w:rsid w:val="00830D96"/>
    <w:rsid w:val="00831912"/>
    <w:rsid w:val="00833718"/>
    <w:rsid w:val="00846176"/>
    <w:rsid w:val="0085209A"/>
    <w:rsid w:val="0085343E"/>
    <w:rsid w:val="00863AB9"/>
    <w:rsid w:val="008665B9"/>
    <w:rsid w:val="0087014D"/>
    <w:rsid w:val="00884207"/>
    <w:rsid w:val="0089350F"/>
    <w:rsid w:val="0089394B"/>
    <w:rsid w:val="00893997"/>
    <w:rsid w:val="00896F5A"/>
    <w:rsid w:val="008A0CA8"/>
    <w:rsid w:val="008A16D9"/>
    <w:rsid w:val="008A1F7A"/>
    <w:rsid w:val="008A3B86"/>
    <w:rsid w:val="008A5A8B"/>
    <w:rsid w:val="008A7B4B"/>
    <w:rsid w:val="008A7C38"/>
    <w:rsid w:val="008B2026"/>
    <w:rsid w:val="008B3097"/>
    <w:rsid w:val="008B56EE"/>
    <w:rsid w:val="008B630C"/>
    <w:rsid w:val="008B653D"/>
    <w:rsid w:val="008B72EB"/>
    <w:rsid w:val="008C24CA"/>
    <w:rsid w:val="008C3E55"/>
    <w:rsid w:val="008C43CE"/>
    <w:rsid w:val="008C4662"/>
    <w:rsid w:val="008C7CAE"/>
    <w:rsid w:val="008D086E"/>
    <w:rsid w:val="008D1B55"/>
    <w:rsid w:val="008D33E2"/>
    <w:rsid w:val="008D3C53"/>
    <w:rsid w:val="008D7072"/>
    <w:rsid w:val="008F0263"/>
    <w:rsid w:val="008F09BA"/>
    <w:rsid w:val="008F29C7"/>
    <w:rsid w:val="008F3032"/>
    <w:rsid w:val="008F469D"/>
    <w:rsid w:val="0090370A"/>
    <w:rsid w:val="00910C7D"/>
    <w:rsid w:val="00913257"/>
    <w:rsid w:val="0091537F"/>
    <w:rsid w:val="00916E01"/>
    <w:rsid w:val="00920BB6"/>
    <w:rsid w:val="00921E33"/>
    <w:rsid w:val="009249A9"/>
    <w:rsid w:val="00925551"/>
    <w:rsid w:val="00925C10"/>
    <w:rsid w:val="00930693"/>
    <w:rsid w:val="0093237B"/>
    <w:rsid w:val="009331BF"/>
    <w:rsid w:val="00934E29"/>
    <w:rsid w:val="00937487"/>
    <w:rsid w:val="00937B10"/>
    <w:rsid w:val="009477E4"/>
    <w:rsid w:val="009601D1"/>
    <w:rsid w:val="00965377"/>
    <w:rsid w:val="00966A9E"/>
    <w:rsid w:val="00971215"/>
    <w:rsid w:val="00972F55"/>
    <w:rsid w:val="00974A75"/>
    <w:rsid w:val="00975AB8"/>
    <w:rsid w:val="0098373C"/>
    <w:rsid w:val="00985DCD"/>
    <w:rsid w:val="00991943"/>
    <w:rsid w:val="009922D6"/>
    <w:rsid w:val="0099522E"/>
    <w:rsid w:val="009A2551"/>
    <w:rsid w:val="009A3F1B"/>
    <w:rsid w:val="009B092B"/>
    <w:rsid w:val="009B1F07"/>
    <w:rsid w:val="009B5173"/>
    <w:rsid w:val="009C5329"/>
    <w:rsid w:val="009D3240"/>
    <w:rsid w:val="009D36B2"/>
    <w:rsid w:val="009D5E83"/>
    <w:rsid w:val="009D635B"/>
    <w:rsid w:val="009D6567"/>
    <w:rsid w:val="009E1375"/>
    <w:rsid w:val="009E2144"/>
    <w:rsid w:val="009E491D"/>
    <w:rsid w:val="009F1FAF"/>
    <w:rsid w:val="009F44C3"/>
    <w:rsid w:val="00A002DA"/>
    <w:rsid w:val="00A015A8"/>
    <w:rsid w:val="00A01890"/>
    <w:rsid w:val="00A042ED"/>
    <w:rsid w:val="00A047D0"/>
    <w:rsid w:val="00A128E2"/>
    <w:rsid w:val="00A13F8D"/>
    <w:rsid w:val="00A16824"/>
    <w:rsid w:val="00A2610F"/>
    <w:rsid w:val="00A31C7B"/>
    <w:rsid w:val="00A36903"/>
    <w:rsid w:val="00A372E2"/>
    <w:rsid w:val="00A401C5"/>
    <w:rsid w:val="00A41831"/>
    <w:rsid w:val="00A4746B"/>
    <w:rsid w:val="00A47A34"/>
    <w:rsid w:val="00A503EE"/>
    <w:rsid w:val="00A557D1"/>
    <w:rsid w:val="00A61F0C"/>
    <w:rsid w:val="00A64759"/>
    <w:rsid w:val="00A65522"/>
    <w:rsid w:val="00A65A88"/>
    <w:rsid w:val="00A745A3"/>
    <w:rsid w:val="00A7653F"/>
    <w:rsid w:val="00A84A3B"/>
    <w:rsid w:val="00A86AAA"/>
    <w:rsid w:val="00A903D8"/>
    <w:rsid w:val="00A91CE9"/>
    <w:rsid w:val="00A946A1"/>
    <w:rsid w:val="00AA3434"/>
    <w:rsid w:val="00AA3A0B"/>
    <w:rsid w:val="00AA4184"/>
    <w:rsid w:val="00AA4B2B"/>
    <w:rsid w:val="00AA7D04"/>
    <w:rsid w:val="00AB63A1"/>
    <w:rsid w:val="00AC21F3"/>
    <w:rsid w:val="00AC4ADD"/>
    <w:rsid w:val="00AD0A40"/>
    <w:rsid w:val="00AD14C5"/>
    <w:rsid w:val="00AD4B2F"/>
    <w:rsid w:val="00AD5D1C"/>
    <w:rsid w:val="00AE0243"/>
    <w:rsid w:val="00AE0EC0"/>
    <w:rsid w:val="00AE4872"/>
    <w:rsid w:val="00AE4BB5"/>
    <w:rsid w:val="00AE4DBD"/>
    <w:rsid w:val="00AE54BC"/>
    <w:rsid w:val="00AF1871"/>
    <w:rsid w:val="00AF74B8"/>
    <w:rsid w:val="00B04584"/>
    <w:rsid w:val="00B07EBA"/>
    <w:rsid w:val="00B1291E"/>
    <w:rsid w:val="00B15561"/>
    <w:rsid w:val="00B16898"/>
    <w:rsid w:val="00B17502"/>
    <w:rsid w:val="00B17685"/>
    <w:rsid w:val="00B17909"/>
    <w:rsid w:val="00B20518"/>
    <w:rsid w:val="00B207D6"/>
    <w:rsid w:val="00B30E0C"/>
    <w:rsid w:val="00B33D96"/>
    <w:rsid w:val="00B35C3B"/>
    <w:rsid w:val="00B3681F"/>
    <w:rsid w:val="00B45AC7"/>
    <w:rsid w:val="00B52C11"/>
    <w:rsid w:val="00B553B0"/>
    <w:rsid w:val="00B5658F"/>
    <w:rsid w:val="00B6143B"/>
    <w:rsid w:val="00B6173F"/>
    <w:rsid w:val="00B61C26"/>
    <w:rsid w:val="00B653C3"/>
    <w:rsid w:val="00B6616F"/>
    <w:rsid w:val="00B67639"/>
    <w:rsid w:val="00B67C7C"/>
    <w:rsid w:val="00B67FA1"/>
    <w:rsid w:val="00B7565C"/>
    <w:rsid w:val="00B80E47"/>
    <w:rsid w:val="00B81EC5"/>
    <w:rsid w:val="00B83467"/>
    <w:rsid w:val="00B839D9"/>
    <w:rsid w:val="00B8481B"/>
    <w:rsid w:val="00B91A6B"/>
    <w:rsid w:val="00B91A81"/>
    <w:rsid w:val="00B95964"/>
    <w:rsid w:val="00B97C70"/>
    <w:rsid w:val="00BA1B34"/>
    <w:rsid w:val="00BA1BE1"/>
    <w:rsid w:val="00BA4788"/>
    <w:rsid w:val="00BB0254"/>
    <w:rsid w:val="00BC759D"/>
    <w:rsid w:val="00BD227C"/>
    <w:rsid w:val="00BD3209"/>
    <w:rsid w:val="00BE04C4"/>
    <w:rsid w:val="00BE1472"/>
    <w:rsid w:val="00BE2FB2"/>
    <w:rsid w:val="00BE64D0"/>
    <w:rsid w:val="00BE6A6B"/>
    <w:rsid w:val="00BE6AEB"/>
    <w:rsid w:val="00BE79CD"/>
    <w:rsid w:val="00BF08ED"/>
    <w:rsid w:val="00BF2A24"/>
    <w:rsid w:val="00C02D01"/>
    <w:rsid w:val="00C03298"/>
    <w:rsid w:val="00C034B8"/>
    <w:rsid w:val="00C04628"/>
    <w:rsid w:val="00C07703"/>
    <w:rsid w:val="00C10123"/>
    <w:rsid w:val="00C1047F"/>
    <w:rsid w:val="00C106DD"/>
    <w:rsid w:val="00C14151"/>
    <w:rsid w:val="00C16E88"/>
    <w:rsid w:val="00C17788"/>
    <w:rsid w:val="00C17892"/>
    <w:rsid w:val="00C17949"/>
    <w:rsid w:val="00C223DB"/>
    <w:rsid w:val="00C23648"/>
    <w:rsid w:val="00C269F4"/>
    <w:rsid w:val="00C34BFE"/>
    <w:rsid w:val="00C36B41"/>
    <w:rsid w:val="00C375A7"/>
    <w:rsid w:val="00C41E6B"/>
    <w:rsid w:val="00C43BE8"/>
    <w:rsid w:val="00C43FD3"/>
    <w:rsid w:val="00C451C3"/>
    <w:rsid w:val="00C45C5F"/>
    <w:rsid w:val="00C50987"/>
    <w:rsid w:val="00C55AD0"/>
    <w:rsid w:val="00C56BA7"/>
    <w:rsid w:val="00C64025"/>
    <w:rsid w:val="00C67C0D"/>
    <w:rsid w:val="00C713A4"/>
    <w:rsid w:val="00C7492A"/>
    <w:rsid w:val="00C75C5A"/>
    <w:rsid w:val="00C760B1"/>
    <w:rsid w:val="00C8115A"/>
    <w:rsid w:val="00C8267A"/>
    <w:rsid w:val="00C82DEA"/>
    <w:rsid w:val="00C83D37"/>
    <w:rsid w:val="00C935C0"/>
    <w:rsid w:val="00C93EEC"/>
    <w:rsid w:val="00C94908"/>
    <w:rsid w:val="00C94C53"/>
    <w:rsid w:val="00C96241"/>
    <w:rsid w:val="00CA0B6B"/>
    <w:rsid w:val="00CA17D1"/>
    <w:rsid w:val="00CA217D"/>
    <w:rsid w:val="00CA567E"/>
    <w:rsid w:val="00CA5C61"/>
    <w:rsid w:val="00CA62F4"/>
    <w:rsid w:val="00CB4822"/>
    <w:rsid w:val="00CB5CDB"/>
    <w:rsid w:val="00CC38B9"/>
    <w:rsid w:val="00CC7D0A"/>
    <w:rsid w:val="00CD0ACF"/>
    <w:rsid w:val="00CD1BF1"/>
    <w:rsid w:val="00CD35AC"/>
    <w:rsid w:val="00CD3E93"/>
    <w:rsid w:val="00CE76F4"/>
    <w:rsid w:val="00CF68F6"/>
    <w:rsid w:val="00CF73BE"/>
    <w:rsid w:val="00D00C01"/>
    <w:rsid w:val="00D00F28"/>
    <w:rsid w:val="00D06D4A"/>
    <w:rsid w:val="00D1618E"/>
    <w:rsid w:val="00D20243"/>
    <w:rsid w:val="00D21019"/>
    <w:rsid w:val="00D238F4"/>
    <w:rsid w:val="00D25B14"/>
    <w:rsid w:val="00D274A8"/>
    <w:rsid w:val="00D36499"/>
    <w:rsid w:val="00D40E30"/>
    <w:rsid w:val="00D414DC"/>
    <w:rsid w:val="00D42131"/>
    <w:rsid w:val="00D432CE"/>
    <w:rsid w:val="00D4495F"/>
    <w:rsid w:val="00D4750B"/>
    <w:rsid w:val="00D51172"/>
    <w:rsid w:val="00D55A5E"/>
    <w:rsid w:val="00D7416E"/>
    <w:rsid w:val="00D80DC6"/>
    <w:rsid w:val="00D8283B"/>
    <w:rsid w:val="00D832EE"/>
    <w:rsid w:val="00D8531B"/>
    <w:rsid w:val="00D855FD"/>
    <w:rsid w:val="00D87E36"/>
    <w:rsid w:val="00D90EBD"/>
    <w:rsid w:val="00D91D54"/>
    <w:rsid w:val="00D9208F"/>
    <w:rsid w:val="00D9476C"/>
    <w:rsid w:val="00DA2818"/>
    <w:rsid w:val="00DB3B9F"/>
    <w:rsid w:val="00DC1921"/>
    <w:rsid w:val="00DC2A89"/>
    <w:rsid w:val="00DC2D03"/>
    <w:rsid w:val="00DD3565"/>
    <w:rsid w:val="00DD3A30"/>
    <w:rsid w:val="00DD7062"/>
    <w:rsid w:val="00DE26BC"/>
    <w:rsid w:val="00DE41B1"/>
    <w:rsid w:val="00DE552D"/>
    <w:rsid w:val="00DF2B4A"/>
    <w:rsid w:val="00DF2E64"/>
    <w:rsid w:val="00DF3A92"/>
    <w:rsid w:val="00DF4599"/>
    <w:rsid w:val="00DF72F5"/>
    <w:rsid w:val="00E01162"/>
    <w:rsid w:val="00E05066"/>
    <w:rsid w:val="00E11ACA"/>
    <w:rsid w:val="00E126ED"/>
    <w:rsid w:val="00E160B4"/>
    <w:rsid w:val="00E21C34"/>
    <w:rsid w:val="00E30415"/>
    <w:rsid w:val="00E31F21"/>
    <w:rsid w:val="00E3276F"/>
    <w:rsid w:val="00E3440C"/>
    <w:rsid w:val="00E365F6"/>
    <w:rsid w:val="00E37EFA"/>
    <w:rsid w:val="00E408AD"/>
    <w:rsid w:val="00E42F21"/>
    <w:rsid w:val="00E51356"/>
    <w:rsid w:val="00E52276"/>
    <w:rsid w:val="00E53E40"/>
    <w:rsid w:val="00E5465F"/>
    <w:rsid w:val="00E5501F"/>
    <w:rsid w:val="00E56E01"/>
    <w:rsid w:val="00E60B4E"/>
    <w:rsid w:val="00E62355"/>
    <w:rsid w:val="00E649A3"/>
    <w:rsid w:val="00E65C16"/>
    <w:rsid w:val="00E67C40"/>
    <w:rsid w:val="00E705A0"/>
    <w:rsid w:val="00E73D36"/>
    <w:rsid w:val="00E75995"/>
    <w:rsid w:val="00E8244E"/>
    <w:rsid w:val="00E84878"/>
    <w:rsid w:val="00E86F3D"/>
    <w:rsid w:val="00E90F03"/>
    <w:rsid w:val="00E91CDA"/>
    <w:rsid w:val="00EA05FB"/>
    <w:rsid w:val="00EA185A"/>
    <w:rsid w:val="00EA7208"/>
    <w:rsid w:val="00EB0910"/>
    <w:rsid w:val="00EB19C1"/>
    <w:rsid w:val="00EB2B1B"/>
    <w:rsid w:val="00EB7C76"/>
    <w:rsid w:val="00EC1379"/>
    <w:rsid w:val="00EC41C2"/>
    <w:rsid w:val="00EC49BB"/>
    <w:rsid w:val="00EC714D"/>
    <w:rsid w:val="00ED23BD"/>
    <w:rsid w:val="00ED62D6"/>
    <w:rsid w:val="00ED70F9"/>
    <w:rsid w:val="00EE2590"/>
    <w:rsid w:val="00EE3D83"/>
    <w:rsid w:val="00EE6823"/>
    <w:rsid w:val="00EE7554"/>
    <w:rsid w:val="00EE77E0"/>
    <w:rsid w:val="00EF1C28"/>
    <w:rsid w:val="00EF31BD"/>
    <w:rsid w:val="00F05443"/>
    <w:rsid w:val="00F123E2"/>
    <w:rsid w:val="00F138D2"/>
    <w:rsid w:val="00F26116"/>
    <w:rsid w:val="00F26F2E"/>
    <w:rsid w:val="00F31698"/>
    <w:rsid w:val="00F33561"/>
    <w:rsid w:val="00F41CFE"/>
    <w:rsid w:val="00F4471A"/>
    <w:rsid w:val="00F51369"/>
    <w:rsid w:val="00F51513"/>
    <w:rsid w:val="00F51735"/>
    <w:rsid w:val="00F619D0"/>
    <w:rsid w:val="00F6206B"/>
    <w:rsid w:val="00F64297"/>
    <w:rsid w:val="00F7057E"/>
    <w:rsid w:val="00F720E4"/>
    <w:rsid w:val="00F728D8"/>
    <w:rsid w:val="00F81BB4"/>
    <w:rsid w:val="00F82F6E"/>
    <w:rsid w:val="00F845D8"/>
    <w:rsid w:val="00F84A76"/>
    <w:rsid w:val="00F9216E"/>
    <w:rsid w:val="00F9447E"/>
    <w:rsid w:val="00F94759"/>
    <w:rsid w:val="00F96626"/>
    <w:rsid w:val="00F9693E"/>
    <w:rsid w:val="00FA6620"/>
    <w:rsid w:val="00FA7D4D"/>
    <w:rsid w:val="00FB1407"/>
    <w:rsid w:val="00FB2412"/>
    <w:rsid w:val="00FB350C"/>
    <w:rsid w:val="00FC559E"/>
    <w:rsid w:val="00FC55E8"/>
    <w:rsid w:val="00FC7E25"/>
    <w:rsid w:val="00FD0C70"/>
    <w:rsid w:val="00FD24E3"/>
    <w:rsid w:val="00FD71CA"/>
    <w:rsid w:val="00FD7A31"/>
    <w:rsid w:val="00FE4CB7"/>
    <w:rsid w:val="00FE50DE"/>
    <w:rsid w:val="00FF1242"/>
    <w:rsid w:val="00FF48CD"/>
    <w:rsid w:val="00FF7111"/>
    <w:rsid w:val="00FF7326"/>
    <w:rsid w:val="00FF7CE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9ED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line="240" w:lineRule="atLeast"/>
    </w:pPr>
    <w:rPr>
      <w:rFonts w:ascii="Verdana" w:hAnsi="Verdana"/>
      <w:color w:val="000000"/>
      <w:sz w:val="18"/>
      <w:szCs w:val="18"/>
    </w:rPr>
  </w:style>
  <w:style w:type="paragraph" w:styleId="Heading1">
    <w:name w:val="heading 1"/>
    <w:basedOn w:val="Normal"/>
    <w:next w:val="Normal"/>
    <w:link w:val="Heading1Char"/>
    <w:uiPriority w:val="99"/>
    <w:semiHidden/>
    <w:rsid w:val="000059A4"/>
    <w:pPr>
      <w:keepNext/>
      <w:keepLines/>
      <w:spacing w:before="240"/>
      <w:outlineLvl w:val="0"/>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CW85Documentgegevens">
    <w:name w:val="ACW 8.5 Documentgegevens"/>
    <w:basedOn w:val="Normal"/>
    <w:next w:val="Normal"/>
    <w:pPr>
      <w:spacing w:before="20"/>
    </w:pPr>
    <w:rPr>
      <w:sz w:val="17"/>
      <w:szCs w:val="17"/>
    </w:rPr>
  </w:style>
  <w:style w:type="paragraph" w:customStyle="1" w:styleId="ACWAanhef">
    <w:name w:val="ACW Aanhef"/>
    <w:basedOn w:val="Normal"/>
    <w:next w:val="Normal"/>
    <w:pPr>
      <w:spacing w:before="240" w:after="240" w:line="280" w:lineRule="exact"/>
    </w:pPr>
    <w:rPr>
      <w:sz w:val="17"/>
      <w:szCs w:val="17"/>
    </w:rPr>
  </w:style>
  <w:style w:type="paragraph" w:customStyle="1" w:styleId="ACWDocumentnaam">
    <w:name w:val="ACW Documentnaam"/>
    <w:basedOn w:val="Normal"/>
    <w:next w:val="Normal"/>
    <w:pPr>
      <w:spacing w:line="240" w:lineRule="exact"/>
    </w:pPr>
    <w:rPr>
      <w:sz w:val="25"/>
      <w:szCs w:val="25"/>
    </w:rPr>
  </w:style>
  <w:style w:type="paragraph" w:customStyle="1" w:styleId="ACWKopjesVerdana7">
    <w:name w:val="ACW Kopjes Verdana 7"/>
    <w:basedOn w:val="Normal"/>
    <w:next w:val="Normal"/>
    <w:pPr>
      <w:spacing w:before="60" w:line="220" w:lineRule="exact"/>
    </w:pPr>
    <w:rPr>
      <w:sz w:val="14"/>
      <w:szCs w:val="14"/>
    </w:rPr>
  </w:style>
  <w:style w:type="paragraph" w:customStyle="1" w:styleId="ACWOndertekening85">
    <w:name w:val="ACW Ondertekening 8.5"/>
    <w:basedOn w:val="Normal"/>
    <w:next w:val="Normal"/>
    <w:pPr>
      <w:spacing w:line="240" w:lineRule="exact"/>
    </w:pPr>
    <w:rPr>
      <w:sz w:val="17"/>
      <w:szCs w:val="17"/>
    </w:rPr>
  </w:style>
  <w:style w:type="paragraph" w:customStyle="1" w:styleId="ACWOndertekening85cursief">
    <w:name w:val="ACW Ondertekening 8.5 cursief"/>
    <w:basedOn w:val="Normal"/>
    <w:next w:val="Normal"/>
    <w:pPr>
      <w:spacing w:line="240" w:lineRule="exact"/>
    </w:pPr>
    <w:rPr>
      <w:i/>
      <w:sz w:val="17"/>
      <w:szCs w:val="17"/>
    </w:rPr>
  </w:style>
  <w:style w:type="paragraph" w:customStyle="1" w:styleId="ACWSlotzin">
    <w:name w:val="ACW Slotzin"/>
    <w:basedOn w:val="Normal"/>
    <w:next w:val="Normal"/>
    <w:pPr>
      <w:spacing w:before="240" w:line="280" w:lineRule="exact"/>
    </w:pPr>
    <w:rPr>
      <w:sz w:val="17"/>
      <w:szCs w:val="17"/>
    </w:rPr>
  </w:style>
  <w:style w:type="paragraph" w:customStyle="1" w:styleId="ACWStandaardVerdana85">
    <w:name w:val="ACW Standaard Verdana 8.5"/>
    <w:basedOn w:val="Normal"/>
    <w:next w:val="Normal"/>
    <w:pPr>
      <w:spacing w:line="280" w:lineRule="exact"/>
    </w:pPr>
    <w:rPr>
      <w:sz w:val="17"/>
      <w:szCs w:val="17"/>
    </w:rPr>
  </w:style>
  <w:style w:type="paragraph" w:customStyle="1" w:styleId="ANVS-Hoofdstuk">
    <w:name w:val="ANVS - Hoofdstuk"/>
    <w:basedOn w:val="Normal"/>
    <w:next w:val="Normal"/>
    <w:pPr>
      <w:numPr>
        <w:numId w:val="1"/>
      </w:numPr>
      <w:spacing w:after="700" w:line="300" w:lineRule="atLeast"/>
    </w:pPr>
    <w:rPr>
      <w:color w:val="275937"/>
      <w:sz w:val="24"/>
      <w:szCs w:val="24"/>
    </w:rPr>
  </w:style>
  <w:style w:type="paragraph" w:customStyle="1" w:styleId="ANVS-Hoofdstukongenummerd">
    <w:name w:val="ANVS - Hoofdstuk ongenummerd"/>
    <w:basedOn w:val="Normal"/>
    <w:next w:val="Normal"/>
    <w:pPr>
      <w:numPr>
        <w:numId w:val="2"/>
      </w:numPr>
      <w:spacing w:after="700" w:line="300" w:lineRule="exact"/>
    </w:pPr>
    <w:rPr>
      <w:color w:val="275937"/>
      <w:sz w:val="24"/>
      <w:szCs w:val="24"/>
    </w:rPr>
  </w:style>
  <w:style w:type="paragraph" w:customStyle="1" w:styleId="ANVS-InhoudKop">
    <w:name w:val="ANVS - Inhoud Kop"/>
    <w:basedOn w:val="Normal"/>
    <w:next w:val="Normal"/>
    <w:pPr>
      <w:spacing w:after="700" w:line="300" w:lineRule="exact"/>
    </w:pPr>
    <w:rPr>
      <w:color w:val="275937"/>
      <w:sz w:val="24"/>
      <w:szCs w:val="24"/>
    </w:rPr>
  </w:style>
  <w:style w:type="paragraph" w:customStyle="1" w:styleId="ANVS-Opsommingstekens">
    <w:name w:val="ANVS - Opsommingstekens"/>
    <w:basedOn w:val="Normal"/>
    <w:pPr>
      <w:numPr>
        <w:numId w:val="3"/>
      </w:numPr>
      <w:spacing w:line="240" w:lineRule="exact"/>
    </w:pPr>
  </w:style>
  <w:style w:type="paragraph" w:customStyle="1" w:styleId="ANVS-Paragraaf">
    <w:name w:val="ANVS - Paragraaf"/>
    <w:basedOn w:val="Normal"/>
    <w:next w:val="Normal"/>
    <w:pPr>
      <w:numPr>
        <w:ilvl w:val="1"/>
        <w:numId w:val="1"/>
      </w:numPr>
      <w:spacing w:before="200" w:line="240" w:lineRule="exact"/>
    </w:pPr>
    <w:rPr>
      <w:b/>
      <w:color w:val="E17000"/>
    </w:rPr>
  </w:style>
  <w:style w:type="paragraph" w:customStyle="1" w:styleId="ANVS-Subparagraaf">
    <w:name w:val="ANVS - Subparagraaf"/>
    <w:basedOn w:val="Normal"/>
    <w:next w:val="Normal"/>
    <w:pPr>
      <w:numPr>
        <w:ilvl w:val="2"/>
        <w:numId w:val="1"/>
      </w:numPr>
      <w:spacing w:before="240"/>
    </w:pPr>
    <w:rPr>
      <w:color w:val="275937"/>
    </w:rPr>
  </w:style>
  <w:style w:type="paragraph" w:customStyle="1" w:styleId="ANVS-Subsubparagraaf">
    <w:name w:val="ANVS - Subsubparagraaf"/>
    <w:basedOn w:val="Normal"/>
    <w:next w:val="Normal"/>
    <w:pPr>
      <w:numPr>
        <w:ilvl w:val="3"/>
        <w:numId w:val="1"/>
      </w:numPr>
      <w:spacing w:before="240"/>
    </w:pPr>
    <w:rPr>
      <w:i/>
    </w:rPr>
  </w:style>
  <w:style w:type="paragraph" w:customStyle="1" w:styleId="ANVS-Uitgavegegevens">
    <w:name w:val="ANVS - Uitgave gegevens"/>
    <w:basedOn w:val="Normal"/>
    <w:next w:val="Normal"/>
    <w:rPr>
      <w:sz w:val="14"/>
      <w:szCs w:val="14"/>
    </w:rPr>
  </w:style>
  <w:style w:type="paragraph" w:customStyle="1" w:styleId="ANVS-UitgavegegevensOrganisatienaam">
    <w:name w:val="ANVS - Uitgave gegevens Organisatienaam"/>
    <w:basedOn w:val="Normal"/>
    <w:next w:val="Normal"/>
    <w:pPr>
      <w:spacing w:before="140"/>
    </w:pPr>
    <w:rPr>
      <w:b/>
      <w:sz w:val="14"/>
      <w:szCs w:val="14"/>
    </w:rPr>
  </w:style>
  <w:style w:type="paragraph" w:customStyle="1" w:styleId="ANVS-UitgavegegevensVet">
    <w:name w:val="ANVS - Uitgave gegevens Vet"/>
    <w:basedOn w:val="Normal"/>
    <w:next w:val="Normal"/>
    <w:pPr>
      <w:spacing w:line="240" w:lineRule="exact"/>
    </w:pPr>
    <w:rPr>
      <w:b/>
      <w:sz w:val="14"/>
      <w:szCs w:val="14"/>
    </w:rPr>
  </w:style>
  <w:style w:type="paragraph" w:customStyle="1" w:styleId="ANVS-Uitgavegegevensonderstreept">
    <w:name w:val="ANVS - Uitgave gegevens onderstreept"/>
    <w:basedOn w:val="Normal"/>
    <w:next w:val="Normal"/>
    <w:pPr>
      <w:spacing w:before="140" w:after="140"/>
    </w:pPr>
    <w:rPr>
      <w:sz w:val="14"/>
      <w:szCs w:val="14"/>
      <w:u w:val="single"/>
    </w:rPr>
  </w:style>
  <w:style w:type="paragraph" w:customStyle="1" w:styleId="ANVSInhoudn36r15">
    <w:name w:val="ANVS Inhoud n36 r15"/>
    <w:basedOn w:val="Normal"/>
    <w:next w:val="Normal"/>
    <w:pPr>
      <w:spacing w:after="720" w:line="300" w:lineRule="exact"/>
    </w:pPr>
    <w:rPr>
      <w:sz w:val="24"/>
      <w:szCs w:val="24"/>
    </w:rPr>
  </w:style>
  <w:style w:type="paragraph" w:customStyle="1" w:styleId="ANVSInspectierapportTitel">
    <w:name w:val="ANVS Inspectierapport Titel"/>
    <w:basedOn w:val="Normal"/>
    <w:next w:val="Normal"/>
    <w:pPr>
      <w:spacing w:before="60" w:after="320" w:line="240" w:lineRule="exact"/>
    </w:pPr>
    <w:rPr>
      <w:b/>
      <w:sz w:val="24"/>
      <w:szCs w:val="24"/>
    </w:rPr>
  </w:style>
  <w:style w:type="paragraph" w:customStyle="1" w:styleId="ANVSInspectierapportstandaardna6">
    <w:name w:val="ANVS Inspectierapport standaard na 6"/>
    <w:basedOn w:val="Normal"/>
    <w:next w:val="Normal"/>
    <w:pPr>
      <w:spacing w:after="120" w:line="240" w:lineRule="exact"/>
    </w:pPr>
  </w:style>
  <w:style w:type="paragraph" w:customStyle="1" w:styleId="ANVSInspectierapporttussenruimte">
    <w:name w:val="ANVS Inspectierapport tussenruimte"/>
    <w:basedOn w:val="Normal"/>
    <w:next w:val="Normal"/>
    <w:pPr>
      <w:spacing w:after="840" w:line="240" w:lineRule="exact"/>
    </w:pPr>
  </w:style>
  <w:style w:type="table" w:customStyle="1" w:styleId="ANVSKader">
    <w:name w:val="ANVS Kader"/>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cPr>
      <w:shd w:val="clear" w:color="auto" w:fill="DFE6E1"/>
    </w:tcPr>
  </w:style>
  <w:style w:type="paragraph" w:customStyle="1" w:styleId="ANVSRapportTitel">
    <w:name w:val="ANVS Rapport Titel"/>
    <w:basedOn w:val="Normal"/>
    <w:next w:val="Normal"/>
    <w:pPr>
      <w:spacing w:line="800" w:lineRule="exact"/>
    </w:pPr>
    <w:rPr>
      <w:color w:val="275937"/>
      <w:sz w:val="72"/>
      <w:szCs w:val="72"/>
    </w:rPr>
  </w:style>
  <w:style w:type="paragraph" w:customStyle="1" w:styleId="ANVSStandaardVerdana8">
    <w:name w:val="ANVS Standaard Verdana 8"/>
    <w:basedOn w:val="Normal"/>
    <w:next w:val="Normal"/>
    <w:pPr>
      <w:spacing w:line="240" w:lineRule="exact"/>
    </w:pPr>
    <w:rPr>
      <w:sz w:val="16"/>
      <w:szCs w:val="16"/>
    </w:rPr>
  </w:style>
  <w:style w:type="table" w:customStyle="1" w:styleId="ANVSStandaardtabel">
    <w:name w:val="ANVS Standaard tabel"/>
    <w:rPr>
      <w:rFonts w:ascii="Verdana" w:hAnsi="Verdana"/>
      <w:color w:val="000000"/>
      <w:sz w:val="24"/>
      <w:szCs w:val="24"/>
      <w:lang w:val="en-GB" w:eastAsia="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07" w:type="dxa"/>
        <w:left w:w="107" w:type="dxa"/>
        <w:bottom w:w="107" w:type="dxa"/>
        <w:right w:w="107" w:type="dxa"/>
      </w:tblCellMar>
    </w:tblPr>
    <w:tblStylePr w:type="firstRow">
      <w:rPr>
        <w:color w:val="FFFFFF"/>
      </w:rPr>
      <w:tblPr/>
      <w:tcPr>
        <w:shd w:val="clear" w:color="auto" w:fill="275937"/>
      </w:tcPr>
    </w:tblStylePr>
  </w:style>
  <w:style w:type="paragraph" w:customStyle="1" w:styleId="ANVSTabeltekstkop">
    <w:name w:val="ANVS Tabeltekst kop"/>
    <w:basedOn w:val="Normal"/>
    <w:next w:val="Normal"/>
    <w:pPr>
      <w:spacing w:line="180" w:lineRule="exact"/>
    </w:pPr>
    <w:rPr>
      <w:b/>
      <w:color w:val="FFFFFF"/>
    </w:rPr>
  </w:style>
  <w:style w:type="paragraph" w:customStyle="1" w:styleId="ANVSTabeltekststandaard">
    <w:name w:val="ANVS Tabeltekst standaard"/>
    <w:basedOn w:val="Normal"/>
    <w:next w:val="Normal"/>
    <w:pPr>
      <w:spacing w:line="180" w:lineRule="exact"/>
    </w:pPr>
  </w:style>
  <w:style w:type="paragraph" w:customStyle="1" w:styleId="ANVSV12R12">
    <w:name w:val="ANVS V12 R12"/>
    <w:basedOn w:val="Normal"/>
    <w:next w:val="Normal"/>
    <w:pPr>
      <w:spacing w:line="240" w:lineRule="exact"/>
    </w:pPr>
    <w:rPr>
      <w:sz w:val="24"/>
      <w:szCs w:val="24"/>
    </w:rPr>
  </w:style>
  <w:style w:type="paragraph" w:customStyle="1" w:styleId="ANVSV9v0n6r12bold">
    <w:name w:val="ANVS V9 v0 n6 r12 bold"/>
    <w:basedOn w:val="Normal"/>
    <w:next w:val="Normal"/>
    <w:pPr>
      <w:spacing w:after="120" w:line="240" w:lineRule="exact"/>
    </w:pPr>
    <w:rPr>
      <w:b/>
    </w:rPr>
  </w:style>
  <w:style w:type="paragraph" w:customStyle="1" w:styleId="ANVSeindblad1">
    <w:name w:val="ANVS eindblad 1"/>
    <w:basedOn w:val="Normal"/>
    <w:next w:val="Normal"/>
    <w:pPr>
      <w:spacing w:before="220" w:line="240" w:lineRule="exact"/>
    </w:pPr>
  </w:style>
  <w:style w:type="paragraph" w:customStyle="1" w:styleId="ANVSeindblad2">
    <w:name w:val="ANVS eindblad 2"/>
    <w:basedOn w:val="Normal"/>
    <w:next w:val="Normal"/>
    <w:pPr>
      <w:spacing w:before="250" w:line="240" w:lineRule="exact"/>
    </w:pPr>
  </w:style>
  <w:style w:type="paragraph" w:customStyle="1" w:styleId="ANVSeindblad3">
    <w:name w:val="ANVS eindblad 3"/>
    <w:basedOn w:val="Normal"/>
    <w:next w:val="Normal"/>
    <w:pPr>
      <w:spacing w:before="280" w:line="240" w:lineRule="exact"/>
    </w:pPr>
  </w:style>
  <w:style w:type="paragraph" w:customStyle="1" w:styleId="ANVSkadertekst">
    <w:name w:val="ANVS kadertekst"/>
    <w:basedOn w:val="Normal"/>
    <w:next w:val="Normal"/>
    <w:pPr>
      <w:spacing w:line="240" w:lineRule="exact"/>
    </w:pPr>
    <w:rPr>
      <w:b/>
      <w:color w:val="275937"/>
    </w:rPr>
  </w:style>
  <w:style w:type="paragraph" w:customStyle="1" w:styleId="ANVSstandaard15">
    <w:name w:val="ANVS standaard 1.5"/>
    <w:basedOn w:val="Normal"/>
    <w:next w:val="Normal"/>
    <w:pPr>
      <w:spacing w:line="320" w:lineRule="exact"/>
    </w:pPr>
  </w:style>
  <w:style w:type="paragraph" w:styleId="Salutation">
    <w:name w:val="Salutation"/>
    <w:basedOn w:val="Normal"/>
    <w:next w:val="Normal"/>
    <w:pPr>
      <w:spacing w:before="100" w:after="240" w:line="240" w:lineRule="exact"/>
    </w:pPr>
  </w:style>
  <w:style w:type="paragraph" w:customStyle="1" w:styleId="Afzendgegevens">
    <w:name w:val="Afzendgegevens"/>
    <w:basedOn w:val="Normal"/>
    <w:next w:val="Normal"/>
    <w:pPr>
      <w:tabs>
        <w:tab w:val="left" w:pos="2267"/>
      </w:tabs>
      <w:spacing w:line="180" w:lineRule="exact"/>
    </w:pPr>
    <w:rPr>
      <w:sz w:val="13"/>
      <w:szCs w:val="13"/>
    </w:rPr>
  </w:style>
  <w:style w:type="paragraph" w:customStyle="1" w:styleId="Afzendgegevenscursief">
    <w:name w:val="Afzendgegevens cursief"/>
    <w:next w:val="Normal"/>
    <w:pPr>
      <w:tabs>
        <w:tab w:val="left" w:pos="170"/>
      </w:tabs>
      <w:spacing w:line="180" w:lineRule="exact"/>
    </w:pPr>
    <w:rPr>
      <w:rFonts w:ascii="Verdana" w:hAnsi="Verdana"/>
      <w:i/>
      <w:color w:val="000000"/>
      <w:sz w:val="13"/>
      <w:szCs w:val="13"/>
    </w:rPr>
  </w:style>
  <w:style w:type="paragraph" w:customStyle="1" w:styleId="Afzendgegevenskop">
    <w:name w:val="Afzendgegevens kop"/>
    <w:basedOn w:val="Normal"/>
    <w:next w:val="Normal"/>
    <w:pPr>
      <w:spacing w:line="180" w:lineRule="exact"/>
    </w:pPr>
    <w:rPr>
      <w:sz w:val="13"/>
      <w:szCs w:val="13"/>
    </w:rPr>
  </w:style>
  <w:style w:type="paragraph" w:customStyle="1" w:styleId="AfzendgegevensKop0">
    <w:name w:val="Afzendgegevens_Kop"/>
    <w:basedOn w:val="Afzendgegevens"/>
    <w:next w:val="Normal"/>
    <w:rPr>
      <w:b/>
    </w:rPr>
  </w:style>
  <w:style w:type="paragraph" w:customStyle="1" w:styleId="Algemenevoorwaarden">
    <w:name w:val="Algemene voorwaarden"/>
    <w:next w:val="Normal"/>
    <w:pPr>
      <w:spacing w:line="180" w:lineRule="exact"/>
    </w:pPr>
    <w:rPr>
      <w:rFonts w:ascii="Verdana" w:hAnsi="Verdana"/>
      <w:i/>
      <w:color w:val="000000"/>
      <w:sz w:val="13"/>
      <w:szCs w:val="13"/>
    </w:rPr>
  </w:style>
  <w:style w:type="table" w:customStyle="1" w:styleId="DPTabel">
    <w:name w:val="DP Tabel"/>
    <w:rPr>
      <w:rFonts w:ascii="Verdana" w:hAnsi="Verdana"/>
      <w:color w:val="000000"/>
      <w:sz w:val="18"/>
      <w:szCs w:val="18"/>
      <w:lang w:val="en-GB" w:eastAsia="en-GB"/>
    </w:rPr>
    <w:tblPr>
      <w:tblCellMar>
        <w:top w:w="0" w:type="dxa"/>
        <w:left w:w="0" w:type="dxa"/>
        <w:bottom w:w="0" w:type="dxa"/>
        <w:right w:w="0" w:type="dxa"/>
      </w:tblCellMar>
    </w:tblPr>
    <w:tblStylePr w:type="firstRow">
      <w:pPr>
        <w:jc w:val="left"/>
      </w:pPr>
    </w:tblStylePr>
    <w:tblStylePr w:type="lastRow">
      <w:rPr>
        <w:rFonts w:ascii="Verdana" w:hAnsi="Verdana"/>
        <w:sz w:val="18"/>
        <w:szCs w:val="18"/>
      </w:rPr>
    </w:tblStylePr>
    <w:tblStylePr w:type="firstCol">
      <w:pPr>
        <w:jc w:val="left"/>
      </w:pPr>
      <w:rPr>
        <w:rFonts w:ascii="Verdana" w:hAnsi="Verdana"/>
        <w:sz w:val="18"/>
        <w:szCs w:val="18"/>
      </w:rPr>
    </w:tblStylePr>
    <w:tblStylePr w:type="lastCol">
      <w:pPr>
        <w:jc w:val="right"/>
      </w:pPr>
    </w:tblStylePr>
  </w:style>
  <w:style w:type="paragraph" w:customStyle="1" w:styleId="DPstandaardopsomming">
    <w:name w:val="DP standaard opsomming"/>
    <w:basedOn w:val="Normal"/>
    <w:next w:val="Normal"/>
    <w:pPr>
      <w:numPr>
        <w:numId w:val="4"/>
      </w:numPr>
      <w:spacing w:line="240" w:lineRule="exact"/>
    </w:pPr>
  </w:style>
  <w:style w:type="paragraph" w:customStyle="1" w:styleId="DPstandaardopsomming2">
    <w:name w:val="DP standaard opsomming 2"/>
    <w:basedOn w:val="Normal"/>
    <w:next w:val="Normal"/>
    <w:pPr>
      <w:numPr>
        <w:ilvl w:val="1"/>
        <w:numId w:val="4"/>
      </w:numPr>
      <w:spacing w:line="240" w:lineRule="exact"/>
    </w:pPr>
  </w:style>
  <w:style w:type="table" w:customStyle="1" w:styleId="DPtabelbrief11">
    <w:name w:val="DP tabel brief 11"/>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72" w:type="dxa"/>
        <w:left w:w="140" w:type="dxa"/>
        <w:bottom w:w="72" w:type="dxa"/>
        <w:right w:w="140" w:type="dxa"/>
      </w:tblCellMar>
    </w:tblPr>
  </w:style>
  <w:style w:type="numbering" w:customStyle="1" w:styleId="Genummerdelijst">
    <w:name w:val="Genummerde lijst"/>
    <w:pPr>
      <w:numPr>
        <w:numId w:val="5"/>
      </w:numPr>
    </w:pPr>
  </w:style>
  <w:style w:type="paragraph" w:customStyle="1" w:styleId="HBJZ-AandeKoning">
    <w:name w:val="HBJZ - Aan de Koning"/>
    <w:basedOn w:val="Normal"/>
    <w:next w:val="Normal"/>
    <w:pPr>
      <w:spacing w:line="320" w:lineRule="exact"/>
    </w:pPr>
    <w:rPr>
      <w:b/>
      <w:sz w:val="32"/>
      <w:szCs w:val="32"/>
    </w:rPr>
  </w:style>
  <w:style w:type="paragraph" w:customStyle="1" w:styleId="HBJZ-BegeleidendMemoWitruimte1">
    <w:name w:val="HBJZ - Begeleidend Memo Witruimte 1"/>
    <w:basedOn w:val="Normal"/>
    <w:next w:val="Normal"/>
    <w:pPr>
      <w:spacing w:line="932" w:lineRule="exact"/>
    </w:pPr>
  </w:style>
  <w:style w:type="paragraph" w:customStyle="1" w:styleId="HBJZ-BegeleidendMemon10">
    <w:name w:val="HBJZ - Begeleidend Memo n10"/>
    <w:basedOn w:val="Normal"/>
    <w:next w:val="Normal"/>
    <w:pPr>
      <w:spacing w:after="200" w:line="276" w:lineRule="exact"/>
    </w:pPr>
  </w:style>
  <w:style w:type="paragraph" w:customStyle="1" w:styleId="HBJZ-Kamerstukken-Kamerstuk">
    <w:name w:val="HBJZ - Kamerstukken - Kamerstuk"/>
    <w:basedOn w:val="Normal"/>
    <w:next w:val="Normal"/>
    <w:pPr>
      <w:spacing w:after="780" w:line="276" w:lineRule="exact"/>
    </w:pPr>
    <w:rPr>
      <w:b/>
    </w:rPr>
  </w:style>
  <w:style w:type="paragraph" w:customStyle="1" w:styleId="HBJZ-Kamerstukken-na39ra138">
    <w:name w:val="HBJZ - Kamerstukken - na 39 ra 13.8"/>
    <w:basedOn w:val="Normal"/>
    <w:next w:val="Normal"/>
    <w:pPr>
      <w:spacing w:after="780" w:line="276" w:lineRule="exact"/>
    </w:pPr>
  </w:style>
  <w:style w:type="paragraph" w:customStyle="1" w:styleId="HBJZ-Kamerstukken-regelafstand138">
    <w:name w:val="HBJZ - Kamerstukken - regelafstand 13.8"/>
    <w:basedOn w:val="Normal"/>
    <w:next w:val="Normal"/>
    <w:pPr>
      <w:spacing w:line="276" w:lineRule="exact"/>
    </w:pPr>
  </w:style>
  <w:style w:type="paragraph" w:customStyle="1" w:styleId="HBJZ-NahangbriefaanParlement">
    <w:name w:val="HBJZ - Nahang (brief aan Parlement)"/>
    <w:basedOn w:val="Normal"/>
    <w:next w:val="Normal"/>
    <w:pPr>
      <w:spacing w:before="100" w:after="240" w:line="240" w:lineRule="exact"/>
    </w:pPr>
  </w:style>
  <w:style w:type="paragraph" w:customStyle="1" w:styleId="HBJZ-Voordrachtv12n0r12">
    <w:name w:val="HBJZ - Voordracht v12 n0 r12"/>
    <w:basedOn w:val="Normal"/>
    <w:next w:val="Normal"/>
    <w:pPr>
      <w:spacing w:before="240" w:line="240" w:lineRule="exact"/>
    </w:pPr>
  </w:style>
  <w:style w:type="paragraph" w:customStyle="1" w:styleId="Huisstijl-Bijlage">
    <w:name w:val="Huisstijl - Bijlage"/>
    <w:basedOn w:val="Normal"/>
    <w:next w:val="Normal"/>
    <w:pPr>
      <w:numPr>
        <w:numId w:val="6"/>
      </w:numPr>
      <w:tabs>
        <w:tab w:val="left" w:pos="0"/>
      </w:tabs>
      <w:spacing w:after="740" w:line="240" w:lineRule="exact"/>
      <w:ind w:left="-1420" w:firstLine="0"/>
    </w:pPr>
    <w:rPr>
      <w:sz w:val="24"/>
      <w:szCs w:val="24"/>
    </w:rPr>
  </w:style>
  <w:style w:type="paragraph" w:customStyle="1" w:styleId="Huisstijl-Bijlagezletter">
    <w:name w:val="Huisstijl - Bijlage z. letter"/>
    <w:basedOn w:val="Normal"/>
    <w:next w:val="Normal"/>
    <w:pPr>
      <w:numPr>
        <w:ilvl w:val="1"/>
        <w:numId w:val="9"/>
      </w:numPr>
      <w:tabs>
        <w:tab w:val="left" w:pos="0"/>
      </w:tabs>
      <w:spacing w:after="740" w:line="240" w:lineRule="exact"/>
      <w:ind w:firstLine="0"/>
    </w:pPr>
    <w:rPr>
      <w:sz w:val="24"/>
      <w:szCs w:val="24"/>
    </w:rPr>
  </w:style>
  <w:style w:type="paragraph" w:customStyle="1" w:styleId="Huisstijl-Bijschrift">
    <w:name w:val="Huisstijl - Bijschrift"/>
    <w:basedOn w:val="Normal"/>
    <w:next w:val="Normal"/>
    <w:pPr>
      <w:spacing w:after="720" w:line="300" w:lineRule="exact"/>
    </w:pPr>
    <w:rPr>
      <w:sz w:val="14"/>
      <w:szCs w:val="14"/>
    </w:rPr>
  </w:style>
  <w:style w:type="paragraph" w:customStyle="1" w:styleId="Huisstijl-Colofon">
    <w:name w:val="Huisstijl - Colofon"/>
    <w:basedOn w:val="Normal"/>
    <w:next w:val="Normal"/>
    <w:pPr>
      <w:numPr>
        <w:numId w:val="9"/>
      </w:numPr>
      <w:tabs>
        <w:tab w:val="left" w:pos="0"/>
      </w:tabs>
      <w:spacing w:after="720" w:line="300" w:lineRule="exact"/>
      <w:ind w:left="-1120"/>
    </w:pPr>
    <w:rPr>
      <w:sz w:val="24"/>
      <w:szCs w:val="24"/>
    </w:rPr>
  </w:style>
  <w:style w:type="paragraph" w:customStyle="1" w:styleId="Huisstijl-Extrasubtitel">
    <w:name w:val="Huisstijl - Extra subtitel"/>
    <w:basedOn w:val="Normal"/>
    <w:next w:val="Normal"/>
    <w:pPr>
      <w:spacing w:before="60" w:after="300" w:line="240" w:lineRule="exact"/>
    </w:pPr>
    <w:rPr>
      <w:sz w:val="20"/>
      <w:szCs w:val="20"/>
    </w:rPr>
  </w:style>
  <w:style w:type="paragraph" w:customStyle="1" w:styleId="Huisstijl-Kader">
    <w:name w:val="Huisstijl - Kader"/>
    <w:basedOn w:val="Normal"/>
    <w:next w:val="Normal"/>
    <w:pPr>
      <w:spacing w:line="240" w:lineRule="exact"/>
    </w:pPr>
  </w:style>
  <w:style w:type="paragraph" w:customStyle="1" w:styleId="Huisstijl-KaderTussenkop">
    <w:name w:val="Huisstijl - Kader Tussenkop"/>
    <w:basedOn w:val="Normal"/>
    <w:next w:val="Normal"/>
    <w:pPr>
      <w:spacing w:line="240" w:lineRule="exact"/>
    </w:pPr>
    <w:rPr>
      <w:i/>
    </w:rPr>
  </w:style>
  <w:style w:type="paragraph" w:customStyle="1" w:styleId="Huisstijl-Kop1">
    <w:name w:val="Huisstijl - Kop 1"/>
    <w:basedOn w:val="Normal"/>
    <w:next w:val="Normal"/>
    <w:pPr>
      <w:numPr>
        <w:numId w:val="7"/>
      </w:numPr>
      <w:tabs>
        <w:tab w:val="left" w:pos="0"/>
      </w:tabs>
      <w:spacing w:after="720" w:line="300" w:lineRule="exact"/>
      <w:ind w:left="-1120"/>
      <w:outlineLvl w:val="0"/>
    </w:pPr>
    <w:rPr>
      <w:sz w:val="24"/>
      <w:szCs w:val="24"/>
    </w:rPr>
  </w:style>
  <w:style w:type="paragraph" w:customStyle="1" w:styleId="Huisstijl-Kop2">
    <w:name w:val="Huisstijl - Kop 2"/>
    <w:basedOn w:val="Normal"/>
    <w:next w:val="Normal"/>
    <w:pPr>
      <w:numPr>
        <w:ilvl w:val="1"/>
        <w:numId w:val="7"/>
      </w:numPr>
      <w:tabs>
        <w:tab w:val="left" w:pos="0"/>
      </w:tabs>
      <w:spacing w:before="240"/>
      <w:ind w:left="-1120"/>
      <w:outlineLvl w:val="1"/>
    </w:pPr>
    <w:rPr>
      <w:b/>
    </w:rPr>
  </w:style>
  <w:style w:type="paragraph" w:customStyle="1" w:styleId="Huisstijl-Kop3">
    <w:name w:val="Huisstijl - Kop 3"/>
    <w:basedOn w:val="Normal"/>
    <w:next w:val="Normal"/>
    <w:pPr>
      <w:numPr>
        <w:ilvl w:val="2"/>
        <w:numId w:val="7"/>
      </w:numPr>
      <w:tabs>
        <w:tab w:val="left" w:pos="0"/>
      </w:tabs>
      <w:spacing w:before="240"/>
      <w:ind w:left="-1120"/>
      <w:outlineLvl w:val="2"/>
    </w:pPr>
    <w:rPr>
      <w:i/>
    </w:rPr>
  </w:style>
  <w:style w:type="paragraph" w:customStyle="1" w:styleId="Huisstijl-Kop4">
    <w:name w:val="Huisstijl - Kop 4"/>
    <w:basedOn w:val="Normal"/>
    <w:next w:val="Normal"/>
    <w:pPr>
      <w:numPr>
        <w:ilvl w:val="3"/>
        <w:numId w:val="7"/>
      </w:numPr>
      <w:tabs>
        <w:tab w:val="left" w:pos="0"/>
      </w:tabs>
      <w:spacing w:before="240"/>
      <w:ind w:left="-1120"/>
      <w:outlineLvl w:val="3"/>
    </w:pPr>
  </w:style>
  <w:style w:type="paragraph" w:customStyle="1" w:styleId="Huisstijl-Kopznr1">
    <w:name w:val="Huisstijl - Kop z.nr 1"/>
    <w:basedOn w:val="Normal"/>
    <w:next w:val="Normal"/>
    <w:pPr>
      <w:numPr>
        <w:numId w:val="8"/>
      </w:numPr>
      <w:tabs>
        <w:tab w:val="left" w:pos="0"/>
      </w:tabs>
      <w:spacing w:after="720" w:line="300" w:lineRule="exact"/>
      <w:ind w:left="-1120"/>
      <w:outlineLvl w:val="0"/>
    </w:pPr>
    <w:rPr>
      <w:sz w:val="24"/>
      <w:szCs w:val="24"/>
    </w:rPr>
  </w:style>
  <w:style w:type="paragraph" w:customStyle="1" w:styleId="Huisstijl-Kopznr2">
    <w:name w:val="Huisstijl - Kop z.nr 2"/>
    <w:basedOn w:val="Normal"/>
    <w:next w:val="Normal"/>
    <w:pPr>
      <w:numPr>
        <w:ilvl w:val="1"/>
        <w:numId w:val="8"/>
      </w:numPr>
      <w:tabs>
        <w:tab w:val="left" w:pos="0"/>
      </w:tabs>
      <w:spacing w:before="240"/>
      <w:ind w:left="-1120"/>
      <w:outlineLvl w:val="1"/>
    </w:pPr>
    <w:rPr>
      <w:b/>
    </w:rPr>
  </w:style>
  <w:style w:type="paragraph" w:customStyle="1" w:styleId="Huisstijl-Kopznr3">
    <w:name w:val="Huisstijl - Kop z.nr 3"/>
    <w:basedOn w:val="Normal"/>
    <w:next w:val="Normal"/>
    <w:pPr>
      <w:numPr>
        <w:ilvl w:val="2"/>
        <w:numId w:val="8"/>
      </w:numPr>
      <w:tabs>
        <w:tab w:val="left" w:pos="0"/>
      </w:tabs>
      <w:spacing w:before="240"/>
      <w:ind w:left="-1120"/>
      <w:outlineLvl w:val="2"/>
    </w:pPr>
    <w:rPr>
      <w:i/>
    </w:rPr>
  </w:style>
  <w:style w:type="paragraph" w:customStyle="1" w:styleId="Huisstijl-Kopznr4">
    <w:name w:val="Huisstijl - Kop z.nr 4"/>
    <w:basedOn w:val="Normal"/>
    <w:next w:val="Normal"/>
    <w:pPr>
      <w:numPr>
        <w:ilvl w:val="3"/>
        <w:numId w:val="8"/>
      </w:numPr>
      <w:tabs>
        <w:tab w:val="left" w:pos="0"/>
      </w:tabs>
      <w:spacing w:before="240"/>
      <w:ind w:left="-1120"/>
      <w:outlineLvl w:val="3"/>
    </w:pPr>
  </w:style>
  <w:style w:type="paragraph" w:customStyle="1" w:styleId="Huisstijl-Opsommingzinspringing">
    <w:name w:val="Huisstijl - Opsomming z.inspringing"/>
    <w:basedOn w:val="Normal"/>
    <w:next w:val="Normal"/>
    <w:pPr>
      <w:spacing w:line="240" w:lineRule="exact"/>
    </w:pPr>
  </w:style>
  <w:style w:type="paragraph" w:customStyle="1" w:styleId="Huisstijl-Subtitel">
    <w:name w:val="Huisstijl - Subtitel"/>
    <w:basedOn w:val="Normal"/>
    <w:next w:val="Normal"/>
    <w:pPr>
      <w:spacing w:before="240" w:after="360" w:line="240" w:lineRule="exact"/>
    </w:pPr>
    <w:rPr>
      <w:sz w:val="20"/>
      <w:szCs w:val="20"/>
    </w:rPr>
  </w:style>
  <w:style w:type="paragraph" w:customStyle="1" w:styleId="Huisstijl-Tabeltekst">
    <w:name w:val="Huisstijl - Tabeltekst"/>
    <w:basedOn w:val="Normal"/>
    <w:next w:val="Normal"/>
    <w:pPr>
      <w:spacing w:line="200" w:lineRule="exact"/>
    </w:pPr>
    <w:rPr>
      <w:sz w:val="16"/>
      <w:szCs w:val="16"/>
    </w:rPr>
  </w:style>
  <w:style w:type="paragraph" w:customStyle="1" w:styleId="Huisstijl-TitelDocumentnaam">
    <w:name w:val="Huisstijl - Titel/Documentnaam"/>
    <w:basedOn w:val="Normal"/>
    <w:next w:val="Normal"/>
    <w:pPr>
      <w:spacing w:before="60" w:after="320" w:line="240" w:lineRule="exact"/>
    </w:pPr>
    <w:rPr>
      <w:b/>
      <w:sz w:val="24"/>
      <w:szCs w:val="24"/>
    </w:rPr>
  </w:style>
  <w:style w:type="paragraph" w:customStyle="1" w:styleId="Huisstijl-Tussenkop">
    <w:name w:val="Huisstijl - Tussenkop"/>
    <w:basedOn w:val="Normal"/>
    <w:next w:val="Normal"/>
    <w:pPr>
      <w:spacing w:line="240" w:lineRule="exact"/>
    </w:pPr>
    <w:rPr>
      <w:i/>
    </w:rPr>
  </w:style>
  <w:style w:type="paragraph" w:customStyle="1" w:styleId="Huisstijl-Versie">
    <w:name w:val="Huisstijl - Versie"/>
    <w:basedOn w:val="Normal"/>
    <w:next w:val="Normal"/>
    <w:pPr>
      <w:spacing w:before="60" w:after="360" w:line="240" w:lineRule="exact"/>
    </w:pPr>
  </w:style>
  <w:style w:type="paragraph" w:customStyle="1" w:styleId="ILT-50standaardmetwitruimte">
    <w:name w:val="ILT - 50 standaard met witruimte"/>
    <w:basedOn w:val="Normal"/>
    <w:next w:val="Normal"/>
    <w:pPr>
      <w:spacing w:after="20" w:line="260" w:lineRule="exact"/>
    </w:pPr>
  </w:style>
  <w:style w:type="paragraph" w:customStyle="1" w:styleId="ILT102">
    <w:name w:val="ILT 102"/>
    <w:basedOn w:val="Normal"/>
    <w:next w:val="Normal"/>
    <w:pPr>
      <w:spacing w:before="20" w:after="80" w:line="280" w:lineRule="exact"/>
    </w:pPr>
  </w:style>
  <w:style w:type="paragraph" w:customStyle="1" w:styleId="ILT103DwangbevelKop">
    <w:name w:val="ILT 103 Dwangbevel Kop"/>
    <w:basedOn w:val="Normal"/>
    <w:next w:val="Normal"/>
    <w:pPr>
      <w:spacing w:line="360" w:lineRule="exact"/>
    </w:pPr>
    <w:rPr>
      <w:sz w:val="36"/>
      <w:szCs w:val="36"/>
    </w:rPr>
  </w:style>
  <w:style w:type="paragraph" w:customStyle="1" w:styleId="ILTBoeterapportondertekening">
    <w:name w:val="ILT Boeterapport ondertekening"/>
    <w:basedOn w:val="Normal"/>
    <w:next w:val="Normal"/>
    <w:pPr>
      <w:spacing w:before="960" w:line="240" w:lineRule="exact"/>
    </w:pPr>
  </w:style>
  <w:style w:type="paragraph" w:customStyle="1" w:styleId="ILTOpsomming">
    <w:name w:val="ILT Opsomming"/>
    <w:basedOn w:val="Normal"/>
    <w:next w:val="Normal"/>
    <w:pPr>
      <w:numPr>
        <w:numId w:val="10"/>
      </w:numPr>
      <w:spacing w:line="240" w:lineRule="exact"/>
    </w:pPr>
  </w:style>
  <w:style w:type="paragraph" w:customStyle="1" w:styleId="ILTOpsomming15">
    <w:name w:val="ILT Opsomming 1.5"/>
    <w:basedOn w:val="Normal"/>
    <w:next w:val="Normal"/>
    <w:pPr>
      <w:numPr>
        <w:ilvl w:val="1"/>
        <w:numId w:val="10"/>
      </w:numPr>
      <w:spacing w:line="300" w:lineRule="exact"/>
    </w:pPr>
  </w:style>
  <w:style w:type="paragraph" w:customStyle="1" w:styleId="ILTOpsommingbullet">
    <w:name w:val="ILT Opsomming bullet"/>
    <w:basedOn w:val="Normal"/>
    <w:next w:val="Normal"/>
    <w:pPr>
      <w:numPr>
        <w:ilvl w:val="2"/>
        <w:numId w:val="10"/>
      </w:numPr>
      <w:spacing w:line="300" w:lineRule="exact"/>
    </w:pPr>
  </w:style>
  <w:style w:type="paragraph" w:customStyle="1" w:styleId="ILTRapport-je">
    <w:name w:val="ILT Rapport - je"/>
    <w:basedOn w:val="Normal"/>
    <w:next w:val="Normal"/>
    <w:pPr>
      <w:numPr>
        <w:ilvl w:val="1"/>
        <w:numId w:val="11"/>
      </w:numPr>
      <w:spacing w:after="120" w:line="240" w:lineRule="exact"/>
    </w:pPr>
  </w:style>
  <w:style w:type="paragraph" w:customStyle="1" w:styleId="ILTRapport16a">
    <w:name w:val="ILT Rapport 16a"/>
    <w:basedOn w:val="Normal"/>
    <w:next w:val="Normal"/>
    <w:pPr>
      <w:spacing w:before="60" w:after="60" w:line="240" w:lineRule="exact"/>
    </w:pPr>
  </w:style>
  <w:style w:type="paragraph" w:customStyle="1" w:styleId="ILTRapport16aIV9V12N0">
    <w:name w:val="ILT Rapport 16a I V9 V12 N0"/>
    <w:basedOn w:val="Normal"/>
    <w:next w:val="Normal"/>
    <w:pPr>
      <w:spacing w:before="240" w:line="240" w:lineRule="exact"/>
    </w:pPr>
    <w:rPr>
      <w:i/>
    </w:rPr>
  </w:style>
  <w:style w:type="paragraph" w:customStyle="1" w:styleId="ILTRapport16aKopV12V0n18">
    <w:name w:val="ILT Rapport 16a Kop V12 V0 n18"/>
    <w:basedOn w:val="Normal"/>
    <w:next w:val="Normal"/>
    <w:pPr>
      <w:spacing w:after="360" w:line="300" w:lineRule="exact"/>
    </w:pPr>
    <w:rPr>
      <w:sz w:val="24"/>
      <w:szCs w:val="24"/>
    </w:rPr>
  </w:style>
  <w:style w:type="paragraph" w:customStyle="1" w:styleId="ILTRapport16aStandaard">
    <w:name w:val="ILT Rapport 16a Standaard"/>
    <w:basedOn w:val="Normal"/>
    <w:next w:val="Normal"/>
    <w:pPr>
      <w:spacing w:after="120" w:line="240" w:lineRule="exact"/>
    </w:pPr>
  </w:style>
  <w:style w:type="table" w:customStyle="1" w:styleId="ILTRapport16aTabel2">
    <w:name w:val="ILT Rapport 16a Tabel2"/>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0" w:type="dxa"/>
      </w:tblCellMar>
    </w:tblPr>
  </w:style>
  <w:style w:type="table" w:customStyle="1" w:styleId="ILTRapport16aTabelstijl">
    <w:name w:val="ILT Rapport 16a Tabelstijl"/>
    <w:rPr>
      <w:sz w:val="16"/>
      <w:szCs w:val="16"/>
    </w:rPr>
    <w:tblPr>
      <w:tblCellMar>
        <w:top w:w="20" w:type="dxa"/>
        <w:left w:w="0" w:type="dxa"/>
        <w:bottom w:w="20" w:type="dxa"/>
        <w:right w:w="0" w:type="dxa"/>
      </w:tblCellMar>
    </w:tblPr>
  </w:style>
  <w:style w:type="paragraph" w:customStyle="1" w:styleId="ILTRapport16aV103v15n">
    <w:name w:val="ILT Rapport 16a V10 3v 15n"/>
    <w:basedOn w:val="Normal"/>
    <w:next w:val="Normal"/>
    <w:pPr>
      <w:spacing w:before="60" w:after="300" w:line="240" w:lineRule="exact"/>
    </w:pPr>
    <w:rPr>
      <w:sz w:val="20"/>
      <w:szCs w:val="20"/>
    </w:rPr>
  </w:style>
  <w:style w:type="paragraph" w:customStyle="1" w:styleId="ILTRapport16aV9V12n0">
    <w:name w:val="ILT Rapport 16a V9 V12 n0"/>
    <w:basedOn w:val="Normal"/>
    <w:next w:val="Normal"/>
    <w:pPr>
      <w:spacing w:before="240" w:line="240" w:lineRule="exact"/>
    </w:pPr>
    <w:rPr>
      <w:b/>
    </w:rPr>
  </w:style>
  <w:style w:type="paragraph" w:customStyle="1" w:styleId="ILTRapportTitelV12B3v16n">
    <w:name w:val="ILT Rapport Titel V12 B 3v 16n"/>
    <w:basedOn w:val="Normal"/>
    <w:next w:val="Normal"/>
    <w:pPr>
      <w:spacing w:before="60" w:after="320" w:line="240" w:lineRule="exact"/>
    </w:pPr>
    <w:rPr>
      <w:b/>
      <w:sz w:val="24"/>
      <w:szCs w:val="24"/>
    </w:rPr>
  </w:style>
  <w:style w:type="paragraph" w:customStyle="1" w:styleId="ILTRapportnummerniv1">
    <w:name w:val="ILT Rapport nummer niv 1"/>
    <w:basedOn w:val="Normal"/>
    <w:next w:val="Normal"/>
    <w:pPr>
      <w:numPr>
        <w:numId w:val="11"/>
      </w:numPr>
      <w:spacing w:after="720" w:line="300" w:lineRule="exact"/>
    </w:pPr>
    <w:rPr>
      <w:sz w:val="24"/>
      <w:szCs w:val="24"/>
    </w:rPr>
  </w:style>
  <w:style w:type="paragraph" w:customStyle="1" w:styleId="ILTStandaard6voor">
    <w:name w:val="ILT Standaard 6 voor"/>
    <w:basedOn w:val="Normal"/>
    <w:next w:val="Normal"/>
    <w:pPr>
      <w:spacing w:before="120" w:line="240" w:lineRule="exact"/>
    </w:pPr>
  </w:style>
  <w:style w:type="paragraph" w:customStyle="1" w:styleId="ILTStandaardVerdana9Regel15">
    <w:name w:val="ILT Standaard Verdana 9 Regel 1.5"/>
    <w:basedOn w:val="Normal"/>
    <w:next w:val="Normal"/>
    <w:pPr>
      <w:spacing w:before="20" w:after="80" w:line="300" w:lineRule="exact"/>
    </w:pPr>
  </w:style>
  <w:style w:type="paragraph" w:customStyle="1" w:styleId="ILTStandaardVerdana9Regel15cursief">
    <w:name w:val="ILT Standaard Verdana 9 Regel 1.5 cursief"/>
    <w:basedOn w:val="Normal"/>
    <w:next w:val="Normal"/>
    <w:pPr>
      <w:spacing w:before="20" w:after="80" w:line="300" w:lineRule="exact"/>
    </w:pPr>
    <w:rPr>
      <w:i/>
    </w:rPr>
  </w:style>
  <w:style w:type="paragraph" w:customStyle="1" w:styleId="ILTStandaardVerdana9Regel15vet">
    <w:name w:val="ILT Standaard Verdana 9 Regel 1.5 vet"/>
    <w:basedOn w:val="ILTStandaardVerdana9Regel15"/>
    <w:next w:val="Normal"/>
    <w:rPr>
      <w:b/>
    </w:rPr>
  </w:style>
  <w:style w:type="paragraph" w:styleId="TOC1">
    <w:name w:val="toc 1"/>
    <w:basedOn w:val="Normal"/>
    <w:next w:val="Normal"/>
    <w:pPr>
      <w:tabs>
        <w:tab w:val="left" w:pos="0"/>
      </w:tabs>
      <w:spacing w:before="240" w:line="240" w:lineRule="exact"/>
      <w:ind w:left="-1120"/>
    </w:pPr>
    <w:rPr>
      <w:b/>
    </w:rPr>
  </w:style>
  <w:style w:type="paragraph" w:styleId="TOC2">
    <w:name w:val="toc 2"/>
    <w:basedOn w:val="TOC1"/>
    <w:next w:val="Normal"/>
    <w:pPr>
      <w:spacing w:before="0"/>
    </w:pPr>
    <w:rPr>
      <w:b w:val="0"/>
    </w:rPr>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pPr>
      <w:ind w:left="-1133"/>
    </w:pPr>
    <w:rPr>
      <w:sz w:val="20"/>
      <w:szCs w:val="20"/>
    </w:rPr>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pPr>
      <w:spacing w:before="240"/>
      <w:ind w:left="-1120"/>
    </w:pPr>
    <w:rPr>
      <w:sz w:val="18"/>
      <w:szCs w:val="18"/>
    </w:rPr>
  </w:style>
  <w:style w:type="numbering" w:customStyle="1" w:styleId="Lijstmetopsommingstekens">
    <w:name w:val="Lijst met opsommingstekens"/>
    <w:pPr>
      <w:numPr>
        <w:numId w:val="12"/>
      </w:numPr>
    </w:pPr>
  </w:style>
  <w:style w:type="paragraph" w:customStyle="1" w:styleId="Merking">
    <w:name w:val="Merking"/>
    <w:basedOn w:val="Normal"/>
    <w:next w:val="Normal"/>
    <w:pPr>
      <w:spacing w:line="240" w:lineRule="exact"/>
    </w:pPr>
    <w:rPr>
      <w:b/>
      <w:caps/>
      <w:sz w:val="13"/>
      <w:szCs w:val="13"/>
      <w:u w:val="single"/>
    </w:rPr>
  </w:style>
  <w:style w:type="paragraph" w:customStyle="1" w:styleId="NEARapportkoppen">
    <w:name w:val="NEA Rapport koppen"/>
    <w:basedOn w:val="Normal"/>
    <w:next w:val="Normal"/>
    <w:pPr>
      <w:spacing w:after="720" w:line="300" w:lineRule="exact"/>
    </w:pPr>
    <w:rPr>
      <w:sz w:val="24"/>
      <w:szCs w:val="24"/>
    </w:rPr>
  </w:style>
  <w:style w:type="paragraph" w:customStyle="1" w:styleId="NEaAanhef">
    <w:name w:val="NEa Aanhef"/>
    <w:basedOn w:val="NEaStandaard"/>
    <w:pPr>
      <w:spacing w:after="240"/>
    </w:pPr>
    <w:rPr>
      <w:rFonts w:ascii="Verdana" w:hAnsi="Verdana"/>
      <w:sz w:val="18"/>
      <w:szCs w:val="18"/>
    </w:rPr>
  </w:style>
  <w:style w:type="paragraph" w:customStyle="1" w:styleId="NEaAfzendgegevens">
    <w:name w:val="NEa Afzendgegevens"/>
    <w:basedOn w:val="NEaStandaard"/>
    <w:pPr>
      <w:spacing w:line="248" w:lineRule="exact"/>
      <w:jc w:val="right"/>
    </w:pPr>
    <w:rPr>
      <w:rFonts w:ascii="Verdana" w:hAnsi="Verdana"/>
      <w:sz w:val="13"/>
      <w:szCs w:val="13"/>
    </w:rPr>
  </w:style>
  <w:style w:type="paragraph" w:customStyle="1" w:styleId="NEaAfzendgegevensVet">
    <w:name w:val="NEa Afzendgegevens Vet"/>
    <w:basedOn w:val="NEaStandaard"/>
    <w:pPr>
      <w:spacing w:line="248" w:lineRule="exact"/>
      <w:jc w:val="right"/>
    </w:pPr>
    <w:rPr>
      <w:rFonts w:ascii="Verdana" w:hAnsi="Verdana"/>
      <w:b/>
      <w:sz w:val="13"/>
      <w:szCs w:val="13"/>
    </w:rPr>
  </w:style>
  <w:style w:type="paragraph" w:customStyle="1" w:styleId="NEaDocumentnaam">
    <w:name w:val="NEa Documentnaam"/>
    <w:pPr>
      <w:spacing w:line="1066" w:lineRule="exact"/>
      <w:jc w:val="right"/>
    </w:pPr>
    <w:rPr>
      <w:rFonts w:ascii="Verdana" w:hAnsi="Verdana"/>
      <w:color w:val="000000"/>
      <w:sz w:val="80"/>
      <w:szCs w:val="80"/>
    </w:rPr>
  </w:style>
  <w:style w:type="paragraph" w:customStyle="1" w:styleId="NEaDocumentnaamArchiefkopie">
    <w:name w:val="NEa Documentnaam Archiefkopie"/>
    <w:basedOn w:val="NEaDocumentnaam"/>
    <w:rPr>
      <w:color w:val="BFBFBF"/>
    </w:rPr>
  </w:style>
  <w:style w:type="paragraph" w:customStyle="1" w:styleId="NEaDocumentnaamsub">
    <w:name w:val="NEa Documentnaam sub"/>
    <w:pPr>
      <w:spacing w:line="360" w:lineRule="exact"/>
      <w:jc w:val="right"/>
    </w:pPr>
    <w:rPr>
      <w:rFonts w:ascii="Verdana" w:hAnsi="Verdana"/>
      <w:color w:val="000000"/>
      <w:sz w:val="36"/>
      <w:szCs w:val="36"/>
    </w:rPr>
  </w:style>
  <w:style w:type="paragraph" w:customStyle="1" w:styleId="NEaMemoDocumentnaam">
    <w:name w:val="NEa Memo Documentnaam"/>
    <w:pPr>
      <w:spacing w:line="853" w:lineRule="exact"/>
    </w:pPr>
    <w:rPr>
      <w:rFonts w:ascii="Verdana" w:hAnsi="Verdana"/>
      <w:color w:val="000000"/>
      <w:sz w:val="64"/>
      <w:szCs w:val="64"/>
    </w:rPr>
  </w:style>
  <w:style w:type="paragraph" w:customStyle="1" w:styleId="NEaMemobestuurDocumentnaam">
    <w:name w:val="NEa Memo bestuur Documentnaam"/>
    <w:basedOn w:val="Normal"/>
    <w:next w:val="Normal"/>
    <w:pPr>
      <w:spacing w:before="360" w:line="640" w:lineRule="exact"/>
    </w:pPr>
    <w:rPr>
      <w:sz w:val="64"/>
      <w:szCs w:val="64"/>
    </w:rPr>
  </w:style>
  <w:style w:type="table" w:customStyle="1" w:styleId="NEaMemotabel">
    <w:name w:val="NEa Memo tabel"/>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NEaOpsommingstekst">
    <w:name w:val="NEa Opsommingstekst"/>
    <w:basedOn w:val="NEaStandaard"/>
    <w:pPr>
      <w:numPr>
        <w:numId w:val="13"/>
      </w:numPr>
    </w:pPr>
    <w:rPr>
      <w:rFonts w:ascii="Verdana" w:hAnsi="Verdana"/>
      <w:sz w:val="18"/>
      <w:szCs w:val="18"/>
    </w:rPr>
  </w:style>
  <w:style w:type="paragraph" w:customStyle="1" w:styleId="NEaPaginanummering">
    <w:name w:val="NEa Paginanummering"/>
    <w:basedOn w:val="NEaStandaard"/>
    <w:pPr>
      <w:jc w:val="right"/>
    </w:pPr>
    <w:rPr>
      <w:rFonts w:ascii="Verdana" w:hAnsi="Verdana"/>
      <w:sz w:val="18"/>
      <w:szCs w:val="18"/>
    </w:rPr>
  </w:style>
  <w:style w:type="paragraph" w:customStyle="1" w:styleId="NEaPaginanummeringhuidig">
    <w:name w:val="NEa Paginanummering huidig"/>
    <w:basedOn w:val="NEaVerdana65"/>
    <w:pPr>
      <w:spacing w:line="240" w:lineRule="exact"/>
      <w:jc w:val="right"/>
    </w:pPr>
    <w:rPr>
      <w:sz w:val="18"/>
      <w:szCs w:val="18"/>
    </w:rPr>
  </w:style>
  <w:style w:type="paragraph" w:customStyle="1" w:styleId="NEaSlotzin">
    <w:name w:val="NEa Slotzin"/>
    <w:basedOn w:val="NEaStandaard"/>
    <w:pPr>
      <w:spacing w:before="240"/>
    </w:pPr>
    <w:rPr>
      <w:rFonts w:ascii="Verdana" w:hAnsi="Verdana"/>
      <w:sz w:val="18"/>
      <w:szCs w:val="18"/>
    </w:rPr>
  </w:style>
  <w:style w:type="paragraph" w:customStyle="1" w:styleId="NEaStandaard">
    <w:name w:val="NEa Standaard"/>
    <w:pPr>
      <w:spacing w:line="240" w:lineRule="exact"/>
    </w:pPr>
    <w:rPr>
      <w:rFonts w:ascii="Calibri" w:hAnsi="Calibri"/>
      <w:color w:val="000000"/>
      <w:sz w:val="22"/>
      <w:szCs w:val="22"/>
    </w:rPr>
  </w:style>
  <w:style w:type="paragraph" w:customStyle="1" w:styleId="NEaStandaardVet">
    <w:name w:val="NEa Standaard Vet"/>
    <w:basedOn w:val="NEaStandaard"/>
    <w:rPr>
      <w:rFonts w:ascii="Verdana" w:hAnsi="Verdana"/>
      <w:b/>
      <w:sz w:val="18"/>
      <w:szCs w:val="18"/>
    </w:rPr>
  </w:style>
  <w:style w:type="paragraph" w:customStyle="1" w:styleId="NEaStandaardonderlijnd">
    <w:name w:val="NEa Standaard onderlijnd"/>
    <w:basedOn w:val="NEaStandaard"/>
    <w:rPr>
      <w:rFonts w:ascii="Verdana" w:hAnsi="Verdana"/>
      <w:sz w:val="18"/>
      <w:szCs w:val="18"/>
      <w:u w:val="single"/>
    </w:rPr>
  </w:style>
  <w:style w:type="paragraph" w:customStyle="1" w:styleId="NEaSubtitel">
    <w:name w:val="NEa Subtitel"/>
    <w:pPr>
      <w:spacing w:line="560" w:lineRule="exact"/>
    </w:pPr>
    <w:rPr>
      <w:rFonts w:ascii="Verdana" w:hAnsi="Verdana"/>
      <w:color w:val="000000"/>
      <w:sz w:val="36"/>
      <w:szCs w:val="36"/>
    </w:rPr>
  </w:style>
  <w:style w:type="paragraph" w:customStyle="1" w:styleId="NEaTabelcel">
    <w:name w:val="NEa Tabelcel"/>
    <w:pPr>
      <w:spacing w:line="230" w:lineRule="exact"/>
    </w:pPr>
    <w:rPr>
      <w:rFonts w:ascii="Verdana" w:hAnsi="Verdana"/>
      <w:color w:val="000000"/>
      <w:sz w:val="18"/>
      <w:szCs w:val="18"/>
    </w:rPr>
  </w:style>
  <w:style w:type="paragraph" w:customStyle="1" w:styleId="NEaTabelcelkop">
    <w:name w:val="NEa Tabelcel kop"/>
    <w:pPr>
      <w:spacing w:line="240" w:lineRule="exact"/>
    </w:pPr>
    <w:rPr>
      <w:rFonts w:ascii="Verdana" w:hAnsi="Verdana"/>
      <w:color w:val="000000"/>
      <w:sz w:val="13"/>
      <w:szCs w:val="13"/>
    </w:rPr>
  </w:style>
  <w:style w:type="paragraph" w:customStyle="1" w:styleId="NEaTitel">
    <w:name w:val="NEa Titel"/>
    <w:pPr>
      <w:spacing w:line="560" w:lineRule="exact"/>
    </w:pPr>
    <w:rPr>
      <w:rFonts w:ascii="Verdana" w:hAnsi="Verdana"/>
      <w:b/>
      <w:color w:val="000000"/>
      <w:sz w:val="36"/>
      <w:szCs w:val="36"/>
    </w:rPr>
  </w:style>
  <w:style w:type="paragraph" w:customStyle="1" w:styleId="NEaVerdana65">
    <w:name w:val="NEa Verdana 6.5"/>
    <w:pPr>
      <w:spacing w:line="173" w:lineRule="exact"/>
    </w:pPr>
    <w:rPr>
      <w:rFonts w:ascii="Verdana" w:hAnsi="Verdana"/>
      <w:color w:val="000000"/>
      <w:sz w:val="13"/>
      <w:szCs w:val="13"/>
    </w:rPr>
  </w:style>
  <w:style w:type="paragraph" w:customStyle="1" w:styleId="NEamemoMT6vbold">
    <w:name w:val="NEa memo MT 6v bold"/>
    <w:basedOn w:val="Normal"/>
    <w:next w:val="Normal"/>
    <w:pPr>
      <w:spacing w:before="120" w:line="240" w:lineRule="exact"/>
    </w:pPr>
    <w:rPr>
      <w:b/>
    </w:rPr>
  </w:style>
  <w:style w:type="paragraph" w:customStyle="1" w:styleId="NEamemoMT6vstandaard">
    <w:name w:val="NEa memo MT 6v standaard"/>
    <w:basedOn w:val="Normal"/>
    <w:next w:val="Normal"/>
    <w:pPr>
      <w:spacing w:before="120" w:line="240" w:lineRule="exact"/>
    </w:pPr>
  </w:style>
  <w:style w:type="paragraph" w:customStyle="1" w:styleId="NEamemobestuur">
    <w:name w:val="NEa memo bestuur"/>
    <w:basedOn w:val="Normal"/>
    <w:next w:val="Normal"/>
    <w:pPr>
      <w:numPr>
        <w:numId w:val="14"/>
      </w:numPr>
      <w:spacing w:line="240" w:lineRule="exact"/>
    </w:pPr>
  </w:style>
  <w:style w:type="paragraph" w:customStyle="1" w:styleId="NEaopsommingletters">
    <w:name w:val="NEa opsomming (letters)"/>
    <w:basedOn w:val="Normal"/>
    <w:pPr>
      <w:numPr>
        <w:numId w:val="16"/>
      </w:numPr>
      <w:spacing w:line="240" w:lineRule="exact"/>
    </w:pPr>
  </w:style>
  <w:style w:type="paragraph" w:customStyle="1" w:styleId="NEaopsommingextra">
    <w:name w:val="NEa opsomming extra"/>
    <w:basedOn w:val="Normal"/>
    <w:next w:val="Normal"/>
    <w:pPr>
      <w:numPr>
        <w:numId w:val="17"/>
      </w:numPr>
    </w:pPr>
  </w:style>
  <w:style w:type="paragraph" w:customStyle="1" w:styleId="NEastandaardopsomming">
    <w:name w:val="NEa standaard opsomming"/>
    <w:basedOn w:val="Normal"/>
    <w:pPr>
      <w:numPr>
        <w:numId w:val="15"/>
      </w:numPr>
      <w:spacing w:line="240" w:lineRule="exact"/>
    </w:pPr>
  </w:style>
  <w:style w:type="paragraph" w:customStyle="1" w:styleId="NeaToezendgegevens">
    <w:name w:val="Nea Toezendgegevens"/>
    <w:pPr>
      <w:spacing w:line="240" w:lineRule="exact"/>
    </w:pPr>
    <w:rPr>
      <w:rFonts w:ascii="Verdana" w:hAnsi="Verdana"/>
      <w:color w:val="000000"/>
      <w:sz w:val="18"/>
      <w:szCs w:val="18"/>
    </w:rPr>
  </w:style>
  <w:style w:type="paragraph" w:customStyle="1" w:styleId="NotaParaaf">
    <w:name w:val="Nota_Paraaf"/>
    <w:basedOn w:val="Normal"/>
    <w:pPr>
      <w:spacing w:line="240" w:lineRule="exact"/>
    </w:pPr>
    <w:rPr>
      <w:sz w:val="13"/>
      <w:szCs w:val="13"/>
    </w:rPr>
  </w:style>
  <w:style w:type="paragraph" w:customStyle="1" w:styleId="OIMRapportAlineakop">
    <w:name w:val="OIM Rapport Alineakop"/>
    <w:basedOn w:val="Normal"/>
    <w:next w:val="Normal"/>
    <w:pPr>
      <w:numPr>
        <w:ilvl w:val="2"/>
        <w:numId w:val="20"/>
      </w:numPr>
      <w:spacing w:line="240" w:lineRule="exact"/>
    </w:pPr>
    <w:rPr>
      <w:color w:val="42145F"/>
      <w:sz w:val="22"/>
      <w:szCs w:val="22"/>
    </w:rPr>
  </w:style>
  <w:style w:type="paragraph" w:customStyle="1" w:styleId="OIMRapportDocumentnaam">
    <w:name w:val="OIM Rapport Documentnaam"/>
    <w:basedOn w:val="Normal"/>
    <w:next w:val="Normal"/>
    <w:pPr>
      <w:spacing w:line="800" w:lineRule="exact"/>
    </w:pPr>
    <w:rPr>
      <w:color w:val="76D2B6"/>
      <w:sz w:val="76"/>
      <w:szCs w:val="76"/>
    </w:rPr>
  </w:style>
  <w:style w:type="paragraph" w:customStyle="1" w:styleId="OIMRapportFiguurkop">
    <w:name w:val="OIM Rapport Figuurkop"/>
    <w:basedOn w:val="Normal"/>
    <w:next w:val="Normal"/>
    <w:pPr>
      <w:spacing w:before="80" w:after="120" w:line="240" w:lineRule="exact"/>
    </w:pPr>
    <w:rPr>
      <w:sz w:val="16"/>
      <w:szCs w:val="16"/>
    </w:rPr>
  </w:style>
  <w:style w:type="paragraph" w:customStyle="1" w:styleId="OIMRapportHoofdstuk">
    <w:name w:val="OIM Rapport Hoofdstuk"/>
    <w:basedOn w:val="Normal"/>
    <w:next w:val="Normal"/>
    <w:pPr>
      <w:numPr>
        <w:numId w:val="20"/>
      </w:numPr>
      <w:spacing w:after="720" w:line="920" w:lineRule="exact"/>
    </w:pPr>
    <w:rPr>
      <w:b/>
      <w:color w:val="76D2B6"/>
      <w:sz w:val="44"/>
      <w:szCs w:val="44"/>
    </w:rPr>
  </w:style>
  <w:style w:type="paragraph" w:customStyle="1" w:styleId="OIMRapportInleiding">
    <w:name w:val="OIM Rapport Inleiding"/>
    <w:basedOn w:val="Normal"/>
    <w:next w:val="Normal"/>
    <w:pPr>
      <w:spacing w:line="380" w:lineRule="exact"/>
    </w:pPr>
    <w:rPr>
      <w:color w:val="42145F"/>
      <w:sz w:val="22"/>
      <w:szCs w:val="22"/>
    </w:rPr>
  </w:style>
  <w:style w:type="paragraph" w:customStyle="1" w:styleId="OIMRapportKadertekst">
    <w:name w:val="OIM Rapport Kadertekst"/>
    <w:basedOn w:val="Normal"/>
    <w:next w:val="Normal"/>
    <w:pPr>
      <w:spacing w:line="240" w:lineRule="exact"/>
    </w:pPr>
    <w:rPr>
      <w:color w:val="42145F"/>
      <w:sz w:val="16"/>
      <w:szCs w:val="16"/>
    </w:rPr>
  </w:style>
  <w:style w:type="paragraph" w:customStyle="1" w:styleId="OIMRapportNummering">
    <w:name w:val="OIM Rapport Nummering"/>
    <w:basedOn w:val="Normal"/>
    <w:next w:val="Normal"/>
    <w:pPr>
      <w:numPr>
        <w:numId w:val="18"/>
      </w:numPr>
      <w:spacing w:line="240" w:lineRule="exact"/>
    </w:pPr>
  </w:style>
  <w:style w:type="paragraph" w:customStyle="1" w:styleId="OIMRapportParagraaf">
    <w:name w:val="OIM Rapport Paragraaf"/>
    <w:basedOn w:val="Normal"/>
    <w:next w:val="Normal"/>
    <w:pPr>
      <w:numPr>
        <w:ilvl w:val="1"/>
        <w:numId w:val="20"/>
      </w:numPr>
      <w:spacing w:line="240" w:lineRule="exact"/>
    </w:pPr>
    <w:rPr>
      <w:b/>
      <w:color w:val="42145F"/>
      <w:sz w:val="22"/>
      <w:szCs w:val="22"/>
    </w:rPr>
  </w:style>
  <w:style w:type="paragraph" w:customStyle="1" w:styleId="OIMRapportSubalineakop">
    <w:name w:val="OIM Rapport Subalineakop"/>
    <w:basedOn w:val="Normal"/>
    <w:next w:val="Normal"/>
    <w:pPr>
      <w:spacing w:line="240" w:lineRule="exact"/>
    </w:pPr>
    <w:rPr>
      <w:i/>
      <w:color w:val="42145F"/>
    </w:rPr>
  </w:style>
  <w:style w:type="paragraph" w:customStyle="1" w:styleId="OIMRapportSubtitel">
    <w:name w:val="OIM Rapport Subtitel"/>
    <w:basedOn w:val="Normal"/>
    <w:next w:val="Normal"/>
    <w:pPr>
      <w:spacing w:line="560" w:lineRule="exact"/>
    </w:pPr>
    <w:rPr>
      <w:color w:val="FFFFFF"/>
      <w:sz w:val="40"/>
      <w:szCs w:val="40"/>
    </w:rPr>
  </w:style>
  <w:style w:type="paragraph" w:customStyle="1" w:styleId="OIMRapportTitel">
    <w:name w:val="OIM Rapport Titel"/>
    <w:basedOn w:val="Normal"/>
    <w:next w:val="Normal"/>
    <w:pPr>
      <w:spacing w:line="1060" w:lineRule="exact"/>
    </w:pPr>
    <w:rPr>
      <w:b/>
      <w:color w:val="42145F"/>
      <w:sz w:val="86"/>
      <w:szCs w:val="86"/>
    </w:rPr>
  </w:style>
  <w:style w:type="paragraph" w:customStyle="1" w:styleId="OIMRapportinhoudkop">
    <w:name w:val="OIM Rapport inhoud kop"/>
    <w:basedOn w:val="Normal"/>
    <w:next w:val="Normal"/>
    <w:pPr>
      <w:spacing w:after="720" w:line="960" w:lineRule="exact"/>
    </w:pPr>
    <w:rPr>
      <w:b/>
      <w:color w:val="76D2B6"/>
      <w:sz w:val="44"/>
      <w:szCs w:val="44"/>
    </w:rPr>
  </w:style>
  <w:style w:type="paragraph" w:customStyle="1" w:styleId="OIMRapportpaginanummer">
    <w:name w:val="OIM Rapport paginanummer"/>
    <w:basedOn w:val="Normal"/>
    <w:next w:val="Normal"/>
    <w:pPr>
      <w:spacing w:line="140" w:lineRule="exact"/>
      <w:jc w:val="right"/>
    </w:pPr>
    <w:rPr>
      <w:sz w:val="12"/>
      <w:szCs w:val="12"/>
    </w:rPr>
  </w:style>
  <w:style w:type="paragraph" w:customStyle="1" w:styleId="OIMRapportvoettekst">
    <w:name w:val="OIM Rapport voettekst"/>
    <w:basedOn w:val="Normal"/>
    <w:next w:val="Normal"/>
    <w:pPr>
      <w:spacing w:line="140" w:lineRule="exact"/>
      <w:jc w:val="right"/>
    </w:pPr>
    <w:rPr>
      <w:sz w:val="12"/>
      <w:szCs w:val="12"/>
    </w:rPr>
  </w:style>
  <w:style w:type="table" w:customStyle="1" w:styleId="OIMStandaardtabel">
    <w:name w:val="OIM Standaard tabel"/>
    <w:rPr>
      <w:rFonts w:ascii="Verdana" w:hAnsi="Verdana"/>
      <w:color w:val="000000"/>
      <w:sz w:val="16"/>
      <w:szCs w:val="16"/>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tblStylePr w:type="firstRow">
      <w:rPr>
        <w:rFonts w:ascii="Verdana" w:hAnsi="Verdana"/>
        <w:b/>
        <w:color w:val="FFFFFF"/>
        <w:sz w:val="16"/>
        <w:szCs w:val="16"/>
      </w:rPr>
      <w:tblPr/>
      <w:tcPr>
        <w:shd w:val="clear" w:color="auto" w:fill="42145F"/>
      </w:tcPr>
    </w:tblStylePr>
  </w:style>
  <w:style w:type="paragraph" w:customStyle="1" w:styleId="OIMTabeltekststandaard">
    <w:name w:val="OIM Tabeltekst standaard"/>
    <w:basedOn w:val="Normal"/>
    <w:next w:val="Normal"/>
    <w:pPr>
      <w:spacing w:line="160" w:lineRule="exact"/>
    </w:pPr>
    <w:rPr>
      <w:sz w:val="16"/>
      <w:szCs w:val="16"/>
    </w:rPr>
  </w:style>
  <w:style w:type="paragraph" w:customStyle="1" w:styleId="OndertekeningArea1">
    <w:name w:val="Ondertekening_Area1"/>
    <w:basedOn w:val="Normal"/>
    <w:next w:val="Normal"/>
    <w:pPr>
      <w:spacing w:before="240" w:line="240" w:lineRule="exact"/>
    </w:pPr>
  </w:style>
  <w:style w:type="paragraph" w:customStyle="1" w:styleId="Paginaeinde">
    <w:name w:val="Paginaeinde"/>
    <w:basedOn w:val="Normal"/>
    <w:next w:val="Normal"/>
    <w:pPr>
      <w:pageBreakBefore/>
      <w:spacing w:line="240" w:lineRule="exact"/>
    </w:pPr>
    <w:rPr>
      <w:sz w:val="2"/>
      <w:szCs w:val="2"/>
    </w:rPr>
  </w:style>
  <w:style w:type="paragraph" w:customStyle="1" w:styleId="Persbericht-Subtitel">
    <w:name w:val="Persbericht - Subtitel"/>
    <w:basedOn w:val="Normal"/>
    <w:next w:val="Normal"/>
    <w:pPr>
      <w:spacing w:after="220" w:line="320" w:lineRule="exact"/>
    </w:pPr>
    <w:rPr>
      <w:sz w:val="24"/>
      <w:szCs w:val="24"/>
    </w:rPr>
  </w:style>
  <w:style w:type="paragraph" w:customStyle="1" w:styleId="Persbericht-Titel">
    <w:name w:val="Persbericht - Titel"/>
    <w:basedOn w:val="Normal"/>
    <w:next w:val="Normal"/>
    <w:pPr>
      <w:spacing w:before="460" w:line="320" w:lineRule="exact"/>
    </w:pPr>
    <w:rPr>
      <w:b/>
      <w:sz w:val="24"/>
      <w:szCs w:val="24"/>
    </w:rPr>
  </w:style>
  <w:style w:type="paragraph" w:customStyle="1" w:styleId="RLIKenmerkRubricering">
    <w:name w:val="RLI Kenmerk Rubricering"/>
    <w:basedOn w:val="Normal"/>
    <w:next w:val="Normal"/>
    <w:pPr>
      <w:spacing w:line="240" w:lineRule="exact"/>
    </w:pPr>
    <w:rPr>
      <w:b/>
      <w:caps/>
      <w:sz w:val="14"/>
      <w:szCs w:val="14"/>
    </w:rPr>
  </w:style>
  <w:style w:type="paragraph" w:customStyle="1" w:styleId="Raad">
    <w:name w:val="Raad"/>
    <w:next w:val="Normal"/>
    <w:pPr>
      <w:spacing w:line="240" w:lineRule="exact"/>
    </w:pPr>
    <w:rPr>
      <w:rFonts w:ascii="Verdana" w:hAnsi="Verdana"/>
      <w:b/>
      <w:color w:val="000000"/>
      <w:sz w:val="24"/>
      <w:szCs w:val="24"/>
    </w:rPr>
  </w:style>
  <w:style w:type="paragraph" w:customStyle="1" w:styleId="RapportSubtitel">
    <w:name w:val="Rapport Subtitel"/>
    <w:basedOn w:val="Normal"/>
    <w:next w:val="Normal"/>
    <w:pPr>
      <w:spacing w:line="300" w:lineRule="exact"/>
    </w:pPr>
    <w:rPr>
      <w:sz w:val="28"/>
      <w:szCs w:val="28"/>
    </w:rPr>
  </w:style>
  <w:style w:type="paragraph" w:customStyle="1" w:styleId="RapportSubtitelANVS">
    <w:name w:val="Rapport Subtitel ANVS"/>
    <w:basedOn w:val="Normal"/>
    <w:next w:val="Normal"/>
    <w:pPr>
      <w:spacing w:line="300" w:lineRule="exact"/>
      <w:ind w:left="200"/>
    </w:pPr>
    <w:rPr>
      <w:color w:val="E17000"/>
      <w:sz w:val="28"/>
      <w:szCs w:val="28"/>
    </w:rPr>
  </w:style>
  <w:style w:type="paragraph" w:customStyle="1" w:styleId="RapportTitel">
    <w:name w:val="Rapport Titel"/>
    <w:basedOn w:val="Normal"/>
    <w:next w:val="Normal"/>
    <w:pPr>
      <w:spacing w:line="800" w:lineRule="exact"/>
    </w:pPr>
    <w:rPr>
      <w:color w:val="007BC7"/>
      <w:sz w:val="72"/>
      <w:szCs w:val="72"/>
    </w:rPr>
  </w:style>
  <w:style w:type="paragraph" w:customStyle="1" w:styleId="RapportNiveau1">
    <w:name w:val="Rapport_Niveau_1"/>
    <w:basedOn w:val="Normal"/>
    <w:next w:val="Normal"/>
    <w:pPr>
      <w:spacing w:after="700" w:line="300" w:lineRule="exact"/>
    </w:pPr>
    <w:rPr>
      <w:sz w:val="24"/>
      <w:szCs w:val="24"/>
    </w:rPr>
  </w:style>
  <w:style w:type="paragraph" w:customStyle="1" w:styleId="RapportNiveau2">
    <w:name w:val="Rapport_Niveau_2"/>
    <w:basedOn w:val="Normal"/>
    <w:next w:val="Normal"/>
    <w:pPr>
      <w:spacing w:line="240" w:lineRule="exact"/>
    </w:pPr>
    <w:rPr>
      <w:b/>
    </w:rPr>
  </w:style>
  <w:style w:type="paragraph" w:customStyle="1" w:styleId="RapportNiveau3">
    <w:name w:val="Rapport_Niveau_3"/>
    <w:basedOn w:val="Normal"/>
    <w:next w:val="Normal"/>
    <w:pPr>
      <w:spacing w:line="240" w:lineRule="exact"/>
    </w:pPr>
    <w:rPr>
      <w:i/>
    </w:rPr>
  </w:style>
  <w:style w:type="paragraph" w:customStyle="1" w:styleId="RapportNiveau4">
    <w:name w:val="Rapport_Niveau_4"/>
    <w:basedOn w:val="Normal"/>
    <w:next w:val="Normal"/>
    <w:pPr>
      <w:spacing w:line="240" w:lineRule="exact"/>
    </w:pPr>
  </w:style>
  <w:style w:type="paragraph" w:customStyle="1" w:styleId="RapportNiveau5">
    <w:name w:val="Rapport_Niveau_5"/>
    <w:basedOn w:val="Normal"/>
    <w:next w:val="Normal"/>
    <w:pPr>
      <w:spacing w:line="240" w:lineRule="exact"/>
    </w:pPr>
  </w:style>
  <w:style w:type="paragraph" w:customStyle="1" w:styleId="RapportNiveau6">
    <w:name w:val="Rapport_Niveau_6"/>
    <w:basedOn w:val="Normal"/>
    <w:next w:val="Normal"/>
    <w:pPr>
      <w:spacing w:before="240" w:after="60" w:line="380" w:lineRule="exact"/>
    </w:pPr>
    <w:rPr>
      <w:b/>
      <w:sz w:val="32"/>
      <w:szCs w:val="32"/>
    </w:rPr>
  </w:style>
  <w:style w:type="paragraph" w:customStyle="1" w:styleId="Referentiegegevens">
    <w:name w:val="Referentiegegevens"/>
    <w:next w:val="Normal"/>
    <w:pPr>
      <w:tabs>
        <w:tab w:val="left" w:pos="170"/>
      </w:tabs>
      <w:spacing w:line="180" w:lineRule="exact"/>
    </w:pPr>
    <w:rPr>
      <w:rFonts w:ascii="Verdana" w:hAnsi="Verdana"/>
      <w:color w:val="000000"/>
      <w:sz w:val="13"/>
      <w:szCs w:val="13"/>
    </w:rPr>
  </w:style>
  <w:style w:type="paragraph" w:customStyle="1" w:styleId="ReferentiegegevensmetW1boven">
    <w:name w:val="Referentiegegevens met W1 boven"/>
    <w:next w:val="Normal"/>
    <w:pPr>
      <w:tabs>
        <w:tab w:val="left" w:pos="170"/>
      </w:tabs>
      <w:spacing w:before="90" w:line="180" w:lineRule="exact"/>
    </w:pPr>
    <w:rPr>
      <w:rFonts w:ascii="Verdana" w:hAnsi="Verdana"/>
      <w:color w:val="000000"/>
      <w:sz w:val="13"/>
      <w:szCs w:val="13"/>
    </w:rPr>
  </w:style>
  <w:style w:type="paragraph" w:customStyle="1" w:styleId="Referentiegegevenskop">
    <w:name w:val="Referentiegegevens_kop"/>
    <w:basedOn w:val="Normal"/>
    <w:next w:val="Normal"/>
    <w:pPr>
      <w:spacing w:line="180" w:lineRule="exact"/>
    </w:pPr>
    <w:rPr>
      <w:b/>
      <w:sz w:val="13"/>
      <w:szCs w:val="13"/>
    </w:rPr>
  </w:style>
  <w:style w:type="paragraph" w:customStyle="1" w:styleId="Retouradres">
    <w:name w:val="Retouradres"/>
    <w:pPr>
      <w:spacing w:line="180" w:lineRule="exact"/>
    </w:pPr>
    <w:rPr>
      <w:rFonts w:ascii="Verdana" w:hAnsi="Verdana"/>
      <w:color w:val="000000"/>
      <w:sz w:val="13"/>
      <w:szCs w:val="13"/>
    </w:rPr>
  </w:style>
  <w:style w:type="paragraph" w:customStyle="1" w:styleId="RliAanhef">
    <w:name w:val="Rli Aanhef"/>
    <w:pPr>
      <w:spacing w:after="240" w:line="240" w:lineRule="exact"/>
    </w:pPr>
    <w:rPr>
      <w:rFonts w:ascii="Verdana" w:hAnsi="Verdana"/>
      <w:color w:val="000000"/>
      <w:sz w:val="18"/>
      <w:szCs w:val="18"/>
    </w:rPr>
  </w:style>
  <w:style w:type="paragraph" w:customStyle="1" w:styleId="RliAgenda-Standaard">
    <w:name w:val="Rli Agenda - Standaard"/>
    <w:basedOn w:val="Normal"/>
    <w:pPr>
      <w:spacing w:line="240" w:lineRule="exact"/>
    </w:pPr>
    <w:rPr>
      <w:sz w:val="16"/>
      <w:szCs w:val="16"/>
    </w:rPr>
  </w:style>
  <w:style w:type="paragraph" w:customStyle="1" w:styleId="RliDocumentnaam">
    <w:name w:val="Rli Documentnaam"/>
    <w:pPr>
      <w:spacing w:line="320" w:lineRule="exact"/>
      <w:jc w:val="right"/>
    </w:pPr>
    <w:rPr>
      <w:rFonts w:ascii="Verdana" w:hAnsi="Verdana"/>
      <w:b/>
      <w:color w:val="000000"/>
      <w:sz w:val="28"/>
      <w:szCs w:val="28"/>
    </w:rPr>
  </w:style>
  <w:style w:type="paragraph" w:customStyle="1" w:styleId="RliInleiding">
    <w:name w:val="Rli Inleiding"/>
    <w:pPr>
      <w:spacing w:after="730" w:line="240" w:lineRule="exact"/>
    </w:pPr>
    <w:rPr>
      <w:rFonts w:ascii="Verdana" w:hAnsi="Verdana"/>
      <w:color w:val="000000"/>
      <w:sz w:val="18"/>
      <w:szCs w:val="18"/>
    </w:rPr>
  </w:style>
  <w:style w:type="paragraph" w:customStyle="1" w:styleId="RliInleidingVet">
    <w:name w:val="Rli Inleiding Vet"/>
    <w:pPr>
      <w:spacing w:after="240" w:line="240" w:lineRule="exact"/>
    </w:pPr>
    <w:rPr>
      <w:rFonts w:ascii="Verdana" w:hAnsi="Verdana"/>
      <w:b/>
      <w:color w:val="000000"/>
      <w:sz w:val="18"/>
      <w:szCs w:val="18"/>
    </w:rPr>
  </w:style>
  <w:style w:type="paragraph" w:customStyle="1" w:styleId="RliKenmerkHoofd">
    <w:name w:val="Rli Kenmerk Hoofd"/>
    <w:pPr>
      <w:spacing w:line="200" w:lineRule="exact"/>
      <w:jc w:val="right"/>
    </w:pPr>
    <w:rPr>
      <w:rFonts w:ascii="Verdana" w:hAnsi="Verdana"/>
      <w:color w:val="000000"/>
      <w:sz w:val="15"/>
      <w:szCs w:val="15"/>
    </w:rPr>
  </w:style>
  <w:style w:type="paragraph" w:customStyle="1" w:styleId="RliKoptekstKenmerk">
    <w:name w:val="Rli Koptekst Kenmerk"/>
    <w:pPr>
      <w:spacing w:line="240" w:lineRule="exact"/>
    </w:pPr>
    <w:rPr>
      <w:rFonts w:ascii="Verdana" w:hAnsi="Verdana"/>
      <w:b/>
      <w:color w:val="000000"/>
      <w:sz w:val="18"/>
      <w:szCs w:val="18"/>
    </w:rPr>
  </w:style>
  <w:style w:type="paragraph" w:customStyle="1" w:styleId="RliOpsommingnummerKenmerk">
    <w:name w:val="Rli Opsommingnummer Kenmerk"/>
    <w:pPr>
      <w:spacing w:before="480" w:line="240" w:lineRule="exact"/>
    </w:pPr>
    <w:rPr>
      <w:rFonts w:ascii="Verdana" w:hAnsi="Verdana"/>
      <w:b/>
      <w:color w:val="000000"/>
      <w:sz w:val="22"/>
      <w:szCs w:val="22"/>
    </w:rPr>
  </w:style>
  <w:style w:type="paragraph" w:customStyle="1" w:styleId="RliOpsommingtitelOnderwerpInhoud">
    <w:name w:val="Rli Opsommingtitel Onderwerp/Inhoud"/>
    <w:pPr>
      <w:spacing w:before="480" w:line="240" w:lineRule="exact"/>
    </w:pPr>
    <w:rPr>
      <w:rFonts w:ascii="Verdana" w:hAnsi="Verdana"/>
      <w:b/>
      <w:color w:val="000000"/>
    </w:rPr>
  </w:style>
  <w:style w:type="paragraph" w:customStyle="1" w:styleId="RliPaginanummering">
    <w:name w:val="Rli Paginanummering"/>
    <w:pPr>
      <w:spacing w:line="200" w:lineRule="exact"/>
    </w:pPr>
    <w:rPr>
      <w:rFonts w:ascii="Verdana" w:hAnsi="Verdana"/>
      <w:color w:val="000000"/>
      <w:sz w:val="14"/>
      <w:szCs w:val="14"/>
    </w:rPr>
  </w:style>
  <w:style w:type="paragraph" w:customStyle="1" w:styleId="RliParagraafkop">
    <w:name w:val="Rli Paragraafkop"/>
    <w:next w:val="Normal"/>
    <w:pPr>
      <w:spacing w:before="480" w:after="240" w:line="240" w:lineRule="exact"/>
    </w:pPr>
    <w:rPr>
      <w:rFonts w:ascii="Verdana" w:hAnsi="Verdana"/>
      <w:b/>
      <w:color w:val="000000"/>
      <w:sz w:val="22"/>
      <w:szCs w:val="22"/>
    </w:rPr>
  </w:style>
  <w:style w:type="paragraph" w:customStyle="1" w:styleId="RliPersbericht-AlgemeneInformatiekop">
    <w:name w:val="Rli Persbericht - Algemene Informatie kop"/>
    <w:basedOn w:val="RliStandaardVerdana7"/>
    <w:next w:val="Normal"/>
    <w:pPr>
      <w:spacing w:before="964"/>
    </w:pPr>
    <w:rPr>
      <w:b/>
    </w:rPr>
  </w:style>
  <w:style w:type="paragraph" w:customStyle="1" w:styleId="RliPersbericht-Titel">
    <w:name w:val="Rli Persbericht - Titel"/>
    <w:pPr>
      <w:spacing w:line="320" w:lineRule="exact"/>
    </w:pPr>
    <w:rPr>
      <w:rFonts w:ascii="Verdana" w:hAnsi="Verdana"/>
      <w:b/>
      <w:color w:val="000000"/>
      <w:sz w:val="22"/>
      <w:szCs w:val="22"/>
    </w:rPr>
  </w:style>
  <w:style w:type="paragraph" w:customStyle="1" w:styleId="RliSlotzin">
    <w:name w:val="Rli Slotzin"/>
    <w:basedOn w:val="RliStandaard"/>
    <w:pPr>
      <w:spacing w:before="720"/>
    </w:pPr>
  </w:style>
  <w:style w:type="paragraph" w:customStyle="1" w:styleId="RliStandaard">
    <w:name w:val="Rli Standaard"/>
    <w:pPr>
      <w:spacing w:line="240" w:lineRule="exact"/>
    </w:pPr>
    <w:rPr>
      <w:rFonts w:ascii="Verdana" w:hAnsi="Verdana"/>
      <w:color w:val="000000"/>
      <w:sz w:val="18"/>
      <w:szCs w:val="18"/>
    </w:rPr>
  </w:style>
  <w:style w:type="paragraph" w:customStyle="1" w:styleId="RliStandaardVerdana7">
    <w:name w:val="Rli Standaard Verdana 7"/>
    <w:pPr>
      <w:spacing w:line="240" w:lineRule="exact"/>
    </w:pPr>
    <w:rPr>
      <w:rFonts w:ascii="Verdana" w:hAnsi="Verdana"/>
      <w:color w:val="000000"/>
      <w:sz w:val="14"/>
      <w:szCs w:val="14"/>
    </w:rPr>
  </w:style>
  <w:style w:type="paragraph" w:customStyle="1" w:styleId="RliStandaardVerdana8">
    <w:name w:val="Rli Standaard Verdana 8"/>
    <w:pPr>
      <w:spacing w:line="240" w:lineRule="exact"/>
    </w:pPr>
    <w:rPr>
      <w:rFonts w:ascii="Verdana" w:hAnsi="Verdana"/>
      <w:color w:val="000000"/>
      <w:sz w:val="16"/>
      <w:szCs w:val="16"/>
    </w:rPr>
  </w:style>
  <w:style w:type="paragraph" w:customStyle="1" w:styleId="RliStandaardVet">
    <w:name w:val="Rli Standaard Vet"/>
    <w:basedOn w:val="Normal"/>
    <w:next w:val="StandaardVet"/>
    <w:pPr>
      <w:spacing w:line="240" w:lineRule="exact"/>
    </w:pPr>
    <w:rPr>
      <w:b/>
    </w:rPr>
  </w:style>
  <w:style w:type="paragraph" w:customStyle="1" w:styleId="RliTabelcel">
    <w:name w:val="Rli Tabelcel"/>
    <w:pPr>
      <w:spacing w:line="200" w:lineRule="exact"/>
    </w:pPr>
    <w:rPr>
      <w:rFonts w:ascii="Verdana" w:hAnsi="Verdana"/>
      <w:color w:val="000000"/>
      <w:sz w:val="15"/>
      <w:szCs w:val="15"/>
    </w:rPr>
  </w:style>
  <w:style w:type="paragraph" w:customStyle="1" w:styleId="RliTabelcelKop">
    <w:name w:val="Rli Tabelcel Kop"/>
    <w:pPr>
      <w:spacing w:line="200" w:lineRule="exact"/>
    </w:pPr>
    <w:rPr>
      <w:rFonts w:ascii="Verdana" w:hAnsi="Verdana"/>
      <w:b/>
      <w:color w:val="000000"/>
      <w:sz w:val="15"/>
      <w:szCs w:val="15"/>
    </w:rPr>
  </w:style>
  <w:style w:type="paragraph" w:customStyle="1" w:styleId="RliTekstblokAlgemeneInformatiekop">
    <w:name w:val="Rli Tekstblok Algemene Informatie kop"/>
    <w:next w:val="RliStandaardVerdana7"/>
    <w:pPr>
      <w:spacing w:before="720" w:line="240" w:lineRule="exact"/>
    </w:pPr>
    <w:rPr>
      <w:rFonts w:ascii="Verdana" w:hAnsi="Verdana"/>
      <w:b/>
      <w:color w:val="000000"/>
      <w:sz w:val="14"/>
      <w:szCs w:val="14"/>
    </w:rPr>
  </w:style>
  <w:style w:type="paragraph" w:customStyle="1" w:styleId="RliVerslaginleiding">
    <w:name w:val="Rli Verslag inleiding"/>
    <w:basedOn w:val="Normal"/>
    <w:next w:val="Normal"/>
    <w:pPr>
      <w:spacing w:line="240" w:lineRule="exact"/>
    </w:pPr>
  </w:style>
  <w:style w:type="paragraph" w:customStyle="1" w:styleId="Rlistandaard9ptvoor">
    <w:name w:val="Rli standaard 9 pt voor"/>
    <w:basedOn w:val="Normal"/>
    <w:next w:val="Normal"/>
    <w:pPr>
      <w:spacing w:before="180" w:line="240" w:lineRule="exact"/>
    </w:pPr>
  </w:style>
  <w:style w:type="paragraph" w:customStyle="1" w:styleId="Rubricering">
    <w:name w:val="Rubricering"/>
    <w:next w:val="Normal"/>
    <w:pPr>
      <w:spacing w:line="180" w:lineRule="exact"/>
    </w:pPr>
    <w:rPr>
      <w:rFonts w:ascii="Verdana" w:hAnsi="Verdana"/>
      <w:b/>
      <w:caps/>
      <w:color w:val="000000"/>
      <w:sz w:val="13"/>
      <w:szCs w:val="13"/>
    </w:rPr>
  </w:style>
  <w:style w:type="paragraph" w:customStyle="1" w:styleId="Ruimtetussentabellen">
    <w:name w:val="Ruimte tussen tabellen"/>
    <w:basedOn w:val="Normal"/>
    <w:next w:val="Normal"/>
    <w:pPr>
      <w:spacing w:line="20" w:lineRule="exact"/>
    </w:pPr>
    <w:rPr>
      <w:sz w:val="2"/>
      <w:szCs w:val="2"/>
    </w:rPr>
  </w:style>
  <w:style w:type="table" w:customStyle="1" w:styleId="SSC-ICTTabellijnen">
    <w:name w:val="SSC-ICT Tabel lijnen"/>
    <w:rPr>
      <w:rFonts w:ascii="Verdana" w:hAnsi="Verdana"/>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blStylePr w:type="firstRow">
      <w:rPr>
        <w:sz w:val="18"/>
        <w:szCs w:val="18"/>
      </w:rPr>
      <w:tblPr/>
      <w:tcPr>
        <w:shd w:val="clear" w:color="auto" w:fill="BDBDBD"/>
      </w:tcPr>
    </w:tblStylePr>
  </w:style>
  <w:style w:type="table" w:customStyle="1" w:styleId="SSC-ICTTabelzonderachtergondkleur">
    <w:name w:val="SSC-ICT Tabel zonder achtergondkleur"/>
    <w:rPr>
      <w:rFonts w:ascii="Verdana" w:hAnsi="Verdana"/>
      <w:color w:val="000000"/>
      <w:sz w:val="18"/>
      <w:szCs w:val="18"/>
      <w:lang w:val="en-GB" w:eastAsia="en-GB"/>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rPr>
        <w:rFonts w:ascii="Verdana" w:hAnsi="Verdana"/>
        <w:sz w:val="18"/>
        <w:szCs w:val="18"/>
      </w:rPr>
    </w:tblStylePr>
    <w:tblStylePr w:type="lastCol">
      <w:pPr>
        <w:jc w:val="right"/>
      </w:pPr>
    </w:tblStylePr>
  </w:style>
  <w:style w:type="paragraph" w:customStyle="1" w:styleId="SSC-ICTTabelkop">
    <w:name w:val="SSC-ICT Tabelkop"/>
    <w:basedOn w:val="Normal"/>
    <w:next w:val="Normal"/>
    <w:pPr>
      <w:spacing w:before="40" w:after="40" w:line="240" w:lineRule="exact"/>
      <w:ind w:left="40"/>
    </w:pPr>
  </w:style>
  <w:style w:type="paragraph" w:customStyle="1" w:styleId="SSFAanhef">
    <w:name w:val="SSF Aanhef"/>
    <w:basedOn w:val="SSFStandaard"/>
    <w:next w:val="Normal"/>
    <w:pPr>
      <w:spacing w:after="360"/>
    </w:pPr>
  </w:style>
  <w:style w:type="paragraph" w:customStyle="1" w:styleId="SSFGroetregel">
    <w:name w:val="SSF Groetregel"/>
    <w:basedOn w:val="SSFStandaard"/>
    <w:next w:val="Normal"/>
    <w:pPr>
      <w:spacing w:before="180"/>
    </w:pPr>
  </w:style>
  <w:style w:type="paragraph" w:customStyle="1" w:styleId="SSFInstructietekstVoorlopigvoorschot">
    <w:name w:val="SSF Instructietekst Voorlopig voorschot"/>
    <w:basedOn w:val="SSFStandaard"/>
    <w:pPr>
      <w:spacing w:line="260" w:lineRule="exact"/>
    </w:pPr>
    <w:rPr>
      <w:sz w:val="24"/>
      <w:szCs w:val="24"/>
    </w:rPr>
  </w:style>
  <w:style w:type="paragraph" w:customStyle="1" w:styleId="SSFKopjeZegge">
    <w:name w:val="SSF Kopje Zegge"/>
    <w:basedOn w:val="SSFStandaard"/>
    <w:pPr>
      <w:spacing w:line="220" w:lineRule="exact"/>
    </w:pPr>
  </w:style>
  <w:style w:type="paragraph" w:customStyle="1" w:styleId="SSFKopjes">
    <w:name w:val="SSF Kopjes"/>
    <w:basedOn w:val="SSFStandaard"/>
    <w:rPr>
      <w:sz w:val="13"/>
      <w:szCs w:val="13"/>
    </w:rPr>
  </w:style>
  <w:style w:type="paragraph" w:customStyle="1" w:styleId="SSFNummeringKredietovereenkomst">
    <w:name w:val="SSF Nummering Kredietovereenkomst"/>
    <w:basedOn w:val="SSFStandaard"/>
    <w:next w:val="SSFStandaard"/>
    <w:pPr>
      <w:numPr>
        <w:numId w:val="21"/>
      </w:numPr>
      <w:spacing w:after="180"/>
    </w:pPr>
  </w:style>
  <w:style w:type="paragraph" w:customStyle="1" w:styleId="SSFNummeringKredietovereenkomstA">
    <w:name w:val="SSF Nummering Kredietovereenkomst (A)"/>
    <w:basedOn w:val="SSFPaginanummering"/>
    <w:next w:val="SSFStandaard"/>
    <w:pPr>
      <w:numPr>
        <w:numId w:val="22"/>
      </w:numPr>
      <w:jc w:val="left"/>
    </w:pPr>
  </w:style>
  <w:style w:type="paragraph" w:customStyle="1" w:styleId="SSFOndertekeningKredietnemer">
    <w:name w:val="SSF Ondertekening Kredietnemer"/>
    <w:basedOn w:val="SSFStandaard"/>
    <w:next w:val="SSFStandaard"/>
    <w:pPr>
      <w:ind w:left="720"/>
    </w:pPr>
  </w:style>
  <w:style w:type="paragraph" w:customStyle="1" w:styleId="SSFOndertekeningStichting">
    <w:name w:val="SSF Ondertekening Stichting"/>
    <w:basedOn w:val="SSFStandaard"/>
    <w:next w:val="SSFStandaard"/>
    <w:pPr>
      <w:ind w:left="4320"/>
    </w:pPr>
  </w:style>
  <w:style w:type="paragraph" w:customStyle="1" w:styleId="SSFPaginanummering">
    <w:name w:val="SSF Paginanummering"/>
    <w:basedOn w:val="SSFStandaard"/>
    <w:pPr>
      <w:jc w:val="center"/>
    </w:pPr>
  </w:style>
  <w:style w:type="paragraph" w:customStyle="1" w:styleId="SSFStandaard">
    <w:name w:val="SSF Standaard"/>
    <w:basedOn w:val="Normal"/>
    <w:next w:val="Normal"/>
    <w:pPr>
      <w:spacing w:line="240" w:lineRule="exact"/>
    </w:pPr>
  </w:style>
  <w:style w:type="paragraph" w:customStyle="1" w:styleId="SSFTabeltekstrechtsuitgelijnd">
    <w:name w:val="SSF Tabeltekst rechts uitgelijnd"/>
    <w:basedOn w:val="SSFStandaard"/>
    <w:pPr>
      <w:spacing w:line="180" w:lineRule="exact"/>
      <w:jc w:val="right"/>
    </w:pPr>
  </w:style>
  <w:style w:type="paragraph" w:customStyle="1" w:styleId="SSFTabeltekststandaard">
    <w:name w:val="SSF Tabeltekst standaard"/>
    <w:basedOn w:val="SSFStandaard"/>
    <w:pPr>
      <w:spacing w:line="180" w:lineRule="exact"/>
    </w:pPr>
  </w:style>
  <w:style w:type="paragraph" w:customStyle="1" w:styleId="SSFTitelKwitantie">
    <w:name w:val="SSF Titel Kwitantie"/>
    <w:basedOn w:val="SSFStandaard"/>
    <w:rPr>
      <w:b/>
      <w:sz w:val="24"/>
      <w:szCs w:val="24"/>
    </w:rPr>
  </w:style>
  <w:style w:type="paragraph" w:customStyle="1" w:styleId="SSFWoordmerk-Departement">
    <w:name w:val="SSF Woordmerk - Departement"/>
    <w:basedOn w:val="Normal"/>
    <w:next w:val="Normal"/>
    <w:pPr>
      <w:spacing w:before="320" w:line="220" w:lineRule="exact"/>
    </w:pPr>
    <w:rPr>
      <w:sz w:val="22"/>
      <w:szCs w:val="22"/>
    </w:rPr>
  </w:style>
  <w:style w:type="paragraph" w:customStyle="1" w:styleId="SSFWoordmerk-Organisatie">
    <w:name w:val="SSF Woordmerk - Organisatie"/>
    <w:basedOn w:val="Normal"/>
    <w:next w:val="Normal"/>
    <w:pPr>
      <w:spacing w:line="320" w:lineRule="exact"/>
    </w:pPr>
    <w:rPr>
      <w:sz w:val="32"/>
      <w:szCs w:val="32"/>
    </w:rPr>
  </w:style>
  <w:style w:type="paragraph" w:customStyle="1" w:styleId="SSFZegge">
    <w:name w:val="SSF Zegge"/>
    <w:basedOn w:val="SSFStandaard"/>
    <w:pPr>
      <w:spacing w:line="220" w:lineRule="exact"/>
    </w:pPr>
    <w:rPr>
      <w:caps/>
    </w:rPr>
  </w:style>
  <w:style w:type="paragraph" w:customStyle="1" w:styleId="SjablonenIenM-Speech-onderwerp">
    <w:name w:val="Sjablonen IenM - Speech - onderwerp"/>
    <w:basedOn w:val="Normal"/>
    <w:next w:val="Normal"/>
    <w:pPr>
      <w:spacing w:before="460" w:line="320" w:lineRule="exact"/>
    </w:pPr>
    <w:rPr>
      <w:b/>
      <w:sz w:val="24"/>
      <w:szCs w:val="24"/>
    </w:rPr>
  </w:style>
  <w:style w:type="paragraph" w:customStyle="1" w:styleId="SjablonenIenM-Speech-subtitel">
    <w:name w:val="Sjablonen IenM - Speech - subtitel"/>
    <w:basedOn w:val="Normal"/>
    <w:next w:val="Normal"/>
    <w:pPr>
      <w:spacing w:after="220" w:line="320" w:lineRule="exact"/>
    </w:pPr>
    <w:rPr>
      <w:sz w:val="24"/>
      <w:szCs w:val="24"/>
    </w:rPr>
  </w:style>
  <w:style w:type="paragraph" w:customStyle="1" w:styleId="Slotzin">
    <w:name w:val="Slotzin"/>
    <w:basedOn w:val="Normal"/>
    <w:next w:val="Normal"/>
    <w:pPr>
      <w:spacing w:before="240" w:line="240" w:lineRule="exact"/>
    </w:pPr>
  </w:style>
  <w:style w:type="paragraph" w:customStyle="1" w:styleId="Standaard9ptmet8ptna">
    <w:name w:val="Standaard 9pt met 8pt na"/>
    <w:basedOn w:val="Normal"/>
    <w:next w:val="Normal"/>
    <w:pPr>
      <w:spacing w:after="160"/>
    </w:pPr>
  </w:style>
  <w:style w:type="paragraph" w:customStyle="1" w:styleId="StandaardCursief">
    <w:name w:val="Standaard Cursief"/>
    <w:basedOn w:val="Normal"/>
    <w:next w:val="Normal"/>
    <w:pPr>
      <w:spacing w:line="240" w:lineRule="exact"/>
    </w:pPr>
    <w:rPr>
      <w:i/>
    </w:rPr>
  </w:style>
  <w:style w:type="paragraph" w:customStyle="1" w:styleId="StandaardKleinKapitaal">
    <w:name w:val="Standaard Klein Kapitaal"/>
    <w:basedOn w:val="Normal"/>
    <w:next w:val="Normal"/>
    <w:pPr>
      <w:spacing w:line="240" w:lineRule="exact"/>
    </w:pPr>
    <w:rPr>
      <w:smallCaps/>
    </w:rPr>
  </w:style>
  <w:style w:type="paragraph" w:customStyle="1" w:styleId="StandaardVerdana12">
    <w:name w:val="Standaard Verdana 12"/>
    <w:basedOn w:val="Normal"/>
    <w:next w:val="Normal"/>
    <w:pPr>
      <w:spacing w:line="240" w:lineRule="exact"/>
    </w:pPr>
    <w:rPr>
      <w:sz w:val="24"/>
      <w:szCs w:val="24"/>
    </w:rPr>
  </w:style>
  <w:style w:type="paragraph" w:customStyle="1" w:styleId="StandaardVerdana12bold">
    <w:name w:val="Standaard Verdana 12 bold"/>
    <w:basedOn w:val="Normal"/>
    <w:next w:val="Normal"/>
    <w:pPr>
      <w:spacing w:line="240" w:lineRule="exact"/>
    </w:pPr>
    <w:rPr>
      <w:b/>
      <w:sz w:val="24"/>
      <w:szCs w:val="24"/>
    </w:rPr>
  </w:style>
  <w:style w:type="paragraph" w:customStyle="1" w:styleId="StandaardVerdana14">
    <w:name w:val="Standaard Verdana 14"/>
    <w:basedOn w:val="Normal"/>
    <w:next w:val="Normal"/>
    <w:pPr>
      <w:spacing w:line="340" w:lineRule="exact"/>
    </w:pPr>
    <w:rPr>
      <w:sz w:val="28"/>
      <w:szCs w:val="28"/>
    </w:rPr>
  </w:style>
  <w:style w:type="paragraph" w:customStyle="1" w:styleId="StandaardVet">
    <w:name w:val="Standaard Vet"/>
    <w:basedOn w:val="Normal"/>
    <w:next w:val="Normal"/>
    <w:pPr>
      <w:spacing w:line="240" w:lineRule="exact"/>
    </w:pPr>
    <w:rPr>
      <w:b/>
    </w:rPr>
  </w:style>
  <w:style w:type="paragraph" w:customStyle="1" w:styleId="StandaardVetenRood">
    <w:name w:val="Standaard Vet en Rood"/>
    <w:basedOn w:val="Normal"/>
    <w:next w:val="Normal"/>
    <w:pPr>
      <w:spacing w:line="240" w:lineRule="exact"/>
    </w:pPr>
    <w:rPr>
      <w:b/>
      <w:color w:val="FF0000"/>
    </w:rPr>
  </w:style>
  <w:style w:type="paragraph" w:customStyle="1" w:styleId="Standaardboldcenter">
    <w:name w:val="Standaard bold center"/>
    <w:basedOn w:val="Normal"/>
    <w:next w:val="Normal"/>
    <w:pPr>
      <w:spacing w:line="240" w:lineRule="exact"/>
      <w:jc w:val="center"/>
    </w:pPr>
    <w:rPr>
      <w:b/>
    </w:rPr>
  </w:style>
  <w:style w:type="paragraph" w:customStyle="1" w:styleId="Standaardboldrechts">
    <w:name w:val="Standaard bold rechts"/>
    <w:basedOn w:val="Normal"/>
    <w:next w:val="Normal"/>
    <w:pPr>
      <w:spacing w:line="240" w:lineRule="exact"/>
      <w:jc w:val="right"/>
    </w:pPr>
    <w:rPr>
      <w:b/>
    </w:rPr>
  </w:style>
  <w:style w:type="paragraph" w:customStyle="1" w:styleId="Standaardopsomming">
    <w:name w:val="Standaard opsomming"/>
    <w:basedOn w:val="Normal"/>
    <w:next w:val="Normal"/>
    <w:pPr>
      <w:numPr>
        <w:numId w:val="23"/>
      </w:numPr>
      <w:spacing w:line="240" w:lineRule="exact"/>
    </w:pPr>
  </w:style>
  <w:style w:type="paragraph" w:customStyle="1" w:styleId="Standaardrechts">
    <w:name w:val="Standaard rechts"/>
    <w:basedOn w:val="Normal"/>
    <w:next w:val="Normal"/>
    <w:pPr>
      <w:spacing w:line="240" w:lineRule="exact"/>
      <w:jc w:val="right"/>
    </w:pPr>
  </w:style>
  <w:style w:type="table" w:customStyle="1" w:styleId="Standaardtabelmetlijnen">
    <w:name w:val="Standaard tabel met lijne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0" w:type="dxa"/>
        <w:left w:w="40" w:type="dxa"/>
        <w:bottom w:w="20" w:type="dxa"/>
        <w:right w:w="40" w:type="dxa"/>
      </w:tblCellMar>
    </w:tblPr>
  </w:style>
  <w:style w:type="paragraph" w:customStyle="1" w:styleId="StandaardRapportExtraVermelding">
    <w:name w:val="Standaard_Rapport_Extra_Vermelding"/>
    <w:basedOn w:val="Normal"/>
    <w:next w:val="Normal"/>
    <w:pPr>
      <w:spacing w:before="60" w:after="300" w:line="240" w:lineRule="exact"/>
    </w:pPr>
    <w:rPr>
      <w:sz w:val="20"/>
      <w:szCs w:val="20"/>
    </w:rPr>
  </w:style>
  <w:style w:type="paragraph" w:customStyle="1" w:styleId="StandaardRapportSubtitel">
    <w:name w:val="Standaard_Rapport_Subtitel"/>
    <w:basedOn w:val="Normal"/>
    <w:next w:val="Normal"/>
    <w:pPr>
      <w:spacing w:before="240" w:after="360" w:line="240" w:lineRule="exact"/>
    </w:pPr>
    <w:rPr>
      <w:sz w:val="20"/>
      <w:szCs w:val="20"/>
    </w:rPr>
  </w:style>
  <w:style w:type="paragraph" w:customStyle="1" w:styleId="StandaardRapportTitel">
    <w:name w:val="Standaard_Rapport_Titel"/>
    <w:basedOn w:val="Normal"/>
    <w:next w:val="Normal"/>
    <w:pPr>
      <w:spacing w:before="60" w:after="320" w:line="240" w:lineRule="exact"/>
    </w:pPr>
    <w:rPr>
      <w:b/>
      <w:sz w:val="24"/>
      <w:szCs w:val="24"/>
    </w:rPr>
  </w:style>
  <w:style w:type="paragraph" w:customStyle="1" w:styleId="StandaardRapportVersie">
    <w:name w:val="Standaard_Rapport_Versie"/>
    <w:basedOn w:val="Normal"/>
    <w:next w:val="Normal"/>
    <w:pPr>
      <w:spacing w:before="60" w:after="360" w:line="240" w:lineRule="exact"/>
    </w:pPr>
  </w:style>
  <w:style w:type="table" w:customStyle="1" w:styleId="StandaardRapportpag1">
    <w:name w:val="Standaard_Rapport_pag1"/>
    <w:rPr>
      <w:rFonts w:ascii="Verdana" w:hAnsi="Verdana"/>
      <w:color w:val="000000"/>
      <w:sz w:val="18"/>
      <w:szCs w:val="18"/>
    </w:rPr>
    <w:tblPr>
      <w:tblCellMar>
        <w:top w:w="0" w:type="dxa"/>
        <w:left w:w="0" w:type="dxa"/>
        <w:bottom w:w="0" w:type="dxa"/>
        <w:right w:w="0" w:type="dxa"/>
      </w:tblCellMar>
    </w:tblPr>
  </w:style>
  <w:style w:type="paragraph" w:customStyle="1" w:styleId="Toezendgegevens">
    <w:name w:val="Toezendgegevens"/>
    <w:pPr>
      <w:spacing w:line="240" w:lineRule="exact"/>
    </w:pPr>
    <w:rPr>
      <w:rFonts w:ascii="Verdana" w:hAnsi="Verdana"/>
      <w:color w:val="000000"/>
      <w:sz w:val="18"/>
      <w:szCs w:val="18"/>
    </w:rPr>
  </w:style>
  <w:style w:type="paragraph" w:customStyle="1" w:styleId="Verdana">
    <w:name w:val="Verdana"/>
    <w:basedOn w:val="Normal"/>
    <w:next w:val="Normal"/>
    <w:pPr>
      <w:spacing w:line="240" w:lineRule="exact"/>
    </w:pPr>
    <w:rPr>
      <w:sz w:val="14"/>
      <w:szCs w:val="14"/>
    </w:rPr>
  </w:style>
  <w:style w:type="paragraph" w:customStyle="1" w:styleId="Verdana65">
    <w:name w:val="Verdana 6.5"/>
    <w:basedOn w:val="Normal"/>
    <w:next w:val="Normal"/>
    <w:pPr>
      <w:spacing w:line="240" w:lineRule="exact"/>
    </w:pPr>
    <w:rPr>
      <w:sz w:val="13"/>
      <w:szCs w:val="13"/>
    </w:rPr>
  </w:style>
  <w:style w:type="paragraph" w:customStyle="1" w:styleId="Verdana65bold">
    <w:name w:val="Verdana 6.5 bold"/>
    <w:basedOn w:val="Normal"/>
    <w:next w:val="Normal"/>
    <w:pPr>
      <w:spacing w:line="180" w:lineRule="exact"/>
    </w:pPr>
    <w:rPr>
      <w:b/>
      <w:sz w:val="13"/>
      <w:szCs w:val="13"/>
    </w:rPr>
  </w:style>
  <w:style w:type="paragraph" w:customStyle="1" w:styleId="Verdana8">
    <w:name w:val="Verdana 8"/>
    <w:next w:val="Normal"/>
    <w:pPr>
      <w:spacing w:line="180" w:lineRule="exact"/>
    </w:pPr>
    <w:rPr>
      <w:rFonts w:ascii="Verdana" w:hAnsi="Verdana"/>
      <w:color w:val="000000"/>
      <w:sz w:val="16"/>
      <w:szCs w:val="16"/>
    </w:rPr>
  </w:style>
  <w:style w:type="paragraph" w:customStyle="1" w:styleId="Verdana8rechts">
    <w:name w:val="Verdana 8 rechts"/>
    <w:basedOn w:val="Normal"/>
    <w:next w:val="Normal"/>
    <w:pPr>
      <w:spacing w:line="240" w:lineRule="exact"/>
      <w:jc w:val="right"/>
    </w:pPr>
    <w:rPr>
      <w:sz w:val="16"/>
      <w:szCs w:val="16"/>
    </w:rPr>
  </w:style>
  <w:style w:type="paragraph" w:customStyle="1" w:styleId="WitregelW1">
    <w:name w:val="Witregel W1"/>
    <w:next w:val="Normal"/>
    <w:pPr>
      <w:spacing w:line="90" w:lineRule="exact"/>
    </w:pPr>
    <w:rPr>
      <w:rFonts w:ascii="Verdana" w:hAnsi="Verdana"/>
      <w:color w:val="000000"/>
      <w:sz w:val="9"/>
      <w:szCs w:val="9"/>
    </w:rPr>
  </w:style>
  <w:style w:type="paragraph" w:customStyle="1" w:styleId="WitregelW1bodytekst">
    <w:name w:val="Witregel W1 (bodytekst)"/>
    <w:next w:val="Normal"/>
    <w:pPr>
      <w:spacing w:line="240" w:lineRule="exact"/>
    </w:pPr>
    <w:rPr>
      <w:rFonts w:ascii="Verdana" w:hAnsi="Verdana"/>
      <w:color w:val="000000"/>
      <w:sz w:val="18"/>
      <w:szCs w:val="18"/>
    </w:rPr>
  </w:style>
  <w:style w:type="paragraph" w:customStyle="1" w:styleId="WitregelW2">
    <w:name w:val="Witregel W2"/>
    <w:next w:val="Normal"/>
    <w:pPr>
      <w:spacing w:line="270" w:lineRule="exact"/>
    </w:pPr>
    <w:rPr>
      <w:rFonts w:ascii="Verdana" w:hAnsi="Verdana"/>
      <w:color w:val="000000"/>
      <w:sz w:val="27"/>
      <w:szCs w:val="27"/>
    </w:rPr>
  </w:style>
  <w:style w:type="paragraph" w:customStyle="1" w:styleId="Witregel1pt">
    <w:name w:val="Witregel_1pt"/>
    <w:basedOn w:val="Normal"/>
    <w:next w:val="Normal"/>
    <w:pPr>
      <w:spacing w:line="240" w:lineRule="exact"/>
    </w:pPr>
    <w:rPr>
      <w:sz w:val="2"/>
      <w:szCs w:val="2"/>
    </w:rPr>
  </w:style>
  <w:style w:type="paragraph" w:customStyle="1" w:styleId="Zendbriefstandaard">
    <w:name w:val="Zendbrief standaard"/>
    <w:basedOn w:val="Normal"/>
    <w:next w:val="Normal"/>
    <w:pPr>
      <w:spacing w:before="100" w:after="240" w:line="240" w:lineRule="exact"/>
    </w:pPr>
  </w:style>
  <w:style w:type="paragraph" w:styleId="Header">
    <w:name w:val="header"/>
    <w:basedOn w:val="Normal"/>
    <w:link w:val="HeaderChar"/>
    <w:uiPriority w:val="99"/>
    <w:unhideWhenUsed/>
    <w:rsid w:val="008C43CE"/>
    <w:pPr>
      <w:tabs>
        <w:tab w:val="center" w:pos="4536"/>
        <w:tab w:val="right" w:pos="9072"/>
      </w:tabs>
      <w:spacing w:line="240" w:lineRule="auto"/>
    </w:pPr>
  </w:style>
  <w:style w:type="character" w:customStyle="1" w:styleId="HeaderChar">
    <w:name w:val="Header Char"/>
    <w:basedOn w:val="DefaultParagraphFont"/>
    <w:link w:val="Header"/>
    <w:uiPriority w:val="99"/>
    <w:rsid w:val="008C43CE"/>
    <w:rPr>
      <w:rFonts w:ascii="Verdana" w:hAnsi="Verdana"/>
      <w:color w:val="000000"/>
      <w:sz w:val="18"/>
      <w:szCs w:val="18"/>
    </w:rPr>
  </w:style>
  <w:style w:type="paragraph" w:styleId="Footer">
    <w:name w:val="footer"/>
    <w:basedOn w:val="Normal"/>
    <w:link w:val="FooterChar"/>
    <w:uiPriority w:val="99"/>
    <w:unhideWhenUsed/>
    <w:rsid w:val="008C43CE"/>
    <w:pPr>
      <w:tabs>
        <w:tab w:val="center" w:pos="4536"/>
        <w:tab w:val="right" w:pos="9072"/>
      </w:tabs>
      <w:spacing w:line="240" w:lineRule="auto"/>
    </w:pPr>
  </w:style>
  <w:style w:type="character" w:customStyle="1" w:styleId="FooterChar">
    <w:name w:val="Footer Char"/>
    <w:basedOn w:val="DefaultParagraphFont"/>
    <w:link w:val="Footer"/>
    <w:uiPriority w:val="99"/>
    <w:rsid w:val="008C43CE"/>
    <w:rPr>
      <w:rFonts w:ascii="Verdana" w:hAnsi="Verdana"/>
      <w:color w:val="000000"/>
      <w:sz w:val="18"/>
      <w:szCs w:val="18"/>
    </w:rPr>
  </w:style>
  <w:style w:type="character" w:styleId="CommentReference">
    <w:name w:val="annotation reference"/>
    <w:basedOn w:val="DefaultParagraphFont"/>
    <w:uiPriority w:val="99"/>
    <w:semiHidden/>
    <w:unhideWhenUsed/>
    <w:rsid w:val="00634B75"/>
    <w:rPr>
      <w:sz w:val="16"/>
      <w:szCs w:val="16"/>
    </w:rPr>
  </w:style>
  <w:style w:type="paragraph" w:styleId="CommentText">
    <w:name w:val="annotation text"/>
    <w:basedOn w:val="Normal"/>
    <w:link w:val="CommentTextChar"/>
    <w:uiPriority w:val="99"/>
    <w:unhideWhenUsed/>
    <w:rsid w:val="00634B75"/>
    <w:pPr>
      <w:spacing w:line="240" w:lineRule="auto"/>
    </w:pPr>
    <w:rPr>
      <w:sz w:val="20"/>
      <w:szCs w:val="20"/>
    </w:rPr>
  </w:style>
  <w:style w:type="character" w:customStyle="1" w:styleId="CommentTextChar">
    <w:name w:val="Comment Text Char"/>
    <w:basedOn w:val="DefaultParagraphFont"/>
    <w:link w:val="CommentText"/>
    <w:uiPriority w:val="99"/>
    <w:rsid w:val="00634B75"/>
    <w:rPr>
      <w:rFonts w:ascii="Verdana" w:hAnsi="Verdana"/>
      <w:color w:val="000000"/>
    </w:rPr>
  </w:style>
  <w:style w:type="paragraph" w:styleId="CommentSubject">
    <w:name w:val="annotation subject"/>
    <w:basedOn w:val="CommentText"/>
    <w:next w:val="CommentText"/>
    <w:link w:val="CommentSubjectChar"/>
    <w:uiPriority w:val="99"/>
    <w:semiHidden/>
    <w:unhideWhenUsed/>
    <w:rsid w:val="00634B75"/>
    <w:rPr>
      <w:b/>
      <w:bCs/>
    </w:rPr>
  </w:style>
  <w:style w:type="character" w:customStyle="1" w:styleId="CommentSubjectChar">
    <w:name w:val="Comment Subject Char"/>
    <w:basedOn w:val="CommentTextChar"/>
    <w:link w:val="CommentSubject"/>
    <w:uiPriority w:val="99"/>
    <w:semiHidden/>
    <w:rsid w:val="00634B75"/>
    <w:rPr>
      <w:rFonts w:ascii="Verdana" w:hAnsi="Verdana"/>
      <w:b/>
      <w:bCs/>
      <w:color w:val="000000"/>
    </w:rPr>
  </w:style>
  <w:style w:type="paragraph" w:styleId="ListParagraph">
    <w:name w:val="List Paragraph"/>
    <w:basedOn w:val="Normal"/>
    <w:uiPriority w:val="34"/>
    <w:qFormat/>
    <w:rsid w:val="00CA0B6B"/>
    <w:pPr>
      <w:ind w:left="720"/>
      <w:contextualSpacing/>
    </w:pPr>
  </w:style>
  <w:style w:type="paragraph" w:styleId="NoSpacing">
    <w:name w:val="No Spacing"/>
    <w:uiPriority w:val="1"/>
    <w:qFormat/>
    <w:rsid w:val="00517FC2"/>
    <w:pPr>
      <w:autoSpaceDN/>
      <w:textAlignment w:val="auto"/>
    </w:pPr>
    <w:rPr>
      <w:rFonts w:asciiTheme="minorHAnsi" w:eastAsiaTheme="minorHAnsi" w:hAnsiTheme="minorHAnsi" w:cstheme="minorBidi"/>
      <w:kern w:val="2"/>
      <w:sz w:val="22"/>
      <w:szCs w:val="22"/>
      <w:lang w:eastAsia="en-US"/>
      <w14:ligatures w14:val="standardContextual"/>
    </w:rPr>
  </w:style>
  <w:style w:type="paragraph" w:styleId="FootnoteText">
    <w:name w:val="footnote text"/>
    <w:basedOn w:val="Normal"/>
    <w:link w:val="FootnoteTextChar"/>
    <w:uiPriority w:val="99"/>
    <w:semiHidden/>
    <w:unhideWhenUsed/>
    <w:rsid w:val="00517FC2"/>
    <w:pPr>
      <w:autoSpaceDN/>
      <w:spacing w:line="240" w:lineRule="auto"/>
      <w:textAlignment w:val="auto"/>
    </w:pPr>
    <w:rPr>
      <w:rFonts w:asciiTheme="minorHAnsi" w:eastAsiaTheme="minorHAnsi" w:hAnsiTheme="minorHAnsi" w:cstheme="minorBidi"/>
      <w:color w:val="auto"/>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517FC2"/>
    <w:rPr>
      <w:rFonts w:asciiTheme="minorHAnsi" w:eastAsiaTheme="minorHAnsi" w:hAnsiTheme="minorHAnsi" w:cstheme="minorBidi"/>
      <w:kern w:val="2"/>
      <w:lang w:eastAsia="en-US"/>
      <w14:ligatures w14:val="standardContextual"/>
    </w:rPr>
  </w:style>
  <w:style w:type="character" w:styleId="FootnoteReference">
    <w:name w:val="footnote reference"/>
    <w:basedOn w:val="DefaultParagraphFont"/>
    <w:uiPriority w:val="99"/>
    <w:semiHidden/>
    <w:unhideWhenUsed/>
    <w:rsid w:val="00517FC2"/>
    <w:rPr>
      <w:vertAlign w:val="superscript"/>
    </w:rPr>
  </w:style>
  <w:style w:type="character" w:customStyle="1" w:styleId="Heading1Char">
    <w:name w:val="Heading 1 Char"/>
    <w:basedOn w:val="DefaultParagraphFont"/>
    <w:link w:val="Heading1"/>
    <w:uiPriority w:val="99"/>
    <w:semiHidden/>
    <w:rsid w:val="000059A4"/>
    <w:rPr>
      <w:rFonts w:asciiTheme="majorHAnsi" w:eastAsiaTheme="majorEastAsia" w:hAnsiTheme="majorHAnsi" w:cstheme="majorBidi"/>
      <w:color w:val="0F4761" w:themeColor="accent1" w:themeShade="BF"/>
      <w:sz w:val="32"/>
      <w:szCs w:val="32"/>
    </w:rPr>
  </w:style>
  <w:style w:type="paragraph" w:styleId="Revision">
    <w:name w:val="Revision"/>
    <w:hidden/>
    <w:uiPriority w:val="99"/>
    <w:semiHidden/>
    <w:rsid w:val="00EE77E0"/>
    <w:pPr>
      <w:autoSpaceDN/>
      <w:textAlignment w:val="auto"/>
    </w:pPr>
    <w:rPr>
      <w:rFonts w:ascii="Verdana" w:hAnsi="Verdana"/>
      <w:color w:val="000000"/>
      <w:sz w:val="18"/>
      <w:szCs w:val="18"/>
    </w:rPr>
  </w:style>
  <w:style w:type="character" w:customStyle="1" w:styleId="UnresolvedMention">
    <w:name w:val="Unresolved Mention"/>
    <w:basedOn w:val="DefaultParagraphFont"/>
    <w:uiPriority w:val="99"/>
    <w:semiHidden/>
    <w:unhideWhenUsed/>
    <w:rsid w:val="000C6889"/>
    <w:rPr>
      <w:color w:val="605E5C"/>
      <w:shd w:val="clear" w:color="auto" w:fill="E1DFDD"/>
    </w:rPr>
  </w:style>
  <w:style w:type="character" w:styleId="FollowedHyperlink">
    <w:name w:val="FollowedHyperlink"/>
    <w:basedOn w:val="DefaultParagraphFont"/>
    <w:uiPriority w:val="99"/>
    <w:semiHidden/>
    <w:unhideWhenUsed/>
    <w:rsid w:val="009D36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00204">
      <w:bodyDiv w:val="1"/>
      <w:marLeft w:val="0"/>
      <w:marRight w:val="0"/>
      <w:marTop w:val="0"/>
      <w:marBottom w:val="0"/>
      <w:divBdr>
        <w:top w:val="none" w:sz="0" w:space="0" w:color="auto"/>
        <w:left w:val="none" w:sz="0" w:space="0" w:color="auto"/>
        <w:bottom w:val="none" w:sz="0" w:space="0" w:color="auto"/>
        <w:right w:val="none" w:sz="0" w:space="0" w:color="auto"/>
      </w:divBdr>
    </w:div>
    <w:div w:id="162013971">
      <w:bodyDiv w:val="1"/>
      <w:marLeft w:val="0"/>
      <w:marRight w:val="0"/>
      <w:marTop w:val="0"/>
      <w:marBottom w:val="0"/>
      <w:divBdr>
        <w:top w:val="none" w:sz="0" w:space="0" w:color="auto"/>
        <w:left w:val="none" w:sz="0" w:space="0" w:color="auto"/>
        <w:bottom w:val="none" w:sz="0" w:space="0" w:color="auto"/>
        <w:right w:val="none" w:sz="0" w:space="0" w:color="auto"/>
      </w:divBdr>
    </w:div>
    <w:div w:id="250240903">
      <w:bodyDiv w:val="1"/>
      <w:marLeft w:val="0"/>
      <w:marRight w:val="0"/>
      <w:marTop w:val="0"/>
      <w:marBottom w:val="0"/>
      <w:divBdr>
        <w:top w:val="none" w:sz="0" w:space="0" w:color="auto"/>
        <w:left w:val="none" w:sz="0" w:space="0" w:color="auto"/>
        <w:bottom w:val="none" w:sz="0" w:space="0" w:color="auto"/>
        <w:right w:val="none" w:sz="0" w:space="0" w:color="auto"/>
      </w:divBdr>
    </w:div>
    <w:div w:id="344132555">
      <w:bodyDiv w:val="1"/>
      <w:marLeft w:val="0"/>
      <w:marRight w:val="0"/>
      <w:marTop w:val="0"/>
      <w:marBottom w:val="0"/>
      <w:divBdr>
        <w:top w:val="none" w:sz="0" w:space="0" w:color="auto"/>
        <w:left w:val="none" w:sz="0" w:space="0" w:color="auto"/>
        <w:bottom w:val="none" w:sz="0" w:space="0" w:color="auto"/>
        <w:right w:val="none" w:sz="0" w:space="0" w:color="auto"/>
      </w:divBdr>
    </w:div>
    <w:div w:id="369113358">
      <w:bodyDiv w:val="1"/>
      <w:marLeft w:val="0"/>
      <w:marRight w:val="0"/>
      <w:marTop w:val="0"/>
      <w:marBottom w:val="0"/>
      <w:divBdr>
        <w:top w:val="none" w:sz="0" w:space="0" w:color="auto"/>
        <w:left w:val="none" w:sz="0" w:space="0" w:color="auto"/>
        <w:bottom w:val="none" w:sz="0" w:space="0" w:color="auto"/>
        <w:right w:val="none" w:sz="0" w:space="0" w:color="auto"/>
      </w:divBdr>
    </w:div>
    <w:div w:id="439570080">
      <w:bodyDiv w:val="1"/>
      <w:marLeft w:val="0"/>
      <w:marRight w:val="0"/>
      <w:marTop w:val="0"/>
      <w:marBottom w:val="0"/>
      <w:divBdr>
        <w:top w:val="none" w:sz="0" w:space="0" w:color="auto"/>
        <w:left w:val="none" w:sz="0" w:space="0" w:color="auto"/>
        <w:bottom w:val="none" w:sz="0" w:space="0" w:color="auto"/>
        <w:right w:val="none" w:sz="0" w:space="0" w:color="auto"/>
      </w:divBdr>
    </w:div>
    <w:div w:id="454253136">
      <w:bodyDiv w:val="1"/>
      <w:marLeft w:val="0"/>
      <w:marRight w:val="0"/>
      <w:marTop w:val="0"/>
      <w:marBottom w:val="0"/>
      <w:divBdr>
        <w:top w:val="none" w:sz="0" w:space="0" w:color="auto"/>
        <w:left w:val="none" w:sz="0" w:space="0" w:color="auto"/>
        <w:bottom w:val="none" w:sz="0" w:space="0" w:color="auto"/>
        <w:right w:val="none" w:sz="0" w:space="0" w:color="auto"/>
      </w:divBdr>
    </w:div>
    <w:div w:id="506949034">
      <w:bodyDiv w:val="1"/>
      <w:marLeft w:val="0"/>
      <w:marRight w:val="0"/>
      <w:marTop w:val="0"/>
      <w:marBottom w:val="0"/>
      <w:divBdr>
        <w:top w:val="none" w:sz="0" w:space="0" w:color="auto"/>
        <w:left w:val="none" w:sz="0" w:space="0" w:color="auto"/>
        <w:bottom w:val="none" w:sz="0" w:space="0" w:color="auto"/>
        <w:right w:val="none" w:sz="0" w:space="0" w:color="auto"/>
      </w:divBdr>
    </w:div>
    <w:div w:id="719016843">
      <w:bodyDiv w:val="1"/>
      <w:marLeft w:val="0"/>
      <w:marRight w:val="0"/>
      <w:marTop w:val="0"/>
      <w:marBottom w:val="0"/>
      <w:divBdr>
        <w:top w:val="none" w:sz="0" w:space="0" w:color="auto"/>
        <w:left w:val="none" w:sz="0" w:space="0" w:color="auto"/>
        <w:bottom w:val="none" w:sz="0" w:space="0" w:color="auto"/>
        <w:right w:val="none" w:sz="0" w:space="0" w:color="auto"/>
      </w:divBdr>
    </w:div>
    <w:div w:id="1277058993">
      <w:bodyDiv w:val="1"/>
      <w:marLeft w:val="0"/>
      <w:marRight w:val="0"/>
      <w:marTop w:val="0"/>
      <w:marBottom w:val="0"/>
      <w:divBdr>
        <w:top w:val="none" w:sz="0" w:space="0" w:color="auto"/>
        <w:left w:val="none" w:sz="0" w:space="0" w:color="auto"/>
        <w:bottom w:val="none" w:sz="0" w:space="0" w:color="auto"/>
        <w:right w:val="none" w:sz="0" w:space="0" w:color="auto"/>
      </w:divBdr>
    </w:div>
    <w:div w:id="1404569201">
      <w:bodyDiv w:val="1"/>
      <w:marLeft w:val="0"/>
      <w:marRight w:val="0"/>
      <w:marTop w:val="0"/>
      <w:marBottom w:val="0"/>
      <w:divBdr>
        <w:top w:val="none" w:sz="0" w:space="0" w:color="auto"/>
        <w:left w:val="none" w:sz="0" w:space="0" w:color="auto"/>
        <w:bottom w:val="none" w:sz="0" w:space="0" w:color="auto"/>
        <w:right w:val="none" w:sz="0" w:space="0" w:color="auto"/>
      </w:divBdr>
    </w:div>
    <w:div w:id="1426993396">
      <w:bodyDiv w:val="1"/>
      <w:marLeft w:val="0"/>
      <w:marRight w:val="0"/>
      <w:marTop w:val="0"/>
      <w:marBottom w:val="0"/>
      <w:divBdr>
        <w:top w:val="none" w:sz="0" w:space="0" w:color="auto"/>
        <w:left w:val="none" w:sz="0" w:space="0" w:color="auto"/>
        <w:bottom w:val="none" w:sz="0" w:space="0" w:color="auto"/>
        <w:right w:val="none" w:sz="0" w:space="0" w:color="auto"/>
      </w:divBdr>
    </w:div>
    <w:div w:id="1440755994">
      <w:bodyDiv w:val="1"/>
      <w:marLeft w:val="0"/>
      <w:marRight w:val="0"/>
      <w:marTop w:val="0"/>
      <w:marBottom w:val="0"/>
      <w:divBdr>
        <w:top w:val="none" w:sz="0" w:space="0" w:color="auto"/>
        <w:left w:val="none" w:sz="0" w:space="0" w:color="auto"/>
        <w:bottom w:val="none" w:sz="0" w:space="0" w:color="auto"/>
        <w:right w:val="none" w:sz="0" w:space="0" w:color="auto"/>
      </w:divBdr>
    </w:div>
    <w:div w:id="1477839600">
      <w:bodyDiv w:val="1"/>
      <w:marLeft w:val="0"/>
      <w:marRight w:val="0"/>
      <w:marTop w:val="0"/>
      <w:marBottom w:val="0"/>
      <w:divBdr>
        <w:top w:val="none" w:sz="0" w:space="0" w:color="auto"/>
        <w:left w:val="none" w:sz="0" w:space="0" w:color="auto"/>
        <w:bottom w:val="none" w:sz="0" w:space="0" w:color="auto"/>
        <w:right w:val="none" w:sz="0" w:space="0" w:color="auto"/>
      </w:divBdr>
    </w:div>
    <w:div w:id="1524318061">
      <w:bodyDiv w:val="1"/>
      <w:marLeft w:val="0"/>
      <w:marRight w:val="0"/>
      <w:marTop w:val="0"/>
      <w:marBottom w:val="0"/>
      <w:divBdr>
        <w:top w:val="none" w:sz="0" w:space="0" w:color="auto"/>
        <w:left w:val="none" w:sz="0" w:space="0" w:color="auto"/>
        <w:bottom w:val="none" w:sz="0" w:space="0" w:color="auto"/>
        <w:right w:val="none" w:sz="0" w:space="0" w:color="auto"/>
      </w:divBdr>
    </w:div>
    <w:div w:id="1525629541">
      <w:bodyDiv w:val="1"/>
      <w:marLeft w:val="0"/>
      <w:marRight w:val="0"/>
      <w:marTop w:val="0"/>
      <w:marBottom w:val="0"/>
      <w:divBdr>
        <w:top w:val="none" w:sz="0" w:space="0" w:color="auto"/>
        <w:left w:val="none" w:sz="0" w:space="0" w:color="auto"/>
        <w:bottom w:val="none" w:sz="0" w:space="0" w:color="auto"/>
        <w:right w:val="none" w:sz="0" w:space="0" w:color="auto"/>
      </w:divBdr>
    </w:div>
    <w:div w:id="1620334594">
      <w:bodyDiv w:val="1"/>
      <w:marLeft w:val="0"/>
      <w:marRight w:val="0"/>
      <w:marTop w:val="0"/>
      <w:marBottom w:val="0"/>
      <w:divBdr>
        <w:top w:val="none" w:sz="0" w:space="0" w:color="auto"/>
        <w:left w:val="none" w:sz="0" w:space="0" w:color="auto"/>
        <w:bottom w:val="none" w:sz="0" w:space="0" w:color="auto"/>
        <w:right w:val="none" w:sz="0" w:space="0" w:color="auto"/>
      </w:divBdr>
    </w:div>
    <w:div w:id="1627586604">
      <w:bodyDiv w:val="1"/>
      <w:marLeft w:val="0"/>
      <w:marRight w:val="0"/>
      <w:marTop w:val="0"/>
      <w:marBottom w:val="0"/>
      <w:divBdr>
        <w:top w:val="none" w:sz="0" w:space="0" w:color="auto"/>
        <w:left w:val="none" w:sz="0" w:space="0" w:color="auto"/>
        <w:bottom w:val="none" w:sz="0" w:space="0" w:color="auto"/>
        <w:right w:val="none" w:sz="0" w:space="0" w:color="auto"/>
      </w:divBdr>
    </w:div>
    <w:div w:id="1657369603">
      <w:bodyDiv w:val="1"/>
      <w:marLeft w:val="0"/>
      <w:marRight w:val="0"/>
      <w:marTop w:val="0"/>
      <w:marBottom w:val="0"/>
      <w:divBdr>
        <w:top w:val="none" w:sz="0" w:space="0" w:color="auto"/>
        <w:left w:val="none" w:sz="0" w:space="0" w:color="auto"/>
        <w:bottom w:val="none" w:sz="0" w:space="0" w:color="auto"/>
        <w:right w:val="none" w:sz="0" w:space="0" w:color="auto"/>
      </w:divBdr>
    </w:div>
    <w:div w:id="1669286583">
      <w:bodyDiv w:val="1"/>
      <w:marLeft w:val="0"/>
      <w:marRight w:val="0"/>
      <w:marTop w:val="0"/>
      <w:marBottom w:val="0"/>
      <w:divBdr>
        <w:top w:val="none" w:sz="0" w:space="0" w:color="auto"/>
        <w:left w:val="none" w:sz="0" w:space="0" w:color="auto"/>
        <w:bottom w:val="none" w:sz="0" w:space="0" w:color="auto"/>
        <w:right w:val="none" w:sz="0" w:space="0" w:color="auto"/>
      </w:divBdr>
    </w:div>
    <w:div w:id="1697658513">
      <w:bodyDiv w:val="1"/>
      <w:marLeft w:val="0"/>
      <w:marRight w:val="0"/>
      <w:marTop w:val="0"/>
      <w:marBottom w:val="0"/>
      <w:divBdr>
        <w:top w:val="none" w:sz="0" w:space="0" w:color="auto"/>
        <w:left w:val="none" w:sz="0" w:space="0" w:color="auto"/>
        <w:bottom w:val="none" w:sz="0" w:space="0" w:color="auto"/>
        <w:right w:val="none" w:sz="0" w:space="0" w:color="auto"/>
      </w:divBdr>
    </w:div>
    <w:div w:id="1747022947">
      <w:bodyDiv w:val="1"/>
      <w:marLeft w:val="0"/>
      <w:marRight w:val="0"/>
      <w:marTop w:val="0"/>
      <w:marBottom w:val="0"/>
      <w:divBdr>
        <w:top w:val="none" w:sz="0" w:space="0" w:color="auto"/>
        <w:left w:val="none" w:sz="0" w:space="0" w:color="auto"/>
        <w:bottom w:val="none" w:sz="0" w:space="0" w:color="auto"/>
        <w:right w:val="none" w:sz="0" w:space="0" w:color="auto"/>
      </w:divBdr>
    </w:div>
    <w:div w:id="1994527042">
      <w:bodyDiv w:val="1"/>
      <w:marLeft w:val="0"/>
      <w:marRight w:val="0"/>
      <w:marTop w:val="0"/>
      <w:marBottom w:val="0"/>
      <w:divBdr>
        <w:top w:val="none" w:sz="0" w:space="0" w:color="auto"/>
        <w:left w:val="none" w:sz="0" w:space="0" w:color="auto"/>
        <w:bottom w:val="none" w:sz="0" w:space="0" w:color="auto"/>
        <w:right w:val="none" w:sz="0" w:space="0" w:color="auto"/>
      </w:divBdr>
    </w:div>
    <w:div w:id="2024278970">
      <w:bodyDiv w:val="1"/>
      <w:marLeft w:val="0"/>
      <w:marRight w:val="0"/>
      <w:marTop w:val="0"/>
      <w:marBottom w:val="0"/>
      <w:divBdr>
        <w:top w:val="none" w:sz="0" w:space="0" w:color="auto"/>
        <w:left w:val="none" w:sz="0" w:space="0" w:color="auto"/>
        <w:bottom w:val="none" w:sz="0" w:space="0" w:color="auto"/>
        <w:right w:val="none" w:sz="0" w:space="0" w:color="auto"/>
      </w:divBdr>
    </w:div>
    <w:div w:id="2099400302">
      <w:bodyDiv w:val="1"/>
      <w:marLeft w:val="0"/>
      <w:marRight w:val="0"/>
      <w:marTop w:val="0"/>
      <w:marBottom w:val="0"/>
      <w:divBdr>
        <w:top w:val="none" w:sz="0" w:space="0" w:color="auto"/>
        <w:left w:val="none" w:sz="0" w:space="0" w:color="auto"/>
        <w:bottom w:val="none" w:sz="0" w:space="0" w:color="auto"/>
        <w:right w:val="none" w:sz="0" w:space="0" w:color="auto"/>
      </w:divBdr>
    </w:div>
    <w:div w:id="21048419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webSetting" Target="webSettings0.xml" Id="rId22" /></Relationships>
</file>

<file path=word/_rels/footnotes.xml.rels><?xml version="1.0" encoding="UTF-8" standalone="yes"?>
<Relationships xmlns="http://schemas.openxmlformats.org/package/2006/relationships"><Relationship Id="rId3" Type="http://schemas.openxmlformats.org/officeDocument/2006/relationships/hyperlink" Target="pack://file%3a,,root,SECUREAPPSUPPORT,fileDatabase,files,260909%2520Kamerbrief%2520jaarlijkse%2520monitoring%2520basisnet%2520en%2520ontwikkelingen%2520VGS_final_00000001.docx/word/numbering.xml" TargetMode="External"/><Relationship Id="rId2" Type="http://schemas.openxmlformats.org/officeDocument/2006/relationships/hyperlink" Target="pack://file%3a,,root,SECUREAPPSUPPORT,fileDatabase,files,260909%2520Kamerbrief%2520jaarlijkse%2520monitoring%2520basisnet%2520en%2520ontwikkelingen%2520VGS_final_00000001.docx/customXml/item2.xml" TargetMode="External"/><Relationship Id="rId1" Type="http://schemas.openxmlformats.org/officeDocument/2006/relationships/hyperlink" Target="pack://file%3a,,root,SECUREAPPSUPPORT,fileDatabase,files,260909%2520Kamerbrief%2520jaarlijkse%2520monitoring%2520basisnet%2520en%2520ontwikkelingen%2520VGS_final_00000001.docx/customXml/item1.xml" TargetMode="External"/><Relationship Id="rId4" Type="http://schemas.openxmlformats.org/officeDocument/2006/relationships/hyperlink" Target="pack://file%3a,,root,SECUREAPPSUPPORT,fileDatabase,files,260909%2520Kamerbrief%2520jaarlijkse%2520monitoring%2520basisnet%2520en%2520ontwikkelingen%2520VGS_final_00000001.docx/word/styles.xml"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H:\Downloads\Brief%20aan%20Parlement%20(5).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2</ap:Pages>
  <ap:Words>1958</ap:Words>
  <ap:Characters>11161</ap:Characters>
  <ap:DocSecurity>0</ap:DocSecurity>
  <ap:Lines>93</ap:Lines>
  <ap:Paragraphs>26</ap:Paragraphs>
  <ap:ScaleCrop>false</ap:ScaleCrop>
  <ap:HeadingPairs>
    <vt:vector baseType="variant" size="2">
      <vt:variant>
        <vt:lpstr>Titel</vt:lpstr>
      </vt:variant>
      <vt:variant>
        <vt:i4>1</vt:i4>
      </vt:variant>
    </vt:vector>
  </ap:HeadingPairs>
  <ap:TitlesOfParts>
    <vt:vector baseType="lpstr" size="1">
      <vt:lpstr>Brief aan Parlement - Vervoer van Gevaarlijke Stoffen</vt:lpstr>
    </vt:vector>
  </ap:TitlesOfParts>
  <ap:LinksUpToDate>false</ap:LinksUpToDate>
  <ap:CharactersWithSpaces>13093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2026-09-29T11:39:00.0000000Z</dcterms:created>
  <dcterms:modified xsi:type="dcterms:W3CDTF">2026-09-29T11:39:00.0000000Z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Identifier">
    <vt:lpwstr/>
  </property>
  <property fmtid="{D5CDD505-2E9C-101B-9397-08002B2CF9AE}" pid="3" name="URL">
    <vt:lpwstr/>
  </property>
  <property fmtid="{D5CDD505-2E9C-101B-9397-08002B2CF9AE}" pid="4" name="Documentsoort">
    <vt:lpwstr>Brief aan Parlement - Vervoer van Gevaarlijke Stoffen</vt:lpwstr>
  </property>
  <property fmtid="{D5CDD505-2E9C-101B-9397-08002B2CF9AE}" pid="5" name="Publicatiedatum">
    <vt:lpwstr/>
  </property>
  <property fmtid="{D5CDD505-2E9C-101B-9397-08002B2CF9AE}" pid="6" name="Verantwoordelijke organisatie">
    <vt:lpwstr>Rijkstrainees afd R</vt:lpwstr>
  </property>
  <property fmtid="{D5CDD505-2E9C-101B-9397-08002B2CF9AE}" pid="7" name="Taal">
    <vt:lpwstr>nl_NL</vt:lpwstr>
  </property>
  <property fmtid="{D5CDD505-2E9C-101B-9397-08002B2CF9AE}" pid="8" name="Inhoudsindicatie">
    <vt:lpwstr/>
  </property>
  <property fmtid="{D5CDD505-2E9C-101B-9397-08002B2CF9AE}" pid="9" name="Status">
    <vt:lpwstr/>
  </property>
  <property fmtid="{D5CDD505-2E9C-101B-9397-08002B2CF9AE}" pid="10" name="Aan">
    <vt:lpwstr/>
  </property>
  <property fmtid="{D5CDD505-2E9C-101B-9397-08002B2CF9AE}" pid="11" name="Van">
    <vt:lpwstr/>
  </property>
  <property fmtid="{D5CDD505-2E9C-101B-9397-08002B2CF9AE}" pid="12" name="Datum">
    <vt:lpwstr/>
  </property>
  <property fmtid="{D5CDD505-2E9C-101B-9397-08002B2CF9AE}" pid="13" name="Opgesteld door, Naam">
    <vt:lpwstr>S. van Olst-Broekhuizen</vt:lpwstr>
  </property>
  <property fmtid="{D5CDD505-2E9C-101B-9397-08002B2CF9AE}" pid="14" name="Opgesteld door, Telefoonnummer">
    <vt:lpwstr/>
  </property>
  <property fmtid="{D5CDD505-2E9C-101B-9397-08002B2CF9AE}" pid="15" name="Kenmerk">
    <vt:lpwstr/>
  </property>
  <property fmtid="{D5CDD505-2E9C-101B-9397-08002B2CF9AE}" pid="16" name="Rubricering">
    <vt:lpwstr/>
  </property>
  <property fmtid="{D5CDD505-2E9C-101B-9397-08002B2CF9AE}" pid="17" name="Vertrouwelijkheidsniveau">
    <vt:lpwstr/>
  </property>
  <property fmtid="{D5CDD505-2E9C-101B-9397-08002B2CF9AE}" pid="18" name="Markering">
    <vt:lpwstr/>
  </property>
  <property fmtid="{D5CDD505-2E9C-101B-9397-08002B2CF9AE}" pid="19" name="Custom 1">
    <vt:lpwstr/>
  </property>
  <property fmtid="{D5CDD505-2E9C-101B-9397-08002B2CF9AE}" pid="20" name="Custom 2">
    <vt:lpwstr/>
  </property>
  <property fmtid="{D5CDD505-2E9C-101B-9397-08002B2CF9AE}" pid="21" name="Custom 3">
    <vt:lpwstr/>
  </property>
  <property fmtid="{D5CDD505-2E9C-101B-9397-08002B2CF9AE}" pid="22" name="Custom 4">
    <vt:lpwstr/>
  </property>
  <property fmtid="{D5CDD505-2E9C-101B-9397-08002B2CF9AE}" pid="23" name="Custom 5">
    <vt:lpwstr/>
  </property>
  <property fmtid="{D5CDD505-2E9C-101B-9397-08002B2CF9AE}" pid="24" name="Aard document">
    <vt:lpwstr/>
  </property>
  <property fmtid="{D5CDD505-2E9C-101B-9397-08002B2CF9AE}" pid="25" name="Taakverzoek">
    <vt:lpwstr/>
  </property>
  <property fmtid="{D5CDD505-2E9C-101B-9397-08002B2CF9AE}" pid="26" name="VA_Niet openbaar">
    <vt:lpwstr/>
  </property>
  <property fmtid="{D5CDD505-2E9C-101B-9397-08002B2CF9AE}" pid="27" name="Informatiecategorie Beleidslijn">
    <vt:lpwstr/>
  </property>
  <property fmtid="{D5CDD505-2E9C-101B-9397-08002B2CF9AE}" pid="28" name="Docgensjabloon">
    <vt:lpwstr>DocGen_Brief_nl_NL</vt:lpwstr>
  </property>
</Properties>
</file>