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CE64C8" w14:paraId="62D7C8D9"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6"/>
                    <a:stretch>
                      <a:fillRect/>
                    </a:stretch>
                  </pic:blipFill>
                  <pic:spPr bwMode="auto">
                    <a:xfrm>
                      <a:off x="0" y="0"/>
                      <a:ext cx="467995" cy="1583865"/>
                    </a:xfrm>
                    <a:prstGeom prst="rect">
                      <a:avLst/>
                    </a:prstGeom>
                  </pic:spPr>
                </pic:pic>
              </a:graphicData>
            </a:graphic>
          </wp:inline>
        </w:drawing>
      </w:r>
    </w:p>
    <w:p w:rsidR="00CE64C8" w14:paraId="0B410F37" w14:textId="77777777">
      <w:pPr>
        <w:framePr w:w="3685" w:h="2494" w:wrap="none" w:hAnchor="page" w:vAnchor="page" w:x="6292" w:hRule="exact" w:anchorLock="1"/>
        <w:spacing w:line="240" w:lineRule="auto"/>
      </w:pPr>
      <w:r>
        <w:rPr>
          <w:noProof/>
        </w:r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7"/>
                    <a:stretch>
                      <a:fillRect/>
                    </a:stretch>
                  </pic:blipFill>
                  <pic:spPr bwMode="auto">
                    <a:xfrm>
                      <a:off x="0" y="0"/>
                      <a:ext cx="2339975" cy="1582834"/>
                    </a:xfrm>
                    <a:prstGeom prst="rect">
                      <a:avLst/>
                    </a:prstGeom>
                  </pic:spPr>
                </pic:pic>
              </a:graphicData>
            </a:graphic>
          </wp:inline>
        </w:drawing>
      </w:r>
    </w:p>
    <w:p w:rsidRPr="003617D5" w:rsidR="00CE64C8" w14:paraId="59F17769" w14:textId="77777777">
      <w:pPr>
        <w:pStyle w:val="Referentiegegevens"/>
        <w:framePr w:w="7540" w:h="255" w:wrap="none" w:hAnchor="page" w:vAnchor="page" w:x="1592" w:y="2709" w:hRule="exact" w:anchorLock="1"/>
      </w:pPr>
      <w:r w:rsidRPr="003617D5">
        <w:t>&gt; Retouradres Postbus 20011 2500 EA Den Haag</w:t>
      </w:r>
    </w:p>
    <w:p w:rsidRPr="00240634" w:rsidR="00240634" w14:paraId="1F7EED75" w14:textId="77777777">
      <w:pPr>
        <w:framePr w:w="7540" w:h="1757" w:wrap="none" w:hAnchor="page" w:vAnchor="page" w:x="1587" w:y="3078" w:hRule="exact" w:anchorLock="1"/>
      </w:pPr>
      <w:r w:rsidRPr="00240634">
        <w:t>Aan de Voorzitter v</w:t>
      </w:r>
      <w:r>
        <w:t xml:space="preserve">an de Tweede Kamer der Staten-Generaal </w:t>
      </w:r>
    </w:p>
    <w:p w:rsidRPr="00240634" w:rsidR="00CE64C8" w14:paraId="63687413" w14:textId="77777777">
      <w:pPr>
        <w:framePr w:w="7540" w:h="1757" w:wrap="none" w:hAnchor="page" w:vAnchor="page" w:x="1587" w:y="3078" w:hRule="exact" w:anchorLock="1"/>
      </w:pPr>
      <w:r w:rsidRPr="00240634">
        <w:t>Postbus 20018</w:t>
      </w:r>
    </w:p>
    <w:p w:rsidRPr="003617D5" w:rsidR="00CE64C8" w14:paraId="3939DD30" w14:textId="77777777">
      <w:pPr>
        <w:framePr w:w="7540" w:h="1757" w:wrap="none" w:hAnchor="page" w:vAnchor="page" w:x="1587" w:y="3078" w:hRule="exact" w:anchorLock="1"/>
      </w:pPr>
      <w:r w:rsidRPr="003617D5">
        <w:t xml:space="preserve">2500 </w:t>
      </w:r>
      <w:r w:rsidRPr="003617D5" w:rsidR="00240634">
        <w:t>EA Den</w:t>
      </w:r>
      <w:r w:rsidRPr="003617D5">
        <w:t xml:space="preserve"> Haag</w:t>
      </w:r>
    </w:p>
    <w:p w:rsidRPr="003617D5" w:rsidR="00CE64C8" w14:paraId="7BE73D92" w14:textId="77777777">
      <w:pPr>
        <w:pStyle w:val="Referentiegegevens"/>
        <w:framePr w:w="2012" w:h="12614" w:wrap="none" w:hAnchor="page" w:vAnchor="page" w:x="9325" w:y="3095" w:hRule="exact" w:anchorLock="1"/>
      </w:pPr>
      <w:r w:rsidRPr="003617D5">
        <w:t>Turfmarkt 147</w:t>
      </w:r>
    </w:p>
    <w:p w:rsidRPr="003617D5" w:rsidR="00CE64C8" w14:paraId="713200A6" w14:textId="77777777">
      <w:pPr>
        <w:pStyle w:val="Referentiegegevens"/>
        <w:framePr w:w="2012" w:h="12614" w:wrap="none" w:hAnchor="page" w:vAnchor="page" w:x="9325" w:y="3095" w:hRule="exact" w:anchorLock="1"/>
      </w:pPr>
      <w:r w:rsidRPr="003617D5">
        <w:t>2511 DP  Den Haag</w:t>
      </w:r>
    </w:p>
    <w:p w:rsidRPr="003617D5" w:rsidR="00CE64C8" w14:paraId="264FCED3" w14:textId="77777777">
      <w:pPr>
        <w:pStyle w:val="Referentiegegevens"/>
        <w:framePr w:w="2012" w:h="12614" w:wrap="none" w:hAnchor="page" w:vAnchor="page" w:x="9325" w:y="3095" w:hRule="exact" w:anchorLock="1"/>
      </w:pPr>
      <w:r w:rsidRPr="003617D5">
        <w:t>Postbus 20011</w:t>
      </w:r>
    </w:p>
    <w:p w:rsidRPr="003617D5" w:rsidR="00CE64C8" w14:paraId="5EBE4B7E" w14:textId="77777777">
      <w:pPr>
        <w:pStyle w:val="Referentiegegevens"/>
        <w:framePr w:w="2012" w:h="12614" w:wrap="none" w:hAnchor="page" w:vAnchor="page" w:x="9325" w:y="3095" w:hRule="exact" w:anchorLock="1"/>
      </w:pPr>
      <w:r w:rsidRPr="003617D5">
        <w:t>2500 EA  Den Haag</w:t>
      </w:r>
    </w:p>
    <w:p w:rsidRPr="003617D5" w:rsidR="00CE64C8" w14:paraId="45630E9E" w14:textId="77777777">
      <w:pPr>
        <w:pStyle w:val="Referentiegegevens"/>
        <w:framePr w:w="2012" w:h="12614" w:wrap="none" w:hAnchor="page" w:vAnchor="page" w:x="9325" w:y="3095" w:hRule="exact" w:anchorLock="1"/>
      </w:pPr>
      <w:r w:rsidRPr="003617D5">
        <w:t>www.rijksoverheid.nl</w:t>
      </w:r>
    </w:p>
    <w:p w:rsidRPr="003617D5" w:rsidR="00CE64C8" w14:paraId="0434A82E" w14:textId="77777777">
      <w:pPr>
        <w:pStyle w:val="WitregelW1"/>
        <w:framePr w:w="2012" w:h="12614" w:wrap="none" w:hAnchor="page" w:vAnchor="page" w:x="9325" w:y="3095" w:hRule="exact" w:anchorLock="1"/>
      </w:pPr>
    </w:p>
    <w:p w:rsidR="00CE64C8" w14:paraId="7324ABF3" w14:textId="77777777">
      <w:pPr>
        <w:pStyle w:val="Referentiegegevensbold"/>
        <w:framePr w:w="2012" w:h="12614" w:wrap="none" w:hAnchor="page" w:vAnchor="page" w:x="9325" w:y="3095" w:hRule="exact" w:anchorLock="1"/>
      </w:pPr>
      <w:r>
        <w:t>Onze referentie</w:t>
      </w:r>
    </w:p>
    <w:bookmarkStart w:name="_Hlk241562219" w:id="0"/>
    <w:p w:rsidR="004C77D7" w14:paraId="60E56ECE"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2026-0000503117</w:t>
      </w:r>
      <w:r>
        <w:fldChar w:fldCharType="end"/>
      </w:r>
    </w:p>
    <w:bookmarkEnd w:id="0"/>
    <w:p w:rsidR="00CE64C8" w14:paraId="5CD8B378" w14:textId="77777777">
      <w:pPr>
        <w:pStyle w:val="WitregelW1"/>
        <w:framePr w:w="2012" w:h="12614" w:wrap="none" w:hAnchor="page" w:vAnchor="page" w:x="9325" w:y="3095" w:hRule="exact" w:anchorLock="1"/>
      </w:pPr>
    </w:p>
    <w:p w:rsidRPr="005875FF" w:rsidR="00CE64C8" w14:paraId="0069EC3F" w14:textId="77777777">
      <w:pPr>
        <w:pStyle w:val="Referentiegegevensbold"/>
        <w:framePr w:w="2012" w:h="12614" w:wrap="none" w:hAnchor="page" w:vAnchor="page" w:x="9325" w:y="3095" w:hRule="exact" w:anchorLock="1"/>
      </w:pPr>
      <w:r w:rsidRPr="005875FF">
        <w:t>Uw referentie</w:t>
      </w:r>
    </w:p>
    <w:p w:rsidR="00CE64C8" w14:paraId="7A98E4B4" w14:textId="77777777">
      <w:pPr>
        <w:pStyle w:val="Referentiegegevens"/>
        <w:framePr w:w="2012" w:h="12614" w:wrap="none" w:hAnchor="page" w:vAnchor="page" w:x="9325" w:y="3095" w:hRule="exact" w:anchorLock="1"/>
      </w:pPr>
      <w:r>
        <w:t>Nr. 36800 IV 74</w:t>
      </w:r>
    </w:p>
    <w:p w:rsidR="00CE64C8" w14:paraId="568AD9F5" w14:textId="77777777">
      <w:pPr>
        <w:pStyle w:val="WitregelW1"/>
        <w:framePr w:w="2012" w:h="12614" w:wrap="none" w:hAnchor="page" w:vAnchor="page" w:x="9325" w:y="3095" w:hRule="exact" w:anchorLock="1"/>
      </w:pPr>
    </w:p>
    <w:p w:rsidR="00CE64C8" w14:paraId="27D86AF1" w14:textId="77777777">
      <w:pPr>
        <w:pStyle w:val="Referentiegegevensbold"/>
        <w:framePr w:w="2012" w:h="12614" w:wrap="none" w:hAnchor="page" w:vAnchor="page" w:x="9325" w:y="3095" w:hRule="exact" w:anchorLock="1"/>
      </w:pPr>
      <w:r>
        <w:t>Bijlage(n)</w:t>
      </w:r>
    </w:p>
    <w:p w:rsidR="00CE64C8" w14:paraId="348B5859" w14:textId="6DED01DD">
      <w:pPr>
        <w:pStyle w:val="Referentiegegevens"/>
        <w:framePr w:w="2012" w:h="12614" w:wrap="none" w:hAnchor="page" w:vAnchor="page" w:x="9325" w:y="3095" w:hRule="exact" w:anchorLock="1"/>
      </w:pPr>
    </w:p>
    <w:p w:rsidR="00F21B99" w14:paraId="60C91C08"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bl>
      <w:tblPr>
        <w:tblpPr w:leftFromText="141" w:rightFromText="141" w:vertAnchor="page" w:horzAnchor="margin" w:tblpY="5119"/>
        <w:tblW w:w="0" w:type="auto"/>
        <w:tblLayout w:type="fixed"/>
        <w:tblLook w:val="0740"/>
      </w:tblPr>
      <w:tblGrid>
        <w:gridCol w:w="1140"/>
        <w:gridCol w:w="5918"/>
      </w:tblGrid>
      <w:tr w:rsidTr="00240634" w14:paraId="7776A39C" w14:textId="77777777">
        <w:tblPrEx>
          <w:tblW w:w="0" w:type="auto"/>
          <w:tblLayout w:type="fixed"/>
          <w:tblLook w:val="0740"/>
        </w:tblPrEx>
        <w:trPr>
          <w:trHeight w:val="240"/>
        </w:trPr>
        <w:tc>
          <w:tcPr>
            <w:tcW w:w="1140" w:type="dxa"/>
          </w:tcPr>
          <w:p w:rsidR="00240634" w:rsidP="00240634" w14:paraId="1E45469C" w14:textId="77777777">
            <w:r>
              <w:t>Datum</w:t>
            </w:r>
          </w:p>
        </w:tc>
        <w:tc>
          <w:tcPr>
            <w:tcW w:w="5918" w:type="dxa"/>
          </w:tcPr>
          <w:p w:rsidR="004C77D7" w14:paraId="62B29122" w14:textId="48E35951">
            <w:r>
              <w:t>29 september 2026</w:t>
            </w:r>
          </w:p>
        </w:tc>
      </w:tr>
      <w:tr w:rsidTr="00240634" w14:paraId="1BD8FB65" w14:textId="77777777">
        <w:tblPrEx>
          <w:tblW w:w="0" w:type="auto"/>
          <w:tblLayout w:type="fixed"/>
          <w:tblLook w:val="0740"/>
        </w:tblPrEx>
        <w:trPr>
          <w:trHeight w:val="240"/>
        </w:trPr>
        <w:tc>
          <w:tcPr>
            <w:tcW w:w="1140" w:type="dxa"/>
          </w:tcPr>
          <w:p w:rsidR="00240634" w:rsidP="00240634" w14:paraId="1D6F84D8" w14:textId="77777777">
            <w:bookmarkStart w:name="_Hlk241059153" w:id="1"/>
            <w:r>
              <w:t>Betreft</w:t>
            </w:r>
          </w:p>
        </w:tc>
        <w:bookmarkStart w:name="_Hlk241562209" w:id="2"/>
        <w:tc>
          <w:tcPr>
            <w:tcW w:w="5918" w:type="dxa"/>
          </w:tcPr>
          <w:p w:rsidR="004C77D7" w14:paraId="5A481EF8" w14:textId="77777777">
            <w:r>
              <w:fldChar w:fldCharType="begin"/>
            </w:r>
            <w:r>
              <w:instrText xml:space="preserve"> DOCPROPERTY  "Onderwerp"  \* MERGEFORMAT </w:instrText>
            </w:r>
            <w:r>
              <w:fldChar w:fldCharType="separate"/>
            </w:r>
            <w:r>
              <w:t>Kamerbrief motie Ceder (Kamerstukken II 2026/27 nr. 36800 IV 74) over het gelijktrekken van de energiekosten in Caribisch Nederland met Europees Nederland</w:t>
            </w:r>
            <w:r>
              <w:fldChar w:fldCharType="end"/>
            </w:r>
            <w:bookmarkEnd w:id="2"/>
          </w:p>
        </w:tc>
      </w:tr>
      <w:bookmarkEnd w:id="1"/>
    </w:tbl>
    <w:p w:rsidR="00CE64C8" w14:paraId="6E31095C" w14:textId="77777777"/>
    <w:p w:rsidR="00CE64C8" w14:paraId="6A410D0C" w14:textId="77777777"/>
    <w:p w:rsidR="00CE64C8" w14:paraId="5C9E84A9" w14:textId="77777777">
      <w:r>
        <w:t xml:space="preserve">Bij het tweeminutendebat van 9 september 2026 </w:t>
      </w:r>
      <w:r w:rsidR="002A4678">
        <w:t>h</w:t>
      </w:r>
      <w:r w:rsidR="008D2F3E">
        <w:t>eeft het lid Ceder (CU)</w:t>
      </w:r>
      <w:r>
        <w:t xml:space="preserve"> een motie (Kamerstukken II 2026/27 nr. 36800 IV 74) ingediend waarin onder andere verzocht werd om “voorafgaand aan de begrotingsbehandeling inzichtelijk te maken hoeveel het kost om de energieprijzen in Caribisch Nederland in ieder geval gelijk te trekken met het gemiddelde in Europees Nederland”. Het kabinet begrijpt de zorgen op de eilanden over de betaalbaarheid van de energierekening, zeker omdat zij kwetsbaar zijn voor prijsstijgingen van (fossiele) energie. Met behulp van de minister van Klimaat en Groene Groei heb ik de volgende informatie opgesteld.</w:t>
      </w:r>
    </w:p>
    <w:p w:rsidR="00CE64C8" w14:paraId="48543889" w14:textId="77777777">
      <w:r>
        <w:t> </w:t>
      </w:r>
    </w:p>
    <w:p w:rsidR="00CE64C8" w14:paraId="6209C43F" w14:textId="77777777">
      <w:r>
        <w:t xml:space="preserve">Op grond van de huidige energieprijzen (september 2026) en eurodollarkoers is het beeld als volgt. Op de drie eilanden van Caribisch Nederland (verder: CN) loopt het variabele elektriciteitstarief van 0,3273 euro/kWh (op </w:t>
      </w:r>
      <w:r>
        <w:t>Sint Eustatius</w:t>
      </w:r>
      <w:r>
        <w:t>) tot 0,4737 euro/kWh (op Saba) met Bonaire daartussenin (0,4325 euro/kWh). In Europees Nederland (verder: E-NL) bedraagt het belangrijkste huidige tarief voor een nieuw contract ruim 0,22 euro/kWh (ervan uitgaande dat 40% van de teruggave energiebelasting aan elektriciteit wordt toegerekend).</w:t>
      </w:r>
    </w:p>
    <w:p w:rsidR="00CE64C8" w14:paraId="2BBA94FB" w14:textId="77777777">
      <w:r>
        <w:t> </w:t>
      </w:r>
    </w:p>
    <w:p w:rsidR="00CE64C8" w14:paraId="2FF230D5" w14:textId="77777777">
      <w:r>
        <w:t>Om voor alle klanten van de eilandelijke voorziening in CN het tarief tot dit niveau terug te brengen, is ruim € 36 miljoe</w:t>
      </w:r>
      <w:r w:rsidR="002A4678">
        <w:t xml:space="preserve">n structureel </w:t>
      </w:r>
      <w:r>
        <w:t xml:space="preserve">per jaar nodig. De energierekening van een modaal huishouden verschilt tussen E-NL en CN. Zo bedraagt het modale elektriciteitsverbruik in CN (ongeveer) 4.000 kWh per jaar, waar dit in E-NL </w:t>
      </w:r>
      <w:r w:rsidR="00422BB3">
        <w:t>nog geen 3.000</w:t>
      </w:r>
      <w:r>
        <w:t xml:space="preserve"> kWh is. Dit verschil komt onder andere doordat een modaal huishouden in CN over ruimtekoeling door middel van airconditioning beschikt. Voor verwarming verbruikt een modaal huishouden in E-NL </w:t>
      </w:r>
      <w:r w:rsidR="00422BB3">
        <w:t>ruim duizend kubieke</w:t>
      </w:r>
      <w:r>
        <w:t xml:space="preserve"> meter aardgas per jaar. Deze post ontbreekt in CN. De energierekening van een modaal huishouden in E-NL met zowel elektriciteit als gas bedraagt ruim drieëntwintighonderd euro per jaar. Omgerekend naar Euro’s bedraagt de energierekening in CN (verbruik van 4.000 kWh per jaar): € 2.166 op Bonaire, € 1.745 op </w:t>
      </w:r>
      <w:r>
        <w:t>Sint Eustatius</w:t>
      </w:r>
      <w:r>
        <w:t xml:space="preserve"> en € 2.331 op Saba. Ook bij de huidige kWh-tarieven is de energierekening van een modaal huishouden in CN dan ook juist lager dan in E-NL.</w:t>
      </w:r>
    </w:p>
    <w:p w:rsidR="00CE64C8" w14:paraId="79483870" w14:textId="77777777">
      <w:r>
        <w:t> </w:t>
      </w:r>
    </w:p>
    <w:p w:rsidR="00CE64C8" w14:paraId="62AA1174" w14:textId="77777777">
      <w:r>
        <w:t xml:space="preserve">Deze berekeningen zijn gebaseerd op de huidige tarieven. De variabele tarieven vanaf 1 januari 2027 zijn nog onbekend en daarmee in nog hogere mate het verschil in tarieven tussen CN en E-NL. Er is overigens een gerede kans op een </w:t>
      </w:r>
      <w:r>
        <w:t>verdere tariefstijging, ook in Europees Nederland.</w:t>
      </w:r>
      <w:r w:rsidR="004C44BA">
        <w:t xml:space="preserve"> </w:t>
      </w:r>
      <w:bookmarkStart w:name="_Hlk241071177" w:id="3"/>
      <w:r w:rsidR="004C44BA">
        <w:t xml:space="preserve">Hierdoor is het aannemelijk dat het uiteindelijke bedrag anders zal uitvallen dan 36 miljoen structureel per jaar. </w:t>
      </w:r>
      <w:bookmarkEnd w:id="3"/>
    </w:p>
    <w:p w:rsidR="00CE64C8" w14:paraId="316C7738" w14:textId="77777777">
      <w:r>
        <w:t> </w:t>
      </w:r>
    </w:p>
    <w:p w:rsidR="00CE64C8" w14:paraId="29265E49" w14:textId="77777777">
      <w:r>
        <w:t xml:space="preserve">Het kabinet heeft op </w:t>
      </w:r>
      <w:r w:rsidR="008D2F3E">
        <w:t>Prinsjesdag</w:t>
      </w:r>
      <w:r>
        <w:t xml:space="preserve"> de </w:t>
      </w:r>
      <w:r w:rsidR="008D2F3E">
        <w:t>begrotings</w:t>
      </w:r>
      <w:r>
        <w:t>plannen voor volgend jaar bekendgemaakt. Hierin worden aanzienlijke middelen begroot voor de betaalbaarheid en van elektriciteit zoals beschreven in mijn brief van 15 september 2026 (uw kenmerk 2026D43563 en 2026Z18901).</w:t>
      </w:r>
      <w:r w:rsidR="002A4678">
        <w:t xml:space="preserve"> </w:t>
      </w:r>
      <w:bookmarkStart w:name="_Hlk241071265" w:id="4"/>
      <w:r w:rsidR="004C44BA">
        <w:t xml:space="preserve">Deze bedragen 3,2 miljoen om tekorten in structurele elektriciteit subsidies op te vangen en ruim 12 miljoen voor de verduurzaming van elektriciteitsvoorzieningen in </w:t>
      </w:r>
      <w:r w:rsidR="004C44BA">
        <w:t>Sint Eustatius</w:t>
      </w:r>
      <w:r w:rsidR="004C44BA">
        <w:t xml:space="preserve"> en Saba. </w:t>
      </w:r>
      <w:bookmarkEnd w:id="4"/>
      <w:r>
        <w:t xml:space="preserve">Door de hoge wereldolieprijzen is de duurzame en langdurige oplossing voor hoge tarieven het vervangen van </w:t>
      </w:r>
      <w:r>
        <w:t>oliegestookte</w:t>
      </w:r>
      <w:r>
        <w:t xml:space="preserve"> elektriciteitsproductie door zon en wind. Daarom wordt vanuit het ministerie van EZK fors ingezet op verduurzaming, onder andere door steun voor projecten voor hernieuwbare energie. Voor het realiseren van zonneweides is vanuit de middelen uit het Coalitieakkoord voor Saba € 6 miljoen en voor </w:t>
      </w:r>
      <w:r>
        <w:t>Sint Eustatius</w:t>
      </w:r>
      <w:r>
        <w:t xml:space="preserve"> € 6,05 miljoen uitgetrokken. Hiermee bereikt Saba volgens de eigen planning al eind 2027 90% duurzame elektriciteit. De hoeveelheid benodigde fossiele brandstof daalt met maar liefst een factor zeven omdat het aandeel fossiele elektriciteit daalt van 71% naar 10%. </w:t>
      </w:r>
      <w:r>
        <w:t>Sint Eustatius</w:t>
      </w:r>
      <w:r>
        <w:t xml:space="preserve"> heeft in 2027 een eerste besparing dankzij de aanleg van een nieuwe zonneweide, en zodra verdere financiering gevonden is voor het totale project (vooral meer opslag) bereikt de voorziening hier 85 à 90% duurzame elektriciteit waar het nu 55% is.</w:t>
      </w:r>
    </w:p>
    <w:p w:rsidR="00CE64C8" w14:paraId="3FFBE02D" w14:textId="77777777">
      <w:r>
        <w:t> </w:t>
      </w:r>
    </w:p>
    <w:p w:rsidR="00CE64C8" w14:paraId="3CD3E707" w14:textId="77777777">
      <w:r>
        <w:t xml:space="preserve">Naast de middelen in de begroting voor </w:t>
      </w:r>
      <w:r>
        <w:t>Sint Eustatius</w:t>
      </w:r>
      <w:r>
        <w:t xml:space="preserve"> en Saba komen in 2027 de middelen uit de beleidsdeelneming Bonaire Bon </w:t>
      </w:r>
      <w:r>
        <w:t>Transition</w:t>
      </w:r>
      <w:r>
        <w:t xml:space="preserve"> N.V. beschikbaar voor verduurzaming op Bonaire. Voorts zijn er middelen begroot om de vaste tarieven te verlagen tot ver onder het niveau in E-NL.</w:t>
      </w:r>
    </w:p>
    <w:p w:rsidR="00CE64C8" w14:paraId="2852D8BA" w14:textId="77777777"/>
    <w:p w:rsidR="004C44BA" w14:paraId="0D51219A" w14:textId="77777777">
      <w:bookmarkStart w:name="_Hlk241071370" w:id="5"/>
      <w:r>
        <w:t xml:space="preserve">We begrijpen de oproep van het lid Ceder en erkennen de zorgen over de hoge energiekosten. Dit vraagstuk heeft onze volle aandacht, wat wordt </w:t>
      </w:r>
      <w:r>
        <w:t>onderstreept</w:t>
      </w:r>
      <w:r>
        <w:t xml:space="preserve"> in de totstandkoming van de bovenstaande maatregelen</w:t>
      </w:r>
      <w:bookmarkEnd w:id="5"/>
      <w:r>
        <w:t xml:space="preserve">. </w:t>
      </w:r>
    </w:p>
    <w:p w:rsidR="00CE64C8" w14:paraId="7C82D61A" w14:textId="77777777"/>
    <w:p w:rsidR="00CE64C8" w14:paraId="425C9663" w14:textId="77777777">
      <w:r>
        <w:t>Hoogachtend,</w:t>
      </w:r>
    </w:p>
    <w:p w:rsidR="00CE64C8" w14:paraId="75022004" w14:textId="77777777"/>
    <w:p w:rsidR="0094283B" w14:paraId="6D93214D" w14:textId="77777777">
      <w:r>
        <w:t>De Staatssecretaris</w:t>
      </w:r>
      <w:r w:rsidR="004C44BA">
        <w:t xml:space="preserve"> van Binnenlandse Zaken en</w:t>
      </w:r>
      <w:r>
        <w:t xml:space="preserve"> Koninkrijksrelaties</w:t>
      </w:r>
      <w:r w:rsidR="002A4678">
        <w:t>,</w:t>
      </w:r>
    </w:p>
    <w:tbl>
      <w:tblPr>
        <w:tblStyle w:val="Tabelzonderranden"/>
        <w:tblW w:w="6893" w:type="dxa"/>
        <w:tblInd w:w="0" w:type="dxa"/>
        <w:tblLayout w:type="fixed"/>
        <w:tblLook w:val="0740"/>
      </w:tblPr>
      <w:tblGrid>
        <w:gridCol w:w="3103"/>
        <w:gridCol w:w="688"/>
        <w:gridCol w:w="3102"/>
      </w:tblGrid>
      <w:tr w:rsidTr="0094283B" w14:paraId="7EE1B22B" w14:textId="77777777">
        <w:tblPrEx>
          <w:tblW w:w="6893" w:type="dxa"/>
          <w:tblInd w:w="0" w:type="dxa"/>
          <w:tblLayout w:type="fixed"/>
          <w:tblLook w:val="0740"/>
        </w:tblPrEx>
        <w:trPr>
          <w:trHeight w:val="953"/>
        </w:trPr>
        <w:tc>
          <w:tcPr>
            <w:tcW w:w="3103" w:type="dxa"/>
          </w:tcPr>
          <w:p w:rsidR="00CE64C8" w14:paraId="40717DE2" w14:textId="77777777"/>
          <w:p w:rsidR="00CE64C8" w14:paraId="5CF72B21" w14:textId="77777777"/>
          <w:p w:rsidR="00CE64C8" w14:paraId="113E7DA3" w14:textId="77777777"/>
          <w:p w:rsidR="00CE64C8" w14:paraId="2566983B" w14:textId="77777777"/>
          <w:p w:rsidR="00CE64C8" w14:paraId="6BEAC3E2" w14:textId="77777777"/>
        </w:tc>
        <w:tc>
          <w:tcPr>
            <w:tcW w:w="688" w:type="dxa"/>
          </w:tcPr>
          <w:p w:rsidR="00CE64C8" w14:paraId="286994A3" w14:textId="77777777"/>
          <w:p w:rsidR="00CE64C8" w14:paraId="7577FB77" w14:textId="77777777"/>
          <w:p w:rsidR="00CE64C8" w14:paraId="16F704A9" w14:textId="77777777"/>
          <w:p w:rsidR="00CE64C8" w14:paraId="1D7A87C3" w14:textId="77777777"/>
          <w:p w:rsidR="00CE64C8" w14:paraId="00B6F872" w14:textId="77777777"/>
        </w:tc>
        <w:tc>
          <w:tcPr>
            <w:tcW w:w="3102" w:type="dxa"/>
          </w:tcPr>
          <w:p w:rsidR="00CE64C8" w14:paraId="0665CE29" w14:textId="77777777"/>
          <w:p w:rsidR="00CE64C8" w14:paraId="0AA2BCD6" w14:textId="77777777"/>
          <w:p w:rsidR="00CE64C8" w14:paraId="203316B9" w14:textId="77777777"/>
          <w:p w:rsidR="00CE64C8" w14:paraId="62FB7B85" w14:textId="77777777"/>
          <w:p w:rsidR="00CE64C8" w14:paraId="64BE9832" w14:textId="77777777"/>
        </w:tc>
      </w:tr>
      <w:tr w:rsidTr="0094283B" w14:paraId="25DD6FD3" w14:textId="77777777">
        <w:tblPrEx>
          <w:tblW w:w="6893" w:type="dxa"/>
          <w:tblInd w:w="0" w:type="dxa"/>
          <w:tblLayout w:type="fixed"/>
          <w:tblLook w:val="0740"/>
        </w:tblPrEx>
        <w:trPr>
          <w:gridAfter w:val="1"/>
          <w:wAfter w:w="3102" w:type="dxa"/>
          <w:trHeight w:val="190"/>
        </w:trPr>
        <w:tc>
          <w:tcPr>
            <w:tcW w:w="3103" w:type="dxa"/>
          </w:tcPr>
          <w:p w:rsidR="00CE64C8" w14:paraId="337D0D10" w14:textId="77777777">
            <w:r>
              <w:t>E</w:t>
            </w:r>
            <w:r w:rsidR="0094283B">
              <w:t>ric</w:t>
            </w:r>
            <w:r>
              <w:t xml:space="preserve"> van der Burg</w:t>
            </w:r>
          </w:p>
        </w:tc>
        <w:tc>
          <w:tcPr>
            <w:tcW w:w="688" w:type="dxa"/>
          </w:tcPr>
          <w:p w:rsidR="00CE64C8" w14:paraId="5F6AF8F3" w14:textId="77777777"/>
        </w:tc>
      </w:tr>
    </w:tbl>
    <w:p w:rsidR="00195019" w14:paraId="3B17BA8F" w14:textId="77777777"/>
    <w:sectPr>
      <w:headerReference w:type="default" r:id="rId8"/>
      <w:footerReference w:type="default" r:id="rId9"/>
      <w:headerReference w:type="first" r:id="rId10"/>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64C8" w14:paraId="4C620FF1" w14:textId="77777777">
    <w:pPr>
      <w:spacing w:after="1077" w:line="14" w:lineRule="exac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64C8" w14:paraId="0B4317C3"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195019"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195019" w14:paraId="1874EF82"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CE64C8" w14:textId="77777777">
                          <w:pPr>
                            <w:pStyle w:val="Referentiegegevensbold"/>
                          </w:pPr>
                          <w:r>
                            <w:t>Datum</w:t>
                          </w:r>
                        </w:p>
                        <w:p w:rsidR="004C77D7" w14:textId="386D6B74">
                          <w:pPr>
                            <w:pStyle w:val="Referentiegegevens"/>
                          </w:pPr>
                        </w:p>
                        <w:p w:rsidR="00CE64C8" w14:textId="77777777">
                          <w:pPr>
                            <w:pStyle w:val="WitregelW1"/>
                          </w:pPr>
                        </w:p>
                        <w:p w:rsidR="00CE64C8" w14:textId="77777777">
                          <w:pPr>
                            <w:pStyle w:val="Referentiegegevensbold"/>
                          </w:pPr>
                          <w:r>
                            <w:t>Onze referentie</w:t>
                          </w:r>
                        </w:p>
                        <w:p w:rsidR="004C77D7" w14:textId="77777777">
                          <w:pPr>
                            <w:pStyle w:val="Referentiegegevens"/>
                          </w:pPr>
                          <w:r>
                            <w:fldChar w:fldCharType="begin"/>
                          </w:r>
                          <w:r>
                            <w:instrText xml:space="preserve"> DOCPROPERTY  "Kenmerk"  \* MERGEFORMAT </w:instrText>
                          </w:r>
                          <w:r>
                            <w:fldChar w:fldCharType="separate"/>
                          </w:r>
                          <w:r w:rsidR="00F74079">
                            <w:t>2026-0000503117</w:t>
                          </w:r>
                          <w:r w:rsidR="00F74079">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CE64C8" w14:paraId="193C420B" w14:textId="77777777">
                    <w:pPr>
                      <w:pStyle w:val="Referentiegegevensbold"/>
                    </w:pPr>
                    <w:r>
                      <w:t>Datum</w:t>
                    </w:r>
                  </w:p>
                  <w:p w:rsidR="004C77D7" w14:paraId="37BE630F" w14:textId="386D6B74">
                    <w:pPr>
                      <w:pStyle w:val="Referentiegegevens"/>
                    </w:pPr>
                  </w:p>
                  <w:p w:rsidR="00CE64C8" w14:paraId="1DEAFFBB" w14:textId="77777777">
                    <w:pPr>
                      <w:pStyle w:val="WitregelW1"/>
                    </w:pPr>
                  </w:p>
                  <w:p w:rsidR="00CE64C8" w14:paraId="5B617522" w14:textId="77777777">
                    <w:pPr>
                      <w:pStyle w:val="Referentiegegevensbold"/>
                    </w:pPr>
                    <w:r>
                      <w:t>Onze referentie</w:t>
                    </w:r>
                  </w:p>
                  <w:p w:rsidR="004C77D7" w14:paraId="44D78F24" w14:textId="77777777">
                    <w:pPr>
                      <w:pStyle w:val="Referentiegegevens"/>
                    </w:pPr>
                    <w:r>
                      <w:fldChar w:fldCharType="begin"/>
                    </w:r>
                    <w:r>
                      <w:instrText xml:space="preserve"> DOCPROPERTY  "Kenmerk"  \* MERGEFORMAT </w:instrText>
                    </w:r>
                    <w:r>
                      <w:fldChar w:fldCharType="separate"/>
                    </w:r>
                    <w:r w:rsidR="00F74079">
                      <w:t>2026-0000503117</w:t>
                    </w:r>
                    <w:r w:rsidR="00F74079">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195019"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195019" w14:paraId="06307491"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F21B99"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F21B99" w14:paraId="428BDD56"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64C8" w14:paraId="51DC5643"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A3FCC12"/>
    <w:multiLevelType w:val="multilevel"/>
    <w:tmpl w:val="E6D60868"/>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94AE20DD"/>
    <w:multiLevelType w:val="multilevel"/>
    <w:tmpl w:val="6629111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EF61FF18"/>
    <w:multiLevelType w:val="multilevel"/>
    <w:tmpl w:val="1E3D909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2D889D78"/>
    <w:multiLevelType w:val="multilevel"/>
    <w:tmpl w:val="85BDFB64"/>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985745184">
    <w:abstractNumId w:val="2"/>
  </w:num>
  <w:num w:numId="2" w16cid:durableId="349138228">
    <w:abstractNumId w:val="1"/>
  </w:num>
  <w:num w:numId="3" w16cid:durableId="1950775753">
    <w:abstractNumId w:val="0"/>
  </w:num>
  <w:num w:numId="4" w16cid:durableId="20809816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4C8"/>
    <w:rsid w:val="00000347"/>
    <w:rsid w:val="00033FA3"/>
    <w:rsid w:val="00062032"/>
    <w:rsid w:val="00172E87"/>
    <w:rsid w:val="001863B8"/>
    <w:rsid w:val="00195019"/>
    <w:rsid w:val="001C6522"/>
    <w:rsid w:val="001E36BE"/>
    <w:rsid w:val="0023786F"/>
    <w:rsid w:val="00240634"/>
    <w:rsid w:val="00242EEE"/>
    <w:rsid w:val="00256571"/>
    <w:rsid w:val="002A4678"/>
    <w:rsid w:val="002C67A1"/>
    <w:rsid w:val="002E5B00"/>
    <w:rsid w:val="002F08D7"/>
    <w:rsid w:val="003617D5"/>
    <w:rsid w:val="003A5D61"/>
    <w:rsid w:val="003E75A5"/>
    <w:rsid w:val="00422BB3"/>
    <w:rsid w:val="00466A79"/>
    <w:rsid w:val="004C44BA"/>
    <w:rsid w:val="004C567F"/>
    <w:rsid w:val="004C77D7"/>
    <w:rsid w:val="004E4211"/>
    <w:rsid w:val="00513FAE"/>
    <w:rsid w:val="005576E8"/>
    <w:rsid w:val="00567BDA"/>
    <w:rsid w:val="005829B4"/>
    <w:rsid w:val="005875FF"/>
    <w:rsid w:val="00593D53"/>
    <w:rsid w:val="00597108"/>
    <w:rsid w:val="00667DCE"/>
    <w:rsid w:val="006E73AF"/>
    <w:rsid w:val="00725626"/>
    <w:rsid w:val="007457AD"/>
    <w:rsid w:val="007C7D87"/>
    <w:rsid w:val="007E5A11"/>
    <w:rsid w:val="008835D7"/>
    <w:rsid w:val="008D2F3E"/>
    <w:rsid w:val="0094283B"/>
    <w:rsid w:val="009D3D0A"/>
    <w:rsid w:val="00A05FD6"/>
    <w:rsid w:val="00AC52CF"/>
    <w:rsid w:val="00B1338A"/>
    <w:rsid w:val="00BC0242"/>
    <w:rsid w:val="00CE5F61"/>
    <w:rsid w:val="00CE64C8"/>
    <w:rsid w:val="00CF15FF"/>
    <w:rsid w:val="00D63223"/>
    <w:rsid w:val="00E07ECF"/>
    <w:rsid w:val="00ED421D"/>
    <w:rsid w:val="00F21B99"/>
    <w:rsid w:val="00F74079"/>
    <w:rsid w:val="00FF2759"/>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37D298EE"/>
  <w15:docId w15:val="{1844CA6C-406E-49B4-8E63-0A2D38B0B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597108"/>
    <w:pPr>
      <w:tabs>
        <w:tab w:val="center" w:pos="4536"/>
        <w:tab w:val="right" w:pos="9072"/>
      </w:tabs>
      <w:spacing w:line="240" w:lineRule="auto"/>
    </w:pPr>
  </w:style>
  <w:style w:type="character" w:customStyle="1" w:styleId="KoptekstChar">
    <w:name w:val="Koptekst Char"/>
    <w:basedOn w:val="DefaultParagraphFont"/>
    <w:link w:val="Header"/>
    <w:uiPriority w:val="99"/>
    <w:rsid w:val="00597108"/>
    <w:rPr>
      <w:rFonts w:ascii="Verdana" w:hAnsi="Verdana"/>
      <w:color w:val="000000"/>
      <w:sz w:val="18"/>
      <w:szCs w:val="18"/>
    </w:rPr>
  </w:style>
  <w:style w:type="paragraph" w:styleId="Footer">
    <w:name w:val="footer"/>
    <w:basedOn w:val="Normal"/>
    <w:link w:val="VoettekstChar"/>
    <w:uiPriority w:val="99"/>
    <w:unhideWhenUsed/>
    <w:rsid w:val="00597108"/>
    <w:pPr>
      <w:tabs>
        <w:tab w:val="center" w:pos="4536"/>
        <w:tab w:val="right" w:pos="9072"/>
      </w:tabs>
      <w:spacing w:line="240" w:lineRule="auto"/>
    </w:pPr>
  </w:style>
  <w:style w:type="character" w:customStyle="1" w:styleId="VoettekstChar">
    <w:name w:val="Voettekst Char"/>
    <w:basedOn w:val="DefaultParagraphFont"/>
    <w:link w:val="Footer"/>
    <w:uiPriority w:val="99"/>
    <w:rsid w:val="00597108"/>
    <w:rPr>
      <w:rFonts w:ascii="Verdana" w:hAnsi="Verdana"/>
      <w:color w:val="000000"/>
      <w:sz w:val="18"/>
      <w:szCs w:val="18"/>
    </w:rPr>
  </w:style>
  <w:style w:type="paragraph" w:styleId="Revision">
    <w:name w:val="Revision"/>
    <w:hidden/>
    <w:uiPriority w:val="99"/>
    <w:semiHidden/>
    <w:rsid w:val="008D2F3E"/>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8D2F3E"/>
    <w:rPr>
      <w:sz w:val="16"/>
      <w:szCs w:val="16"/>
    </w:rPr>
  </w:style>
  <w:style w:type="paragraph" w:styleId="CommentText">
    <w:name w:val="annotation text"/>
    <w:basedOn w:val="Normal"/>
    <w:link w:val="TekstopmerkingChar"/>
    <w:uiPriority w:val="99"/>
    <w:unhideWhenUsed/>
    <w:rsid w:val="008D2F3E"/>
    <w:pPr>
      <w:spacing w:line="240" w:lineRule="auto"/>
    </w:pPr>
    <w:rPr>
      <w:sz w:val="20"/>
      <w:szCs w:val="20"/>
    </w:rPr>
  </w:style>
  <w:style w:type="character" w:customStyle="1" w:styleId="TekstopmerkingChar">
    <w:name w:val="Tekst opmerking Char"/>
    <w:basedOn w:val="DefaultParagraphFont"/>
    <w:link w:val="CommentText"/>
    <w:uiPriority w:val="99"/>
    <w:rsid w:val="008D2F3E"/>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8D2F3E"/>
    <w:rPr>
      <w:b/>
      <w:bCs/>
    </w:rPr>
  </w:style>
  <w:style w:type="character" w:customStyle="1" w:styleId="OnderwerpvanopmerkingChar">
    <w:name w:val="Onderwerp van opmerking Char"/>
    <w:basedOn w:val="TekstopmerkingChar"/>
    <w:link w:val="CommentSubject"/>
    <w:uiPriority w:val="99"/>
    <w:semiHidden/>
    <w:rsid w:val="008D2F3E"/>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header" Target="header2.xml" Id="rId10" /><Relationship Type="http://schemas.openxmlformats.org/officeDocument/2006/relationships/theme" Target="theme/theme1.xml" Id="rId11" /><Relationship Type="http://schemas.openxmlformats.org/officeDocument/2006/relationships/numbering" Target="numbering.xml" Id="rId12" /><Relationship Type="http://schemas.openxmlformats.org/officeDocument/2006/relationships/styles" Target="styles.xml" Id="rId13"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image" Target="media/image1.png" Id="rId6" /><Relationship Type="http://schemas.openxmlformats.org/officeDocument/2006/relationships/image" Target="media/image2.png" Id="rId7" /><Relationship Type="http://schemas.openxmlformats.org/officeDocument/2006/relationships/header" Target="header1.xml" Id="rId8" /><Relationship Type="http://schemas.openxmlformats.org/officeDocument/2006/relationships/footer" Target="foot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805</ap:Words>
  <ap:Characters>4430</ap:Characters>
  <ap:DocSecurity>0</ap:DocSecurity>
  <ap:Lines>36</ap:Lines>
  <ap:Paragraphs>10</ap:Paragraphs>
  <ap:ScaleCrop>false</ap:ScaleCrop>
  <ap:HeadingPairs>
    <vt:vector baseType="variant" size="2">
      <vt:variant>
        <vt:lpstr>Titel</vt:lpstr>
      </vt:variant>
      <vt:variant>
        <vt:i4>1</vt:i4>
      </vt:variant>
    </vt:vector>
  </ap:HeadingPairs>
  <ap:TitlesOfParts>
    <vt:vector baseType="lpstr" size="1">
      <vt:lpstr>Brief - Kamerbrief motie Ceder (Kamerstukken II 2026/27 nr. 36800 IV 74) over het gelijktrekken van de energiekosten in Caribisch Nederland met Europees Nederland</vt:lpstr>
    </vt:vector>
  </ap:TitlesOfParts>
  <ap:LinksUpToDate>false</ap:LinksUpToDate>
  <ap:CharactersWithSpaces>5225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2026-09-29T06:17:00.0000000Z</dcterms:created>
  <dcterms:modified xsi:type="dcterms:W3CDTF">2026-09-29T06:17:00.0000000Z</dcterms:modified>
  <dc:creator/>
  <lastModifiedBy/>
  <dc:description>------------------------</dc:description>
  <dc:subject/>
  <keywords/>
  <version/>
  <category/>
</coreProperties>
</file>