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tblInd w:w="118"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1E0" w:firstRow="1" w:lastRow="1" w:firstColumn="1" w:lastColumn="1" w:noHBand="0" w:noVBand="0"/>
      </w:tblPr>
      <w:tblGrid>
        <w:gridCol w:w="2742"/>
        <w:gridCol w:w="6162"/>
      </w:tblGrid>
      <w:tr w:rsidRPr="00D27AE1" w:rsidR="00FC395F" w:rsidTr="00DE6D27" w14:paraId="73B5F757" w14:textId="77777777">
        <w:trPr>
          <w:trHeight w:val="1059"/>
        </w:trPr>
        <w:tc>
          <w:tcPr>
            <w:tcW w:w="8970" w:type="dxa"/>
            <w:gridSpan w:val="2"/>
            <w:tcBorders>
              <w:left w:val="nil"/>
            </w:tcBorders>
            <w:shd w:val="clear" w:color="auto" w:fill="7A7A7A"/>
            <w:vAlign w:val="center"/>
          </w:tcPr>
          <w:p w:rsidRPr="00D27AE1" w:rsidR="00FC395F" w:rsidP="00DE6D27" w:rsidRDefault="00FC395F" w14:paraId="3C8CAFA2" w14:textId="77777777">
            <w:pPr>
              <w:pStyle w:val="TableParagraph"/>
              <w:tabs>
                <w:tab w:val="left" w:pos="2060"/>
              </w:tabs>
              <w:ind w:left="103"/>
              <w:rPr>
                <w:rFonts w:cstheme="minorHAnsi"/>
                <w:b/>
                <w:color w:val="FFFFFF"/>
                <w:sz w:val="20"/>
                <w:szCs w:val="20"/>
              </w:rPr>
            </w:pPr>
            <w:r w:rsidRPr="00D27AE1">
              <w:rPr>
                <w:rFonts w:cstheme="minorHAnsi"/>
                <w:b/>
                <w:color w:val="FFFFFF"/>
                <w:sz w:val="20"/>
                <w:szCs w:val="20"/>
              </w:rPr>
              <w:t>Beleidskeuzes uitgelegd</w:t>
            </w:r>
          </w:p>
          <w:p w:rsidRPr="00D27AE1" w:rsidR="00FC395F" w:rsidP="00DE6D27" w:rsidRDefault="00FC395F" w14:paraId="7C3AB81C" w14:textId="77777777">
            <w:pPr>
              <w:pStyle w:val="TableParagraph"/>
              <w:tabs>
                <w:tab w:val="left" w:pos="2060"/>
              </w:tabs>
              <w:rPr>
                <w:rFonts w:cstheme="minorHAnsi"/>
                <w:color w:val="FFFFFF" w:themeColor="background1"/>
                <w:sz w:val="20"/>
                <w:szCs w:val="20"/>
              </w:rPr>
            </w:pPr>
            <w:r>
              <w:rPr>
                <w:rFonts w:cstheme="minorHAnsi"/>
                <w:b/>
                <w:color w:val="FFFFFF" w:themeColor="background1"/>
                <w:sz w:val="20"/>
                <w:szCs w:val="20"/>
              </w:rPr>
              <w:t xml:space="preserve"> </w:t>
            </w:r>
            <w:r w:rsidRPr="00D27AE1">
              <w:rPr>
                <w:rFonts w:cstheme="minorHAnsi"/>
                <w:i/>
                <w:color w:val="FFFFFF" w:themeColor="background1"/>
                <w:sz w:val="20"/>
                <w:szCs w:val="20"/>
              </w:rPr>
              <w:t>Onderbouwing doeltreffendheid, doelmatigheid en evaluatie (CW3.1)</w:t>
            </w:r>
          </w:p>
        </w:tc>
      </w:tr>
      <w:tr w:rsidRPr="00D27AE1" w:rsidR="00FC395F" w:rsidTr="00DE6D27" w14:paraId="4E38D537" w14:textId="77777777">
        <w:trPr>
          <w:trHeight w:val="666"/>
        </w:trPr>
        <w:tc>
          <w:tcPr>
            <w:tcW w:w="2640" w:type="dxa"/>
            <w:tcBorders>
              <w:left w:val="nil"/>
            </w:tcBorders>
            <w:shd w:val="clear" w:color="auto" w:fill="7A7A7A"/>
          </w:tcPr>
          <w:p w:rsidRPr="002C7109" w:rsidR="00FC395F" w:rsidP="00DE6D27" w:rsidRDefault="00FC395F" w14:paraId="26DEB779" w14:textId="77777777">
            <w:pPr>
              <w:pStyle w:val="TableParagraph"/>
              <w:tabs>
                <w:tab w:val="left" w:pos="2060"/>
              </w:tabs>
              <w:ind w:left="103"/>
              <w:rPr>
                <w:rFonts w:cstheme="minorHAnsi"/>
                <w:b/>
                <w:color w:val="FFFFFF"/>
                <w:sz w:val="20"/>
                <w:szCs w:val="20"/>
              </w:rPr>
            </w:pPr>
          </w:p>
          <w:p w:rsidRPr="00D27AE1" w:rsidR="00FC395F" w:rsidP="00DE6D27" w:rsidRDefault="00FC395F" w14:paraId="493161F7" w14:textId="77777777">
            <w:pPr>
              <w:pStyle w:val="TableParagraph"/>
              <w:tabs>
                <w:tab w:val="left" w:pos="2060"/>
              </w:tabs>
              <w:ind w:left="103"/>
              <w:rPr>
                <w:rFonts w:cstheme="minorHAnsi"/>
                <w:b/>
                <w:sz w:val="20"/>
                <w:szCs w:val="20"/>
              </w:rPr>
            </w:pPr>
            <w:r w:rsidRPr="00D27AE1">
              <w:rPr>
                <w:rFonts w:cstheme="minorHAnsi"/>
                <w:b/>
                <w:color w:val="FFFFFF"/>
                <w:sz w:val="20"/>
                <w:szCs w:val="20"/>
              </w:rPr>
              <w:t>Doel</w:t>
            </w:r>
            <w:r>
              <w:rPr>
                <w:rFonts w:cstheme="minorHAnsi"/>
                <w:b/>
                <w:color w:val="FFFFFF"/>
                <w:sz w:val="20"/>
                <w:szCs w:val="20"/>
              </w:rPr>
              <w:t>(</w:t>
            </w:r>
            <w:r w:rsidRPr="00D27AE1">
              <w:rPr>
                <w:rFonts w:cstheme="minorHAnsi"/>
                <w:b/>
                <w:color w:val="FFFFFF"/>
                <w:sz w:val="20"/>
                <w:szCs w:val="20"/>
              </w:rPr>
              <w:t>en</w:t>
            </w:r>
            <w:r>
              <w:rPr>
                <w:rFonts w:cstheme="minorHAnsi"/>
                <w:b/>
                <w:color w:val="FFFFFF"/>
                <w:sz w:val="20"/>
                <w:szCs w:val="20"/>
              </w:rPr>
              <w:t xml:space="preserve">) </w:t>
            </w:r>
          </w:p>
        </w:tc>
        <w:tc>
          <w:tcPr>
            <w:tcW w:w="6330" w:type="dxa"/>
            <w:tcBorders>
              <w:right w:val="nil"/>
            </w:tcBorders>
            <w:shd w:val="clear" w:color="auto" w:fill="DBDBDB"/>
            <w:vAlign w:val="center"/>
          </w:tcPr>
          <w:p w:rsidRPr="00CD2CD0" w:rsidR="00DC1F07" w:rsidP="00DC1F07" w:rsidRDefault="00DC1F07" w14:paraId="3C829CF1" w14:textId="2D1F0F98">
            <w:pPr>
              <w:pStyle w:val="TableParagraph"/>
              <w:tabs>
                <w:tab w:val="left" w:pos="2060"/>
              </w:tabs>
              <w:spacing w:before="10" w:line="218" w:lineRule="exact"/>
              <w:ind w:left="101" w:right="154"/>
              <w:rPr>
                <w:rFonts w:cstheme="minorHAnsi"/>
                <w:sz w:val="20"/>
                <w:szCs w:val="20"/>
              </w:rPr>
            </w:pPr>
            <w:r w:rsidRPr="00CD2CD0">
              <w:rPr>
                <w:rFonts w:cstheme="minorHAnsi"/>
                <w:sz w:val="20"/>
                <w:szCs w:val="20"/>
              </w:rPr>
              <w:t xml:space="preserve">Jeugdigen zo thuis mogelijk laten opgroeien is een belangrijke opgave binnen de jeugdhulp waar partijen, vanuit hun eigen rol en verantwoordelijkheid, de afgelopen jaren op hebben ingezet. </w:t>
            </w:r>
          </w:p>
          <w:p w:rsidRPr="00CD2CD0" w:rsidR="00CD2CD0" w:rsidP="00CD2CD0" w:rsidRDefault="00DC1F07" w14:paraId="1B182B07" w14:textId="77777777">
            <w:pPr>
              <w:pStyle w:val="TableParagraph"/>
              <w:tabs>
                <w:tab w:val="left" w:pos="2060"/>
              </w:tabs>
              <w:spacing w:before="10" w:line="218" w:lineRule="exact"/>
              <w:ind w:left="101" w:right="154"/>
              <w:rPr>
                <w:rFonts w:cstheme="minorHAnsi"/>
                <w:sz w:val="20"/>
                <w:szCs w:val="20"/>
              </w:rPr>
            </w:pPr>
            <w:r w:rsidRPr="00CD2CD0">
              <w:rPr>
                <w:rFonts w:cstheme="minorHAnsi"/>
                <w:sz w:val="20"/>
                <w:szCs w:val="20"/>
              </w:rPr>
              <w:t>Afhankelijk van de situatie, kan zo thuis mogelijk er op verschillende manieren uitzien.</w:t>
            </w:r>
          </w:p>
          <w:p w:rsidRPr="00CD2CD0" w:rsidR="00CD2CD0" w:rsidP="00CD2CD0" w:rsidRDefault="00CD2CD0" w14:paraId="2F221383" w14:textId="77777777">
            <w:pPr>
              <w:pStyle w:val="TableParagraph"/>
              <w:tabs>
                <w:tab w:val="left" w:pos="2060"/>
              </w:tabs>
              <w:spacing w:before="10" w:line="218" w:lineRule="exact"/>
              <w:ind w:left="101" w:right="154"/>
              <w:rPr>
                <w:rFonts w:cstheme="minorHAnsi"/>
                <w:sz w:val="20"/>
                <w:szCs w:val="20"/>
              </w:rPr>
            </w:pPr>
          </w:p>
          <w:p w:rsidRPr="00CD2CD0" w:rsidR="00A02319" w:rsidP="00CD2CD0" w:rsidRDefault="00DC1F07" w14:paraId="13E7C053" w14:textId="0C526818">
            <w:pPr>
              <w:pStyle w:val="TableParagraph"/>
              <w:tabs>
                <w:tab w:val="left" w:pos="2060"/>
              </w:tabs>
              <w:spacing w:before="10" w:line="218" w:lineRule="exact"/>
              <w:ind w:left="101" w:right="154"/>
              <w:rPr>
                <w:rFonts w:cstheme="minorHAnsi"/>
                <w:sz w:val="20"/>
                <w:szCs w:val="20"/>
              </w:rPr>
            </w:pPr>
            <w:r w:rsidRPr="00CD2CD0">
              <w:rPr>
                <w:rFonts w:cstheme="minorHAnsi"/>
                <w:sz w:val="20"/>
                <w:szCs w:val="20"/>
              </w:rPr>
              <w:t>Idealiter groeien jeugdigen in hun eigen thuissituatie op, met ambulante hulp indien nodig. Als dat niet lukt, spelen pleegzorg en gezinshuizen in de regio een belangrijke rol om jeugdigen een thuis te bieden. Wanneer residentiële jeugdhulp</w:t>
            </w:r>
            <w:r w:rsidRPr="00CD2CD0" w:rsidR="00CD2CD0">
              <w:rPr>
                <w:rStyle w:val="Voetnootmarkering"/>
                <w:rFonts w:cstheme="minorHAnsi"/>
                <w:sz w:val="20"/>
                <w:szCs w:val="20"/>
              </w:rPr>
              <w:footnoteReference w:id="1"/>
            </w:r>
            <w:r w:rsidRPr="00CD2CD0">
              <w:rPr>
                <w:rFonts w:cstheme="minorHAnsi"/>
                <w:sz w:val="20"/>
                <w:szCs w:val="20"/>
              </w:rPr>
              <w:t xml:space="preserve"> toch noodzakelijk is, is het streven dat dit deel uitmaakt van een ambulant traject: tijdelijk en gericht op zo snel mogelijk terug naar huis. </w:t>
            </w:r>
            <w:r w:rsidRPr="00CD2CD0" w:rsidR="00A02319">
              <w:rPr>
                <w:sz w:val="20"/>
                <w:szCs w:val="20"/>
              </w:rPr>
              <w:t>Ook wordt maximaal ingezet op het voorkomen van verhuizingen.</w:t>
            </w:r>
          </w:p>
          <w:p w:rsidRPr="00CD2CD0" w:rsidR="00DC1F07" w:rsidP="00DC1F07" w:rsidRDefault="00DC1F07" w14:paraId="301C7171" w14:textId="3CC9E26E">
            <w:pPr>
              <w:pStyle w:val="TableParagraph"/>
              <w:tabs>
                <w:tab w:val="left" w:pos="2060"/>
              </w:tabs>
              <w:spacing w:before="10" w:line="218" w:lineRule="exact"/>
              <w:ind w:left="101" w:right="154"/>
              <w:rPr>
                <w:rFonts w:cstheme="minorHAnsi"/>
                <w:sz w:val="20"/>
                <w:szCs w:val="20"/>
              </w:rPr>
            </w:pPr>
          </w:p>
        </w:tc>
      </w:tr>
      <w:tr w:rsidRPr="00D27AE1" w:rsidR="00FC395F" w:rsidTr="00DE6D27" w14:paraId="2DA21785" w14:textId="77777777">
        <w:trPr>
          <w:trHeight w:val="694"/>
        </w:trPr>
        <w:tc>
          <w:tcPr>
            <w:tcW w:w="2640" w:type="dxa"/>
            <w:tcBorders>
              <w:left w:val="nil"/>
            </w:tcBorders>
            <w:shd w:val="clear" w:color="auto" w:fill="7A7A7A"/>
          </w:tcPr>
          <w:p w:rsidRPr="00D27AE1" w:rsidR="00FC395F" w:rsidP="00DE6D27" w:rsidRDefault="00FC395F" w14:paraId="75587EA9" w14:textId="77777777">
            <w:pPr>
              <w:pStyle w:val="TableParagraph"/>
              <w:tabs>
                <w:tab w:val="left" w:pos="2060"/>
              </w:tabs>
              <w:ind w:left="103" w:right="231"/>
              <w:rPr>
                <w:rFonts w:cstheme="minorHAnsi"/>
                <w:b/>
                <w:color w:val="FFFFFF"/>
                <w:sz w:val="20"/>
                <w:szCs w:val="20"/>
              </w:rPr>
            </w:pPr>
          </w:p>
          <w:p w:rsidRPr="00D27AE1" w:rsidR="00FC395F" w:rsidP="00DE6D27" w:rsidRDefault="00FC395F" w14:paraId="5F0017DF" w14:textId="77777777">
            <w:pPr>
              <w:pStyle w:val="TableParagraph"/>
              <w:tabs>
                <w:tab w:val="left" w:pos="2060"/>
              </w:tabs>
              <w:ind w:left="103" w:right="231"/>
              <w:rPr>
                <w:rFonts w:cstheme="minorHAnsi"/>
                <w:b/>
                <w:sz w:val="20"/>
                <w:szCs w:val="20"/>
              </w:rPr>
            </w:pPr>
            <w:r w:rsidRPr="00D27AE1">
              <w:rPr>
                <w:rFonts w:cstheme="minorHAnsi"/>
                <w:b/>
                <w:color w:val="FFFFFF"/>
                <w:sz w:val="20"/>
                <w:szCs w:val="20"/>
              </w:rPr>
              <w:t>Beleidsinstrument(en)</w:t>
            </w:r>
          </w:p>
        </w:tc>
        <w:tc>
          <w:tcPr>
            <w:tcW w:w="6330" w:type="dxa"/>
            <w:tcBorders>
              <w:right w:val="nil"/>
            </w:tcBorders>
            <w:shd w:val="clear" w:color="auto" w:fill="DBDBDB"/>
            <w:vAlign w:val="center"/>
          </w:tcPr>
          <w:p w:rsidRPr="001A1082" w:rsidR="00FC395F" w:rsidP="00DE6D27" w:rsidRDefault="00B67140" w14:paraId="21A0B73B" w14:textId="40A3BDD5">
            <w:pPr>
              <w:pStyle w:val="TableParagraph"/>
              <w:tabs>
                <w:tab w:val="left" w:pos="2060"/>
              </w:tabs>
              <w:spacing w:line="218" w:lineRule="exact"/>
              <w:ind w:left="101" w:right="543"/>
              <w:rPr>
                <w:rFonts w:cstheme="minorHAnsi"/>
                <w:sz w:val="20"/>
                <w:szCs w:val="20"/>
              </w:rPr>
            </w:pPr>
            <w:r w:rsidRPr="001A1082">
              <w:rPr>
                <w:rFonts w:cstheme="minorHAnsi"/>
                <w:sz w:val="20"/>
                <w:szCs w:val="20"/>
              </w:rPr>
              <w:t>De middelen zullen via een decentralisatie</w:t>
            </w:r>
            <w:r w:rsidR="0038157B">
              <w:rPr>
                <w:rFonts w:cstheme="minorHAnsi"/>
                <w:sz w:val="20"/>
                <w:szCs w:val="20"/>
              </w:rPr>
              <w:t>-</w:t>
            </w:r>
            <w:r w:rsidRPr="001A1082">
              <w:rPr>
                <w:rFonts w:cstheme="minorHAnsi"/>
                <w:sz w:val="20"/>
                <w:szCs w:val="20"/>
              </w:rPr>
              <w:t>uitkering verstrekt worden aan de grootste gemeente in de jeugdregio. Deze gemeente geeft, samen met de andere gemeenten van de jeugdregio, jeugdhulpaanbieders en gecertificeerde instellingen, verder vorm aan de beweging om jeugdigen zoveel mogelijk thuis te laten opgroeien en om residentiële jeugdhulp te voorkomen en te verkorten.</w:t>
            </w:r>
          </w:p>
        </w:tc>
      </w:tr>
      <w:tr w:rsidRPr="00D27AE1" w:rsidR="00FC395F" w:rsidTr="00DE6D27" w14:paraId="210E00CE" w14:textId="77777777">
        <w:trPr>
          <w:trHeight w:val="805"/>
        </w:trPr>
        <w:tc>
          <w:tcPr>
            <w:tcW w:w="2640" w:type="dxa"/>
            <w:tcBorders>
              <w:left w:val="nil"/>
            </w:tcBorders>
            <w:shd w:val="clear" w:color="auto" w:fill="7A7A7A"/>
          </w:tcPr>
          <w:p w:rsidRPr="00D27AE1" w:rsidR="00FC395F" w:rsidP="00DE6D27" w:rsidRDefault="00FC395F" w14:paraId="3E6D0EED" w14:textId="77777777">
            <w:pPr>
              <w:pStyle w:val="TableParagraph"/>
              <w:tabs>
                <w:tab w:val="left" w:pos="2060"/>
              </w:tabs>
              <w:spacing w:before="144" w:line="242" w:lineRule="auto"/>
              <w:ind w:left="103" w:right="506"/>
              <w:rPr>
                <w:rFonts w:cstheme="minorHAnsi"/>
                <w:b/>
                <w:sz w:val="20"/>
                <w:szCs w:val="20"/>
              </w:rPr>
            </w:pPr>
            <w:r w:rsidRPr="00D27AE1">
              <w:rPr>
                <w:rFonts w:cstheme="minorHAnsi"/>
                <w:b/>
                <w:color w:val="FFFFFF"/>
                <w:sz w:val="20"/>
                <w:szCs w:val="20"/>
              </w:rPr>
              <w:t>Financiële gevolgen voor het Rijk</w:t>
            </w:r>
          </w:p>
        </w:tc>
        <w:tc>
          <w:tcPr>
            <w:tcW w:w="6330" w:type="dxa"/>
            <w:tcBorders>
              <w:right w:val="nil"/>
            </w:tcBorders>
            <w:shd w:val="clear" w:color="auto" w:fill="DBDBDB"/>
            <w:vAlign w:val="center"/>
          </w:tcPr>
          <w:p w:rsidRPr="001A1082" w:rsidR="005C0F6D" w:rsidP="005C0F6D" w:rsidRDefault="005C0F6D" w14:paraId="15113BE3" w14:textId="77777777">
            <w:pPr>
              <w:rPr>
                <w:rFonts w:ascii="Calibri" w:hAnsi="Calibri" w:cs="Calibri"/>
                <w:sz w:val="20"/>
                <w:szCs w:val="20"/>
              </w:rPr>
            </w:pPr>
            <w:r w:rsidRPr="001A1082">
              <w:rPr>
                <w:rFonts w:ascii="Calibri" w:hAnsi="Calibri" w:cs="Calibri"/>
                <w:sz w:val="20"/>
                <w:szCs w:val="20"/>
              </w:rPr>
              <w:t xml:space="preserve">De totale financiële gevolgen voor het Rijk zijn € 76.702.753 verdeelt over 2026, 2027 en 2028. </w:t>
            </w:r>
          </w:p>
          <w:tbl>
            <w:tblPr>
              <w:tblStyle w:val="Tabelraster"/>
              <w:tblW w:w="0" w:type="auto"/>
              <w:tblLook w:val="04A0" w:firstRow="1" w:lastRow="0" w:firstColumn="1" w:lastColumn="0" w:noHBand="0" w:noVBand="1"/>
            </w:tblPr>
            <w:tblGrid>
              <w:gridCol w:w="1416"/>
              <w:gridCol w:w="1577"/>
              <w:gridCol w:w="1577"/>
              <w:gridCol w:w="1577"/>
            </w:tblGrid>
            <w:tr w:rsidRPr="001A1082" w:rsidR="005C0F6D" w:rsidTr="005424B1" w14:paraId="141718AE" w14:textId="77777777">
              <w:tc>
                <w:tcPr>
                  <w:tcW w:w="2265" w:type="dxa"/>
                </w:tcPr>
                <w:p w:rsidRPr="001A1082" w:rsidR="005C0F6D" w:rsidP="005C0F6D" w:rsidRDefault="005C0F6D" w14:paraId="513328D0" w14:textId="77777777">
                  <w:pPr>
                    <w:rPr>
                      <w:rFonts w:ascii="Calibri" w:hAnsi="Calibri" w:cs="Calibri"/>
                      <w:sz w:val="20"/>
                      <w:szCs w:val="20"/>
                    </w:rPr>
                  </w:pPr>
                  <w:r w:rsidRPr="001A1082">
                    <w:rPr>
                      <w:rFonts w:ascii="Calibri" w:hAnsi="Calibri" w:cs="Calibri"/>
                      <w:sz w:val="20"/>
                      <w:szCs w:val="20"/>
                    </w:rPr>
                    <w:t xml:space="preserve">Bedragen x € </w:t>
                  </w:r>
                  <w:proofErr w:type="spellStart"/>
                  <w:r w:rsidRPr="001A1082">
                    <w:rPr>
                      <w:rFonts w:ascii="Calibri" w:hAnsi="Calibri" w:cs="Calibri"/>
                      <w:sz w:val="20"/>
                      <w:szCs w:val="20"/>
                    </w:rPr>
                    <w:t>mln</w:t>
                  </w:r>
                  <w:proofErr w:type="spellEnd"/>
                </w:p>
              </w:tc>
              <w:tc>
                <w:tcPr>
                  <w:tcW w:w="2265" w:type="dxa"/>
                </w:tcPr>
                <w:p w:rsidRPr="001A1082" w:rsidR="005C0F6D" w:rsidP="005C0F6D" w:rsidRDefault="005C0F6D" w14:paraId="32B199FE" w14:textId="77777777">
                  <w:pPr>
                    <w:rPr>
                      <w:rFonts w:ascii="Calibri" w:hAnsi="Calibri" w:cs="Calibri"/>
                      <w:sz w:val="20"/>
                      <w:szCs w:val="20"/>
                    </w:rPr>
                  </w:pPr>
                  <w:r w:rsidRPr="001A1082">
                    <w:rPr>
                      <w:rFonts w:ascii="Calibri" w:hAnsi="Calibri" w:cs="Calibri"/>
                      <w:sz w:val="20"/>
                      <w:szCs w:val="20"/>
                    </w:rPr>
                    <w:t>2026</w:t>
                  </w:r>
                </w:p>
              </w:tc>
              <w:tc>
                <w:tcPr>
                  <w:tcW w:w="2266" w:type="dxa"/>
                </w:tcPr>
                <w:p w:rsidRPr="001A1082" w:rsidR="005C0F6D" w:rsidP="005C0F6D" w:rsidRDefault="005C0F6D" w14:paraId="626D645C" w14:textId="77777777">
                  <w:pPr>
                    <w:rPr>
                      <w:rFonts w:ascii="Calibri" w:hAnsi="Calibri" w:cs="Calibri"/>
                      <w:sz w:val="20"/>
                      <w:szCs w:val="20"/>
                    </w:rPr>
                  </w:pPr>
                  <w:r w:rsidRPr="001A1082">
                    <w:rPr>
                      <w:rFonts w:ascii="Calibri" w:hAnsi="Calibri" w:cs="Calibri"/>
                      <w:sz w:val="20"/>
                      <w:szCs w:val="20"/>
                    </w:rPr>
                    <w:t>2027</w:t>
                  </w:r>
                </w:p>
              </w:tc>
              <w:tc>
                <w:tcPr>
                  <w:tcW w:w="2266" w:type="dxa"/>
                </w:tcPr>
                <w:p w:rsidRPr="001A1082" w:rsidR="005C0F6D" w:rsidP="005C0F6D" w:rsidRDefault="005C0F6D" w14:paraId="19B01B61" w14:textId="77777777">
                  <w:pPr>
                    <w:rPr>
                      <w:rFonts w:ascii="Calibri" w:hAnsi="Calibri" w:cs="Calibri"/>
                      <w:sz w:val="20"/>
                      <w:szCs w:val="20"/>
                    </w:rPr>
                  </w:pPr>
                  <w:r w:rsidRPr="001A1082">
                    <w:rPr>
                      <w:rFonts w:ascii="Calibri" w:hAnsi="Calibri" w:cs="Calibri"/>
                      <w:sz w:val="20"/>
                      <w:szCs w:val="20"/>
                    </w:rPr>
                    <w:t>2028</w:t>
                  </w:r>
                </w:p>
              </w:tc>
            </w:tr>
            <w:tr w:rsidRPr="001A1082" w:rsidR="005C0F6D" w:rsidTr="005424B1" w14:paraId="3DCC481C" w14:textId="77777777">
              <w:tc>
                <w:tcPr>
                  <w:tcW w:w="2265" w:type="dxa"/>
                </w:tcPr>
                <w:p w:rsidRPr="001A1082" w:rsidR="005C0F6D" w:rsidP="005C0F6D" w:rsidRDefault="005C0F6D" w14:paraId="551A86C7" w14:textId="77777777">
                  <w:pPr>
                    <w:rPr>
                      <w:rFonts w:ascii="Calibri" w:hAnsi="Calibri" w:cs="Calibri"/>
                      <w:sz w:val="20"/>
                      <w:szCs w:val="20"/>
                    </w:rPr>
                  </w:pPr>
                  <w:r w:rsidRPr="001A1082">
                    <w:rPr>
                      <w:rFonts w:ascii="Calibri" w:hAnsi="Calibri" w:cs="Calibri"/>
                      <w:sz w:val="20"/>
                      <w:szCs w:val="20"/>
                    </w:rPr>
                    <w:t>Totaal</w:t>
                  </w:r>
                </w:p>
              </w:tc>
              <w:tc>
                <w:tcPr>
                  <w:tcW w:w="2265" w:type="dxa"/>
                </w:tcPr>
                <w:p w:rsidRPr="001A1082" w:rsidR="005C0F6D" w:rsidP="005C0F6D" w:rsidRDefault="005C0F6D" w14:paraId="75B169A4" w14:textId="3C809A78">
                  <w:pPr>
                    <w:rPr>
                      <w:rFonts w:ascii="Calibri" w:hAnsi="Calibri" w:cs="Calibri"/>
                      <w:sz w:val="20"/>
                      <w:szCs w:val="20"/>
                    </w:rPr>
                  </w:pPr>
                  <w:r w:rsidRPr="001A1082">
                    <w:rPr>
                      <w:rFonts w:ascii="Calibri" w:hAnsi="Calibri" w:cs="Calibri"/>
                      <w:sz w:val="20"/>
                      <w:szCs w:val="20"/>
                    </w:rPr>
                    <w:t>€</w:t>
                  </w:r>
                  <w:r w:rsidR="000E57B8">
                    <w:rPr>
                      <w:rFonts w:ascii="Calibri" w:hAnsi="Calibri" w:cs="Calibri"/>
                      <w:sz w:val="20"/>
                      <w:szCs w:val="20"/>
                    </w:rPr>
                    <w:t>26.145.245</w:t>
                  </w:r>
                </w:p>
              </w:tc>
              <w:tc>
                <w:tcPr>
                  <w:tcW w:w="2266" w:type="dxa"/>
                </w:tcPr>
                <w:p w:rsidRPr="001A1082" w:rsidR="005C0F6D" w:rsidP="005C0F6D" w:rsidRDefault="005C0F6D" w14:paraId="322EA141" w14:textId="4B08D913">
                  <w:pPr>
                    <w:rPr>
                      <w:rFonts w:ascii="Calibri" w:hAnsi="Calibri" w:cs="Calibri"/>
                      <w:sz w:val="20"/>
                      <w:szCs w:val="20"/>
                    </w:rPr>
                  </w:pPr>
                  <w:r w:rsidRPr="001A1082">
                    <w:rPr>
                      <w:rFonts w:ascii="Calibri" w:hAnsi="Calibri" w:cs="Calibri"/>
                      <w:sz w:val="20"/>
                      <w:szCs w:val="20"/>
                    </w:rPr>
                    <w:t>€40.</w:t>
                  </w:r>
                  <w:r w:rsidR="000E57B8">
                    <w:rPr>
                      <w:rFonts w:ascii="Calibri" w:hAnsi="Calibri" w:cs="Calibri"/>
                      <w:sz w:val="20"/>
                      <w:szCs w:val="20"/>
                    </w:rPr>
                    <w:t>908.258</w:t>
                  </w:r>
                </w:p>
              </w:tc>
              <w:tc>
                <w:tcPr>
                  <w:tcW w:w="2266" w:type="dxa"/>
                </w:tcPr>
                <w:p w:rsidRPr="001A1082" w:rsidR="005C0F6D" w:rsidP="005C0F6D" w:rsidRDefault="005C0F6D" w14:paraId="41ED0B03" w14:textId="1059F315">
                  <w:pPr>
                    <w:rPr>
                      <w:rFonts w:ascii="Calibri" w:hAnsi="Calibri" w:cs="Calibri"/>
                      <w:sz w:val="20"/>
                      <w:szCs w:val="20"/>
                    </w:rPr>
                  </w:pPr>
                  <w:r w:rsidRPr="001A1082">
                    <w:rPr>
                      <w:rFonts w:ascii="Calibri" w:hAnsi="Calibri" w:cs="Calibri"/>
                      <w:sz w:val="20"/>
                      <w:szCs w:val="20"/>
                    </w:rPr>
                    <w:t>€</w:t>
                  </w:r>
                  <w:r w:rsidR="000E57B8">
                    <w:rPr>
                      <w:rFonts w:ascii="Calibri" w:hAnsi="Calibri" w:cs="Calibri"/>
                      <w:sz w:val="20"/>
                      <w:szCs w:val="20"/>
                    </w:rPr>
                    <w:t>9.4649.250</w:t>
                  </w:r>
                </w:p>
              </w:tc>
            </w:tr>
          </w:tbl>
          <w:p w:rsidRPr="001A1082" w:rsidR="000E57B8" w:rsidP="00AD5864" w:rsidRDefault="000E57B8" w14:paraId="78E26A1E" w14:textId="32FF1F47">
            <w:pPr>
              <w:pStyle w:val="TableParagraph"/>
              <w:tabs>
                <w:tab w:val="left" w:pos="2060"/>
              </w:tabs>
              <w:spacing w:before="3" w:line="218" w:lineRule="exact"/>
              <w:ind w:right="945"/>
              <w:rPr>
                <w:rFonts w:cstheme="minorHAnsi"/>
                <w:sz w:val="20"/>
                <w:szCs w:val="20"/>
              </w:rPr>
            </w:pPr>
            <w:r>
              <w:rPr>
                <w:rFonts w:cstheme="minorHAnsi"/>
                <w:sz w:val="20"/>
                <w:szCs w:val="20"/>
              </w:rPr>
              <w:t>De financiën worden gedekt vanuit artikel 5 van de VWS-begroting.</w:t>
            </w:r>
          </w:p>
        </w:tc>
      </w:tr>
      <w:tr w:rsidRPr="00D27AE1" w:rsidR="00FC395F" w:rsidTr="00DE6D27" w14:paraId="6DD2BA2F" w14:textId="77777777">
        <w:trPr>
          <w:trHeight w:val="891"/>
        </w:trPr>
        <w:tc>
          <w:tcPr>
            <w:tcW w:w="2640" w:type="dxa"/>
            <w:tcBorders>
              <w:left w:val="nil"/>
            </w:tcBorders>
            <w:shd w:val="clear" w:color="auto" w:fill="7A7A7A"/>
          </w:tcPr>
          <w:p w:rsidRPr="00D27AE1" w:rsidR="00FC395F" w:rsidP="00DE6D27" w:rsidRDefault="00FC395F" w14:paraId="314194B6" w14:textId="77777777">
            <w:pPr>
              <w:pStyle w:val="TableParagraph"/>
              <w:tabs>
                <w:tab w:val="left" w:pos="2060"/>
              </w:tabs>
              <w:spacing w:before="146"/>
              <w:ind w:left="103" w:right="92"/>
              <w:rPr>
                <w:rFonts w:cstheme="minorHAnsi"/>
                <w:b/>
                <w:sz w:val="20"/>
                <w:szCs w:val="20"/>
              </w:rPr>
            </w:pPr>
            <w:r w:rsidRPr="00D27AE1">
              <w:rPr>
                <w:rFonts w:cstheme="minorHAnsi"/>
                <w:b/>
                <w:color w:val="FFFFFF"/>
                <w:sz w:val="20"/>
                <w:szCs w:val="20"/>
              </w:rPr>
              <w:t>Financiële gevolgen voor maatschappelijke sectoren</w:t>
            </w:r>
            <w:r>
              <w:rPr>
                <w:rFonts w:cstheme="minorHAnsi"/>
                <w:b/>
                <w:color w:val="FFFFFF"/>
                <w:sz w:val="20"/>
                <w:szCs w:val="20"/>
              </w:rPr>
              <w:t xml:space="preserve"> </w:t>
            </w:r>
          </w:p>
        </w:tc>
        <w:tc>
          <w:tcPr>
            <w:tcW w:w="6330" w:type="dxa"/>
            <w:tcBorders>
              <w:right w:val="nil"/>
            </w:tcBorders>
            <w:shd w:val="clear" w:color="auto" w:fill="DBDBDB"/>
            <w:vAlign w:val="center"/>
          </w:tcPr>
          <w:p w:rsidRPr="001A1082" w:rsidR="00CD2CD0" w:rsidP="00CF1C38" w:rsidRDefault="00CF1C38" w14:paraId="558CF036" w14:textId="7BBF08C7">
            <w:pPr>
              <w:rPr>
                <w:rFonts w:eastAsia="Verdana" w:cstheme="minorHAnsi"/>
                <w:color w:val="auto"/>
                <w:sz w:val="20"/>
                <w:szCs w:val="20"/>
                <w:lang w:eastAsia="en-US"/>
              </w:rPr>
            </w:pPr>
            <w:r w:rsidRPr="001A1082">
              <w:rPr>
                <w:rFonts w:cstheme="minorHAnsi"/>
                <w:sz w:val="20"/>
                <w:szCs w:val="20"/>
              </w:rPr>
              <w:t xml:space="preserve">De beweging om residentiële jeugdzorg te voorkomen en te verkorten is onderdeel van bredere ontwikkelingen binnen jeugdregio’s. </w:t>
            </w:r>
            <w:r w:rsidRPr="001A1082">
              <w:rPr>
                <w:rFonts w:eastAsia="Verdana" w:cstheme="minorHAnsi"/>
                <w:color w:val="auto"/>
                <w:sz w:val="20"/>
                <w:szCs w:val="20"/>
                <w:lang w:eastAsia="en-US"/>
              </w:rPr>
              <w:t>De decentralisatie</w:t>
            </w:r>
            <w:r w:rsidR="0038157B">
              <w:rPr>
                <w:rFonts w:eastAsia="Verdana" w:cstheme="minorHAnsi"/>
                <w:color w:val="auto"/>
                <w:sz w:val="20"/>
                <w:szCs w:val="20"/>
                <w:lang w:eastAsia="en-US"/>
              </w:rPr>
              <w:t>-</w:t>
            </w:r>
            <w:r w:rsidRPr="001A1082">
              <w:rPr>
                <w:rFonts w:eastAsia="Verdana" w:cstheme="minorHAnsi"/>
                <w:color w:val="auto"/>
                <w:sz w:val="20"/>
                <w:szCs w:val="20"/>
                <w:lang w:eastAsia="en-US"/>
              </w:rPr>
              <w:t>uitkering is ter ondersteuning van deze beweging</w:t>
            </w:r>
            <w:r w:rsidRPr="001A1082" w:rsidR="00CD2CD0">
              <w:rPr>
                <w:rFonts w:eastAsia="Verdana" w:cstheme="minorHAnsi"/>
                <w:color w:val="auto"/>
                <w:sz w:val="20"/>
                <w:szCs w:val="20"/>
                <w:lang w:eastAsia="en-US"/>
              </w:rPr>
              <w:t xml:space="preserve">. </w:t>
            </w:r>
          </w:p>
          <w:p w:rsidRPr="001A1082" w:rsidR="00CD2CD0" w:rsidP="00CF1C38" w:rsidRDefault="00CD2CD0" w14:paraId="5940D5AE" w14:textId="77777777">
            <w:pPr>
              <w:rPr>
                <w:rFonts w:eastAsia="Verdana" w:cstheme="minorHAnsi"/>
                <w:color w:val="auto"/>
                <w:sz w:val="20"/>
                <w:szCs w:val="20"/>
                <w:lang w:eastAsia="en-US"/>
              </w:rPr>
            </w:pPr>
          </w:p>
          <w:p w:rsidRPr="001A1082" w:rsidR="00CD2CD0" w:rsidP="00CD2CD0" w:rsidRDefault="00CD2CD0" w14:paraId="21BC5B63" w14:textId="77777777">
            <w:pPr>
              <w:rPr>
                <w:rFonts w:eastAsia="Verdana" w:cstheme="minorHAnsi"/>
                <w:color w:val="auto"/>
                <w:sz w:val="20"/>
                <w:szCs w:val="20"/>
                <w:lang w:eastAsia="en-US"/>
              </w:rPr>
            </w:pPr>
            <w:r w:rsidRPr="001A1082">
              <w:rPr>
                <w:rFonts w:eastAsia="Verdana" w:cstheme="minorHAnsi"/>
                <w:color w:val="auto"/>
                <w:sz w:val="20"/>
                <w:szCs w:val="20"/>
                <w:lang w:eastAsia="en-US"/>
              </w:rPr>
              <w:t>Deze middelen volgen op de reeds beschikbaar gestelde middelen ad €182 mln. voor de frictiekosten voor de afbouw van de gesloten jeugdhulp en de ombouw naar kleinschaligheid daar waar gesloten jeugdhulp nog noodzakelijk blijft. Hierover zijn in 2024 reeds bestuurlijke afspraken gemaakt tussen het Rijk, VNG en Jeugdzorg Nederland.</w:t>
            </w:r>
            <w:r w:rsidRPr="001A1082">
              <w:rPr>
                <w:rFonts w:eastAsia="Verdana" w:cstheme="minorHAnsi"/>
                <w:color w:val="auto"/>
                <w:sz w:val="20"/>
                <w:szCs w:val="20"/>
                <w:vertAlign w:val="superscript"/>
                <w:lang w:eastAsia="en-US"/>
              </w:rPr>
              <w:footnoteReference w:id="2"/>
            </w:r>
            <w:r w:rsidRPr="001A1082">
              <w:rPr>
                <w:rFonts w:eastAsia="Verdana" w:cstheme="minorHAnsi"/>
                <w:color w:val="auto"/>
                <w:sz w:val="20"/>
                <w:szCs w:val="20"/>
                <w:lang w:eastAsia="en-US"/>
              </w:rPr>
              <w:t xml:space="preserve"> </w:t>
            </w:r>
          </w:p>
          <w:p w:rsidRPr="001A1082" w:rsidR="00CD2CD0" w:rsidP="00CF1C38" w:rsidRDefault="00CD2CD0" w14:paraId="19A9FA17" w14:textId="77777777">
            <w:pPr>
              <w:rPr>
                <w:rFonts w:eastAsia="Verdana" w:cstheme="minorHAnsi"/>
                <w:color w:val="auto"/>
                <w:sz w:val="20"/>
                <w:szCs w:val="20"/>
                <w:lang w:eastAsia="en-US"/>
              </w:rPr>
            </w:pPr>
          </w:p>
          <w:p w:rsidRPr="001A1082" w:rsidR="00CD2CD0" w:rsidP="00CD2CD0" w:rsidRDefault="00CD2CD0" w14:paraId="2FE30E34" w14:textId="77777777">
            <w:pPr>
              <w:rPr>
                <w:rFonts w:eastAsia="Verdana" w:cstheme="minorHAnsi"/>
                <w:color w:val="auto"/>
                <w:sz w:val="20"/>
                <w:szCs w:val="20"/>
                <w:lang w:eastAsia="en-US"/>
              </w:rPr>
            </w:pPr>
            <w:r w:rsidRPr="001A1082">
              <w:rPr>
                <w:rFonts w:eastAsia="Verdana" w:cstheme="minorHAnsi"/>
                <w:color w:val="auto"/>
                <w:sz w:val="20"/>
                <w:szCs w:val="20"/>
                <w:lang w:eastAsia="en-US"/>
              </w:rPr>
              <w:t>In het financiële kader van de Hervormingsagenda is afgesproken tussen de VNG en het Rijk dat het voorkomen en verkorten van (open én gesloten) residentieel verblijf gepaard gaat met een korting ad €148 mln. structureel.</w:t>
            </w:r>
            <w:r w:rsidRPr="001A1082">
              <w:rPr>
                <w:rFonts w:eastAsia="Verdana" w:cstheme="minorHAnsi"/>
                <w:color w:val="auto"/>
                <w:sz w:val="20"/>
                <w:szCs w:val="20"/>
                <w:vertAlign w:val="superscript"/>
                <w:lang w:eastAsia="en-US"/>
              </w:rPr>
              <w:footnoteReference w:id="3"/>
            </w:r>
            <w:r w:rsidRPr="001A1082">
              <w:rPr>
                <w:rFonts w:eastAsia="Verdana" w:cstheme="minorHAnsi"/>
                <w:color w:val="auto"/>
                <w:sz w:val="20"/>
                <w:szCs w:val="20"/>
                <w:lang w:eastAsia="en-US"/>
              </w:rPr>
              <w:t xml:space="preserve"> </w:t>
            </w:r>
          </w:p>
          <w:p w:rsidRPr="001A1082" w:rsidR="00FC395F" w:rsidP="00DE6D27" w:rsidRDefault="00FC395F" w14:paraId="3BF2D499" w14:textId="07904F6C">
            <w:pPr>
              <w:pStyle w:val="TableParagraph"/>
              <w:tabs>
                <w:tab w:val="left" w:pos="2060"/>
              </w:tabs>
              <w:ind w:left="101" w:right="308"/>
              <w:rPr>
                <w:rFonts w:cstheme="minorHAnsi"/>
                <w:sz w:val="20"/>
                <w:szCs w:val="20"/>
              </w:rPr>
            </w:pPr>
          </w:p>
        </w:tc>
      </w:tr>
      <w:tr w:rsidRPr="00D27AE1" w:rsidR="00FC395F" w:rsidTr="00DE6D27" w14:paraId="6DAB8612" w14:textId="77777777">
        <w:trPr>
          <w:trHeight w:val="955"/>
        </w:trPr>
        <w:tc>
          <w:tcPr>
            <w:tcW w:w="2640" w:type="dxa"/>
            <w:tcBorders>
              <w:left w:val="nil"/>
            </w:tcBorders>
            <w:shd w:val="clear" w:color="auto" w:fill="7A7A7A"/>
          </w:tcPr>
          <w:p w:rsidRPr="00D27AE1" w:rsidR="00FC395F" w:rsidP="00DE6D27" w:rsidRDefault="00FC395F" w14:paraId="483D9DA7" w14:textId="77777777">
            <w:pPr>
              <w:pStyle w:val="TableParagraph"/>
              <w:tabs>
                <w:tab w:val="left" w:pos="2060"/>
              </w:tabs>
              <w:spacing w:before="141"/>
              <w:ind w:left="103" w:right="829"/>
              <w:rPr>
                <w:rFonts w:cstheme="minorHAnsi"/>
                <w:b/>
                <w:sz w:val="20"/>
                <w:szCs w:val="20"/>
              </w:rPr>
            </w:pPr>
            <w:r w:rsidRPr="00D27AE1">
              <w:rPr>
                <w:rFonts w:cstheme="minorHAnsi"/>
                <w:b/>
                <w:color w:val="FFFFFF"/>
                <w:sz w:val="20"/>
                <w:szCs w:val="20"/>
              </w:rPr>
              <w:t>Nagestreefde doeltreffendheid</w:t>
            </w:r>
          </w:p>
        </w:tc>
        <w:tc>
          <w:tcPr>
            <w:tcW w:w="6330" w:type="dxa"/>
            <w:tcBorders>
              <w:right w:val="nil"/>
            </w:tcBorders>
            <w:shd w:val="clear" w:color="auto" w:fill="DBDBDB"/>
            <w:vAlign w:val="center"/>
          </w:tcPr>
          <w:p w:rsidRPr="00CD2CD0" w:rsidR="00456A62" w:rsidP="00CD2CD0" w:rsidRDefault="00456A62" w14:paraId="6FD83678" w14:textId="1004DB52">
            <w:pPr>
              <w:pStyle w:val="TableParagraph"/>
              <w:tabs>
                <w:tab w:val="left" w:pos="2060"/>
              </w:tabs>
              <w:spacing w:before="4" w:line="218" w:lineRule="exact"/>
              <w:ind w:right="166"/>
              <w:rPr>
                <w:rFonts w:cstheme="minorHAnsi"/>
                <w:sz w:val="20"/>
                <w:szCs w:val="20"/>
              </w:rPr>
            </w:pPr>
            <w:r w:rsidRPr="00CD2CD0">
              <w:rPr>
                <w:rFonts w:cstheme="minorHAnsi"/>
                <w:sz w:val="20"/>
                <w:szCs w:val="20"/>
              </w:rPr>
              <w:t xml:space="preserve">De beschikbare middelen worden via een </w:t>
            </w:r>
            <w:r w:rsidR="0038157B">
              <w:rPr>
                <w:rFonts w:cstheme="minorHAnsi"/>
                <w:sz w:val="20"/>
                <w:szCs w:val="20"/>
              </w:rPr>
              <w:t>d</w:t>
            </w:r>
            <w:r w:rsidRPr="00CD2CD0">
              <w:rPr>
                <w:rFonts w:cstheme="minorHAnsi"/>
                <w:sz w:val="20"/>
                <w:szCs w:val="20"/>
              </w:rPr>
              <w:t>ecentralisatie</w:t>
            </w:r>
            <w:r w:rsidR="0038157B">
              <w:rPr>
                <w:rFonts w:cstheme="minorHAnsi"/>
                <w:sz w:val="20"/>
                <w:szCs w:val="20"/>
              </w:rPr>
              <w:t>-u</w:t>
            </w:r>
            <w:r w:rsidRPr="00CD2CD0">
              <w:rPr>
                <w:rFonts w:cstheme="minorHAnsi"/>
                <w:sz w:val="20"/>
                <w:szCs w:val="20"/>
              </w:rPr>
              <w:t xml:space="preserve">itkering meerjarig beschikbaar gesteld aan de jeugdregio’s.  Dit geeft jeugdregio’s de ruimte om, passend bij de regionale context, in te zetten op het voorkomen en verkorten van residentieel verblijf. Veelal is de beweging </w:t>
            </w:r>
            <w:r w:rsidRPr="00CD2CD0">
              <w:rPr>
                <w:rFonts w:cstheme="minorHAnsi"/>
                <w:sz w:val="20"/>
                <w:szCs w:val="20"/>
              </w:rPr>
              <w:lastRenderedPageBreak/>
              <w:t xml:space="preserve">richting zo thuis mogelijk opgroeien reeds ingezet en onderdeel van de regiovisie. Jeugdregio’s werken hierbij samen met zorgaanbieders en gecertificeerde instellingen. Jeugdregio’s kunnen met deze middelen hier een verdere impuls aan geven om residentieel verblijf te voorkomen en te verkorten. Dit gebeurt in overleg met </w:t>
            </w:r>
            <w:r w:rsidRPr="00CD2CD0" w:rsidR="00B91E86">
              <w:rPr>
                <w:rFonts w:cstheme="minorHAnsi"/>
                <w:sz w:val="20"/>
                <w:szCs w:val="20"/>
              </w:rPr>
              <w:t>jeugd</w:t>
            </w:r>
            <w:r w:rsidRPr="00CD2CD0">
              <w:rPr>
                <w:rFonts w:cstheme="minorHAnsi"/>
                <w:sz w:val="20"/>
                <w:szCs w:val="20"/>
              </w:rPr>
              <w:t>zorgaanbieders en gecertificeerde instellingen.</w:t>
            </w:r>
          </w:p>
          <w:p w:rsidRPr="00CD2CD0" w:rsidR="00FC395F" w:rsidP="00456A62" w:rsidRDefault="00FC395F" w14:paraId="7ED5DDD1" w14:textId="57884E57">
            <w:pPr>
              <w:pStyle w:val="TableParagraph"/>
              <w:tabs>
                <w:tab w:val="left" w:pos="2060"/>
              </w:tabs>
              <w:spacing w:before="4" w:line="218" w:lineRule="exact"/>
              <w:ind w:left="101" w:right="166"/>
              <w:rPr>
                <w:rFonts w:cstheme="minorHAnsi"/>
                <w:sz w:val="20"/>
                <w:szCs w:val="20"/>
              </w:rPr>
            </w:pPr>
          </w:p>
        </w:tc>
      </w:tr>
      <w:tr w:rsidRPr="00D27AE1" w:rsidR="00FC395F" w:rsidTr="00DE6D27" w14:paraId="6FCADF65" w14:textId="77777777">
        <w:trPr>
          <w:trHeight w:val="983"/>
        </w:trPr>
        <w:tc>
          <w:tcPr>
            <w:tcW w:w="2640" w:type="dxa"/>
            <w:tcBorders>
              <w:left w:val="nil"/>
            </w:tcBorders>
            <w:shd w:val="clear" w:color="auto" w:fill="7A7A7A"/>
          </w:tcPr>
          <w:p w:rsidRPr="00D27AE1" w:rsidR="00FC395F" w:rsidP="00DE6D27" w:rsidRDefault="00FC395F" w14:paraId="68435726" w14:textId="77777777">
            <w:pPr>
              <w:pStyle w:val="TableParagraph"/>
              <w:tabs>
                <w:tab w:val="left" w:pos="2060"/>
              </w:tabs>
              <w:rPr>
                <w:rFonts w:cstheme="minorHAnsi"/>
                <w:i/>
                <w:sz w:val="20"/>
                <w:szCs w:val="20"/>
              </w:rPr>
            </w:pPr>
          </w:p>
          <w:p w:rsidRPr="00D27AE1" w:rsidR="00FC395F" w:rsidP="00DE6D27" w:rsidRDefault="00FC395F" w14:paraId="7A733B52" w14:textId="77777777">
            <w:pPr>
              <w:pStyle w:val="TableParagraph"/>
              <w:tabs>
                <w:tab w:val="left" w:pos="2060"/>
              </w:tabs>
              <w:ind w:left="103" w:right="1066"/>
              <w:rPr>
                <w:rFonts w:cstheme="minorHAnsi"/>
                <w:b/>
                <w:sz w:val="20"/>
                <w:szCs w:val="20"/>
              </w:rPr>
            </w:pPr>
            <w:r w:rsidRPr="00D27AE1">
              <w:rPr>
                <w:rFonts w:cstheme="minorHAnsi"/>
                <w:b/>
                <w:color w:val="FFFFFF"/>
                <w:sz w:val="20"/>
                <w:szCs w:val="20"/>
              </w:rPr>
              <w:t>Nagestreefde doelmatigheid</w:t>
            </w:r>
          </w:p>
        </w:tc>
        <w:tc>
          <w:tcPr>
            <w:tcW w:w="6330" w:type="dxa"/>
            <w:tcBorders>
              <w:right w:val="nil"/>
            </w:tcBorders>
            <w:shd w:val="clear" w:color="auto" w:fill="DBDBDB"/>
            <w:vAlign w:val="center"/>
          </w:tcPr>
          <w:p w:rsidRPr="00CD2CD0" w:rsidR="00AB26A0" w:rsidP="00656ABC" w:rsidRDefault="00AB26A0" w14:paraId="31B7B5EC" w14:textId="6DA8D173">
            <w:pPr>
              <w:pStyle w:val="TableParagraph"/>
              <w:tabs>
                <w:tab w:val="left" w:pos="2060"/>
              </w:tabs>
              <w:spacing w:line="213" w:lineRule="exact"/>
              <w:ind w:left="101"/>
              <w:rPr>
                <w:rFonts w:cstheme="minorHAnsi"/>
                <w:sz w:val="20"/>
                <w:szCs w:val="20"/>
              </w:rPr>
            </w:pPr>
            <w:r w:rsidRPr="00CD2CD0">
              <w:rPr>
                <w:rFonts w:cstheme="minorHAnsi"/>
                <w:sz w:val="20"/>
                <w:szCs w:val="20"/>
              </w:rPr>
              <w:t xml:space="preserve">De beweging om residentiële jeugdzorg te voorkomen en te verkorten is onderdeel van bredere ontwikkelingen binnen jeugdregio’s. De manier hoe deze beweging verder gerealiseerd wordt en kan worden geïntensiveerd verschilt per regio. Dit is onder andere afhankelijk van regiovisie, het zorglandschap, inkoop, en verwijsprocessen. Een grote mate van beleidsvrijheid is daarom het meest geëigend. Het Rijk en VNG spreken af dat het aan jeugdregio’s is om, in het verlengde van de reeds ingezette beweging, verder invulling te geven aan de beoogde doelstellingen rondom het voorkomen en verkorten van residentieel verblijf. </w:t>
            </w:r>
          </w:p>
        </w:tc>
      </w:tr>
      <w:tr w:rsidRPr="00D27AE1" w:rsidR="00FC395F" w:rsidTr="00DE6D27" w14:paraId="5C5E8B82" w14:textId="77777777">
        <w:trPr>
          <w:trHeight w:val="983"/>
        </w:trPr>
        <w:tc>
          <w:tcPr>
            <w:tcW w:w="2640" w:type="dxa"/>
            <w:tcBorders>
              <w:left w:val="nil"/>
            </w:tcBorders>
            <w:shd w:val="clear" w:color="auto" w:fill="7A7A7A"/>
          </w:tcPr>
          <w:p w:rsidRPr="002C7109" w:rsidR="00FC395F" w:rsidP="00DE6D27" w:rsidRDefault="00FC395F" w14:paraId="54E91C87" w14:textId="77777777">
            <w:pPr>
              <w:pStyle w:val="TableParagraph"/>
              <w:tabs>
                <w:tab w:val="left" w:pos="2060"/>
              </w:tabs>
              <w:ind w:left="103" w:right="1066"/>
              <w:rPr>
                <w:rFonts w:cstheme="minorHAnsi"/>
                <w:b/>
                <w:color w:val="FFFFFF"/>
                <w:sz w:val="20"/>
                <w:szCs w:val="20"/>
              </w:rPr>
            </w:pPr>
          </w:p>
          <w:p w:rsidRPr="00D27AE1" w:rsidR="00FC395F" w:rsidP="00DE6D27" w:rsidRDefault="00FC395F" w14:paraId="0DF8442F" w14:textId="77777777">
            <w:pPr>
              <w:pStyle w:val="TableParagraph"/>
              <w:tabs>
                <w:tab w:val="left" w:pos="2060"/>
              </w:tabs>
              <w:ind w:left="103" w:right="1066"/>
              <w:rPr>
                <w:rFonts w:cstheme="minorHAnsi"/>
                <w:i/>
                <w:sz w:val="20"/>
                <w:szCs w:val="20"/>
              </w:rPr>
            </w:pPr>
            <w:r w:rsidRPr="00D27AE1">
              <w:rPr>
                <w:rFonts w:cstheme="minorHAnsi"/>
                <w:b/>
                <w:color w:val="FFFFFF"/>
                <w:sz w:val="20"/>
                <w:szCs w:val="20"/>
              </w:rPr>
              <w:t>Evaluatieparagraaf</w:t>
            </w:r>
          </w:p>
        </w:tc>
        <w:tc>
          <w:tcPr>
            <w:tcW w:w="6330" w:type="dxa"/>
            <w:tcBorders>
              <w:right w:val="nil"/>
            </w:tcBorders>
            <w:shd w:val="clear" w:color="auto" w:fill="DBDBDB"/>
            <w:vAlign w:val="center"/>
          </w:tcPr>
          <w:p w:rsidRPr="00CD2CD0" w:rsidR="00FC395F" w:rsidP="00A02319" w:rsidRDefault="00A02319" w14:paraId="085C6A16" w14:textId="1851D954">
            <w:pPr>
              <w:rPr>
                <w:rFonts w:cstheme="minorHAnsi"/>
                <w:sz w:val="20"/>
                <w:szCs w:val="20"/>
              </w:rPr>
            </w:pPr>
            <w:r w:rsidRPr="00CD2CD0">
              <w:rPr>
                <w:rFonts w:cstheme="minorHAnsi"/>
                <w:sz w:val="20"/>
                <w:szCs w:val="20"/>
              </w:rPr>
              <w:t xml:space="preserve">VWS en VNG vinden het belangrijk om zicht te krijgen op de effectiviteit van de inzet van deze middelen: bereiken we met elkaar het beoogde doel om residentieel verblijf te voorkomen en terug te dringen? Er wordt daarom een gezamenlijk onderzoek geïnitieerd door VWS en VNG. Hierbij zal in retroperspectief gekeken worden naar de (kwantitatieve) ontwikkeling van residentiele verblijfsduur en kosten, de financiële inzet, de (kwalitatieve) ontwikkelingen van het </w:t>
            </w:r>
            <w:proofErr w:type="spellStart"/>
            <w:r w:rsidRPr="00CD2CD0">
              <w:rPr>
                <w:rFonts w:cstheme="minorHAnsi"/>
                <w:sz w:val="20"/>
                <w:szCs w:val="20"/>
              </w:rPr>
              <w:t>voorveld</w:t>
            </w:r>
            <w:proofErr w:type="spellEnd"/>
            <w:r w:rsidRPr="00CD2CD0">
              <w:rPr>
                <w:rFonts w:cstheme="minorHAnsi"/>
                <w:sz w:val="20"/>
                <w:szCs w:val="20"/>
              </w:rPr>
              <w:t xml:space="preserve"> en relevante randvoorwaarden. Hiermee beogen we als Rijk en gemeenten inzicht te krijgen in de doelmatigheid en doeltreffendheid van onze afspraken.  Omdat het diepgaand onderzoek betreft is het voornemen om een </w:t>
            </w:r>
            <w:proofErr w:type="spellStart"/>
            <w:r w:rsidRPr="00CD2CD0">
              <w:rPr>
                <w:rFonts w:cstheme="minorHAnsi"/>
                <w:sz w:val="20"/>
                <w:szCs w:val="20"/>
              </w:rPr>
              <w:t>case-study</w:t>
            </w:r>
            <w:proofErr w:type="spellEnd"/>
            <w:r w:rsidRPr="00CD2CD0">
              <w:rPr>
                <w:rFonts w:cstheme="minorHAnsi"/>
                <w:sz w:val="20"/>
                <w:szCs w:val="20"/>
              </w:rPr>
              <w:t xml:space="preserve"> in enkele regio’s uit te voeren om zo een representatief beeld geven. Hierbij wordt de inzet van middelen onderzocht binnen de lokale en regionale context.  </w:t>
            </w:r>
          </w:p>
        </w:tc>
      </w:tr>
    </w:tbl>
    <w:p w:rsidR="00B06701" w:rsidRDefault="00B06701" w14:paraId="321AD8F0" w14:textId="77777777"/>
    <w:sectPr w:rsidR="00B06701" w:rsidSect="001E6A24">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1F6E3" w14:textId="77777777" w:rsidR="0018515E" w:rsidRDefault="0018515E" w:rsidP="00AB26A0">
      <w:pPr>
        <w:spacing w:line="240" w:lineRule="auto"/>
      </w:pPr>
      <w:r>
        <w:separator/>
      </w:r>
    </w:p>
  </w:endnote>
  <w:endnote w:type="continuationSeparator" w:id="0">
    <w:p w14:paraId="573682C6" w14:textId="77777777" w:rsidR="0018515E" w:rsidRDefault="0018515E" w:rsidP="00AB26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sig w:usb0="00000003" w:usb1="00000000" w:usb2="00000000" w:usb3="00000000" w:csb0="00000001" w:csb1="00000000"/>
  </w:font>
  <w:font w:name="Lohit Hindi">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6ABE5" w14:textId="77777777" w:rsidR="0018515E" w:rsidRDefault="0018515E" w:rsidP="00AB26A0">
      <w:pPr>
        <w:spacing w:line="240" w:lineRule="auto"/>
      </w:pPr>
      <w:r>
        <w:separator/>
      </w:r>
    </w:p>
  </w:footnote>
  <w:footnote w:type="continuationSeparator" w:id="0">
    <w:p w14:paraId="75F5A23C" w14:textId="77777777" w:rsidR="0018515E" w:rsidRDefault="0018515E" w:rsidP="00AB26A0">
      <w:pPr>
        <w:spacing w:line="240" w:lineRule="auto"/>
      </w:pPr>
      <w:r>
        <w:continuationSeparator/>
      </w:r>
    </w:p>
  </w:footnote>
  <w:footnote w:id="1">
    <w:p w14:paraId="50702A5F" w14:textId="596F4E3D" w:rsidR="00CD2CD0" w:rsidRPr="00CD2CD0" w:rsidRDefault="00CD2CD0">
      <w:pPr>
        <w:pStyle w:val="Voetnoottekst"/>
        <w:rPr>
          <w:sz w:val="16"/>
          <w:szCs w:val="16"/>
        </w:rPr>
      </w:pPr>
      <w:r w:rsidRPr="00CD2CD0">
        <w:rPr>
          <w:rStyle w:val="Voetnootmarkering"/>
          <w:sz w:val="16"/>
          <w:szCs w:val="16"/>
        </w:rPr>
        <w:footnoteRef/>
      </w:r>
      <w:r w:rsidRPr="00CD2CD0">
        <w:rPr>
          <w:sz w:val="16"/>
          <w:szCs w:val="16"/>
        </w:rPr>
        <w:t xml:space="preserve"> Residentiële jeugdhulp betreft a</w:t>
      </w:r>
      <w:r w:rsidRPr="00CD2CD0">
        <w:rPr>
          <w:rFonts w:cs="Arial"/>
          <w:sz w:val="16"/>
          <w:szCs w:val="16"/>
        </w:rPr>
        <w:t>lle vormen van hulp waarbij jeugdigen op vrijwillige of gedwongen basis (tijdelijk) dag en nacht buiten hun eigen omgeving verblijven. Hieronder vallen onder meer leefgroepen, behandelgroepen, kamertraining en crisisopvang.</w:t>
      </w:r>
    </w:p>
  </w:footnote>
  <w:footnote w:id="2">
    <w:p w14:paraId="520A9EA9" w14:textId="77777777" w:rsidR="00CD2CD0" w:rsidRPr="00CD2CD0" w:rsidRDefault="00CD2CD0" w:rsidP="00CD2CD0">
      <w:pPr>
        <w:pStyle w:val="Voetnoottekst"/>
        <w:rPr>
          <w:rFonts w:asciiTheme="minorHAnsi" w:hAnsiTheme="minorHAnsi" w:cstheme="minorBidi"/>
          <w:sz w:val="16"/>
          <w:szCs w:val="16"/>
          <w:lang w:eastAsia="en-US"/>
        </w:rPr>
      </w:pPr>
      <w:r w:rsidRPr="00CD2CD0">
        <w:rPr>
          <w:rStyle w:val="Voetnootmarkering"/>
          <w:sz w:val="16"/>
          <w:szCs w:val="16"/>
        </w:rPr>
        <w:footnoteRef/>
      </w:r>
      <w:r w:rsidRPr="00CD2CD0">
        <w:rPr>
          <w:sz w:val="16"/>
          <w:szCs w:val="16"/>
        </w:rPr>
        <w:t xml:space="preserve"> </w:t>
      </w:r>
      <w:hyperlink r:id="rId1" w:history="1">
        <w:r w:rsidRPr="00CD2CD0">
          <w:rPr>
            <w:rStyle w:val="Hyperlink"/>
            <w:sz w:val="16"/>
            <w:szCs w:val="16"/>
          </w:rPr>
          <w:t>Bestuurlijke afspraken transformatie gesloten jeugdhulp | Rijksoverheid.nl</w:t>
        </w:r>
      </w:hyperlink>
    </w:p>
  </w:footnote>
  <w:footnote w:id="3">
    <w:p w14:paraId="34A4BA22" w14:textId="77777777" w:rsidR="00CD2CD0" w:rsidRPr="00CD2CD0" w:rsidRDefault="00CD2CD0" w:rsidP="00CD2CD0">
      <w:pPr>
        <w:rPr>
          <w:rFonts w:asciiTheme="minorHAnsi" w:hAnsiTheme="minorHAnsi" w:cstheme="minorHAnsi"/>
          <w:sz w:val="16"/>
          <w:szCs w:val="16"/>
          <w:lang w:eastAsia="en-US"/>
        </w:rPr>
      </w:pPr>
      <w:r w:rsidRPr="00CD2CD0">
        <w:rPr>
          <w:rStyle w:val="Voetnootmarkering"/>
          <w:sz w:val="16"/>
          <w:szCs w:val="16"/>
        </w:rPr>
        <w:footnoteRef/>
      </w:r>
      <w:r w:rsidRPr="00CD2CD0">
        <w:rPr>
          <w:sz w:val="16"/>
          <w:szCs w:val="16"/>
        </w:rPr>
        <w:t xml:space="preserve"> </w:t>
      </w:r>
      <w:r w:rsidRPr="00CD2CD0">
        <w:rPr>
          <w:rFonts w:cstheme="minorHAnsi"/>
          <w:sz w:val="16"/>
          <w:szCs w:val="16"/>
        </w:rPr>
        <w:t xml:space="preserve">Daarnaast is er een verzachting van €74 </w:t>
      </w:r>
      <w:proofErr w:type="spellStart"/>
      <w:r w:rsidRPr="00CD2CD0">
        <w:rPr>
          <w:rFonts w:cstheme="minorHAnsi"/>
          <w:sz w:val="16"/>
          <w:szCs w:val="16"/>
        </w:rPr>
        <w:t>mln</w:t>
      </w:r>
      <w:proofErr w:type="spellEnd"/>
      <w:r w:rsidRPr="00CD2CD0">
        <w:rPr>
          <w:rFonts w:cstheme="minorHAnsi"/>
          <w:sz w:val="16"/>
          <w:szCs w:val="16"/>
        </w:rPr>
        <w:t xml:space="preserve"> is ingeboekt t.b.v. kleinschaligheid van gesloten jeugdhulp (daar waar deze noodzakelijk blijft). Gezamenlijk leidt dit tot de besparingsopgave van €74 </w:t>
      </w:r>
      <w:proofErr w:type="spellStart"/>
      <w:r w:rsidRPr="00CD2CD0">
        <w:rPr>
          <w:rFonts w:cstheme="minorHAnsi"/>
          <w:sz w:val="16"/>
          <w:szCs w:val="16"/>
        </w:rPr>
        <w:t>mln</w:t>
      </w:r>
      <w:proofErr w:type="spellEnd"/>
      <w:r w:rsidRPr="00CD2CD0">
        <w:rPr>
          <w:rFonts w:cstheme="minorHAnsi"/>
          <w:sz w:val="16"/>
          <w:szCs w:val="16"/>
        </w:rPr>
        <w:t xml:space="preserve"> zoals opgenomen in de Hervormingsagenda Jeugd.</w:t>
      </w:r>
    </w:p>
    <w:p w14:paraId="2E856AA4" w14:textId="77777777" w:rsidR="00CD2CD0" w:rsidRDefault="00CD2CD0" w:rsidP="00CD2CD0">
      <w:pPr>
        <w:pStyle w:val="Voetnoottekst"/>
        <w:rPr>
          <w:rFonts w:cstheme="minorBidi"/>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trackRevision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5F"/>
    <w:rsid w:val="0003329F"/>
    <w:rsid w:val="000464D5"/>
    <w:rsid w:val="0007379A"/>
    <w:rsid w:val="000C1F99"/>
    <w:rsid w:val="000E4C56"/>
    <w:rsid w:val="000E57B8"/>
    <w:rsid w:val="00111C26"/>
    <w:rsid w:val="0018515E"/>
    <w:rsid w:val="001A1082"/>
    <w:rsid w:val="001E6A24"/>
    <w:rsid w:val="0022371A"/>
    <w:rsid w:val="00274F84"/>
    <w:rsid w:val="002D5228"/>
    <w:rsid w:val="002F7D5B"/>
    <w:rsid w:val="00315A94"/>
    <w:rsid w:val="0038157B"/>
    <w:rsid w:val="00456A62"/>
    <w:rsid w:val="00457942"/>
    <w:rsid w:val="00475C1B"/>
    <w:rsid w:val="00525CCB"/>
    <w:rsid w:val="005C0F6D"/>
    <w:rsid w:val="005D15DF"/>
    <w:rsid w:val="0062261A"/>
    <w:rsid w:val="00656ABC"/>
    <w:rsid w:val="006619FB"/>
    <w:rsid w:val="006936D8"/>
    <w:rsid w:val="006D7B99"/>
    <w:rsid w:val="006F3C08"/>
    <w:rsid w:val="00777C41"/>
    <w:rsid w:val="00806146"/>
    <w:rsid w:val="00824FD6"/>
    <w:rsid w:val="009527E2"/>
    <w:rsid w:val="00A02319"/>
    <w:rsid w:val="00A52447"/>
    <w:rsid w:val="00AB26A0"/>
    <w:rsid w:val="00AD5864"/>
    <w:rsid w:val="00B06701"/>
    <w:rsid w:val="00B67140"/>
    <w:rsid w:val="00B868A8"/>
    <w:rsid w:val="00B91E86"/>
    <w:rsid w:val="00C04276"/>
    <w:rsid w:val="00C33082"/>
    <w:rsid w:val="00CD2CD0"/>
    <w:rsid w:val="00CF1C38"/>
    <w:rsid w:val="00D47915"/>
    <w:rsid w:val="00D85A97"/>
    <w:rsid w:val="00DC1F07"/>
    <w:rsid w:val="00DD2AEF"/>
    <w:rsid w:val="00E61D1F"/>
    <w:rsid w:val="00EC4563"/>
    <w:rsid w:val="00ED6D14"/>
    <w:rsid w:val="00F176B7"/>
    <w:rsid w:val="00FC3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4F6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C395F"/>
    <w:pPr>
      <w:autoSpaceDN w:val="0"/>
      <w:spacing w:after="0" w:line="240" w:lineRule="exact"/>
      <w:textAlignment w:val="baseline"/>
    </w:pPr>
    <w:rPr>
      <w:rFonts w:eastAsia="DejaVu Sans" w:cs="Lohit Hindi"/>
      <w:color w:val="000000"/>
      <w:szCs w:val="1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rsid w:val="00FC395F"/>
    <w:pPr>
      <w:widowControl w:val="0"/>
      <w:autoSpaceDE w:val="0"/>
      <w:autoSpaceDN w:val="0"/>
      <w:spacing w:after="0" w:line="240" w:lineRule="auto"/>
    </w:pPr>
    <w:rPr>
      <w:rFonts w:asciiTheme="minorHAnsi" w:hAnsiTheme="minorHAnsi"/>
      <w:sz w:val="22"/>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FC395F"/>
    <w:pPr>
      <w:widowControl w:val="0"/>
      <w:autoSpaceDE w:val="0"/>
      <w:spacing w:line="240" w:lineRule="auto"/>
      <w:textAlignment w:val="auto"/>
    </w:pPr>
    <w:rPr>
      <w:rFonts w:eastAsia="Verdana" w:cs="Verdana"/>
      <w:color w:val="auto"/>
      <w:sz w:val="22"/>
      <w:szCs w:val="22"/>
      <w:lang w:eastAsia="en-US"/>
    </w:rPr>
  </w:style>
  <w:style w:type="table" w:styleId="Tabelraster">
    <w:name w:val="Table Grid"/>
    <w:basedOn w:val="Standaardtabel"/>
    <w:uiPriority w:val="39"/>
    <w:rsid w:val="005C0F6D"/>
    <w:pPr>
      <w:spacing w:after="0" w:line="240" w:lineRule="auto"/>
    </w:pPr>
    <w:rPr>
      <w:rFonts w:asciiTheme="minorHAnsi" w:hAnsiTheme="minorHAnsi"/>
      <w:kern w:val="2"/>
      <w:sz w:val="24"/>
      <w:szCs w:val="24"/>
      <w:lang w:val="nl-N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CD2CD0"/>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CD2CD0"/>
    <w:rPr>
      <w:rFonts w:eastAsia="DejaVu Sans" w:cs="Lohit Hindi"/>
      <w:color w:val="000000"/>
      <w:sz w:val="20"/>
      <w:szCs w:val="20"/>
      <w:lang w:val="nl-NL" w:eastAsia="nl-NL"/>
    </w:rPr>
  </w:style>
  <w:style w:type="character" w:styleId="Voetnootmarkering">
    <w:name w:val="footnote reference"/>
    <w:basedOn w:val="Standaardalinea-lettertype"/>
    <w:uiPriority w:val="99"/>
    <w:semiHidden/>
    <w:unhideWhenUsed/>
    <w:rsid w:val="00CD2CD0"/>
    <w:rPr>
      <w:vertAlign w:val="superscript"/>
    </w:rPr>
  </w:style>
  <w:style w:type="character" w:styleId="Hyperlink">
    <w:name w:val="Hyperlink"/>
    <w:basedOn w:val="Standaardalinea-lettertype"/>
    <w:uiPriority w:val="99"/>
    <w:semiHidden/>
    <w:unhideWhenUsed/>
    <w:rsid w:val="00CD2CD0"/>
    <w:rPr>
      <w:color w:val="0563C1" w:themeColor="hyperlink"/>
      <w:u w:val="single"/>
    </w:rPr>
  </w:style>
  <w:style w:type="character" w:styleId="Verwijzingopmerking">
    <w:name w:val="annotation reference"/>
    <w:basedOn w:val="Standaardalinea-lettertype"/>
    <w:uiPriority w:val="99"/>
    <w:semiHidden/>
    <w:unhideWhenUsed/>
    <w:rsid w:val="0038157B"/>
    <w:rPr>
      <w:sz w:val="16"/>
      <w:szCs w:val="16"/>
    </w:rPr>
  </w:style>
  <w:style w:type="paragraph" w:styleId="Tekstopmerking">
    <w:name w:val="annotation text"/>
    <w:basedOn w:val="Standaard"/>
    <w:link w:val="TekstopmerkingChar"/>
    <w:uiPriority w:val="99"/>
    <w:unhideWhenUsed/>
    <w:rsid w:val="0038157B"/>
    <w:pPr>
      <w:spacing w:line="240" w:lineRule="auto"/>
    </w:pPr>
    <w:rPr>
      <w:sz w:val="20"/>
      <w:szCs w:val="20"/>
    </w:rPr>
  </w:style>
  <w:style w:type="character" w:customStyle="1" w:styleId="TekstopmerkingChar">
    <w:name w:val="Tekst opmerking Char"/>
    <w:basedOn w:val="Standaardalinea-lettertype"/>
    <w:link w:val="Tekstopmerking"/>
    <w:uiPriority w:val="99"/>
    <w:rsid w:val="0038157B"/>
    <w:rPr>
      <w:rFonts w:eastAsia="DejaVu Sans" w:cs="Lohit Hindi"/>
      <w:color w:val="000000"/>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38157B"/>
    <w:rPr>
      <w:b/>
      <w:bCs/>
    </w:rPr>
  </w:style>
  <w:style w:type="character" w:customStyle="1" w:styleId="OnderwerpvanopmerkingChar">
    <w:name w:val="Onderwerp van opmerking Char"/>
    <w:basedOn w:val="TekstopmerkingChar"/>
    <w:link w:val="Onderwerpvanopmerking"/>
    <w:uiPriority w:val="99"/>
    <w:semiHidden/>
    <w:rsid w:val="0038157B"/>
    <w:rPr>
      <w:rFonts w:eastAsia="DejaVu Sans" w:cs="Lohit Hindi"/>
      <w:b/>
      <w:bCs/>
      <w:color w:val="000000"/>
      <w:sz w:val="20"/>
      <w:szCs w:val="20"/>
      <w:lang w:val="nl-NL" w:eastAsia="nl-NL"/>
    </w:rPr>
  </w:style>
  <w:style w:type="paragraph" w:styleId="Revisie">
    <w:name w:val="Revision"/>
    <w:hidden/>
    <w:uiPriority w:val="99"/>
    <w:semiHidden/>
    <w:rsid w:val="0038157B"/>
    <w:pPr>
      <w:spacing w:after="0" w:line="240" w:lineRule="auto"/>
    </w:pPr>
    <w:rPr>
      <w:rFonts w:eastAsia="DejaVu Sans" w:cs="Lohit Hindi"/>
      <w:color w:val="000000"/>
      <w:szCs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documenten/2024/06/19/bestuurlijke-afspraken-transformatie-gesloten-jeugdhulp"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697</ap:Words>
  <ap:Characters>3834</ap:Characters>
  <ap:DocSecurity>0</ap:DocSecurity>
  <ap:Lines>31</ap:Lines>
  <ap:Paragraphs>9</ap:Paragraphs>
  <ap:ScaleCrop>false</ap:ScaleCrop>
  <ap:LinksUpToDate>false</ap:LinksUpToDate>
  <ap:CharactersWithSpaces>4522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2026-09-28T10:03:00.0000000Z</dcterms:created>
  <dcterms:modified xsi:type="dcterms:W3CDTF">2026-09-28T10:03:00.0000000Z</dcterms:modified>
  <version/>
  <category/>
</coreProperties>
</file>