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2026Z20200</w:t>
        <w:br/>
      </w:r>
      <w:proofErr w:type="spellEnd"/>
    </w:p>
    <w:p>
      <w:pPr>
        <w:pStyle w:val="Normal"/>
        <w:rPr>
          <w:b w:val="1"/>
          <w:bCs w:val="1"/>
        </w:rPr>
      </w:pPr>
      <w:r w:rsidR="250AE766">
        <w:rPr>
          <w:b w:val="0"/>
          <w:bCs w:val="0"/>
        </w:rPr>
        <w:t>(ingezonden 28 september 2026)</w:t>
        <w:br/>
      </w:r>
    </w:p>
    <w:p>
      <w:r>
        <w:t xml:space="preserve">Vragen van het lid Van Houwelingen (FVD) aan de minister van Financiën over de beoordeling van de Algemene Rekenkamer</w:t>
      </w:r>
      <w:r>
        <w:br/>
      </w:r>
    </w:p>
    <w:p>
      <w:r>
        <w:t xml:space="preserve"> </w:t>
      </w:r>
      <w:r>
        <w:br/>
      </w:r>
    </w:p>
    <w:p>
      <w:r>
        <w:t xml:space="preserve">1. Onderschrijft u de conclusie van de Algemene Rekenkamer dat bij veel departementale begrotingen concrete en controleerbare doelstellingen ontbreken? [1]</w:t>
      </w:r>
      <w:r>
        <w:br/>
      </w:r>
    </w:p>
    <w:p>
      <w:r>
        <w:t xml:space="preserve">2. Hoe kan de Tweede Kamer haar budgetrecht en controlerende taak uitoefenen wanneer ministers niet duidelijk maken welke resultaten zij met honderden miljarden euro’s belastinggeld willen bereiken?</w:t>
      </w:r>
      <w:r>
        <w:br/>
      </w:r>
    </w:p>
    <w:p>
      <w:r>
        <w:t xml:space="preserve">3. Klopt het dat de Nederlandse EU-afdracht in de Miljoenennota mogelijk enkele miljarden euro’s te laag is geraamd?</w:t>
      </w:r>
      <w:r>
        <w:br/>
      </w:r>
    </w:p>
    <w:p>
      <w:r>
        <w:t xml:space="preserve">4. Hoe wordt een hogere EU-afdracht opgevangen: door aanvullende bezuinigingen, hogere belastingen of een verder oplopend begrotingstekort?</w:t>
      </w:r>
      <w:r>
        <w:br/>
      </w:r>
    </w:p>
    <w:p>
      <w:r>
        <w:t xml:space="preserve">5. Hoe verklaart u dat de kosten van het rijksambtenarenapparaat in vijf jaar tijd zijn gestegen van circa 10 miljard naar 16 miljard euro?</w:t>
      </w:r>
      <w:r>
        <w:br/>
      </w:r>
    </w:p>
    <w:p>
      <w:r>
        <w:t xml:space="preserve">6. Hoeveel extra rijksambtenaren zijn er in die periode aangenomen en kan wellicht een schatting worden gegeven van hoeveel daarvan zich (voornamelijk) bezig houden met de uitvoering, handhaving en controle van Europese wet- en regelgeving?</w:t>
      </w:r>
      <w:r>
        <w:br/>
      </w:r>
    </w:p>
    <w:p>
      <w:r>
        <w:t xml:space="preserve">7. Waarom zijn eerdere voornemens om op het ambtenarenapparaat te bezuinigen niet gerealiseerd?</w:t>
      </w:r>
      <w:r>
        <w:br/>
      </w:r>
    </w:p>
    <w:p>
      <w:r>
        <w:t xml:space="preserve"> </w:t>
      </w:r>
      <w:r>
        <w:br/>
      </w:r>
    </w:p>
    <w:p>
      <w:r>
        <w:t xml:space="preserve">[1] indepen.eu, 24 september 2026, indepen.eu/rekenkamer-maakt-gehakt-van-begroting-kabinet-jetten/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2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210">
    <w:abstractNumId w:val="1005202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