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07C49" w:rsidR="009A3B1D" w:rsidP="00DA19A2" w:rsidRDefault="008C1E1C" w14:paraId="3855D1C4" w14:textId="1D85C192">
      <w:pPr>
        <w:pStyle w:val="Heading1"/>
        <w:numPr>
          <w:ilvl w:val="0"/>
          <w:numId w:val="0"/>
        </w:numPr>
        <w:spacing w:before="0" w:after="0" w:line="360" w:lineRule="auto"/>
        <w:rPr>
          <w:rFonts w:ascii="Verdana" w:hAnsi="Verdana"/>
          <w:b w:val="0"/>
          <w:i/>
          <w:sz w:val="18"/>
          <w:szCs w:val="18"/>
        </w:rPr>
      </w:pPr>
      <w:bookmarkStart w:name="OLE_LINK1" w:id="0"/>
      <w:bookmarkStart w:name="OLE_LINK2" w:id="1"/>
      <w:r>
        <w:rPr>
          <w:rFonts w:ascii="Verdana" w:hAnsi="Verdana"/>
          <w:sz w:val="18"/>
          <w:szCs w:val="18"/>
        </w:rPr>
        <w:t>F</w:t>
      </w:r>
      <w:r w:rsidRPr="00DA19A2" w:rsidR="009A3B1D">
        <w:rPr>
          <w:rFonts w:ascii="Verdana" w:hAnsi="Verdana"/>
          <w:sz w:val="18"/>
          <w:szCs w:val="18"/>
        </w:rPr>
        <w:t xml:space="preserve">iche </w:t>
      </w:r>
      <w:r w:rsidR="00E17D6F">
        <w:rPr>
          <w:rFonts w:ascii="Verdana" w:hAnsi="Verdana"/>
          <w:sz w:val="18"/>
          <w:szCs w:val="18"/>
        </w:rPr>
        <w:t>1</w:t>
      </w:r>
      <w:r>
        <w:rPr>
          <w:rFonts w:ascii="Verdana" w:hAnsi="Verdana"/>
          <w:sz w:val="18"/>
          <w:szCs w:val="18"/>
        </w:rPr>
        <w:t xml:space="preserve">: </w:t>
      </w:r>
      <w:r w:rsidRPr="00E17D6F" w:rsidR="00E17D6F">
        <w:rPr>
          <w:rFonts w:ascii="Verdana" w:hAnsi="Verdana"/>
          <w:sz w:val="18"/>
          <w:szCs w:val="18"/>
        </w:rPr>
        <w:t xml:space="preserve">Mededeling concurrentievermogen bankensector en de </w:t>
      </w:r>
      <w:r w:rsidR="00244C3A">
        <w:rPr>
          <w:rFonts w:ascii="Verdana" w:hAnsi="Verdana"/>
          <w:sz w:val="18"/>
          <w:szCs w:val="18"/>
        </w:rPr>
        <w:t>eengemaakte</w:t>
      </w:r>
      <w:r w:rsidRPr="00E17D6F" w:rsidR="00244C3A">
        <w:rPr>
          <w:rFonts w:ascii="Verdana" w:hAnsi="Verdana"/>
          <w:sz w:val="18"/>
          <w:szCs w:val="18"/>
        </w:rPr>
        <w:t xml:space="preserve"> </w:t>
      </w:r>
      <w:r w:rsidRPr="00E17D6F" w:rsidR="00E17D6F">
        <w:rPr>
          <w:rFonts w:ascii="Verdana" w:hAnsi="Verdana"/>
          <w:sz w:val="18"/>
          <w:szCs w:val="18"/>
        </w:rPr>
        <w:t xml:space="preserve">markt voor </w:t>
      </w:r>
      <w:r w:rsidRPr="00E17D6F" w:rsidR="00244C3A">
        <w:rPr>
          <w:rFonts w:ascii="Verdana" w:hAnsi="Verdana"/>
          <w:sz w:val="18"/>
          <w:szCs w:val="18"/>
        </w:rPr>
        <w:t>bankdienst</w:t>
      </w:r>
      <w:r w:rsidR="00244C3A">
        <w:rPr>
          <w:rFonts w:ascii="Verdana" w:hAnsi="Verdana"/>
          <w:sz w:val="18"/>
          <w:szCs w:val="18"/>
        </w:rPr>
        <w:t>en</w:t>
      </w:r>
      <w:r w:rsidRPr="00E17D6F" w:rsidR="00244C3A">
        <w:rPr>
          <w:rFonts w:ascii="Verdana" w:hAnsi="Verdana"/>
          <w:sz w:val="18"/>
          <w:szCs w:val="18"/>
        </w:rPr>
        <w:t xml:space="preserve"> </w:t>
      </w:r>
    </w:p>
    <w:p w:rsidRPr="00DA19A2" w:rsidR="009A3B1D" w:rsidP="00DA19A2" w:rsidRDefault="009A3B1D" w14:paraId="4F5D2405" w14:textId="77777777">
      <w:pPr>
        <w:spacing w:line="360" w:lineRule="auto"/>
        <w:rPr>
          <w:rFonts w:ascii="Verdana" w:hAnsi="Verdana"/>
          <w:sz w:val="18"/>
          <w:szCs w:val="18"/>
        </w:rPr>
      </w:pPr>
    </w:p>
    <w:p w:rsidRPr="00DA19A2" w:rsidR="009A3B1D" w:rsidP="005E260E" w:rsidRDefault="009A3B1D" w14:paraId="433BA929" w14:textId="259C069E">
      <w:pPr>
        <w:numPr>
          <w:ilvl w:val="0"/>
          <w:numId w:val="3"/>
        </w:numPr>
        <w:spacing w:line="360" w:lineRule="auto"/>
        <w:rPr>
          <w:rFonts w:ascii="Verdana" w:hAnsi="Verdana"/>
          <w:b/>
          <w:sz w:val="18"/>
          <w:szCs w:val="18"/>
        </w:rPr>
      </w:pPr>
      <w:r w:rsidRPr="00DA19A2">
        <w:rPr>
          <w:rFonts w:ascii="Verdana" w:hAnsi="Verdana"/>
          <w:b/>
          <w:sz w:val="18"/>
          <w:szCs w:val="18"/>
        </w:rPr>
        <w:t>Algemene gegevens</w:t>
      </w:r>
    </w:p>
    <w:p w:rsidR="00F74E07" w:rsidP="005E260E" w:rsidRDefault="00F74E07" w14:paraId="62D55F76" w14:textId="77777777">
      <w:pPr>
        <w:numPr>
          <w:ilvl w:val="0"/>
          <w:numId w:val="4"/>
        </w:numPr>
        <w:spacing w:line="360" w:lineRule="auto"/>
        <w:rPr>
          <w:rFonts w:ascii="Verdana" w:hAnsi="Verdana"/>
          <w:i/>
          <w:iCs/>
          <w:sz w:val="18"/>
          <w:szCs w:val="18"/>
        </w:rPr>
      </w:pPr>
      <w:r w:rsidRPr="00EF5C95">
        <w:rPr>
          <w:rFonts w:ascii="Verdana" w:hAnsi="Verdana"/>
          <w:i/>
          <w:iCs/>
          <w:sz w:val="18"/>
          <w:szCs w:val="18"/>
        </w:rPr>
        <w:t>Titel voorstel</w:t>
      </w:r>
    </w:p>
    <w:p w:rsidRPr="00E17D6F" w:rsidR="00E17D6F" w:rsidP="00E17D6F" w:rsidRDefault="00E17D6F" w14:paraId="509F624F" w14:textId="6865A99A">
      <w:pPr>
        <w:spacing w:line="360" w:lineRule="auto"/>
        <w:rPr>
          <w:rFonts w:ascii="Verdana" w:hAnsi="Verdana"/>
          <w:sz w:val="18"/>
          <w:szCs w:val="18"/>
        </w:rPr>
      </w:pPr>
      <w:r w:rsidRPr="00E17D6F">
        <w:rPr>
          <w:rFonts w:ascii="Verdana" w:hAnsi="Verdana"/>
          <w:sz w:val="18"/>
          <w:szCs w:val="18"/>
        </w:rPr>
        <w:t xml:space="preserve">Mededeling van de Commissie aan het Parlement, de Raad, de Europese Centrale Bank, het Europees Economisch en Sociaal Comité en het Comité van de Regio’s; </w:t>
      </w:r>
      <w:r>
        <w:rPr>
          <w:rFonts w:ascii="Verdana" w:hAnsi="Verdana"/>
          <w:sz w:val="18"/>
          <w:szCs w:val="18"/>
        </w:rPr>
        <w:t xml:space="preserve">Concurrentievermogen van de bankensector en de </w:t>
      </w:r>
      <w:r w:rsidR="00825BE4">
        <w:rPr>
          <w:rFonts w:ascii="Verdana" w:hAnsi="Verdana"/>
          <w:sz w:val="18"/>
          <w:szCs w:val="18"/>
        </w:rPr>
        <w:t>eengemaakte markt voor bankdiensten</w:t>
      </w:r>
      <w:r>
        <w:rPr>
          <w:rFonts w:ascii="Verdana" w:hAnsi="Verdana"/>
          <w:sz w:val="18"/>
          <w:szCs w:val="18"/>
        </w:rPr>
        <w:br/>
      </w:r>
    </w:p>
    <w:p w:rsidR="00F74E07" w:rsidP="005E260E" w:rsidRDefault="00F74E07" w14:paraId="2EBC1C57" w14:textId="77777777">
      <w:pPr>
        <w:numPr>
          <w:ilvl w:val="0"/>
          <w:numId w:val="4"/>
        </w:numPr>
        <w:spacing w:line="360" w:lineRule="auto"/>
        <w:rPr>
          <w:rFonts w:ascii="Verdana" w:hAnsi="Verdana"/>
          <w:i/>
          <w:iCs/>
          <w:sz w:val="18"/>
          <w:szCs w:val="18"/>
        </w:rPr>
      </w:pPr>
      <w:r w:rsidRPr="00EF5C95">
        <w:rPr>
          <w:rFonts w:ascii="Verdana" w:hAnsi="Verdana"/>
          <w:i/>
          <w:iCs/>
          <w:sz w:val="18"/>
          <w:szCs w:val="18"/>
        </w:rPr>
        <w:t>Datum ontvangst Commissiedocument</w:t>
      </w:r>
    </w:p>
    <w:p w:rsidRPr="00E17D6F" w:rsidR="00E17D6F" w:rsidP="00E17D6F" w:rsidRDefault="00E17D6F" w14:paraId="4321AF46" w14:textId="4225F08C">
      <w:pPr>
        <w:spacing w:line="360" w:lineRule="auto"/>
        <w:rPr>
          <w:rFonts w:ascii="Verdana" w:hAnsi="Verdana"/>
          <w:sz w:val="18"/>
          <w:szCs w:val="18"/>
        </w:rPr>
      </w:pPr>
      <w:r>
        <w:rPr>
          <w:rFonts w:ascii="Verdana" w:hAnsi="Verdana"/>
          <w:sz w:val="18"/>
          <w:szCs w:val="18"/>
        </w:rPr>
        <w:t>17 juli 2026</w:t>
      </w:r>
      <w:r>
        <w:rPr>
          <w:rFonts w:ascii="Verdana" w:hAnsi="Verdana"/>
          <w:sz w:val="18"/>
          <w:szCs w:val="18"/>
        </w:rPr>
        <w:br/>
      </w:r>
    </w:p>
    <w:p w:rsidR="00F74E07" w:rsidP="005E260E" w:rsidRDefault="00F74E07" w14:paraId="019813B8" w14:textId="7C874858">
      <w:pPr>
        <w:numPr>
          <w:ilvl w:val="0"/>
          <w:numId w:val="4"/>
        </w:numPr>
        <w:spacing w:line="360" w:lineRule="auto"/>
        <w:rPr>
          <w:rFonts w:ascii="Verdana" w:hAnsi="Verdana"/>
          <w:i/>
          <w:iCs/>
          <w:sz w:val="18"/>
          <w:szCs w:val="18"/>
        </w:rPr>
      </w:pPr>
      <w:r w:rsidRPr="00EF5C95">
        <w:rPr>
          <w:rFonts w:ascii="Verdana" w:hAnsi="Verdana"/>
          <w:i/>
          <w:iCs/>
          <w:sz w:val="18"/>
          <w:szCs w:val="18"/>
        </w:rPr>
        <w:t>Nr. Commissiedocument</w:t>
      </w:r>
    </w:p>
    <w:p w:rsidRPr="00E17D6F" w:rsidR="00E17D6F" w:rsidP="00E17D6F" w:rsidRDefault="00E17D6F" w14:paraId="35024290" w14:textId="443D053A">
      <w:pPr>
        <w:spacing w:line="360" w:lineRule="auto"/>
        <w:rPr>
          <w:rFonts w:ascii="Verdana" w:hAnsi="Verdana"/>
          <w:sz w:val="18"/>
          <w:szCs w:val="18"/>
        </w:rPr>
      </w:pPr>
      <w:r>
        <w:rPr>
          <w:rFonts w:ascii="Verdana" w:hAnsi="Verdana"/>
          <w:sz w:val="18"/>
          <w:szCs w:val="18"/>
        </w:rPr>
        <w:t>COM(2026) 615</w:t>
      </w:r>
      <w:r>
        <w:rPr>
          <w:rFonts w:ascii="Verdana" w:hAnsi="Verdana"/>
          <w:sz w:val="18"/>
          <w:szCs w:val="18"/>
        </w:rPr>
        <w:br/>
      </w:r>
    </w:p>
    <w:p w:rsidR="00F74E07" w:rsidP="005E260E" w:rsidRDefault="00C85F76" w14:paraId="423932B7" w14:textId="7DBA469A">
      <w:pPr>
        <w:numPr>
          <w:ilvl w:val="0"/>
          <w:numId w:val="4"/>
        </w:numPr>
        <w:spacing w:line="360" w:lineRule="auto"/>
        <w:rPr>
          <w:rFonts w:ascii="Verdana" w:hAnsi="Verdana"/>
          <w:i/>
          <w:iCs/>
          <w:sz w:val="18"/>
          <w:szCs w:val="18"/>
        </w:rPr>
      </w:pPr>
      <w:r>
        <w:rPr>
          <w:rFonts w:ascii="Verdana" w:hAnsi="Verdana"/>
          <w:i/>
          <w:iCs/>
          <w:sz w:val="18"/>
          <w:szCs w:val="18"/>
        </w:rPr>
        <w:t>EUR</w:t>
      </w:r>
      <w:r w:rsidRPr="00EF5C95" w:rsidR="00F74E07">
        <w:rPr>
          <w:rFonts w:ascii="Verdana" w:hAnsi="Verdana"/>
          <w:i/>
          <w:iCs/>
          <w:sz w:val="18"/>
          <w:szCs w:val="18"/>
        </w:rPr>
        <w:t>-</w:t>
      </w:r>
      <w:r>
        <w:rPr>
          <w:rFonts w:ascii="Verdana" w:hAnsi="Verdana"/>
          <w:i/>
          <w:iCs/>
          <w:sz w:val="18"/>
          <w:szCs w:val="18"/>
        </w:rPr>
        <w:t>L</w:t>
      </w:r>
      <w:r w:rsidRPr="00EF5C95" w:rsidR="00F74E07">
        <w:rPr>
          <w:rFonts w:ascii="Verdana" w:hAnsi="Verdana"/>
          <w:i/>
          <w:iCs/>
          <w:sz w:val="18"/>
          <w:szCs w:val="18"/>
        </w:rPr>
        <w:t>ex</w:t>
      </w:r>
    </w:p>
    <w:p w:rsidRPr="00244C3A" w:rsidR="00E17D6F" w:rsidP="00244C3A" w:rsidRDefault="00244C3A" w14:paraId="471AD450" w14:textId="2D3AA887">
      <w:pPr>
        <w:spacing w:line="360" w:lineRule="auto"/>
        <w:rPr>
          <w:rFonts w:ascii="Verdana" w:hAnsi="Verdana"/>
          <w:sz w:val="18"/>
          <w:szCs w:val="18"/>
        </w:rPr>
      </w:pPr>
      <w:hyperlink w:history="1" r:id="rId13">
        <w:r w:rsidRPr="00244C3A">
          <w:rPr>
            <w:rStyle w:val="Hyperlink"/>
            <w:rFonts w:ascii="Verdana" w:hAnsi="Verdana"/>
            <w:sz w:val="18"/>
            <w:szCs w:val="18"/>
          </w:rPr>
          <w:t>https://eur-lex.europa.eu/legal-content/NL/TXT/HTML/?uri=CELEX:52026DC0615</w:t>
        </w:r>
      </w:hyperlink>
      <w:r w:rsidRPr="00244C3A">
        <w:rPr>
          <w:rFonts w:ascii="Verdana" w:hAnsi="Verdana"/>
          <w:sz w:val="18"/>
          <w:szCs w:val="18"/>
        </w:rPr>
        <w:t xml:space="preserve"> </w:t>
      </w:r>
      <w:r w:rsidRPr="00244C3A" w:rsidR="00E17D6F">
        <w:rPr>
          <w:rFonts w:ascii="Verdana" w:hAnsi="Verdana"/>
          <w:sz w:val="18"/>
          <w:szCs w:val="18"/>
        </w:rPr>
        <w:br/>
      </w:r>
    </w:p>
    <w:p w:rsidRPr="00E17D6F" w:rsidR="00F74E07" w:rsidP="005E260E" w:rsidRDefault="00F74E07" w14:paraId="275B6B27" w14:textId="77777777">
      <w:pPr>
        <w:numPr>
          <w:ilvl w:val="0"/>
          <w:numId w:val="4"/>
        </w:numPr>
        <w:spacing w:line="360" w:lineRule="auto"/>
        <w:rPr>
          <w:rFonts w:ascii="Verdana" w:hAnsi="Verdana"/>
          <w:i/>
          <w:iCs/>
          <w:sz w:val="18"/>
          <w:szCs w:val="18"/>
        </w:rPr>
      </w:pPr>
      <w:r w:rsidRPr="00F30C33">
        <w:rPr>
          <w:rFonts w:ascii="Verdana" w:hAnsi="Verdana"/>
          <w:i/>
          <w:iCs/>
          <w:sz w:val="18"/>
          <w:szCs w:val="18"/>
        </w:rPr>
        <w:t xml:space="preserve">Nr. impact assessment Commissie en Opinie </w:t>
      </w:r>
      <w:r w:rsidRPr="00B81969" w:rsidR="00F30C33">
        <w:rPr>
          <w:rFonts w:ascii="Verdana" w:hAnsi="Verdana"/>
          <w:i/>
          <w:sz w:val="18"/>
          <w:szCs w:val="18"/>
        </w:rPr>
        <w:t xml:space="preserve">Raad voor </w:t>
      </w:r>
      <w:r w:rsidR="00F30C33">
        <w:rPr>
          <w:rFonts w:ascii="Verdana" w:hAnsi="Verdana"/>
          <w:i/>
          <w:sz w:val="18"/>
          <w:szCs w:val="18"/>
        </w:rPr>
        <w:t>R</w:t>
      </w:r>
      <w:r w:rsidRPr="00B81969" w:rsidR="00F30C33">
        <w:rPr>
          <w:rFonts w:ascii="Verdana" w:hAnsi="Verdana"/>
          <w:i/>
          <w:sz w:val="18"/>
          <w:szCs w:val="18"/>
        </w:rPr>
        <w:t>egelgevingstoetsing</w:t>
      </w:r>
    </w:p>
    <w:p w:rsidRPr="00E17D6F" w:rsidR="00E17D6F" w:rsidP="00E17D6F" w:rsidRDefault="00E17D6F" w14:paraId="6248B8A6" w14:textId="6B959EFE">
      <w:pPr>
        <w:spacing w:line="360" w:lineRule="auto"/>
        <w:rPr>
          <w:rFonts w:ascii="Verdana" w:hAnsi="Verdana"/>
          <w:iCs/>
          <w:sz w:val="18"/>
          <w:szCs w:val="18"/>
        </w:rPr>
      </w:pPr>
      <w:r>
        <w:rPr>
          <w:rFonts w:ascii="Verdana" w:hAnsi="Verdana"/>
          <w:iCs/>
          <w:sz w:val="18"/>
          <w:szCs w:val="18"/>
        </w:rPr>
        <w:t>Niet opgesteld</w:t>
      </w:r>
      <w:r w:rsidR="00C67988">
        <w:rPr>
          <w:rFonts w:ascii="Verdana" w:hAnsi="Verdana"/>
          <w:iCs/>
          <w:sz w:val="18"/>
          <w:szCs w:val="18"/>
        </w:rPr>
        <w:t>.</w:t>
      </w:r>
      <w:r w:rsidR="000835B9">
        <w:rPr>
          <w:rStyle w:val="FootnoteReference"/>
          <w:rFonts w:ascii="Verdana" w:hAnsi="Verdana"/>
          <w:iCs/>
          <w:sz w:val="18"/>
          <w:szCs w:val="18"/>
        </w:rPr>
        <w:footnoteReference w:id="1"/>
      </w:r>
      <w:r>
        <w:rPr>
          <w:rFonts w:ascii="Verdana" w:hAnsi="Verdana"/>
          <w:iCs/>
          <w:sz w:val="18"/>
          <w:szCs w:val="18"/>
        </w:rPr>
        <w:br/>
      </w:r>
    </w:p>
    <w:p w:rsidRPr="00E17D6F" w:rsidR="00F74E07" w:rsidP="005E260E" w:rsidRDefault="00F74E07" w14:paraId="792A7FD8" w14:textId="5D0C76EF">
      <w:pPr>
        <w:numPr>
          <w:ilvl w:val="0"/>
          <w:numId w:val="4"/>
        </w:numPr>
        <w:spacing w:line="360" w:lineRule="auto"/>
        <w:rPr>
          <w:rFonts w:ascii="Verdana" w:hAnsi="Verdana"/>
          <w:i/>
          <w:iCs/>
          <w:sz w:val="18"/>
          <w:szCs w:val="18"/>
        </w:rPr>
      </w:pPr>
      <w:r w:rsidRPr="00EF5C95">
        <w:rPr>
          <w:rFonts w:ascii="Verdana" w:hAnsi="Verdana"/>
          <w:i/>
          <w:iCs/>
          <w:sz w:val="18"/>
          <w:szCs w:val="18"/>
        </w:rPr>
        <w:t>Behandelingstraject Raad</w:t>
      </w:r>
    </w:p>
    <w:p w:rsidR="00E17D6F" w:rsidP="00E17D6F" w:rsidRDefault="00E17D6F" w14:paraId="0560609C" w14:textId="12A95CB4">
      <w:pPr>
        <w:spacing w:line="360" w:lineRule="auto"/>
        <w:rPr>
          <w:rFonts w:ascii="Verdana" w:hAnsi="Verdana"/>
          <w:i/>
          <w:iCs/>
          <w:sz w:val="18"/>
          <w:szCs w:val="18"/>
        </w:rPr>
      </w:pPr>
      <w:r>
        <w:rPr>
          <w:rFonts w:ascii="Verdana" w:hAnsi="Verdana"/>
          <w:sz w:val="18"/>
          <w:szCs w:val="18"/>
        </w:rPr>
        <w:t>Raad Economische en Financiële Zaken</w:t>
      </w:r>
      <w:r>
        <w:rPr>
          <w:rFonts w:ascii="Verdana" w:hAnsi="Verdana"/>
          <w:sz w:val="18"/>
          <w:szCs w:val="18"/>
        </w:rPr>
        <w:br/>
      </w:r>
    </w:p>
    <w:p w:rsidRPr="00E17D6F" w:rsidR="00330FE7" w:rsidP="005E260E" w:rsidRDefault="00330FE7" w14:paraId="6E778903" w14:textId="2ECE5C4A">
      <w:pPr>
        <w:numPr>
          <w:ilvl w:val="0"/>
          <w:numId w:val="4"/>
        </w:numPr>
        <w:spacing w:line="360" w:lineRule="auto"/>
        <w:rPr>
          <w:rFonts w:ascii="Verdana" w:hAnsi="Verdana"/>
          <w:i/>
          <w:iCs/>
          <w:sz w:val="18"/>
          <w:szCs w:val="18"/>
        </w:rPr>
      </w:pPr>
      <w:r>
        <w:rPr>
          <w:rFonts w:ascii="Verdana" w:hAnsi="Verdana"/>
          <w:i/>
          <w:iCs/>
          <w:sz w:val="18"/>
          <w:szCs w:val="18"/>
        </w:rPr>
        <w:t>Eerstverantwoordelijk ministerie</w:t>
      </w:r>
    </w:p>
    <w:p w:rsidRPr="00E17D6F" w:rsidR="009A3B1D" w:rsidP="00DA19A2" w:rsidRDefault="00E17D6F" w14:paraId="0BB96C40" w14:textId="40314BC0">
      <w:pPr>
        <w:spacing w:line="360" w:lineRule="auto"/>
        <w:rPr>
          <w:rFonts w:ascii="Verdana" w:hAnsi="Verdana"/>
          <w:i/>
          <w:iCs/>
          <w:sz w:val="18"/>
          <w:szCs w:val="18"/>
        </w:rPr>
      </w:pPr>
      <w:r>
        <w:rPr>
          <w:rFonts w:ascii="Verdana" w:hAnsi="Verdana"/>
          <w:sz w:val="18"/>
          <w:szCs w:val="18"/>
        </w:rPr>
        <w:t>Ministerie van Financiën</w:t>
      </w:r>
      <w:r>
        <w:rPr>
          <w:rFonts w:ascii="Verdana" w:hAnsi="Verdana"/>
          <w:sz w:val="18"/>
          <w:szCs w:val="18"/>
        </w:rPr>
        <w:br/>
      </w:r>
    </w:p>
    <w:p w:rsidRPr="00DA19A2" w:rsidR="00CB7FF8" w:rsidP="005E260E" w:rsidRDefault="00E539A8" w14:paraId="637A7F88" w14:textId="2B0D7328">
      <w:pPr>
        <w:numPr>
          <w:ilvl w:val="0"/>
          <w:numId w:val="3"/>
        </w:numPr>
        <w:spacing w:line="360" w:lineRule="auto"/>
        <w:rPr>
          <w:rFonts w:ascii="Verdana" w:hAnsi="Verdana"/>
          <w:b/>
          <w:sz w:val="18"/>
          <w:szCs w:val="18"/>
        </w:rPr>
      </w:pPr>
      <w:r>
        <w:rPr>
          <w:rFonts w:ascii="Verdana" w:hAnsi="Verdana"/>
          <w:b/>
          <w:sz w:val="18"/>
          <w:szCs w:val="18"/>
        </w:rPr>
        <w:t>Essentie</w:t>
      </w:r>
      <w:r w:rsidR="007D6EDE">
        <w:rPr>
          <w:rFonts w:ascii="Verdana" w:hAnsi="Verdana"/>
          <w:b/>
          <w:sz w:val="18"/>
          <w:szCs w:val="18"/>
        </w:rPr>
        <w:t xml:space="preserve"> </w:t>
      </w:r>
      <w:r w:rsidR="009B2A6B">
        <w:rPr>
          <w:rFonts w:ascii="Verdana" w:hAnsi="Verdana"/>
          <w:b/>
          <w:sz w:val="18"/>
          <w:szCs w:val="18"/>
        </w:rPr>
        <w:t>voorstel</w:t>
      </w:r>
      <w:r w:rsidRPr="00DA19A2" w:rsidR="009B2A6B">
        <w:rPr>
          <w:rFonts w:ascii="Verdana" w:hAnsi="Verdana"/>
          <w:b/>
          <w:sz w:val="18"/>
          <w:szCs w:val="18"/>
        </w:rPr>
        <w:t xml:space="preserve"> </w:t>
      </w:r>
    </w:p>
    <w:p w:rsidR="005E260E" w:rsidP="004A1CF5" w:rsidRDefault="000109B3" w14:paraId="2A614D9B" w14:textId="19AF3047">
      <w:pPr>
        <w:spacing w:line="360" w:lineRule="auto"/>
        <w:rPr>
          <w:rFonts w:ascii="Verdana" w:hAnsi="Verdana"/>
          <w:bCs/>
          <w:sz w:val="18"/>
          <w:szCs w:val="18"/>
        </w:rPr>
      </w:pPr>
      <w:r>
        <w:rPr>
          <w:rFonts w:ascii="Verdana" w:hAnsi="Verdana"/>
          <w:bCs/>
          <w:sz w:val="18"/>
          <w:szCs w:val="18"/>
        </w:rPr>
        <w:t>Met de</w:t>
      </w:r>
      <w:r w:rsidR="006D648E">
        <w:rPr>
          <w:rFonts w:ascii="Verdana" w:hAnsi="Verdana"/>
          <w:bCs/>
          <w:sz w:val="18"/>
          <w:szCs w:val="18"/>
        </w:rPr>
        <w:t>ze</w:t>
      </w:r>
      <w:r>
        <w:rPr>
          <w:rFonts w:ascii="Verdana" w:hAnsi="Verdana"/>
          <w:bCs/>
          <w:sz w:val="18"/>
          <w:szCs w:val="18"/>
        </w:rPr>
        <w:t xml:space="preserve"> </w:t>
      </w:r>
      <w:r w:rsidR="004A1CF5">
        <w:rPr>
          <w:rFonts w:ascii="Verdana" w:hAnsi="Verdana"/>
          <w:bCs/>
          <w:sz w:val="18"/>
          <w:szCs w:val="18"/>
        </w:rPr>
        <w:t xml:space="preserve">mededeling over het concurrentievermogen van de bankensector en de </w:t>
      </w:r>
      <w:r w:rsidR="00825BE4">
        <w:rPr>
          <w:rFonts w:ascii="Verdana" w:hAnsi="Verdana"/>
          <w:bCs/>
          <w:sz w:val="18"/>
          <w:szCs w:val="18"/>
        </w:rPr>
        <w:t xml:space="preserve">eengemaakte </w:t>
      </w:r>
      <w:r w:rsidR="004A1CF5">
        <w:rPr>
          <w:rFonts w:ascii="Verdana" w:hAnsi="Verdana"/>
          <w:bCs/>
          <w:sz w:val="18"/>
          <w:szCs w:val="18"/>
        </w:rPr>
        <w:t xml:space="preserve">markt voor </w:t>
      </w:r>
      <w:r w:rsidR="00825BE4">
        <w:rPr>
          <w:rFonts w:ascii="Verdana" w:hAnsi="Verdana"/>
          <w:bCs/>
          <w:sz w:val="18"/>
          <w:szCs w:val="18"/>
        </w:rPr>
        <w:t xml:space="preserve">bankdiensten </w:t>
      </w:r>
      <w:r>
        <w:rPr>
          <w:rFonts w:ascii="Verdana" w:hAnsi="Verdana"/>
          <w:bCs/>
          <w:sz w:val="18"/>
          <w:szCs w:val="18"/>
        </w:rPr>
        <w:t xml:space="preserve">wil de </w:t>
      </w:r>
      <w:r w:rsidR="0009325D">
        <w:rPr>
          <w:rFonts w:ascii="Verdana" w:hAnsi="Verdana"/>
          <w:bCs/>
          <w:sz w:val="18"/>
          <w:szCs w:val="18"/>
        </w:rPr>
        <w:t xml:space="preserve">Europese </w:t>
      </w:r>
      <w:r>
        <w:rPr>
          <w:rFonts w:ascii="Verdana" w:hAnsi="Verdana"/>
          <w:bCs/>
          <w:sz w:val="18"/>
          <w:szCs w:val="18"/>
        </w:rPr>
        <w:t xml:space="preserve">Commissie </w:t>
      </w:r>
      <w:r w:rsidR="0009325D">
        <w:rPr>
          <w:rFonts w:ascii="Verdana" w:hAnsi="Verdana"/>
          <w:bCs/>
          <w:sz w:val="18"/>
          <w:szCs w:val="18"/>
        </w:rPr>
        <w:t xml:space="preserve">(hierna: Commissie) </w:t>
      </w:r>
      <w:r w:rsidR="00090277">
        <w:rPr>
          <w:rFonts w:ascii="Verdana" w:hAnsi="Verdana"/>
          <w:bCs/>
          <w:sz w:val="18"/>
          <w:szCs w:val="18"/>
        </w:rPr>
        <w:t>het concurrentievermogen van banken versterken zodat deze beter in</w:t>
      </w:r>
      <w:r w:rsidR="004A1CF5">
        <w:rPr>
          <w:rFonts w:ascii="Verdana" w:hAnsi="Verdana"/>
          <w:bCs/>
          <w:sz w:val="18"/>
          <w:szCs w:val="18"/>
        </w:rPr>
        <w:t xml:space="preserve"> staat </w:t>
      </w:r>
      <w:r w:rsidR="00090277">
        <w:rPr>
          <w:rFonts w:ascii="Verdana" w:hAnsi="Verdana"/>
          <w:bCs/>
          <w:sz w:val="18"/>
          <w:szCs w:val="18"/>
        </w:rPr>
        <w:t xml:space="preserve">zijn </w:t>
      </w:r>
      <w:r w:rsidR="004A1CF5">
        <w:rPr>
          <w:rFonts w:ascii="Verdana" w:hAnsi="Verdana"/>
          <w:bCs/>
          <w:sz w:val="18"/>
          <w:szCs w:val="18"/>
        </w:rPr>
        <w:t xml:space="preserve">effectief bij te dragen aan de financiering van de Europese economie. </w:t>
      </w:r>
      <w:r w:rsidR="0059044A">
        <w:rPr>
          <w:rFonts w:ascii="Verdana" w:hAnsi="Verdana"/>
          <w:bCs/>
          <w:sz w:val="18"/>
          <w:szCs w:val="18"/>
        </w:rPr>
        <w:t>De mededeling</w:t>
      </w:r>
      <w:r w:rsidR="006D648E">
        <w:rPr>
          <w:rFonts w:ascii="Verdana" w:hAnsi="Verdana"/>
          <w:bCs/>
          <w:sz w:val="18"/>
          <w:szCs w:val="18"/>
        </w:rPr>
        <w:t xml:space="preserve"> wordt gevolgd door wetsvoorstellen in het eerste kwartaal van 2027 en is</w:t>
      </w:r>
      <w:r w:rsidR="0059044A">
        <w:rPr>
          <w:rFonts w:ascii="Verdana" w:hAnsi="Verdana"/>
          <w:bCs/>
          <w:sz w:val="18"/>
          <w:szCs w:val="18"/>
        </w:rPr>
        <w:t xml:space="preserve"> onderdeel van de Europese strategie voor een spaar- en investeringsunie (SIU)</w:t>
      </w:r>
      <w:r w:rsidR="0009325D">
        <w:rPr>
          <w:rFonts w:ascii="Verdana" w:hAnsi="Verdana"/>
          <w:bCs/>
          <w:sz w:val="18"/>
          <w:szCs w:val="18"/>
        </w:rPr>
        <w:t>.</w:t>
      </w:r>
      <w:r w:rsidR="0059044A">
        <w:rPr>
          <w:rStyle w:val="FootnoteReference"/>
          <w:rFonts w:ascii="Verdana" w:hAnsi="Verdana"/>
          <w:bCs/>
          <w:sz w:val="18"/>
          <w:szCs w:val="18"/>
        </w:rPr>
        <w:footnoteReference w:id="2"/>
      </w:r>
      <w:r w:rsidR="006D648E">
        <w:rPr>
          <w:rFonts w:ascii="Verdana" w:hAnsi="Verdana"/>
          <w:bCs/>
          <w:sz w:val="18"/>
          <w:szCs w:val="18"/>
        </w:rPr>
        <w:t xml:space="preserve"> Deze strategie </w:t>
      </w:r>
      <w:r w:rsidR="0059044A">
        <w:rPr>
          <w:rFonts w:ascii="Verdana" w:hAnsi="Verdana"/>
          <w:bCs/>
          <w:sz w:val="18"/>
          <w:szCs w:val="18"/>
        </w:rPr>
        <w:t>legt de basis voor de parallelle ontwikkeling van de Europese bankensector</w:t>
      </w:r>
      <w:r w:rsidR="00090277">
        <w:rPr>
          <w:rFonts w:ascii="Verdana" w:hAnsi="Verdana"/>
          <w:bCs/>
          <w:sz w:val="18"/>
          <w:szCs w:val="18"/>
        </w:rPr>
        <w:t xml:space="preserve"> (bankenunie)</w:t>
      </w:r>
      <w:r w:rsidR="0059044A">
        <w:rPr>
          <w:rFonts w:ascii="Verdana" w:hAnsi="Verdana"/>
          <w:bCs/>
          <w:sz w:val="18"/>
          <w:szCs w:val="18"/>
        </w:rPr>
        <w:t xml:space="preserve"> en Europese kapitaalmarkten</w:t>
      </w:r>
      <w:r w:rsidR="00090277">
        <w:rPr>
          <w:rFonts w:ascii="Verdana" w:hAnsi="Verdana"/>
          <w:bCs/>
          <w:sz w:val="18"/>
          <w:szCs w:val="18"/>
        </w:rPr>
        <w:t xml:space="preserve"> (kapitaalmarktunie)</w:t>
      </w:r>
      <w:r w:rsidR="0059044A">
        <w:rPr>
          <w:rFonts w:ascii="Verdana" w:hAnsi="Verdana"/>
          <w:bCs/>
          <w:sz w:val="18"/>
          <w:szCs w:val="18"/>
        </w:rPr>
        <w:t xml:space="preserve">, die gezamenlijk moeten voorzien in de financieringsbehoefte van de Europese economie. </w:t>
      </w:r>
      <w:r w:rsidR="005E260E">
        <w:rPr>
          <w:rFonts w:ascii="Verdana" w:hAnsi="Verdana"/>
          <w:bCs/>
          <w:sz w:val="18"/>
          <w:szCs w:val="18"/>
        </w:rPr>
        <w:t xml:space="preserve">In een veranderend geopolitiek landschap vervullen banken verschillende rollen in de </w:t>
      </w:r>
      <w:r w:rsidR="00F1152E">
        <w:rPr>
          <w:rFonts w:ascii="Verdana" w:hAnsi="Verdana"/>
          <w:bCs/>
          <w:sz w:val="18"/>
          <w:szCs w:val="18"/>
        </w:rPr>
        <w:t xml:space="preserve">Europese </w:t>
      </w:r>
      <w:r w:rsidR="005E260E">
        <w:rPr>
          <w:rFonts w:ascii="Verdana" w:hAnsi="Verdana"/>
          <w:bCs/>
          <w:sz w:val="18"/>
          <w:szCs w:val="18"/>
        </w:rPr>
        <w:t xml:space="preserve">economie. Zo </w:t>
      </w:r>
      <w:r w:rsidR="00F1152E">
        <w:rPr>
          <w:rFonts w:ascii="Verdana" w:hAnsi="Verdana"/>
          <w:bCs/>
          <w:sz w:val="18"/>
          <w:szCs w:val="18"/>
        </w:rPr>
        <w:t xml:space="preserve">zijn </w:t>
      </w:r>
      <w:r w:rsidR="004A1CF5">
        <w:rPr>
          <w:rFonts w:ascii="Verdana" w:hAnsi="Verdana"/>
          <w:bCs/>
          <w:sz w:val="18"/>
          <w:szCs w:val="18"/>
        </w:rPr>
        <w:t>banken de belangrijkste bron van financiering voor huishoudens, bedrijven en het MKB</w:t>
      </w:r>
      <w:r w:rsidR="00F1152E">
        <w:rPr>
          <w:rFonts w:ascii="Verdana" w:hAnsi="Verdana"/>
          <w:bCs/>
          <w:sz w:val="18"/>
          <w:szCs w:val="18"/>
        </w:rPr>
        <w:t xml:space="preserve"> en</w:t>
      </w:r>
      <w:r w:rsidR="005E260E">
        <w:rPr>
          <w:rFonts w:ascii="Verdana" w:hAnsi="Verdana"/>
          <w:bCs/>
          <w:sz w:val="18"/>
          <w:szCs w:val="18"/>
        </w:rPr>
        <w:t xml:space="preserve"> </w:t>
      </w:r>
      <w:r w:rsidR="004A1CF5">
        <w:rPr>
          <w:rFonts w:ascii="Verdana" w:hAnsi="Verdana"/>
          <w:bCs/>
          <w:sz w:val="18"/>
          <w:szCs w:val="18"/>
        </w:rPr>
        <w:t xml:space="preserve">faciliteren </w:t>
      </w:r>
      <w:r w:rsidR="005E260E">
        <w:rPr>
          <w:rFonts w:ascii="Verdana" w:hAnsi="Verdana"/>
          <w:bCs/>
          <w:sz w:val="18"/>
          <w:szCs w:val="18"/>
        </w:rPr>
        <w:t xml:space="preserve">banken </w:t>
      </w:r>
      <w:r w:rsidR="004A1CF5">
        <w:rPr>
          <w:rFonts w:ascii="Verdana" w:hAnsi="Verdana"/>
          <w:bCs/>
          <w:sz w:val="18"/>
          <w:szCs w:val="18"/>
        </w:rPr>
        <w:t>toegang tot de kapitaalmarkten via schuldfinanciering en aandelenuitgifte</w:t>
      </w:r>
      <w:r w:rsidR="00F1152E">
        <w:rPr>
          <w:rFonts w:ascii="Verdana" w:hAnsi="Verdana"/>
          <w:bCs/>
          <w:sz w:val="18"/>
          <w:szCs w:val="18"/>
        </w:rPr>
        <w:t xml:space="preserve">. </w:t>
      </w:r>
      <w:r w:rsidR="00F1152E">
        <w:rPr>
          <w:rFonts w:ascii="Verdana" w:hAnsi="Verdana"/>
          <w:bCs/>
          <w:sz w:val="18"/>
          <w:szCs w:val="18"/>
        </w:rPr>
        <w:lastRenderedPageBreak/>
        <w:t xml:space="preserve">Daarnaast </w:t>
      </w:r>
      <w:r w:rsidR="004A1CF5">
        <w:rPr>
          <w:rFonts w:ascii="Verdana" w:hAnsi="Verdana"/>
          <w:bCs/>
          <w:sz w:val="18"/>
          <w:szCs w:val="18"/>
        </w:rPr>
        <w:t xml:space="preserve">stellen </w:t>
      </w:r>
      <w:r w:rsidR="005E260E">
        <w:rPr>
          <w:rFonts w:ascii="Verdana" w:hAnsi="Verdana"/>
          <w:bCs/>
          <w:sz w:val="18"/>
          <w:szCs w:val="18"/>
        </w:rPr>
        <w:t xml:space="preserve">banken </w:t>
      </w:r>
      <w:r w:rsidR="004A1CF5">
        <w:rPr>
          <w:rFonts w:ascii="Verdana" w:hAnsi="Verdana"/>
          <w:bCs/>
          <w:sz w:val="18"/>
          <w:szCs w:val="18"/>
        </w:rPr>
        <w:t xml:space="preserve">spaarders in staat om te beleggen. </w:t>
      </w:r>
      <w:r w:rsidR="00774FCF">
        <w:rPr>
          <w:rFonts w:ascii="Verdana" w:hAnsi="Verdana"/>
          <w:bCs/>
          <w:sz w:val="18"/>
          <w:szCs w:val="18"/>
        </w:rPr>
        <w:t xml:space="preserve">Na de financiële </w:t>
      </w:r>
      <w:r w:rsidR="006D648E">
        <w:rPr>
          <w:rFonts w:ascii="Verdana" w:hAnsi="Verdana"/>
          <w:bCs/>
          <w:sz w:val="18"/>
          <w:szCs w:val="18"/>
        </w:rPr>
        <w:t>en euro</w:t>
      </w:r>
      <w:r w:rsidR="00774FCF">
        <w:rPr>
          <w:rFonts w:ascii="Verdana" w:hAnsi="Verdana"/>
          <w:bCs/>
          <w:sz w:val="18"/>
          <w:szCs w:val="18"/>
        </w:rPr>
        <w:t xml:space="preserve">crisis heeft de Europese Unie </w:t>
      </w:r>
      <w:r w:rsidR="0009325D">
        <w:rPr>
          <w:rFonts w:ascii="Verdana" w:hAnsi="Verdana"/>
          <w:bCs/>
          <w:sz w:val="18"/>
          <w:szCs w:val="18"/>
        </w:rPr>
        <w:t xml:space="preserve">(hierna: EU) </w:t>
      </w:r>
      <w:r w:rsidR="00774FCF">
        <w:rPr>
          <w:rFonts w:ascii="Verdana" w:hAnsi="Verdana"/>
          <w:bCs/>
          <w:sz w:val="18"/>
          <w:szCs w:val="18"/>
        </w:rPr>
        <w:t xml:space="preserve">grootschalige hervormingen in regelgeving en toezicht voor banken doorgevoerd, wat heeft </w:t>
      </w:r>
      <w:r w:rsidR="00A878D2">
        <w:rPr>
          <w:rFonts w:ascii="Verdana" w:hAnsi="Verdana"/>
          <w:bCs/>
          <w:sz w:val="18"/>
          <w:szCs w:val="18"/>
        </w:rPr>
        <w:t>geleid tot</w:t>
      </w:r>
      <w:r w:rsidR="00774FCF">
        <w:rPr>
          <w:rFonts w:ascii="Verdana" w:hAnsi="Verdana"/>
          <w:bCs/>
          <w:sz w:val="18"/>
          <w:szCs w:val="18"/>
        </w:rPr>
        <w:t xml:space="preserve"> weerbare banken met sterke kapitaal- en liquiditeitsposities. </w:t>
      </w:r>
      <w:r w:rsidR="00A878D2">
        <w:rPr>
          <w:rFonts w:ascii="Verdana" w:hAnsi="Verdana"/>
          <w:bCs/>
          <w:sz w:val="18"/>
          <w:szCs w:val="18"/>
        </w:rPr>
        <w:t>De</w:t>
      </w:r>
      <w:r w:rsidR="00774FCF">
        <w:rPr>
          <w:rFonts w:ascii="Verdana" w:hAnsi="Verdana"/>
          <w:bCs/>
          <w:sz w:val="18"/>
          <w:szCs w:val="18"/>
        </w:rPr>
        <w:t xml:space="preserve"> </w:t>
      </w:r>
      <w:r w:rsidR="0044334A">
        <w:rPr>
          <w:rFonts w:ascii="Verdana" w:hAnsi="Verdana"/>
          <w:bCs/>
          <w:sz w:val="18"/>
          <w:szCs w:val="18"/>
        </w:rPr>
        <w:t xml:space="preserve">Commissie </w:t>
      </w:r>
      <w:r w:rsidR="0059044A">
        <w:rPr>
          <w:rFonts w:ascii="Verdana" w:hAnsi="Verdana"/>
          <w:bCs/>
          <w:sz w:val="18"/>
          <w:szCs w:val="18"/>
        </w:rPr>
        <w:t xml:space="preserve">benoemt in haar mededeling deze vooruitgang, maar noemt ook </w:t>
      </w:r>
      <w:r w:rsidR="0044334A">
        <w:rPr>
          <w:rFonts w:ascii="Verdana" w:hAnsi="Verdana"/>
          <w:bCs/>
          <w:sz w:val="18"/>
          <w:szCs w:val="18"/>
        </w:rPr>
        <w:t xml:space="preserve">drie uitdagingen: </w:t>
      </w:r>
      <w:r w:rsidR="00774FCF">
        <w:rPr>
          <w:rFonts w:ascii="Verdana" w:hAnsi="Verdana"/>
          <w:bCs/>
          <w:sz w:val="18"/>
          <w:szCs w:val="18"/>
        </w:rPr>
        <w:t>(</w:t>
      </w:r>
      <w:r w:rsidR="0044334A">
        <w:rPr>
          <w:rFonts w:ascii="Verdana" w:hAnsi="Verdana"/>
          <w:bCs/>
          <w:sz w:val="18"/>
          <w:szCs w:val="18"/>
        </w:rPr>
        <w:t>1) fragmentatie in de bankensector, die schaal- en synergievoordelen voorbij landsgrenzen beperk</w:t>
      </w:r>
      <w:r w:rsidR="005C78A8">
        <w:rPr>
          <w:rFonts w:ascii="Verdana" w:hAnsi="Verdana"/>
          <w:bCs/>
          <w:sz w:val="18"/>
          <w:szCs w:val="18"/>
        </w:rPr>
        <w:t>t</w:t>
      </w:r>
      <w:r w:rsidR="0044334A">
        <w:rPr>
          <w:rFonts w:ascii="Verdana" w:hAnsi="Verdana"/>
          <w:bCs/>
          <w:sz w:val="18"/>
          <w:szCs w:val="18"/>
        </w:rPr>
        <w:t xml:space="preserve">; </w:t>
      </w:r>
      <w:r w:rsidR="00774FCF">
        <w:rPr>
          <w:rFonts w:ascii="Verdana" w:hAnsi="Verdana"/>
          <w:bCs/>
          <w:sz w:val="18"/>
          <w:szCs w:val="18"/>
        </w:rPr>
        <w:t>(</w:t>
      </w:r>
      <w:r w:rsidR="0044334A">
        <w:rPr>
          <w:rFonts w:ascii="Verdana" w:hAnsi="Verdana"/>
          <w:bCs/>
          <w:sz w:val="18"/>
          <w:szCs w:val="18"/>
        </w:rPr>
        <w:t xml:space="preserve">2) de implementatie van </w:t>
      </w:r>
      <w:r w:rsidR="006D648E">
        <w:rPr>
          <w:rFonts w:ascii="Verdana" w:hAnsi="Verdana"/>
          <w:bCs/>
          <w:sz w:val="18"/>
          <w:szCs w:val="18"/>
        </w:rPr>
        <w:t xml:space="preserve">de </w:t>
      </w:r>
      <w:r w:rsidR="0044334A">
        <w:rPr>
          <w:rFonts w:ascii="Verdana" w:hAnsi="Verdana"/>
          <w:bCs/>
          <w:sz w:val="18"/>
          <w:szCs w:val="18"/>
        </w:rPr>
        <w:t xml:space="preserve">internationale </w:t>
      </w:r>
      <w:r w:rsidR="006D648E">
        <w:rPr>
          <w:rFonts w:ascii="Verdana" w:hAnsi="Verdana"/>
          <w:bCs/>
          <w:sz w:val="18"/>
          <w:szCs w:val="18"/>
        </w:rPr>
        <w:t>Bazel-</w:t>
      </w:r>
      <w:r w:rsidR="0044334A">
        <w:rPr>
          <w:rFonts w:ascii="Verdana" w:hAnsi="Verdana"/>
          <w:bCs/>
          <w:sz w:val="18"/>
          <w:szCs w:val="18"/>
        </w:rPr>
        <w:t>standaarden</w:t>
      </w:r>
      <w:r w:rsidR="006D648E">
        <w:rPr>
          <w:rFonts w:ascii="Verdana" w:hAnsi="Verdana"/>
          <w:bCs/>
          <w:sz w:val="18"/>
          <w:szCs w:val="18"/>
        </w:rPr>
        <w:t xml:space="preserve"> voor Europese banken</w:t>
      </w:r>
      <w:r w:rsidR="0044334A">
        <w:rPr>
          <w:rFonts w:ascii="Verdana" w:hAnsi="Verdana"/>
          <w:bCs/>
          <w:sz w:val="18"/>
          <w:szCs w:val="18"/>
        </w:rPr>
        <w:t xml:space="preserve">, </w:t>
      </w:r>
      <w:r w:rsidR="0059044A">
        <w:rPr>
          <w:rFonts w:ascii="Verdana" w:hAnsi="Verdana"/>
          <w:bCs/>
          <w:sz w:val="18"/>
          <w:szCs w:val="18"/>
        </w:rPr>
        <w:t>waarbij</w:t>
      </w:r>
      <w:r w:rsidR="0044334A">
        <w:rPr>
          <w:rFonts w:ascii="Verdana" w:hAnsi="Verdana"/>
          <w:bCs/>
          <w:sz w:val="18"/>
          <w:szCs w:val="18"/>
        </w:rPr>
        <w:t xml:space="preserve"> beter rekening kan </w:t>
      </w:r>
      <w:r w:rsidR="0059044A">
        <w:rPr>
          <w:rFonts w:ascii="Verdana" w:hAnsi="Verdana"/>
          <w:bCs/>
          <w:sz w:val="18"/>
          <w:szCs w:val="18"/>
        </w:rPr>
        <w:t>worden ge</w:t>
      </w:r>
      <w:r w:rsidR="0044334A">
        <w:rPr>
          <w:rFonts w:ascii="Verdana" w:hAnsi="Verdana"/>
          <w:bCs/>
          <w:sz w:val="18"/>
          <w:szCs w:val="18"/>
        </w:rPr>
        <w:t xml:space="preserve">houden met </w:t>
      </w:r>
      <w:r w:rsidR="0059044A">
        <w:rPr>
          <w:rFonts w:ascii="Verdana" w:hAnsi="Verdana"/>
          <w:bCs/>
          <w:sz w:val="18"/>
          <w:szCs w:val="18"/>
        </w:rPr>
        <w:t xml:space="preserve">de </w:t>
      </w:r>
      <w:r w:rsidR="0044334A">
        <w:rPr>
          <w:rFonts w:ascii="Verdana" w:hAnsi="Verdana"/>
          <w:bCs/>
          <w:sz w:val="18"/>
          <w:szCs w:val="18"/>
        </w:rPr>
        <w:t>specifieke kenmerken</w:t>
      </w:r>
      <w:r w:rsidR="00175B16">
        <w:rPr>
          <w:rFonts w:ascii="Verdana" w:hAnsi="Verdana"/>
          <w:bCs/>
          <w:sz w:val="18"/>
          <w:szCs w:val="18"/>
        </w:rPr>
        <w:t xml:space="preserve"> van de EU</w:t>
      </w:r>
      <w:r w:rsidR="0044334A">
        <w:rPr>
          <w:rFonts w:ascii="Verdana" w:hAnsi="Verdana"/>
          <w:bCs/>
          <w:sz w:val="18"/>
          <w:szCs w:val="18"/>
        </w:rPr>
        <w:t xml:space="preserve"> en </w:t>
      </w:r>
      <w:r w:rsidR="0059044A">
        <w:rPr>
          <w:rFonts w:ascii="Verdana" w:hAnsi="Verdana"/>
          <w:bCs/>
          <w:sz w:val="18"/>
          <w:szCs w:val="18"/>
        </w:rPr>
        <w:t xml:space="preserve">met </w:t>
      </w:r>
      <w:r w:rsidR="0044334A">
        <w:rPr>
          <w:rFonts w:ascii="Verdana" w:hAnsi="Verdana"/>
          <w:bCs/>
          <w:sz w:val="18"/>
          <w:szCs w:val="18"/>
        </w:rPr>
        <w:t xml:space="preserve">proportionaliteit en </w:t>
      </w:r>
      <w:r w:rsidR="00774FCF">
        <w:rPr>
          <w:rFonts w:ascii="Verdana" w:hAnsi="Verdana"/>
          <w:bCs/>
          <w:sz w:val="18"/>
          <w:szCs w:val="18"/>
        </w:rPr>
        <w:t>(</w:t>
      </w:r>
      <w:r w:rsidR="0044334A">
        <w:rPr>
          <w:rFonts w:ascii="Verdana" w:hAnsi="Verdana"/>
          <w:bCs/>
          <w:sz w:val="18"/>
          <w:szCs w:val="18"/>
        </w:rPr>
        <w:t xml:space="preserve">3) de complexiteit van het regelgevend kader. De Commissie kondigt aan </w:t>
      </w:r>
      <w:r w:rsidR="00983188">
        <w:rPr>
          <w:rFonts w:ascii="Verdana" w:hAnsi="Verdana"/>
          <w:bCs/>
          <w:sz w:val="18"/>
          <w:szCs w:val="18"/>
        </w:rPr>
        <w:t>welke stappen zij voornemens is te zetten</w:t>
      </w:r>
      <w:r w:rsidR="000835B9">
        <w:rPr>
          <w:rFonts w:ascii="Verdana" w:hAnsi="Verdana"/>
          <w:bCs/>
          <w:sz w:val="18"/>
          <w:szCs w:val="18"/>
        </w:rPr>
        <w:t xml:space="preserve"> </w:t>
      </w:r>
      <w:r w:rsidR="0044334A">
        <w:rPr>
          <w:rFonts w:ascii="Verdana" w:hAnsi="Verdana"/>
          <w:bCs/>
          <w:sz w:val="18"/>
          <w:szCs w:val="18"/>
        </w:rPr>
        <w:t xml:space="preserve">om deze uitdagingen te adresseren en gaat in op </w:t>
      </w:r>
      <w:r w:rsidR="000B56BF">
        <w:rPr>
          <w:rFonts w:ascii="Verdana" w:hAnsi="Verdana"/>
          <w:bCs/>
          <w:sz w:val="18"/>
          <w:szCs w:val="18"/>
        </w:rPr>
        <w:t>de gedeelde verantwoordelijkheid van Europese instellingen en andere betrokkenen voor het concurrentievermogen van Europese banken</w:t>
      </w:r>
      <w:r w:rsidR="0044334A">
        <w:rPr>
          <w:rFonts w:ascii="Verdana" w:hAnsi="Verdana"/>
          <w:bCs/>
          <w:sz w:val="18"/>
          <w:szCs w:val="18"/>
        </w:rPr>
        <w:t xml:space="preserve">. </w:t>
      </w:r>
    </w:p>
    <w:p w:rsidR="0044334A" w:rsidP="004A1CF5" w:rsidRDefault="0044334A" w14:paraId="56A1896E" w14:textId="77777777">
      <w:pPr>
        <w:spacing w:line="360" w:lineRule="auto"/>
        <w:rPr>
          <w:rFonts w:ascii="Verdana" w:hAnsi="Verdana"/>
          <w:bCs/>
          <w:sz w:val="18"/>
          <w:szCs w:val="18"/>
        </w:rPr>
      </w:pPr>
    </w:p>
    <w:p w:rsidR="005C78A8" w:rsidP="00F33C1F" w:rsidRDefault="00F33C1F" w14:paraId="7F0722EC" w14:textId="3C946370">
      <w:pPr>
        <w:spacing w:line="360" w:lineRule="auto"/>
        <w:rPr>
          <w:rFonts w:ascii="Verdana" w:hAnsi="Verdana"/>
          <w:bCs/>
          <w:sz w:val="18"/>
          <w:szCs w:val="18"/>
        </w:rPr>
      </w:pPr>
      <w:r>
        <w:rPr>
          <w:rFonts w:ascii="Verdana" w:hAnsi="Verdana"/>
          <w:bCs/>
          <w:sz w:val="18"/>
          <w:szCs w:val="18"/>
        </w:rPr>
        <w:t>De eerste uitdaging betreft de fragmentatie in de bankensector. De integratie</w:t>
      </w:r>
      <w:r w:rsidR="00A878D2">
        <w:rPr>
          <w:rFonts w:ascii="Verdana" w:hAnsi="Verdana"/>
          <w:bCs/>
          <w:sz w:val="18"/>
          <w:szCs w:val="18"/>
        </w:rPr>
        <w:t xml:space="preserve"> van de Europese bankensector</w:t>
      </w:r>
      <w:r>
        <w:rPr>
          <w:rFonts w:ascii="Verdana" w:hAnsi="Verdana"/>
          <w:bCs/>
          <w:sz w:val="18"/>
          <w:szCs w:val="18"/>
        </w:rPr>
        <w:t xml:space="preserve"> is de afgelopen jaren verbeterd, maar de grensoverschrijdende activiteiten van banken blijven relatief laag. Banken ervaren obstakels bij het uitbreiden naar markten </w:t>
      </w:r>
      <w:r w:rsidR="00661C47">
        <w:rPr>
          <w:rFonts w:ascii="Verdana" w:hAnsi="Verdana"/>
          <w:bCs/>
          <w:sz w:val="18"/>
          <w:szCs w:val="18"/>
        </w:rPr>
        <w:t xml:space="preserve">in andere </w:t>
      </w:r>
      <w:r w:rsidR="007E64D7">
        <w:rPr>
          <w:rFonts w:ascii="Verdana" w:hAnsi="Verdana"/>
          <w:bCs/>
          <w:sz w:val="18"/>
          <w:szCs w:val="18"/>
        </w:rPr>
        <w:t>EU-lidstaten</w:t>
      </w:r>
      <w:r w:rsidR="00661C47">
        <w:rPr>
          <w:rFonts w:ascii="Verdana" w:hAnsi="Verdana"/>
          <w:bCs/>
          <w:sz w:val="18"/>
          <w:szCs w:val="18"/>
        </w:rPr>
        <w:t xml:space="preserve"> </w:t>
      </w:r>
      <w:r>
        <w:rPr>
          <w:rFonts w:ascii="Verdana" w:hAnsi="Verdana"/>
          <w:bCs/>
          <w:sz w:val="18"/>
          <w:szCs w:val="18"/>
        </w:rPr>
        <w:t xml:space="preserve">en fusies vinden vooral binnenlands plaats. Dit heeft geresulteerd in geconcentreerde nationale banksectoren en een gefragmenteerde Europese markt. Hier zijn </w:t>
      </w:r>
      <w:r w:rsidR="00661C47">
        <w:rPr>
          <w:rFonts w:ascii="Verdana" w:hAnsi="Verdana"/>
          <w:bCs/>
          <w:sz w:val="18"/>
          <w:szCs w:val="18"/>
        </w:rPr>
        <w:t xml:space="preserve">diverse </w:t>
      </w:r>
      <w:r>
        <w:rPr>
          <w:rFonts w:ascii="Verdana" w:hAnsi="Verdana"/>
          <w:bCs/>
          <w:sz w:val="18"/>
          <w:szCs w:val="18"/>
        </w:rPr>
        <w:t xml:space="preserve">redenen voor aan te wijzen. </w:t>
      </w:r>
      <w:r w:rsidR="00BD6446">
        <w:rPr>
          <w:rFonts w:ascii="Verdana" w:hAnsi="Verdana"/>
          <w:bCs/>
          <w:sz w:val="18"/>
          <w:szCs w:val="18"/>
        </w:rPr>
        <w:t>G</w:t>
      </w:r>
      <w:r>
        <w:rPr>
          <w:rFonts w:ascii="Verdana" w:hAnsi="Verdana"/>
          <w:bCs/>
          <w:sz w:val="18"/>
          <w:szCs w:val="18"/>
        </w:rPr>
        <w:t>rensoverschrijdende bankgroepen</w:t>
      </w:r>
      <w:r w:rsidR="00BD6446">
        <w:rPr>
          <w:rFonts w:ascii="Verdana" w:hAnsi="Verdana"/>
          <w:bCs/>
          <w:sz w:val="18"/>
          <w:szCs w:val="18"/>
        </w:rPr>
        <w:t xml:space="preserve"> moeten bijvoorbeeld</w:t>
      </w:r>
      <w:r>
        <w:rPr>
          <w:rFonts w:ascii="Verdana" w:hAnsi="Verdana"/>
          <w:bCs/>
          <w:sz w:val="18"/>
          <w:szCs w:val="18"/>
        </w:rPr>
        <w:t xml:space="preserve"> voldoen aan kapitaal- en liquiditeitsvereisten op</w:t>
      </w:r>
      <w:r w:rsidR="00A878D2">
        <w:rPr>
          <w:rFonts w:ascii="Verdana" w:hAnsi="Verdana"/>
          <w:bCs/>
          <w:sz w:val="18"/>
          <w:szCs w:val="18"/>
        </w:rPr>
        <w:t xml:space="preserve"> zowel</w:t>
      </w:r>
      <w:r>
        <w:rPr>
          <w:rFonts w:ascii="Verdana" w:hAnsi="Verdana"/>
          <w:bCs/>
          <w:sz w:val="18"/>
          <w:szCs w:val="18"/>
        </w:rPr>
        <w:t xml:space="preserve"> het niveau van de groep</w:t>
      </w:r>
      <w:r w:rsidR="00A878D2">
        <w:rPr>
          <w:rFonts w:ascii="Verdana" w:hAnsi="Verdana"/>
          <w:bCs/>
          <w:sz w:val="18"/>
          <w:szCs w:val="18"/>
        </w:rPr>
        <w:t xml:space="preserve">, als het niveau van </w:t>
      </w:r>
      <w:r>
        <w:rPr>
          <w:rFonts w:ascii="Verdana" w:hAnsi="Verdana"/>
          <w:bCs/>
          <w:sz w:val="18"/>
          <w:szCs w:val="18"/>
        </w:rPr>
        <w:t xml:space="preserve">de dochteronderneming, waardoor zij hun middelen minder efficiënt kunnen beheren. Daarnaast kan de </w:t>
      </w:r>
      <w:r w:rsidRPr="002A664A">
        <w:rPr>
          <w:rFonts w:ascii="Verdana" w:hAnsi="Verdana"/>
          <w:bCs/>
          <w:sz w:val="18"/>
          <w:szCs w:val="18"/>
        </w:rPr>
        <w:t xml:space="preserve">implementatie van EU-regels per lidstaat verschillen </w:t>
      </w:r>
      <w:r w:rsidR="00BD6446">
        <w:rPr>
          <w:rFonts w:ascii="Verdana" w:hAnsi="Verdana"/>
          <w:bCs/>
          <w:sz w:val="18"/>
          <w:szCs w:val="18"/>
        </w:rPr>
        <w:t xml:space="preserve">of </w:t>
      </w:r>
      <w:r w:rsidR="00090277">
        <w:rPr>
          <w:rFonts w:ascii="Verdana" w:hAnsi="Verdana"/>
          <w:bCs/>
          <w:sz w:val="18"/>
          <w:szCs w:val="18"/>
        </w:rPr>
        <w:t xml:space="preserve">voegen lidstaten bij implementatie </w:t>
      </w:r>
      <w:r w:rsidR="00661C47">
        <w:rPr>
          <w:rFonts w:ascii="Verdana" w:hAnsi="Verdana"/>
          <w:bCs/>
          <w:sz w:val="18"/>
          <w:szCs w:val="18"/>
        </w:rPr>
        <w:t>extra</w:t>
      </w:r>
      <w:r w:rsidR="00090277">
        <w:rPr>
          <w:rFonts w:ascii="Verdana" w:hAnsi="Verdana"/>
          <w:bCs/>
          <w:sz w:val="18"/>
          <w:szCs w:val="18"/>
        </w:rPr>
        <w:t xml:space="preserve"> regels toe.</w:t>
      </w:r>
      <w:r w:rsidRPr="002A664A">
        <w:rPr>
          <w:rFonts w:ascii="Verdana" w:hAnsi="Verdana"/>
          <w:bCs/>
          <w:sz w:val="18"/>
          <w:szCs w:val="18"/>
        </w:rPr>
        <w:t xml:space="preserve"> </w:t>
      </w:r>
    </w:p>
    <w:p w:rsidR="005C78A8" w:rsidP="00F33C1F" w:rsidRDefault="005C78A8" w14:paraId="36C95629" w14:textId="77777777">
      <w:pPr>
        <w:spacing w:line="360" w:lineRule="auto"/>
        <w:rPr>
          <w:rFonts w:ascii="Verdana" w:hAnsi="Verdana"/>
          <w:bCs/>
          <w:sz w:val="18"/>
          <w:szCs w:val="18"/>
        </w:rPr>
      </w:pPr>
    </w:p>
    <w:p w:rsidRPr="00665860" w:rsidR="00F33C1F" w:rsidP="00F33C1F" w:rsidRDefault="00F33C1F" w14:paraId="7478B8B1" w14:textId="28F77693">
      <w:pPr>
        <w:spacing w:line="360" w:lineRule="auto"/>
        <w:rPr>
          <w:rFonts w:ascii="Verdana" w:hAnsi="Verdana"/>
          <w:bCs/>
          <w:color w:val="FF0000"/>
          <w:sz w:val="18"/>
          <w:szCs w:val="18"/>
        </w:rPr>
      </w:pPr>
      <w:r w:rsidRPr="002A664A">
        <w:rPr>
          <w:rFonts w:ascii="Verdana" w:hAnsi="Verdana"/>
          <w:bCs/>
          <w:sz w:val="18"/>
          <w:szCs w:val="18"/>
        </w:rPr>
        <w:t>Om hier verbetering in te brengen</w:t>
      </w:r>
      <w:r w:rsidR="006D648E">
        <w:rPr>
          <w:rFonts w:ascii="Verdana" w:hAnsi="Verdana"/>
          <w:bCs/>
          <w:sz w:val="18"/>
          <w:szCs w:val="18"/>
        </w:rPr>
        <w:t>,</w:t>
      </w:r>
      <w:r w:rsidRPr="002A664A">
        <w:rPr>
          <w:rFonts w:ascii="Verdana" w:hAnsi="Verdana"/>
          <w:bCs/>
          <w:sz w:val="18"/>
          <w:szCs w:val="18"/>
        </w:rPr>
        <w:t xml:space="preserve"> </w:t>
      </w:r>
      <w:r w:rsidR="00A878D2">
        <w:rPr>
          <w:rFonts w:ascii="Verdana" w:hAnsi="Verdana"/>
          <w:bCs/>
          <w:sz w:val="18"/>
          <w:szCs w:val="18"/>
        </w:rPr>
        <w:t>kondigt</w:t>
      </w:r>
      <w:r w:rsidRPr="002A664A" w:rsidR="00A878D2">
        <w:rPr>
          <w:rFonts w:ascii="Verdana" w:hAnsi="Verdana"/>
          <w:bCs/>
          <w:sz w:val="18"/>
          <w:szCs w:val="18"/>
        </w:rPr>
        <w:t xml:space="preserve"> </w:t>
      </w:r>
      <w:r w:rsidRPr="002A664A">
        <w:rPr>
          <w:rFonts w:ascii="Verdana" w:hAnsi="Verdana"/>
          <w:bCs/>
          <w:sz w:val="18"/>
          <w:szCs w:val="18"/>
        </w:rPr>
        <w:t xml:space="preserve">de Commissie </w:t>
      </w:r>
      <w:r w:rsidR="00ED7E61">
        <w:rPr>
          <w:rFonts w:ascii="Verdana" w:hAnsi="Verdana"/>
          <w:bCs/>
          <w:sz w:val="18"/>
          <w:szCs w:val="18"/>
        </w:rPr>
        <w:t xml:space="preserve">aan dat ze van plan is met </w:t>
      </w:r>
      <w:r w:rsidR="006D648E">
        <w:rPr>
          <w:rFonts w:ascii="Verdana" w:hAnsi="Verdana"/>
          <w:bCs/>
          <w:sz w:val="18"/>
          <w:szCs w:val="18"/>
        </w:rPr>
        <w:t xml:space="preserve">wetgevende </w:t>
      </w:r>
      <w:r w:rsidR="00ED7E61">
        <w:rPr>
          <w:rFonts w:ascii="Verdana" w:hAnsi="Verdana"/>
          <w:bCs/>
          <w:sz w:val="18"/>
          <w:szCs w:val="18"/>
        </w:rPr>
        <w:t>voorstellen te komen</w:t>
      </w:r>
      <w:r w:rsidRPr="002A664A">
        <w:rPr>
          <w:rFonts w:ascii="Verdana" w:hAnsi="Verdana"/>
          <w:bCs/>
          <w:sz w:val="18"/>
          <w:szCs w:val="18"/>
        </w:rPr>
        <w:t xml:space="preserve">. </w:t>
      </w:r>
      <w:r>
        <w:rPr>
          <w:rFonts w:ascii="Verdana" w:hAnsi="Verdana"/>
          <w:bCs/>
          <w:sz w:val="18"/>
          <w:szCs w:val="18"/>
        </w:rPr>
        <w:t xml:space="preserve">Zo </w:t>
      </w:r>
      <w:r w:rsidR="00ED7E61">
        <w:rPr>
          <w:rFonts w:ascii="Verdana" w:hAnsi="Verdana"/>
          <w:bCs/>
          <w:sz w:val="18"/>
          <w:szCs w:val="18"/>
        </w:rPr>
        <w:t xml:space="preserve">is </w:t>
      </w:r>
      <w:r>
        <w:rPr>
          <w:rFonts w:ascii="Verdana" w:hAnsi="Verdana"/>
          <w:bCs/>
          <w:sz w:val="18"/>
          <w:szCs w:val="18"/>
        </w:rPr>
        <w:t>d</w:t>
      </w:r>
      <w:r w:rsidRPr="002A664A">
        <w:rPr>
          <w:rFonts w:ascii="Verdana" w:hAnsi="Verdana"/>
          <w:bCs/>
          <w:sz w:val="18"/>
          <w:szCs w:val="18"/>
        </w:rPr>
        <w:t>e Commissie</w:t>
      </w:r>
      <w:r w:rsidR="00ED7E61">
        <w:rPr>
          <w:rFonts w:ascii="Verdana" w:hAnsi="Verdana"/>
          <w:bCs/>
          <w:sz w:val="18"/>
          <w:szCs w:val="18"/>
        </w:rPr>
        <w:t xml:space="preserve"> voornemens</w:t>
      </w:r>
      <w:r w:rsidRPr="002A664A">
        <w:rPr>
          <w:rFonts w:ascii="Verdana" w:hAnsi="Verdana"/>
          <w:bCs/>
          <w:sz w:val="18"/>
          <w:szCs w:val="18"/>
        </w:rPr>
        <w:t xml:space="preserve"> maatregelen </w:t>
      </w:r>
      <w:r w:rsidR="00ED7E61">
        <w:rPr>
          <w:rFonts w:ascii="Verdana" w:hAnsi="Verdana"/>
          <w:bCs/>
          <w:sz w:val="18"/>
          <w:szCs w:val="18"/>
        </w:rPr>
        <w:t xml:space="preserve">te </w:t>
      </w:r>
      <w:r w:rsidRPr="002A664A">
        <w:rPr>
          <w:rFonts w:ascii="Verdana" w:hAnsi="Verdana"/>
          <w:bCs/>
          <w:sz w:val="18"/>
          <w:szCs w:val="18"/>
        </w:rPr>
        <w:t xml:space="preserve">treffen om ervoor te zorgen dat grensoverschrijdende bankgroepen hun kapitaal en liquiditeit efficiënter kunnen verdelen </w:t>
      </w:r>
      <w:r>
        <w:rPr>
          <w:rFonts w:ascii="Verdana" w:hAnsi="Verdana"/>
          <w:bCs/>
          <w:sz w:val="18"/>
          <w:szCs w:val="18"/>
        </w:rPr>
        <w:t xml:space="preserve">en </w:t>
      </w:r>
      <w:r w:rsidR="00ED7E61">
        <w:rPr>
          <w:rFonts w:ascii="Verdana" w:hAnsi="Verdana"/>
          <w:bCs/>
          <w:sz w:val="18"/>
          <w:szCs w:val="18"/>
        </w:rPr>
        <w:t xml:space="preserve">wil </w:t>
      </w:r>
      <w:r w:rsidR="00090277">
        <w:rPr>
          <w:rFonts w:ascii="Verdana" w:hAnsi="Verdana"/>
          <w:bCs/>
          <w:sz w:val="18"/>
          <w:szCs w:val="18"/>
        </w:rPr>
        <w:t xml:space="preserve">de Commissie </w:t>
      </w:r>
      <w:r>
        <w:rPr>
          <w:rFonts w:ascii="Verdana" w:hAnsi="Verdana"/>
          <w:bCs/>
          <w:sz w:val="18"/>
          <w:szCs w:val="18"/>
        </w:rPr>
        <w:t>daarbij ook waa</w:t>
      </w:r>
      <w:r w:rsidRPr="002A664A">
        <w:rPr>
          <w:rFonts w:ascii="Verdana" w:hAnsi="Verdana"/>
          <w:bCs/>
          <w:sz w:val="18"/>
          <w:szCs w:val="18"/>
        </w:rPr>
        <w:t xml:space="preserve">rborgen </w:t>
      </w:r>
      <w:r>
        <w:rPr>
          <w:rFonts w:ascii="Verdana" w:hAnsi="Verdana"/>
          <w:bCs/>
          <w:sz w:val="18"/>
          <w:szCs w:val="18"/>
        </w:rPr>
        <w:t>voor</w:t>
      </w:r>
      <w:r w:rsidR="00ED7E61">
        <w:rPr>
          <w:rFonts w:ascii="Verdana" w:hAnsi="Verdana"/>
          <w:bCs/>
          <w:sz w:val="18"/>
          <w:szCs w:val="18"/>
        </w:rPr>
        <w:t>stellen</w:t>
      </w:r>
      <w:r>
        <w:rPr>
          <w:rFonts w:ascii="Verdana" w:hAnsi="Verdana"/>
          <w:bCs/>
          <w:sz w:val="18"/>
          <w:szCs w:val="18"/>
        </w:rPr>
        <w:t xml:space="preserve"> die </w:t>
      </w:r>
      <w:r w:rsidRPr="002A664A">
        <w:rPr>
          <w:rFonts w:ascii="Verdana" w:hAnsi="Verdana"/>
          <w:bCs/>
          <w:sz w:val="18"/>
          <w:szCs w:val="18"/>
        </w:rPr>
        <w:t>crediteuren en deposanten</w:t>
      </w:r>
      <w:r>
        <w:rPr>
          <w:rFonts w:ascii="Verdana" w:hAnsi="Verdana"/>
          <w:bCs/>
          <w:sz w:val="18"/>
          <w:szCs w:val="18"/>
        </w:rPr>
        <w:t xml:space="preserve"> beschermen</w:t>
      </w:r>
      <w:r w:rsidRPr="002A664A">
        <w:rPr>
          <w:rFonts w:ascii="Verdana" w:hAnsi="Verdana"/>
          <w:bCs/>
          <w:sz w:val="18"/>
          <w:szCs w:val="18"/>
        </w:rPr>
        <w:t xml:space="preserve">. Ook </w:t>
      </w:r>
      <w:r w:rsidR="00ED7E61">
        <w:rPr>
          <w:rFonts w:ascii="Verdana" w:hAnsi="Verdana"/>
          <w:bCs/>
          <w:sz w:val="18"/>
          <w:szCs w:val="18"/>
        </w:rPr>
        <w:t>is</w:t>
      </w:r>
      <w:r w:rsidRPr="002A664A">
        <w:rPr>
          <w:rFonts w:ascii="Verdana" w:hAnsi="Verdana"/>
          <w:bCs/>
          <w:sz w:val="18"/>
          <w:szCs w:val="18"/>
        </w:rPr>
        <w:t xml:space="preserve"> de Commissie </w:t>
      </w:r>
      <w:r w:rsidR="00ED7E61">
        <w:rPr>
          <w:rFonts w:ascii="Verdana" w:hAnsi="Verdana"/>
          <w:bCs/>
          <w:sz w:val="18"/>
          <w:szCs w:val="18"/>
        </w:rPr>
        <w:t xml:space="preserve">van plan </w:t>
      </w:r>
      <w:r w:rsidRPr="002A664A">
        <w:rPr>
          <w:rFonts w:ascii="Verdana" w:hAnsi="Verdana"/>
          <w:bCs/>
          <w:sz w:val="18"/>
          <w:szCs w:val="18"/>
        </w:rPr>
        <w:t>maatregelen</w:t>
      </w:r>
      <w:r w:rsidR="00ED7E61">
        <w:rPr>
          <w:rFonts w:ascii="Verdana" w:hAnsi="Verdana"/>
          <w:bCs/>
          <w:sz w:val="18"/>
          <w:szCs w:val="18"/>
        </w:rPr>
        <w:t xml:space="preserve"> te</w:t>
      </w:r>
      <w:r w:rsidRPr="002A664A">
        <w:rPr>
          <w:rFonts w:ascii="Verdana" w:hAnsi="Verdana"/>
          <w:bCs/>
          <w:sz w:val="18"/>
          <w:szCs w:val="18"/>
        </w:rPr>
        <w:t xml:space="preserve"> nemen om het risico van een sterke concentratie van staatsobligaties bij banken te verminderen</w:t>
      </w:r>
      <w:r w:rsidR="006D648E">
        <w:rPr>
          <w:rFonts w:ascii="Verdana" w:hAnsi="Verdana"/>
          <w:bCs/>
          <w:sz w:val="18"/>
          <w:szCs w:val="18"/>
        </w:rPr>
        <w:t xml:space="preserve"> en de diversificatie van staatsobligatieportfolio’s op bankenbalansen te stimuleren</w:t>
      </w:r>
      <w:r w:rsidRPr="002A664A">
        <w:rPr>
          <w:rFonts w:ascii="Verdana" w:hAnsi="Verdana"/>
          <w:bCs/>
          <w:sz w:val="18"/>
          <w:szCs w:val="18"/>
        </w:rPr>
        <w:t xml:space="preserve">. Verder is de Commissie van plan </w:t>
      </w:r>
      <w:r w:rsidR="00ED574F">
        <w:rPr>
          <w:rFonts w:ascii="Verdana" w:hAnsi="Verdana"/>
          <w:bCs/>
          <w:sz w:val="18"/>
          <w:szCs w:val="18"/>
        </w:rPr>
        <w:t>scherper toe te zien op</w:t>
      </w:r>
      <w:r w:rsidRPr="002A664A">
        <w:rPr>
          <w:rFonts w:ascii="Verdana" w:hAnsi="Verdana"/>
          <w:bCs/>
          <w:sz w:val="18"/>
          <w:szCs w:val="18"/>
        </w:rPr>
        <w:t xml:space="preserve"> lidstaten die in strijd met </w:t>
      </w:r>
      <w:r w:rsidR="00665860">
        <w:rPr>
          <w:rFonts w:ascii="Verdana" w:hAnsi="Verdana"/>
          <w:bCs/>
          <w:sz w:val="18"/>
          <w:szCs w:val="18"/>
        </w:rPr>
        <w:t>Europese</w:t>
      </w:r>
      <w:r w:rsidRPr="002A664A">
        <w:rPr>
          <w:rFonts w:ascii="Verdana" w:hAnsi="Verdana"/>
          <w:bCs/>
          <w:sz w:val="18"/>
          <w:szCs w:val="18"/>
        </w:rPr>
        <w:t xml:space="preserve"> regelgeving fusies en overnames blokkeren</w:t>
      </w:r>
      <w:r w:rsidR="00ED574F">
        <w:rPr>
          <w:rFonts w:ascii="Verdana" w:hAnsi="Verdana"/>
          <w:bCs/>
          <w:sz w:val="18"/>
          <w:szCs w:val="18"/>
        </w:rPr>
        <w:t xml:space="preserve">, omdat </w:t>
      </w:r>
      <w:r w:rsidR="005D4191">
        <w:rPr>
          <w:rFonts w:ascii="Verdana" w:hAnsi="Verdana"/>
          <w:bCs/>
          <w:sz w:val="18"/>
          <w:szCs w:val="18"/>
        </w:rPr>
        <w:t xml:space="preserve">deze interventies </w:t>
      </w:r>
      <w:r w:rsidR="00ED574F">
        <w:rPr>
          <w:rFonts w:ascii="Verdana" w:hAnsi="Verdana"/>
          <w:bCs/>
          <w:sz w:val="18"/>
          <w:szCs w:val="18"/>
        </w:rPr>
        <w:t>de groei van banken op EU-niveau k</w:t>
      </w:r>
      <w:r w:rsidR="005D4191">
        <w:rPr>
          <w:rFonts w:ascii="Verdana" w:hAnsi="Verdana"/>
          <w:bCs/>
          <w:sz w:val="18"/>
          <w:szCs w:val="18"/>
        </w:rPr>
        <w:t xml:space="preserve">unnen </w:t>
      </w:r>
      <w:r w:rsidR="00ED574F">
        <w:rPr>
          <w:rFonts w:ascii="Verdana" w:hAnsi="Verdana"/>
          <w:bCs/>
          <w:sz w:val="18"/>
          <w:szCs w:val="18"/>
        </w:rPr>
        <w:t xml:space="preserve">beperken. </w:t>
      </w:r>
      <w:r w:rsidR="00E56199">
        <w:rPr>
          <w:rFonts w:ascii="Verdana" w:hAnsi="Verdana"/>
          <w:bCs/>
          <w:sz w:val="18"/>
          <w:szCs w:val="18"/>
        </w:rPr>
        <w:t>Ter ondersteuning van</w:t>
      </w:r>
      <w:r w:rsidRPr="002A664A">
        <w:rPr>
          <w:rFonts w:ascii="Verdana" w:hAnsi="Verdana"/>
          <w:bCs/>
          <w:sz w:val="18"/>
          <w:szCs w:val="18"/>
        </w:rPr>
        <w:t xml:space="preserve"> maatregelen die integratie bevorderen, wil de Commissie ook waarborgen inbouwen om de financiële stabiliteit in tijden van crisis te beschermen. </w:t>
      </w:r>
      <w:r w:rsidR="00A63004">
        <w:rPr>
          <w:rFonts w:ascii="Verdana" w:hAnsi="Verdana"/>
          <w:sz w:val="18"/>
          <w:szCs w:val="18"/>
        </w:rPr>
        <w:t>De Commissie zal daar</w:t>
      </w:r>
      <w:r w:rsidR="005D4191">
        <w:rPr>
          <w:rFonts w:ascii="Verdana" w:hAnsi="Verdana"/>
          <w:sz w:val="18"/>
          <w:szCs w:val="18"/>
        </w:rPr>
        <w:t>toe</w:t>
      </w:r>
      <w:r w:rsidR="00A63004">
        <w:rPr>
          <w:rFonts w:ascii="Verdana" w:hAnsi="Verdana"/>
          <w:sz w:val="18"/>
          <w:szCs w:val="18"/>
        </w:rPr>
        <w:t xml:space="preserve"> </w:t>
      </w:r>
      <w:r w:rsidR="004D4D5C">
        <w:rPr>
          <w:rFonts w:ascii="Verdana" w:hAnsi="Verdana"/>
          <w:sz w:val="18"/>
          <w:szCs w:val="18"/>
        </w:rPr>
        <w:t xml:space="preserve">haar </w:t>
      </w:r>
      <w:r w:rsidR="00A63004">
        <w:rPr>
          <w:rFonts w:ascii="Verdana" w:hAnsi="Verdana"/>
          <w:sz w:val="18"/>
          <w:szCs w:val="18"/>
        </w:rPr>
        <w:t xml:space="preserve">voorstel uit 2015 voor een Europees depositogarantiestelsel (EDIS) vervangen door een nieuw voorstel, </w:t>
      </w:r>
      <w:r w:rsidR="004D4D5C">
        <w:rPr>
          <w:rFonts w:ascii="Verdana" w:hAnsi="Verdana"/>
          <w:sz w:val="18"/>
          <w:szCs w:val="18"/>
        </w:rPr>
        <w:t>waarbij de Commissie wil</w:t>
      </w:r>
      <w:r w:rsidR="00A63004">
        <w:rPr>
          <w:rFonts w:ascii="Verdana" w:hAnsi="Verdana"/>
          <w:sz w:val="18"/>
          <w:szCs w:val="18"/>
        </w:rPr>
        <w:t xml:space="preserve"> borgen dat het falen van grensoverschrijdende bankgroepen geen disproportioneel effect heeft voor nationale depositogarantiestelsels</w:t>
      </w:r>
      <w:r w:rsidR="006D648E">
        <w:rPr>
          <w:rFonts w:ascii="Verdana" w:hAnsi="Verdana"/>
          <w:sz w:val="18"/>
          <w:szCs w:val="18"/>
        </w:rPr>
        <w:t>.</w:t>
      </w:r>
      <w:r w:rsidR="00ED7E61">
        <w:rPr>
          <w:rFonts w:ascii="Verdana" w:hAnsi="Verdana"/>
          <w:bCs/>
          <w:sz w:val="18"/>
          <w:szCs w:val="18"/>
        </w:rPr>
        <w:t xml:space="preserve"> </w:t>
      </w:r>
      <w:r w:rsidR="00090277">
        <w:rPr>
          <w:rFonts w:ascii="Verdana" w:hAnsi="Verdana"/>
          <w:bCs/>
          <w:sz w:val="18"/>
          <w:szCs w:val="18"/>
        </w:rPr>
        <w:t xml:space="preserve">Daarnaast </w:t>
      </w:r>
      <w:r w:rsidR="00ED7E61">
        <w:rPr>
          <w:rFonts w:ascii="Verdana" w:hAnsi="Verdana"/>
          <w:bCs/>
          <w:sz w:val="18"/>
          <w:szCs w:val="18"/>
        </w:rPr>
        <w:t xml:space="preserve">gaat de Commissie </w:t>
      </w:r>
      <w:r w:rsidRPr="002A664A">
        <w:rPr>
          <w:rFonts w:ascii="Verdana" w:hAnsi="Verdana"/>
          <w:bCs/>
          <w:sz w:val="18"/>
          <w:szCs w:val="18"/>
        </w:rPr>
        <w:t xml:space="preserve">voorstellen </w:t>
      </w:r>
      <w:r w:rsidR="00ED7E61">
        <w:rPr>
          <w:rFonts w:ascii="Verdana" w:hAnsi="Verdana"/>
          <w:bCs/>
          <w:sz w:val="18"/>
          <w:szCs w:val="18"/>
        </w:rPr>
        <w:t xml:space="preserve">doen </w:t>
      </w:r>
      <w:r w:rsidRPr="002A664A">
        <w:rPr>
          <w:rFonts w:ascii="Verdana" w:hAnsi="Verdana"/>
          <w:bCs/>
          <w:sz w:val="18"/>
          <w:szCs w:val="18"/>
        </w:rPr>
        <w:t xml:space="preserve">om resolutie-strategieën op groepsniveau te verbeteren. </w:t>
      </w:r>
      <w:r w:rsidR="005D4191">
        <w:rPr>
          <w:rFonts w:ascii="Verdana" w:hAnsi="Verdana"/>
          <w:bCs/>
          <w:sz w:val="18"/>
          <w:szCs w:val="18"/>
        </w:rPr>
        <w:t>Tot slot merkt de Commissie op dat d</w:t>
      </w:r>
      <w:r>
        <w:rPr>
          <w:rFonts w:ascii="Verdana" w:hAnsi="Verdana"/>
          <w:bCs/>
          <w:sz w:val="18"/>
          <w:szCs w:val="18"/>
        </w:rPr>
        <w:t xml:space="preserve">e fragmentatie in de bankensector niet alleen het gevolg </w:t>
      </w:r>
      <w:r w:rsidR="00FE404B">
        <w:rPr>
          <w:rFonts w:ascii="Verdana" w:hAnsi="Verdana"/>
          <w:bCs/>
          <w:sz w:val="18"/>
          <w:szCs w:val="18"/>
        </w:rPr>
        <w:t xml:space="preserve">is </w:t>
      </w:r>
      <w:r>
        <w:rPr>
          <w:rFonts w:ascii="Verdana" w:hAnsi="Verdana"/>
          <w:bCs/>
          <w:sz w:val="18"/>
          <w:szCs w:val="18"/>
        </w:rPr>
        <w:t xml:space="preserve">van prudentiële aspecten, maar </w:t>
      </w:r>
      <w:r w:rsidR="00FE404B">
        <w:rPr>
          <w:rFonts w:ascii="Verdana" w:hAnsi="Verdana"/>
          <w:bCs/>
          <w:sz w:val="18"/>
          <w:szCs w:val="18"/>
        </w:rPr>
        <w:t xml:space="preserve">dat dit </w:t>
      </w:r>
      <w:r>
        <w:rPr>
          <w:rFonts w:ascii="Verdana" w:hAnsi="Verdana"/>
          <w:bCs/>
          <w:sz w:val="18"/>
          <w:szCs w:val="18"/>
        </w:rPr>
        <w:t xml:space="preserve">ook </w:t>
      </w:r>
      <w:r w:rsidR="00FE404B">
        <w:rPr>
          <w:rFonts w:ascii="Verdana" w:hAnsi="Verdana"/>
          <w:bCs/>
          <w:sz w:val="18"/>
          <w:szCs w:val="18"/>
        </w:rPr>
        <w:t xml:space="preserve">komt </w:t>
      </w:r>
      <w:r>
        <w:rPr>
          <w:rFonts w:ascii="Verdana" w:hAnsi="Verdana"/>
          <w:bCs/>
          <w:sz w:val="18"/>
          <w:szCs w:val="18"/>
        </w:rPr>
        <w:t xml:space="preserve">door </w:t>
      </w:r>
      <w:r w:rsidR="00C3361E">
        <w:rPr>
          <w:rFonts w:ascii="Verdana" w:hAnsi="Verdana"/>
          <w:bCs/>
          <w:sz w:val="18"/>
          <w:szCs w:val="18"/>
        </w:rPr>
        <w:t xml:space="preserve">meerdere </w:t>
      </w:r>
      <w:r>
        <w:rPr>
          <w:rFonts w:ascii="Verdana" w:hAnsi="Verdana"/>
          <w:bCs/>
          <w:sz w:val="18"/>
          <w:szCs w:val="18"/>
        </w:rPr>
        <w:t xml:space="preserve">niet-prudentiële obstakels, zoals uiteenlopende regels op het gebied van </w:t>
      </w:r>
      <w:r w:rsidR="00825BE4">
        <w:rPr>
          <w:rFonts w:ascii="Verdana" w:hAnsi="Verdana"/>
          <w:bCs/>
          <w:sz w:val="18"/>
          <w:szCs w:val="18"/>
        </w:rPr>
        <w:t>anti</w:t>
      </w:r>
      <w:r>
        <w:rPr>
          <w:rFonts w:ascii="Verdana" w:hAnsi="Verdana"/>
          <w:bCs/>
          <w:sz w:val="18"/>
          <w:szCs w:val="18"/>
        </w:rPr>
        <w:t>witwas</w:t>
      </w:r>
      <w:r w:rsidR="00825BE4">
        <w:rPr>
          <w:rFonts w:ascii="Verdana" w:hAnsi="Verdana"/>
          <w:bCs/>
          <w:sz w:val="18"/>
          <w:szCs w:val="18"/>
        </w:rPr>
        <w:t>beleid</w:t>
      </w:r>
      <w:r>
        <w:rPr>
          <w:rFonts w:ascii="Verdana" w:hAnsi="Verdana"/>
          <w:bCs/>
          <w:sz w:val="18"/>
          <w:szCs w:val="18"/>
        </w:rPr>
        <w:t xml:space="preserve">, </w:t>
      </w:r>
      <w:r w:rsidR="00825BE4">
        <w:rPr>
          <w:rFonts w:ascii="Verdana" w:hAnsi="Verdana"/>
          <w:bCs/>
          <w:sz w:val="18"/>
          <w:szCs w:val="18"/>
        </w:rPr>
        <w:t xml:space="preserve">insolventierecht, databescherming, </w:t>
      </w:r>
      <w:r>
        <w:rPr>
          <w:rFonts w:ascii="Verdana" w:hAnsi="Verdana"/>
          <w:bCs/>
          <w:sz w:val="18"/>
          <w:szCs w:val="18"/>
        </w:rPr>
        <w:t xml:space="preserve">belastingen en consumentenbescherming. De Commissie </w:t>
      </w:r>
      <w:r w:rsidR="0012741C">
        <w:rPr>
          <w:rFonts w:ascii="Verdana" w:hAnsi="Verdana"/>
          <w:bCs/>
          <w:sz w:val="18"/>
          <w:szCs w:val="18"/>
        </w:rPr>
        <w:t>zegt</w:t>
      </w:r>
      <w:r w:rsidR="00E56199">
        <w:rPr>
          <w:rFonts w:ascii="Verdana" w:hAnsi="Verdana"/>
          <w:bCs/>
          <w:sz w:val="18"/>
          <w:szCs w:val="18"/>
        </w:rPr>
        <w:t xml:space="preserve"> daarom</w:t>
      </w:r>
      <w:r w:rsidR="0012741C">
        <w:rPr>
          <w:rFonts w:ascii="Verdana" w:hAnsi="Verdana"/>
          <w:bCs/>
          <w:sz w:val="18"/>
          <w:szCs w:val="18"/>
        </w:rPr>
        <w:t xml:space="preserve"> toe</w:t>
      </w:r>
      <w:r>
        <w:rPr>
          <w:rFonts w:ascii="Verdana" w:hAnsi="Verdana"/>
          <w:bCs/>
          <w:sz w:val="18"/>
          <w:szCs w:val="18"/>
        </w:rPr>
        <w:t xml:space="preserve"> </w:t>
      </w:r>
      <w:r w:rsidR="00171B1F">
        <w:rPr>
          <w:rFonts w:ascii="Verdana" w:hAnsi="Verdana"/>
          <w:bCs/>
          <w:sz w:val="18"/>
          <w:szCs w:val="18"/>
        </w:rPr>
        <w:t>zich samen</w:t>
      </w:r>
      <w:r>
        <w:rPr>
          <w:rFonts w:ascii="Verdana" w:hAnsi="Verdana"/>
          <w:bCs/>
          <w:sz w:val="18"/>
          <w:szCs w:val="18"/>
        </w:rPr>
        <w:t xml:space="preserve"> met de </w:t>
      </w:r>
      <w:r w:rsidR="006D62AE">
        <w:rPr>
          <w:rFonts w:ascii="Verdana" w:hAnsi="Verdana"/>
          <w:bCs/>
          <w:sz w:val="18"/>
          <w:szCs w:val="18"/>
        </w:rPr>
        <w:t>Europese anti-witwasautoriteit</w:t>
      </w:r>
      <w:r>
        <w:rPr>
          <w:rFonts w:ascii="Verdana" w:hAnsi="Verdana"/>
          <w:bCs/>
          <w:sz w:val="18"/>
          <w:szCs w:val="18"/>
        </w:rPr>
        <w:t xml:space="preserve"> (AMLA)</w:t>
      </w:r>
      <w:r w:rsidR="00171B1F">
        <w:rPr>
          <w:rFonts w:ascii="Verdana" w:hAnsi="Verdana"/>
          <w:bCs/>
          <w:sz w:val="18"/>
          <w:szCs w:val="18"/>
        </w:rPr>
        <w:t xml:space="preserve"> in te zetten voor</w:t>
      </w:r>
      <w:r>
        <w:rPr>
          <w:rFonts w:ascii="Verdana" w:hAnsi="Verdana"/>
          <w:bCs/>
          <w:sz w:val="18"/>
          <w:szCs w:val="18"/>
        </w:rPr>
        <w:t xml:space="preserve"> een geharmoniseerde toepassing van </w:t>
      </w:r>
      <w:r w:rsidR="005C78A8">
        <w:rPr>
          <w:rFonts w:ascii="Verdana" w:hAnsi="Verdana"/>
          <w:bCs/>
          <w:sz w:val="18"/>
          <w:szCs w:val="18"/>
        </w:rPr>
        <w:t>anti</w:t>
      </w:r>
      <w:r>
        <w:rPr>
          <w:rFonts w:ascii="Verdana" w:hAnsi="Verdana"/>
          <w:bCs/>
          <w:sz w:val="18"/>
          <w:szCs w:val="18"/>
        </w:rPr>
        <w:t xml:space="preserve">witwasregels. </w:t>
      </w:r>
      <w:r>
        <w:rPr>
          <w:rFonts w:ascii="Verdana" w:hAnsi="Verdana"/>
          <w:bCs/>
          <w:sz w:val="18"/>
          <w:szCs w:val="18"/>
        </w:rPr>
        <w:lastRenderedPageBreak/>
        <w:t xml:space="preserve">Verder zal de Commissie de nationale toepassing van consumentenregels blijven volgen en </w:t>
      </w:r>
      <w:r w:rsidR="00E56199">
        <w:rPr>
          <w:rFonts w:ascii="Verdana" w:hAnsi="Verdana"/>
          <w:bCs/>
          <w:sz w:val="18"/>
          <w:szCs w:val="18"/>
        </w:rPr>
        <w:t>bezien</w:t>
      </w:r>
      <w:r>
        <w:rPr>
          <w:rFonts w:ascii="Verdana" w:hAnsi="Verdana"/>
          <w:bCs/>
          <w:sz w:val="18"/>
          <w:szCs w:val="18"/>
        </w:rPr>
        <w:t xml:space="preserve"> of deze integratie belemmert. </w:t>
      </w:r>
    </w:p>
    <w:p w:rsidR="0044334A" w:rsidP="006012D0" w:rsidRDefault="0044334A" w14:paraId="12B22EA1" w14:textId="77777777">
      <w:pPr>
        <w:spacing w:line="360" w:lineRule="auto"/>
        <w:rPr>
          <w:rFonts w:ascii="Verdana" w:hAnsi="Verdana"/>
          <w:bCs/>
          <w:sz w:val="18"/>
          <w:szCs w:val="18"/>
        </w:rPr>
      </w:pPr>
    </w:p>
    <w:p w:rsidR="00960AB1" w:rsidP="006012D0" w:rsidRDefault="00175B16" w14:paraId="520C9B30" w14:textId="63016E3C">
      <w:pPr>
        <w:spacing w:line="360" w:lineRule="auto"/>
        <w:rPr>
          <w:rFonts w:ascii="Verdana" w:hAnsi="Verdana"/>
          <w:bCs/>
          <w:sz w:val="18"/>
          <w:szCs w:val="18"/>
        </w:rPr>
      </w:pPr>
      <w:r>
        <w:rPr>
          <w:rFonts w:ascii="Verdana" w:hAnsi="Verdana"/>
          <w:bCs/>
          <w:sz w:val="18"/>
          <w:szCs w:val="18"/>
        </w:rPr>
        <w:t xml:space="preserve">De tweede uitdaging </w:t>
      </w:r>
      <w:r w:rsidR="00C3361E">
        <w:rPr>
          <w:rFonts w:ascii="Verdana" w:hAnsi="Verdana"/>
          <w:bCs/>
          <w:sz w:val="18"/>
          <w:szCs w:val="18"/>
        </w:rPr>
        <w:t>die de Commissie benoemt</w:t>
      </w:r>
      <w:r w:rsidR="00665860">
        <w:rPr>
          <w:rFonts w:ascii="Verdana" w:hAnsi="Verdana"/>
          <w:bCs/>
          <w:sz w:val="18"/>
          <w:szCs w:val="18"/>
        </w:rPr>
        <w:t>,</w:t>
      </w:r>
      <w:r w:rsidR="00C3361E">
        <w:rPr>
          <w:rFonts w:ascii="Verdana" w:hAnsi="Verdana"/>
          <w:bCs/>
          <w:sz w:val="18"/>
          <w:szCs w:val="18"/>
        </w:rPr>
        <w:t xml:space="preserve"> </w:t>
      </w:r>
      <w:r>
        <w:rPr>
          <w:rFonts w:ascii="Verdana" w:hAnsi="Verdana"/>
          <w:bCs/>
          <w:sz w:val="18"/>
          <w:szCs w:val="18"/>
        </w:rPr>
        <w:t xml:space="preserve">betreft de implementatie van </w:t>
      </w:r>
      <w:r w:rsidR="00B1491D">
        <w:rPr>
          <w:rFonts w:ascii="Verdana" w:hAnsi="Verdana"/>
          <w:bCs/>
          <w:sz w:val="18"/>
          <w:szCs w:val="18"/>
        </w:rPr>
        <w:t xml:space="preserve">de </w:t>
      </w:r>
      <w:r>
        <w:rPr>
          <w:rFonts w:ascii="Verdana" w:hAnsi="Verdana"/>
          <w:bCs/>
          <w:sz w:val="18"/>
          <w:szCs w:val="18"/>
        </w:rPr>
        <w:t xml:space="preserve">internationale </w:t>
      </w:r>
      <w:r w:rsidR="00B1491D">
        <w:rPr>
          <w:rFonts w:ascii="Verdana" w:hAnsi="Verdana"/>
          <w:bCs/>
          <w:sz w:val="18"/>
          <w:szCs w:val="18"/>
        </w:rPr>
        <w:t>Bazel-</w:t>
      </w:r>
      <w:r>
        <w:rPr>
          <w:rFonts w:ascii="Verdana" w:hAnsi="Verdana"/>
          <w:bCs/>
          <w:sz w:val="18"/>
          <w:szCs w:val="18"/>
        </w:rPr>
        <w:t>standaarden</w:t>
      </w:r>
      <w:r w:rsidR="0009325D">
        <w:rPr>
          <w:rFonts w:ascii="Verdana" w:hAnsi="Verdana"/>
          <w:bCs/>
          <w:sz w:val="18"/>
          <w:szCs w:val="18"/>
        </w:rPr>
        <w:t>,</w:t>
      </w:r>
      <w:r w:rsidR="00B1491D">
        <w:rPr>
          <w:rStyle w:val="FootnoteReference"/>
          <w:rFonts w:ascii="Verdana" w:hAnsi="Verdana"/>
          <w:bCs/>
          <w:sz w:val="18"/>
          <w:szCs w:val="18"/>
        </w:rPr>
        <w:footnoteReference w:id="3"/>
      </w:r>
      <w:r w:rsidR="00B1491D">
        <w:rPr>
          <w:rFonts w:ascii="Verdana" w:hAnsi="Verdana"/>
          <w:bCs/>
          <w:sz w:val="18"/>
          <w:szCs w:val="18"/>
        </w:rPr>
        <w:t xml:space="preserve"> die niet altijd</w:t>
      </w:r>
      <w:r w:rsidR="00960AB1">
        <w:rPr>
          <w:rFonts w:ascii="Verdana" w:hAnsi="Verdana"/>
          <w:bCs/>
          <w:sz w:val="18"/>
          <w:szCs w:val="18"/>
        </w:rPr>
        <w:t xml:space="preserve"> </w:t>
      </w:r>
      <w:r w:rsidR="004D4D5C">
        <w:rPr>
          <w:rFonts w:ascii="Verdana" w:hAnsi="Verdana"/>
          <w:bCs/>
          <w:sz w:val="18"/>
          <w:szCs w:val="18"/>
        </w:rPr>
        <w:t>goed aansluit bij</w:t>
      </w:r>
      <w:r w:rsidR="00B1491D">
        <w:rPr>
          <w:rFonts w:ascii="Verdana" w:hAnsi="Verdana"/>
          <w:bCs/>
          <w:sz w:val="18"/>
          <w:szCs w:val="18"/>
        </w:rPr>
        <w:t xml:space="preserve"> </w:t>
      </w:r>
      <w:r>
        <w:rPr>
          <w:rFonts w:ascii="Verdana" w:hAnsi="Verdana"/>
          <w:bCs/>
          <w:sz w:val="18"/>
          <w:szCs w:val="18"/>
        </w:rPr>
        <w:t xml:space="preserve">specifieke kenmerken van de EU </w:t>
      </w:r>
      <w:r w:rsidR="00B1491D">
        <w:rPr>
          <w:rFonts w:ascii="Verdana" w:hAnsi="Verdana"/>
          <w:bCs/>
          <w:sz w:val="18"/>
          <w:szCs w:val="18"/>
        </w:rPr>
        <w:t xml:space="preserve">of ruimte biedt voor </w:t>
      </w:r>
      <w:r>
        <w:rPr>
          <w:rFonts w:ascii="Verdana" w:hAnsi="Verdana"/>
          <w:bCs/>
          <w:sz w:val="18"/>
          <w:szCs w:val="18"/>
        </w:rPr>
        <w:t xml:space="preserve">proportionaliteit. De EU is gecommitteerd aan de Bazel-standaarden en past deze, in tegenstelling tot andere jurisdicties, toe op zowel </w:t>
      </w:r>
      <w:r w:rsidR="00C3361E">
        <w:rPr>
          <w:rFonts w:ascii="Verdana" w:hAnsi="Verdana"/>
          <w:bCs/>
          <w:sz w:val="18"/>
          <w:szCs w:val="18"/>
        </w:rPr>
        <w:t xml:space="preserve">internationaal actieve </w:t>
      </w:r>
      <w:r>
        <w:rPr>
          <w:rFonts w:ascii="Verdana" w:hAnsi="Verdana"/>
          <w:bCs/>
          <w:sz w:val="18"/>
          <w:szCs w:val="18"/>
        </w:rPr>
        <w:t>als kleine</w:t>
      </w:r>
      <w:r w:rsidR="00C3361E">
        <w:rPr>
          <w:rFonts w:ascii="Verdana" w:hAnsi="Verdana"/>
          <w:bCs/>
          <w:sz w:val="18"/>
          <w:szCs w:val="18"/>
        </w:rPr>
        <w:t>re, niet internationaal actieve</w:t>
      </w:r>
      <w:r>
        <w:rPr>
          <w:rFonts w:ascii="Verdana" w:hAnsi="Verdana"/>
          <w:bCs/>
          <w:sz w:val="18"/>
          <w:szCs w:val="18"/>
        </w:rPr>
        <w:t xml:space="preserve"> banken</w:t>
      </w:r>
      <w:r w:rsidR="006B1088">
        <w:rPr>
          <w:rFonts w:ascii="Verdana" w:hAnsi="Verdana"/>
          <w:bCs/>
          <w:sz w:val="18"/>
          <w:szCs w:val="18"/>
        </w:rPr>
        <w:t xml:space="preserve">. </w:t>
      </w:r>
      <w:r>
        <w:rPr>
          <w:rFonts w:ascii="Verdana" w:hAnsi="Verdana"/>
          <w:bCs/>
          <w:sz w:val="18"/>
          <w:szCs w:val="18"/>
        </w:rPr>
        <w:t>Grote, internationaal opererende banken concurreren</w:t>
      </w:r>
      <w:r w:rsidR="00C222CC">
        <w:rPr>
          <w:rFonts w:ascii="Verdana" w:hAnsi="Verdana"/>
          <w:bCs/>
          <w:sz w:val="18"/>
          <w:szCs w:val="18"/>
        </w:rPr>
        <w:t xml:space="preserve"> daarnaast</w:t>
      </w:r>
      <w:r>
        <w:rPr>
          <w:rFonts w:ascii="Verdana" w:hAnsi="Verdana"/>
          <w:bCs/>
          <w:sz w:val="18"/>
          <w:szCs w:val="18"/>
        </w:rPr>
        <w:t xml:space="preserve"> in een omgeving waar de implementatie van Bazel-standaarden tussen jurisdicties varieert. </w:t>
      </w:r>
      <w:r w:rsidR="006B1088">
        <w:rPr>
          <w:rFonts w:ascii="Verdana" w:hAnsi="Verdana"/>
          <w:bCs/>
          <w:sz w:val="18"/>
          <w:szCs w:val="18"/>
        </w:rPr>
        <w:t>De</w:t>
      </w:r>
      <w:r>
        <w:rPr>
          <w:rFonts w:ascii="Verdana" w:hAnsi="Verdana"/>
          <w:bCs/>
          <w:sz w:val="18"/>
          <w:szCs w:val="18"/>
        </w:rPr>
        <w:t xml:space="preserve"> Commissie </w:t>
      </w:r>
      <w:r w:rsidR="006B1088">
        <w:rPr>
          <w:rFonts w:ascii="Verdana" w:hAnsi="Verdana"/>
          <w:bCs/>
          <w:sz w:val="18"/>
          <w:szCs w:val="18"/>
        </w:rPr>
        <w:t>doet voorstellen om deze specifieke kenmerken van de EU mee te wegen in de implementatie van de Bazelstandaarden</w:t>
      </w:r>
      <w:r>
        <w:rPr>
          <w:rFonts w:ascii="Verdana" w:hAnsi="Verdana"/>
          <w:bCs/>
          <w:sz w:val="18"/>
          <w:szCs w:val="18"/>
        </w:rPr>
        <w:t xml:space="preserve">. </w:t>
      </w:r>
      <w:r w:rsidR="00B819C2">
        <w:rPr>
          <w:rFonts w:ascii="Verdana" w:hAnsi="Verdana"/>
          <w:bCs/>
          <w:sz w:val="18"/>
          <w:szCs w:val="18"/>
        </w:rPr>
        <w:t xml:space="preserve">Zo zijn bij de implementatie van Bazel-III-standaarden enkele transitiemaatregelen geïntroduceerd voor banken, zoals </w:t>
      </w:r>
      <w:r w:rsidR="00C3361E">
        <w:rPr>
          <w:rFonts w:ascii="Verdana" w:hAnsi="Verdana"/>
          <w:bCs/>
          <w:sz w:val="18"/>
          <w:szCs w:val="18"/>
        </w:rPr>
        <w:t xml:space="preserve">het geleidelijk infaseren van </w:t>
      </w:r>
      <w:r w:rsidR="00B1491D">
        <w:rPr>
          <w:rFonts w:ascii="Verdana" w:hAnsi="Verdana"/>
          <w:bCs/>
          <w:sz w:val="18"/>
          <w:szCs w:val="18"/>
        </w:rPr>
        <w:t xml:space="preserve">“de </w:t>
      </w:r>
      <w:r w:rsidR="00B819C2">
        <w:rPr>
          <w:rFonts w:ascii="Verdana" w:hAnsi="Verdana"/>
          <w:bCs/>
          <w:sz w:val="18"/>
          <w:szCs w:val="18"/>
        </w:rPr>
        <w:t>outputvloer</w:t>
      </w:r>
      <w:r w:rsidR="00B1491D">
        <w:rPr>
          <w:rFonts w:ascii="Verdana" w:hAnsi="Verdana"/>
          <w:bCs/>
          <w:sz w:val="18"/>
          <w:szCs w:val="18"/>
        </w:rPr>
        <w:t>”</w:t>
      </w:r>
      <w:r w:rsidR="00B819C2">
        <w:rPr>
          <w:rStyle w:val="FootnoteReference"/>
          <w:rFonts w:ascii="Verdana" w:hAnsi="Verdana"/>
          <w:bCs/>
          <w:sz w:val="18"/>
          <w:szCs w:val="18"/>
        </w:rPr>
        <w:footnoteReference w:id="4"/>
      </w:r>
      <w:r w:rsidR="00B819C2">
        <w:rPr>
          <w:rFonts w:ascii="Verdana" w:hAnsi="Verdana"/>
          <w:bCs/>
          <w:sz w:val="18"/>
          <w:szCs w:val="18"/>
        </w:rPr>
        <w:t xml:space="preserve"> en </w:t>
      </w:r>
      <w:r w:rsidR="007E1134">
        <w:rPr>
          <w:rFonts w:ascii="Verdana" w:hAnsi="Verdana"/>
          <w:bCs/>
          <w:sz w:val="18"/>
          <w:szCs w:val="18"/>
        </w:rPr>
        <w:t xml:space="preserve">de toepassing van </w:t>
      </w:r>
      <w:r w:rsidR="00B819C2">
        <w:rPr>
          <w:rFonts w:ascii="Verdana" w:hAnsi="Verdana"/>
          <w:bCs/>
          <w:sz w:val="18"/>
          <w:szCs w:val="18"/>
        </w:rPr>
        <w:t>tijdelijk lagere risicogewichten voor leningen aan bedrijven zonder externe rating en laagrisicohypotheken.</w:t>
      </w:r>
      <w:r w:rsidR="002344B9">
        <w:rPr>
          <w:rFonts w:ascii="Verdana" w:hAnsi="Verdana"/>
          <w:bCs/>
          <w:sz w:val="18"/>
          <w:szCs w:val="18"/>
        </w:rPr>
        <w:t xml:space="preserve"> </w:t>
      </w:r>
      <w:r w:rsidR="00B819C2">
        <w:rPr>
          <w:rFonts w:ascii="Verdana" w:hAnsi="Verdana"/>
          <w:bCs/>
          <w:sz w:val="18"/>
          <w:szCs w:val="18"/>
        </w:rPr>
        <w:t xml:space="preserve">De Commissie gaat </w:t>
      </w:r>
      <w:r w:rsidR="00A45391">
        <w:rPr>
          <w:rFonts w:ascii="Verdana" w:hAnsi="Verdana"/>
          <w:bCs/>
          <w:sz w:val="18"/>
          <w:szCs w:val="18"/>
        </w:rPr>
        <w:t xml:space="preserve">met </w:t>
      </w:r>
      <w:r w:rsidR="00C629C3">
        <w:rPr>
          <w:rFonts w:ascii="Verdana" w:hAnsi="Verdana"/>
          <w:bCs/>
          <w:sz w:val="18"/>
          <w:szCs w:val="18"/>
        </w:rPr>
        <w:t xml:space="preserve">voorstellen </w:t>
      </w:r>
      <w:r w:rsidR="00A45391">
        <w:rPr>
          <w:rFonts w:ascii="Verdana" w:hAnsi="Verdana"/>
          <w:bCs/>
          <w:sz w:val="18"/>
          <w:szCs w:val="18"/>
        </w:rPr>
        <w:t xml:space="preserve">komen voor </w:t>
      </w:r>
      <w:r w:rsidR="00B819C2">
        <w:rPr>
          <w:rFonts w:ascii="Verdana" w:hAnsi="Verdana"/>
          <w:bCs/>
          <w:sz w:val="18"/>
          <w:szCs w:val="18"/>
        </w:rPr>
        <w:t>deze transitiemaatregelen</w:t>
      </w:r>
      <w:r w:rsidR="00A45391">
        <w:rPr>
          <w:rFonts w:ascii="Verdana" w:hAnsi="Verdana"/>
          <w:bCs/>
          <w:sz w:val="18"/>
          <w:szCs w:val="18"/>
        </w:rPr>
        <w:t>, die destijds bij invoering van Bazel</w:t>
      </w:r>
      <w:r w:rsidR="006D62AE">
        <w:rPr>
          <w:rFonts w:ascii="Verdana" w:hAnsi="Verdana"/>
          <w:bCs/>
          <w:sz w:val="18"/>
          <w:szCs w:val="18"/>
        </w:rPr>
        <w:t>-</w:t>
      </w:r>
      <w:r w:rsidR="00A45391">
        <w:rPr>
          <w:rFonts w:ascii="Verdana" w:hAnsi="Verdana"/>
          <w:bCs/>
          <w:sz w:val="18"/>
          <w:szCs w:val="18"/>
        </w:rPr>
        <w:t>III beoogden de overgang naar het raamwerk te vergemakkelijken</w:t>
      </w:r>
      <w:r w:rsidR="00C629C3">
        <w:rPr>
          <w:rFonts w:ascii="Verdana" w:hAnsi="Verdana"/>
          <w:bCs/>
          <w:sz w:val="18"/>
          <w:szCs w:val="18"/>
        </w:rPr>
        <w:t>.</w:t>
      </w:r>
      <w:r w:rsidR="00B819C2">
        <w:rPr>
          <w:rFonts w:ascii="Verdana" w:hAnsi="Verdana"/>
          <w:bCs/>
          <w:sz w:val="18"/>
          <w:szCs w:val="18"/>
        </w:rPr>
        <w:t xml:space="preserve"> </w:t>
      </w:r>
      <w:r w:rsidR="006B1088">
        <w:rPr>
          <w:rFonts w:ascii="Verdana" w:hAnsi="Verdana"/>
          <w:bCs/>
          <w:sz w:val="18"/>
          <w:szCs w:val="18"/>
        </w:rPr>
        <w:t>Daarnaast</w:t>
      </w:r>
      <w:r w:rsidR="00B819C2">
        <w:rPr>
          <w:rFonts w:ascii="Verdana" w:hAnsi="Verdana"/>
          <w:bCs/>
          <w:sz w:val="18"/>
          <w:szCs w:val="18"/>
        </w:rPr>
        <w:t xml:space="preserve"> gaat de Europese Commissie de prudentiële weging van verschillende gespecialiseerde vormen van financiering, zoals leningen voor handelsfinanciering en infrastructuur, evalueren en </w:t>
      </w:r>
      <w:r w:rsidR="00B202B0">
        <w:rPr>
          <w:rFonts w:ascii="Verdana" w:hAnsi="Verdana"/>
          <w:bCs/>
          <w:sz w:val="18"/>
          <w:szCs w:val="18"/>
        </w:rPr>
        <w:t xml:space="preserve">zal de Commissie </w:t>
      </w:r>
      <w:r w:rsidR="00B819C2">
        <w:rPr>
          <w:rFonts w:ascii="Verdana" w:hAnsi="Verdana"/>
          <w:bCs/>
          <w:sz w:val="18"/>
          <w:szCs w:val="18"/>
        </w:rPr>
        <w:t xml:space="preserve">een voorstel doen voor </w:t>
      </w:r>
      <w:r w:rsidR="00AB0595">
        <w:rPr>
          <w:rFonts w:ascii="Verdana" w:hAnsi="Verdana"/>
          <w:bCs/>
          <w:sz w:val="18"/>
          <w:szCs w:val="18"/>
        </w:rPr>
        <w:t xml:space="preserve">de prudentiële </w:t>
      </w:r>
      <w:r w:rsidR="00C629C3">
        <w:rPr>
          <w:rFonts w:ascii="Verdana" w:hAnsi="Verdana"/>
          <w:bCs/>
          <w:sz w:val="18"/>
          <w:szCs w:val="18"/>
        </w:rPr>
        <w:t xml:space="preserve">behandeling </w:t>
      </w:r>
      <w:r w:rsidR="00AB0595">
        <w:rPr>
          <w:rFonts w:ascii="Verdana" w:hAnsi="Verdana"/>
          <w:bCs/>
          <w:sz w:val="18"/>
          <w:szCs w:val="18"/>
        </w:rPr>
        <w:t>van investeringen in software</w:t>
      </w:r>
      <w:r w:rsidR="00C629C3">
        <w:rPr>
          <w:rFonts w:ascii="Verdana" w:hAnsi="Verdana"/>
          <w:bCs/>
          <w:sz w:val="18"/>
          <w:szCs w:val="18"/>
        </w:rPr>
        <w:t>, die nu van het kernkapitaal moeten worden afgetrokken</w:t>
      </w:r>
      <w:r w:rsidR="00B819C2">
        <w:rPr>
          <w:rFonts w:ascii="Verdana" w:hAnsi="Verdana"/>
          <w:bCs/>
          <w:sz w:val="18"/>
          <w:szCs w:val="18"/>
        </w:rPr>
        <w:t>.</w:t>
      </w:r>
      <w:r w:rsidR="003C7901">
        <w:rPr>
          <w:rFonts w:ascii="Verdana" w:hAnsi="Verdana"/>
          <w:bCs/>
          <w:sz w:val="18"/>
          <w:szCs w:val="18"/>
        </w:rPr>
        <w:t xml:space="preserve"> </w:t>
      </w:r>
      <w:r w:rsidR="006B1088">
        <w:rPr>
          <w:rFonts w:ascii="Verdana" w:hAnsi="Verdana"/>
          <w:bCs/>
          <w:sz w:val="18"/>
          <w:szCs w:val="18"/>
        </w:rPr>
        <w:t>Met het oog op het belang van voldoende talent in de bankensector, zal d</w:t>
      </w:r>
      <w:r w:rsidR="003C7901">
        <w:rPr>
          <w:rFonts w:ascii="Verdana" w:hAnsi="Verdana"/>
          <w:bCs/>
          <w:sz w:val="18"/>
          <w:szCs w:val="18"/>
        </w:rPr>
        <w:t>e Commissie ook mogelijke aanpassingen in kaart brengen omtrent beloningen in de bankensector.</w:t>
      </w:r>
      <w:r w:rsidR="00960AB1">
        <w:rPr>
          <w:rFonts w:ascii="Verdana" w:hAnsi="Verdana"/>
          <w:bCs/>
          <w:sz w:val="18"/>
          <w:szCs w:val="18"/>
        </w:rPr>
        <w:t xml:space="preserve"> De Commissie wil </w:t>
      </w:r>
      <w:r w:rsidR="006B1088">
        <w:rPr>
          <w:rFonts w:ascii="Verdana" w:hAnsi="Verdana"/>
          <w:bCs/>
          <w:sz w:val="18"/>
          <w:szCs w:val="18"/>
        </w:rPr>
        <w:t>daarnaast een voorstel doen voor een regime voor</w:t>
      </w:r>
      <w:r w:rsidR="00960AB1">
        <w:rPr>
          <w:rFonts w:ascii="Verdana" w:hAnsi="Verdana"/>
          <w:bCs/>
          <w:sz w:val="18"/>
          <w:szCs w:val="18"/>
        </w:rPr>
        <w:t xml:space="preserve"> kleine en minder</w:t>
      </w:r>
      <w:r w:rsidR="006B1088">
        <w:rPr>
          <w:rFonts w:ascii="Verdana" w:hAnsi="Verdana"/>
          <w:bCs/>
          <w:sz w:val="18"/>
          <w:szCs w:val="18"/>
        </w:rPr>
        <w:t xml:space="preserve"> </w:t>
      </w:r>
      <w:r w:rsidR="00960AB1">
        <w:rPr>
          <w:rFonts w:ascii="Verdana" w:hAnsi="Verdana"/>
          <w:bCs/>
          <w:sz w:val="18"/>
          <w:szCs w:val="18"/>
        </w:rPr>
        <w:t xml:space="preserve">significante banken, mogelijk </w:t>
      </w:r>
      <w:r w:rsidR="006B1088">
        <w:rPr>
          <w:rFonts w:ascii="Verdana" w:hAnsi="Verdana"/>
          <w:bCs/>
          <w:sz w:val="18"/>
          <w:szCs w:val="18"/>
        </w:rPr>
        <w:t>door</w:t>
      </w:r>
      <w:r w:rsidR="00960AB1">
        <w:rPr>
          <w:rFonts w:ascii="Verdana" w:hAnsi="Verdana"/>
          <w:bCs/>
          <w:sz w:val="18"/>
          <w:szCs w:val="18"/>
        </w:rPr>
        <w:t xml:space="preserve"> aanpassing van het bestaande </w:t>
      </w:r>
      <w:r w:rsidR="006B1088">
        <w:rPr>
          <w:rFonts w:ascii="Verdana" w:hAnsi="Verdana"/>
          <w:bCs/>
          <w:sz w:val="18"/>
          <w:szCs w:val="18"/>
        </w:rPr>
        <w:t>kader voor kleine en niet-significante banken</w:t>
      </w:r>
      <w:r w:rsidR="00960AB1">
        <w:rPr>
          <w:rFonts w:ascii="Verdana" w:hAnsi="Verdana"/>
          <w:bCs/>
          <w:sz w:val="18"/>
          <w:szCs w:val="18"/>
        </w:rPr>
        <w:t xml:space="preserve">. Binnen dit </w:t>
      </w:r>
      <w:r w:rsidR="006B1088">
        <w:rPr>
          <w:rFonts w:ascii="Verdana" w:hAnsi="Verdana"/>
          <w:bCs/>
          <w:sz w:val="18"/>
          <w:szCs w:val="18"/>
        </w:rPr>
        <w:t xml:space="preserve">nieuwe </w:t>
      </w:r>
      <w:r w:rsidR="00960AB1">
        <w:rPr>
          <w:rFonts w:ascii="Verdana" w:hAnsi="Verdana"/>
          <w:bCs/>
          <w:sz w:val="18"/>
          <w:szCs w:val="18"/>
        </w:rPr>
        <w:t xml:space="preserve">kader </w:t>
      </w:r>
      <w:r w:rsidR="006B1088">
        <w:rPr>
          <w:rFonts w:ascii="Verdana" w:hAnsi="Verdana"/>
          <w:bCs/>
          <w:sz w:val="18"/>
          <w:szCs w:val="18"/>
        </w:rPr>
        <w:t>moet</w:t>
      </w:r>
      <w:r w:rsidR="00960AB1">
        <w:rPr>
          <w:rFonts w:ascii="Verdana" w:hAnsi="Verdana"/>
          <w:bCs/>
          <w:sz w:val="18"/>
          <w:szCs w:val="18"/>
        </w:rPr>
        <w:t xml:space="preserve"> een kleiner aantal aangepaste en simpelere eisen gelden, bijvoorbeeld t.a.v. (macro)prudentiële eisen. Ook zal de Commissie in gesprek blijven met Europese toezichthouders over proportionaliteit in het toezicht.</w:t>
      </w:r>
      <w:r w:rsidR="002344B9">
        <w:rPr>
          <w:rFonts w:ascii="Verdana" w:hAnsi="Verdana"/>
          <w:bCs/>
          <w:sz w:val="18"/>
          <w:szCs w:val="18"/>
        </w:rPr>
        <w:t xml:space="preserve"> </w:t>
      </w:r>
      <w:r w:rsidR="00960AB1">
        <w:rPr>
          <w:rFonts w:ascii="Verdana" w:hAnsi="Verdana"/>
          <w:bCs/>
          <w:sz w:val="18"/>
          <w:szCs w:val="18"/>
        </w:rPr>
        <w:t>Tenslotte zal de Europese Commissie gerichte wijzigingen doorvoeren in het prudentiële raamwerk voor beleggingsondernemingen.</w:t>
      </w:r>
      <w:r w:rsidR="00C222CC">
        <w:rPr>
          <w:rFonts w:ascii="Verdana" w:hAnsi="Verdana"/>
          <w:bCs/>
          <w:sz w:val="18"/>
          <w:szCs w:val="18"/>
        </w:rPr>
        <w:t xml:space="preserve"> </w:t>
      </w:r>
    </w:p>
    <w:p w:rsidR="00175B16" w:rsidP="006012D0" w:rsidRDefault="00175B16" w14:paraId="0222B201" w14:textId="77777777">
      <w:pPr>
        <w:spacing w:line="360" w:lineRule="auto"/>
        <w:rPr>
          <w:rFonts w:ascii="Verdana" w:hAnsi="Verdana"/>
          <w:bCs/>
          <w:sz w:val="18"/>
          <w:szCs w:val="18"/>
        </w:rPr>
      </w:pPr>
    </w:p>
    <w:p w:rsidR="006E69AE" w:rsidP="00293584" w:rsidRDefault="00293584" w14:paraId="5A09F3D4" w14:textId="71770F5A">
      <w:pPr>
        <w:spacing w:line="360" w:lineRule="auto"/>
        <w:rPr>
          <w:rFonts w:ascii="Verdana" w:hAnsi="Verdana"/>
          <w:bCs/>
          <w:sz w:val="18"/>
          <w:szCs w:val="18"/>
        </w:rPr>
      </w:pPr>
      <w:r>
        <w:rPr>
          <w:rFonts w:ascii="Verdana" w:hAnsi="Verdana"/>
          <w:bCs/>
          <w:sz w:val="18"/>
          <w:szCs w:val="18"/>
        </w:rPr>
        <w:t xml:space="preserve">De derde uitdaging </w:t>
      </w:r>
      <w:r w:rsidR="00C3361E">
        <w:rPr>
          <w:rFonts w:ascii="Verdana" w:hAnsi="Verdana"/>
          <w:bCs/>
          <w:sz w:val="18"/>
          <w:szCs w:val="18"/>
        </w:rPr>
        <w:t xml:space="preserve">die de Commissie identificeert </w:t>
      </w:r>
      <w:r>
        <w:rPr>
          <w:rFonts w:ascii="Verdana" w:hAnsi="Verdana"/>
          <w:bCs/>
          <w:sz w:val="18"/>
          <w:szCs w:val="18"/>
        </w:rPr>
        <w:t>is de complexiteit van het regelgevend kader.</w:t>
      </w:r>
      <w:r w:rsidR="002F69BB">
        <w:rPr>
          <w:rFonts w:ascii="Verdana" w:hAnsi="Verdana"/>
          <w:bCs/>
          <w:sz w:val="18"/>
          <w:szCs w:val="18"/>
        </w:rPr>
        <w:t xml:space="preserve"> Dit heeft verschillende oorzaken.</w:t>
      </w:r>
      <w:r>
        <w:rPr>
          <w:rFonts w:ascii="Verdana" w:hAnsi="Verdana"/>
          <w:bCs/>
          <w:sz w:val="18"/>
          <w:szCs w:val="18"/>
        </w:rPr>
        <w:t xml:space="preserve"> Ten eerste bestaat het regelgevend kader uit verschillende lagen</w:t>
      </w:r>
      <w:r w:rsidR="002F69BB">
        <w:rPr>
          <w:rFonts w:ascii="Verdana" w:hAnsi="Verdana"/>
          <w:bCs/>
          <w:sz w:val="18"/>
          <w:szCs w:val="18"/>
        </w:rPr>
        <w:t>, zoals verordeningen, technische standaarden en nationale implementatie van Europese regels door individuele lidstaten</w:t>
      </w:r>
      <w:r>
        <w:rPr>
          <w:rFonts w:ascii="Verdana" w:hAnsi="Verdana"/>
          <w:bCs/>
          <w:sz w:val="18"/>
          <w:szCs w:val="18"/>
        </w:rPr>
        <w:t xml:space="preserve">. </w:t>
      </w:r>
      <w:r w:rsidR="00B1491D">
        <w:rPr>
          <w:rFonts w:ascii="Verdana" w:hAnsi="Verdana"/>
          <w:bCs/>
          <w:sz w:val="18"/>
          <w:szCs w:val="18"/>
        </w:rPr>
        <w:t xml:space="preserve">Tezamen </w:t>
      </w:r>
      <w:r>
        <w:rPr>
          <w:rFonts w:ascii="Verdana" w:hAnsi="Verdana"/>
          <w:bCs/>
          <w:sz w:val="18"/>
          <w:szCs w:val="18"/>
        </w:rPr>
        <w:t>leidt</w:t>
      </w:r>
      <w:r w:rsidR="00B1491D">
        <w:rPr>
          <w:rFonts w:ascii="Verdana" w:hAnsi="Verdana"/>
          <w:bCs/>
          <w:sz w:val="18"/>
          <w:szCs w:val="18"/>
        </w:rPr>
        <w:t xml:space="preserve"> dit</w:t>
      </w:r>
      <w:r>
        <w:rPr>
          <w:rFonts w:ascii="Verdana" w:hAnsi="Verdana"/>
          <w:bCs/>
          <w:sz w:val="18"/>
          <w:szCs w:val="18"/>
        </w:rPr>
        <w:t xml:space="preserve"> tot een complex systeem van regels met een hoog detailniveau. Ten tweede </w:t>
      </w:r>
      <w:r w:rsidR="002F69BB">
        <w:rPr>
          <w:rFonts w:ascii="Verdana" w:hAnsi="Verdana"/>
          <w:bCs/>
          <w:sz w:val="18"/>
          <w:szCs w:val="18"/>
        </w:rPr>
        <w:t xml:space="preserve">kunnen </w:t>
      </w:r>
      <w:r>
        <w:rPr>
          <w:rFonts w:ascii="Verdana" w:hAnsi="Verdana"/>
          <w:bCs/>
          <w:sz w:val="18"/>
          <w:szCs w:val="18"/>
        </w:rPr>
        <w:t>de rapportageverplichtingen</w:t>
      </w:r>
      <w:r w:rsidR="00B1491D">
        <w:rPr>
          <w:rFonts w:ascii="Verdana" w:hAnsi="Verdana"/>
          <w:bCs/>
          <w:sz w:val="18"/>
          <w:szCs w:val="18"/>
        </w:rPr>
        <w:t xml:space="preserve"> voor banken</w:t>
      </w:r>
      <w:r>
        <w:rPr>
          <w:rFonts w:ascii="Verdana" w:hAnsi="Verdana"/>
          <w:bCs/>
          <w:sz w:val="18"/>
          <w:szCs w:val="18"/>
        </w:rPr>
        <w:t xml:space="preserve"> belastend of</w:t>
      </w:r>
      <w:r w:rsidR="002F69BB">
        <w:rPr>
          <w:rFonts w:ascii="Verdana" w:hAnsi="Verdana"/>
          <w:bCs/>
          <w:sz w:val="18"/>
          <w:szCs w:val="18"/>
        </w:rPr>
        <w:t xml:space="preserve"> </w:t>
      </w:r>
      <w:r>
        <w:rPr>
          <w:rFonts w:ascii="Verdana" w:hAnsi="Verdana"/>
          <w:bCs/>
          <w:sz w:val="18"/>
          <w:szCs w:val="18"/>
        </w:rPr>
        <w:t>dubbelop</w:t>
      </w:r>
      <w:r w:rsidR="002F69BB">
        <w:rPr>
          <w:rFonts w:ascii="Verdana" w:hAnsi="Verdana"/>
          <w:bCs/>
          <w:sz w:val="18"/>
          <w:szCs w:val="18"/>
        </w:rPr>
        <w:t xml:space="preserve"> zijn</w:t>
      </w:r>
      <w:r>
        <w:rPr>
          <w:rFonts w:ascii="Verdana" w:hAnsi="Verdana"/>
          <w:bCs/>
          <w:sz w:val="18"/>
          <w:szCs w:val="18"/>
        </w:rPr>
        <w:t xml:space="preserve">. Verder vonden hervormingen van regels de afgelopen jaren vaak op deelonderwerpen plaats, waardoor er </w:t>
      </w:r>
      <w:r w:rsidR="009352DE">
        <w:rPr>
          <w:rFonts w:ascii="Verdana" w:hAnsi="Verdana"/>
          <w:bCs/>
          <w:sz w:val="18"/>
          <w:szCs w:val="18"/>
        </w:rPr>
        <w:t xml:space="preserve">te weinig </w:t>
      </w:r>
      <w:r>
        <w:rPr>
          <w:rFonts w:ascii="Verdana" w:hAnsi="Verdana"/>
          <w:bCs/>
          <w:sz w:val="18"/>
          <w:szCs w:val="18"/>
        </w:rPr>
        <w:t>aandacht was voor raakvlakken en interactie tussen die onderwerpen.</w:t>
      </w:r>
      <w:r w:rsidR="00125A1D">
        <w:rPr>
          <w:rStyle w:val="FootnoteReference"/>
          <w:rFonts w:ascii="Verdana" w:hAnsi="Verdana"/>
          <w:bCs/>
          <w:sz w:val="18"/>
          <w:szCs w:val="18"/>
        </w:rPr>
        <w:footnoteReference w:id="5"/>
      </w:r>
      <w:r>
        <w:rPr>
          <w:rFonts w:ascii="Verdana" w:hAnsi="Verdana"/>
          <w:bCs/>
          <w:sz w:val="18"/>
          <w:szCs w:val="18"/>
        </w:rPr>
        <w:t xml:space="preserve"> Ten </w:t>
      </w:r>
      <w:r>
        <w:rPr>
          <w:rFonts w:ascii="Verdana" w:hAnsi="Verdana"/>
          <w:bCs/>
          <w:sz w:val="18"/>
          <w:szCs w:val="18"/>
        </w:rPr>
        <w:lastRenderedPageBreak/>
        <w:t>vierde zijn meerdere nationale en Europese toezichthoudende autoriteiten betrokken bij de implementatie van regels</w:t>
      </w:r>
      <w:r w:rsidR="00B1491D">
        <w:rPr>
          <w:rFonts w:ascii="Verdana" w:hAnsi="Verdana"/>
          <w:bCs/>
          <w:sz w:val="18"/>
          <w:szCs w:val="18"/>
        </w:rPr>
        <w:t>, waarbij er onvoldoende zorg wordt gedragen voor samenhang</w:t>
      </w:r>
      <w:r>
        <w:rPr>
          <w:rFonts w:ascii="Verdana" w:hAnsi="Verdana"/>
          <w:bCs/>
          <w:sz w:val="18"/>
          <w:szCs w:val="18"/>
        </w:rPr>
        <w:t xml:space="preserve">. De Europese Commissie gaat daarom voorstellen doen om de overlap en inconsistentie tussen regels te verminderen en de proportionaliteit van rapportageverplichtingen te verbeteren. </w:t>
      </w:r>
    </w:p>
    <w:p w:rsidR="006E69AE" w:rsidP="00293584" w:rsidRDefault="006E69AE" w14:paraId="405FA374" w14:textId="77777777">
      <w:pPr>
        <w:spacing w:line="360" w:lineRule="auto"/>
        <w:rPr>
          <w:rFonts w:ascii="Verdana" w:hAnsi="Verdana"/>
          <w:bCs/>
          <w:sz w:val="18"/>
          <w:szCs w:val="18"/>
        </w:rPr>
      </w:pPr>
    </w:p>
    <w:p w:rsidRPr="00DA1235" w:rsidR="00293584" w:rsidP="00293584" w:rsidRDefault="00293584" w14:paraId="05654817" w14:textId="0CEEF0E8">
      <w:pPr>
        <w:spacing w:line="360" w:lineRule="auto"/>
        <w:rPr>
          <w:rFonts w:ascii="Verdana" w:hAnsi="Verdana"/>
          <w:bCs/>
          <w:sz w:val="18"/>
          <w:szCs w:val="18"/>
        </w:rPr>
      </w:pPr>
      <w:r>
        <w:rPr>
          <w:rFonts w:ascii="Verdana" w:hAnsi="Verdana"/>
          <w:bCs/>
          <w:sz w:val="18"/>
          <w:szCs w:val="18"/>
        </w:rPr>
        <w:t xml:space="preserve">Concreet denkt de Commissie aan vijf terreinen waarop versimpeling </w:t>
      </w:r>
      <w:r w:rsidR="006D648E">
        <w:rPr>
          <w:rFonts w:ascii="Verdana" w:hAnsi="Verdana"/>
          <w:bCs/>
          <w:sz w:val="18"/>
          <w:szCs w:val="18"/>
        </w:rPr>
        <w:t xml:space="preserve">door aanpassing van Europese wetgeving </w:t>
      </w:r>
      <w:r>
        <w:rPr>
          <w:rFonts w:ascii="Verdana" w:hAnsi="Verdana"/>
          <w:bCs/>
          <w:sz w:val="18"/>
          <w:szCs w:val="18"/>
        </w:rPr>
        <w:t>mogelijk is: microprudentiële regels, resolutie-bepalingen, macroprudentiële regels, de interactie tussen deze regels en rapportageverplichtingen. Voor microprudentiële regels noemt de Commissie</w:t>
      </w:r>
      <w:r w:rsidR="00B42D5E">
        <w:rPr>
          <w:rFonts w:ascii="Verdana" w:hAnsi="Verdana"/>
          <w:bCs/>
          <w:sz w:val="18"/>
          <w:szCs w:val="18"/>
        </w:rPr>
        <w:t xml:space="preserve"> dat banken onduidelijkheid ervaren hoe bankspecifieke kapitaaleisen worden berekend </w:t>
      </w:r>
      <w:r w:rsidR="000109B3">
        <w:rPr>
          <w:rFonts w:ascii="Verdana" w:hAnsi="Verdana"/>
          <w:bCs/>
          <w:sz w:val="18"/>
          <w:szCs w:val="18"/>
        </w:rPr>
        <w:t xml:space="preserve">door de toezichthouder </w:t>
      </w:r>
      <w:r w:rsidR="00B42D5E">
        <w:rPr>
          <w:rFonts w:ascii="Verdana" w:hAnsi="Verdana"/>
          <w:bCs/>
          <w:sz w:val="18"/>
          <w:szCs w:val="18"/>
        </w:rPr>
        <w:t xml:space="preserve">en dat zij zorgen hebben over de overlap met andere eisen. </w:t>
      </w:r>
      <w:r>
        <w:rPr>
          <w:rFonts w:ascii="Verdana" w:hAnsi="Verdana"/>
          <w:bCs/>
          <w:sz w:val="18"/>
          <w:szCs w:val="18"/>
        </w:rPr>
        <w:t xml:space="preserve">De Commissie </w:t>
      </w:r>
      <w:r w:rsidR="00B1491D">
        <w:rPr>
          <w:rFonts w:ascii="Verdana" w:hAnsi="Verdana"/>
          <w:bCs/>
          <w:sz w:val="18"/>
          <w:szCs w:val="18"/>
        </w:rPr>
        <w:t xml:space="preserve">kondigt aan </w:t>
      </w:r>
      <w:r>
        <w:rPr>
          <w:rFonts w:ascii="Verdana" w:hAnsi="Verdana"/>
          <w:bCs/>
          <w:sz w:val="18"/>
          <w:szCs w:val="18"/>
        </w:rPr>
        <w:t>met voorstellen</w:t>
      </w:r>
      <w:r w:rsidR="00B1491D">
        <w:rPr>
          <w:rFonts w:ascii="Verdana" w:hAnsi="Verdana"/>
          <w:bCs/>
          <w:sz w:val="18"/>
          <w:szCs w:val="18"/>
        </w:rPr>
        <w:t xml:space="preserve"> te zullen komen</w:t>
      </w:r>
      <w:r>
        <w:rPr>
          <w:rFonts w:ascii="Verdana" w:hAnsi="Verdana"/>
          <w:bCs/>
          <w:sz w:val="18"/>
          <w:szCs w:val="18"/>
        </w:rPr>
        <w:t xml:space="preserve"> om </w:t>
      </w:r>
      <w:r w:rsidR="000109B3">
        <w:rPr>
          <w:rFonts w:ascii="Verdana" w:hAnsi="Verdana"/>
          <w:bCs/>
          <w:sz w:val="18"/>
          <w:szCs w:val="18"/>
        </w:rPr>
        <w:t>deze onduidelijkheid weg te nemen</w:t>
      </w:r>
      <w:r w:rsidR="00C3361E">
        <w:rPr>
          <w:rFonts w:ascii="Verdana" w:hAnsi="Verdana"/>
          <w:bCs/>
          <w:sz w:val="18"/>
          <w:szCs w:val="18"/>
        </w:rPr>
        <w:t xml:space="preserve"> en om </w:t>
      </w:r>
      <w:r w:rsidR="000109B3">
        <w:rPr>
          <w:rFonts w:ascii="Verdana" w:hAnsi="Verdana"/>
          <w:bCs/>
          <w:sz w:val="18"/>
          <w:szCs w:val="18"/>
        </w:rPr>
        <w:t xml:space="preserve">de toezichthouder de mogelijkheid te ontnemen om </w:t>
      </w:r>
      <w:r w:rsidR="00C3361E">
        <w:rPr>
          <w:rFonts w:ascii="Verdana" w:hAnsi="Verdana"/>
          <w:bCs/>
          <w:sz w:val="18"/>
          <w:szCs w:val="18"/>
        </w:rPr>
        <w:t xml:space="preserve">bankspecifieke verhogingen van de </w:t>
      </w:r>
      <w:r w:rsidRPr="007E1134" w:rsidR="00C3361E">
        <w:rPr>
          <w:rFonts w:ascii="Verdana" w:hAnsi="Verdana"/>
          <w:bCs/>
          <w:i/>
          <w:iCs/>
          <w:sz w:val="18"/>
          <w:szCs w:val="18"/>
        </w:rPr>
        <w:t>leverage ratio</w:t>
      </w:r>
      <w:r w:rsidR="00C3361E">
        <w:rPr>
          <w:rFonts w:ascii="Verdana" w:hAnsi="Verdana"/>
          <w:bCs/>
          <w:sz w:val="18"/>
          <w:szCs w:val="18"/>
        </w:rPr>
        <w:t xml:space="preserve"> te kunnen opleggen</w:t>
      </w:r>
      <w:r>
        <w:rPr>
          <w:rFonts w:ascii="Verdana" w:hAnsi="Verdana"/>
          <w:bCs/>
          <w:sz w:val="18"/>
          <w:szCs w:val="18"/>
        </w:rPr>
        <w:t>.</w:t>
      </w:r>
      <w:r w:rsidR="007E1134">
        <w:rPr>
          <w:rStyle w:val="FootnoteReference"/>
          <w:rFonts w:ascii="Verdana" w:hAnsi="Verdana"/>
          <w:bCs/>
          <w:sz w:val="18"/>
          <w:szCs w:val="18"/>
        </w:rPr>
        <w:footnoteReference w:id="6"/>
      </w:r>
      <w:r>
        <w:rPr>
          <w:rFonts w:ascii="Verdana" w:hAnsi="Verdana"/>
          <w:bCs/>
          <w:sz w:val="18"/>
          <w:szCs w:val="18"/>
        </w:rPr>
        <w:t xml:space="preserve"> Verder </w:t>
      </w:r>
      <w:r w:rsidR="00B1491D">
        <w:rPr>
          <w:rFonts w:ascii="Verdana" w:hAnsi="Verdana"/>
          <w:bCs/>
          <w:sz w:val="18"/>
          <w:szCs w:val="18"/>
        </w:rPr>
        <w:t xml:space="preserve">kondigt </w:t>
      </w:r>
      <w:r>
        <w:rPr>
          <w:rFonts w:ascii="Verdana" w:hAnsi="Verdana"/>
          <w:bCs/>
          <w:sz w:val="18"/>
          <w:szCs w:val="18"/>
        </w:rPr>
        <w:t xml:space="preserve">de Commissie </w:t>
      </w:r>
      <w:r w:rsidR="00B1491D">
        <w:rPr>
          <w:rFonts w:ascii="Verdana" w:hAnsi="Verdana"/>
          <w:bCs/>
          <w:sz w:val="18"/>
          <w:szCs w:val="18"/>
        </w:rPr>
        <w:t xml:space="preserve">aan </w:t>
      </w:r>
      <w:r>
        <w:rPr>
          <w:rFonts w:ascii="Verdana" w:hAnsi="Verdana"/>
          <w:bCs/>
          <w:sz w:val="18"/>
          <w:szCs w:val="18"/>
        </w:rPr>
        <w:t>het resolutieraamwerk</w:t>
      </w:r>
      <w:r w:rsidR="002D76C4">
        <w:rPr>
          <w:rFonts w:ascii="Verdana" w:hAnsi="Verdana"/>
          <w:bCs/>
          <w:sz w:val="18"/>
          <w:szCs w:val="18"/>
        </w:rPr>
        <w:t xml:space="preserve"> rondom</w:t>
      </w:r>
      <w:r w:rsidRPr="00C56474" w:rsidR="00C56474">
        <w:t xml:space="preserve"> </w:t>
      </w:r>
      <w:r w:rsidRPr="006E69AE" w:rsidR="00C56474">
        <w:rPr>
          <w:rFonts w:ascii="Verdana" w:hAnsi="Verdana"/>
          <w:bCs/>
          <w:i/>
          <w:iCs/>
          <w:sz w:val="18"/>
          <w:szCs w:val="18"/>
        </w:rPr>
        <w:t xml:space="preserve">Minimum </w:t>
      </w:r>
      <w:proofErr w:type="spellStart"/>
      <w:r w:rsidRPr="006E69AE" w:rsidR="00C56474">
        <w:rPr>
          <w:rFonts w:ascii="Verdana" w:hAnsi="Verdana"/>
          <w:bCs/>
          <w:i/>
          <w:iCs/>
          <w:sz w:val="18"/>
          <w:szCs w:val="18"/>
        </w:rPr>
        <w:t>Requirements</w:t>
      </w:r>
      <w:proofErr w:type="spellEnd"/>
      <w:r w:rsidRPr="006E69AE" w:rsidR="00C56474">
        <w:rPr>
          <w:rFonts w:ascii="Verdana" w:hAnsi="Verdana"/>
          <w:bCs/>
          <w:i/>
          <w:iCs/>
          <w:sz w:val="18"/>
          <w:szCs w:val="18"/>
        </w:rPr>
        <w:t xml:space="preserve"> </w:t>
      </w:r>
      <w:proofErr w:type="spellStart"/>
      <w:r w:rsidRPr="006E69AE" w:rsidR="00C56474">
        <w:rPr>
          <w:rFonts w:ascii="Verdana" w:hAnsi="Verdana"/>
          <w:bCs/>
          <w:i/>
          <w:iCs/>
          <w:sz w:val="18"/>
          <w:szCs w:val="18"/>
        </w:rPr>
        <w:t>for</w:t>
      </w:r>
      <w:proofErr w:type="spellEnd"/>
      <w:r w:rsidRPr="006E69AE" w:rsidR="00C56474">
        <w:rPr>
          <w:rFonts w:ascii="Verdana" w:hAnsi="Verdana"/>
          <w:bCs/>
          <w:i/>
          <w:iCs/>
          <w:sz w:val="18"/>
          <w:szCs w:val="18"/>
        </w:rPr>
        <w:t xml:space="preserve"> </w:t>
      </w:r>
      <w:proofErr w:type="spellStart"/>
      <w:r w:rsidRPr="006E69AE" w:rsidR="00C56474">
        <w:rPr>
          <w:rFonts w:ascii="Verdana" w:hAnsi="Verdana"/>
          <w:bCs/>
          <w:i/>
          <w:iCs/>
          <w:sz w:val="18"/>
          <w:szCs w:val="18"/>
        </w:rPr>
        <w:t>Own</w:t>
      </w:r>
      <w:proofErr w:type="spellEnd"/>
      <w:r w:rsidRPr="006E69AE" w:rsidR="00C56474">
        <w:rPr>
          <w:rFonts w:ascii="Verdana" w:hAnsi="Verdana"/>
          <w:bCs/>
          <w:i/>
          <w:iCs/>
          <w:sz w:val="18"/>
          <w:szCs w:val="18"/>
        </w:rPr>
        <w:t xml:space="preserve"> Funds </w:t>
      </w:r>
      <w:proofErr w:type="spellStart"/>
      <w:r w:rsidRPr="006E69AE" w:rsidR="00C56474">
        <w:rPr>
          <w:rFonts w:ascii="Verdana" w:hAnsi="Verdana"/>
          <w:bCs/>
          <w:i/>
          <w:iCs/>
          <w:sz w:val="18"/>
          <w:szCs w:val="18"/>
        </w:rPr>
        <w:t>and</w:t>
      </w:r>
      <w:proofErr w:type="spellEnd"/>
      <w:r w:rsidRPr="006E69AE" w:rsidR="00C56474">
        <w:rPr>
          <w:rFonts w:ascii="Verdana" w:hAnsi="Verdana"/>
          <w:bCs/>
          <w:i/>
          <w:iCs/>
          <w:sz w:val="18"/>
          <w:szCs w:val="18"/>
        </w:rPr>
        <w:t xml:space="preserve"> </w:t>
      </w:r>
      <w:proofErr w:type="spellStart"/>
      <w:r w:rsidRPr="006E69AE" w:rsidR="00C56474">
        <w:rPr>
          <w:rFonts w:ascii="Verdana" w:hAnsi="Verdana"/>
          <w:bCs/>
          <w:i/>
          <w:iCs/>
          <w:sz w:val="18"/>
          <w:szCs w:val="18"/>
        </w:rPr>
        <w:t>Eligible</w:t>
      </w:r>
      <w:proofErr w:type="spellEnd"/>
      <w:r w:rsidRPr="006E69AE" w:rsidR="00C56474">
        <w:rPr>
          <w:rFonts w:ascii="Verdana" w:hAnsi="Verdana"/>
          <w:bCs/>
          <w:i/>
          <w:iCs/>
          <w:sz w:val="18"/>
          <w:szCs w:val="18"/>
        </w:rPr>
        <w:t xml:space="preserve"> </w:t>
      </w:r>
      <w:proofErr w:type="spellStart"/>
      <w:r w:rsidRPr="006E69AE" w:rsidR="00C56474">
        <w:rPr>
          <w:rFonts w:ascii="Verdana" w:hAnsi="Verdana"/>
          <w:bCs/>
          <w:i/>
          <w:iCs/>
          <w:sz w:val="18"/>
          <w:szCs w:val="18"/>
        </w:rPr>
        <w:t>Liabilities</w:t>
      </w:r>
      <w:proofErr w:type="spellEnd"/>
      <w:r w:rsidR="00C56474">
        <w:rPr>
          <w:rFonts w:ascii="Verdana" w:hAnsi="Verdana"/>
          <w:bCs/>
          <w:sz w:val="18"/>
          <w:szCs w:val="18"/>
        </w:rPr>
        <w:t xml:space="preserve"> (</w:t>
      </w:r>
      <w:r w:rsidRPr="00C56474" w:rsidR="00C56474">
        <w:rPr>
          <w:rFonts w:ascii="Verdana" w:hAnsi="Verdana"/>
          <w:bCs/>
          <w:sz w:val="18"/>
          <w:szCs w:val="18"/>
        </w:rPr>
        <w:t>MREL</w:t>
      </w:r>
      <w:r w:rsidR="00C56474">
        <w:rPr>
          <w:rFonts w:ascii="Verdana" w:hAnsi="Verdana"/>
          <w:bCs/>
          <w:sz w:val="18"/>
          <w:szCs w:val="18"/>
        </w:rPr>
        <w:t>)</w:t>
      </w:r>
      <w:r w:rsidR="00B42D5E">
        <w:rPr>
          <w:rStyle w:val="FootnoteReference"/>
          <w:rFonts w:ascii="Verdana" w:hAnsi="Verdana"/>
          <w:bCs/>
          <w:sz w:val="18"/>
          <w:szCs w:val="18"/>
        </w:rPr>
        <w:footnoteReference w:id="7"/>
      </w:r>
      <w:r>
        <w:rPr>
          <w:rFonts w:ascii="Verdana" w:hAnsi="Verdana"/>
          <w:bCs/>
          <w:sz w:val="18"/>
          <w:szCs w:val="18"/>
        </w:rPr>
        <w:t xml:space="preserve"> te</w:t>
      </w:r>
      <w:r w:rsidR="00B1491D">
        <w:rPr>
          <w:rFonts w:ascii="Verdana" w:hAnsi="Verdana"/>
          <w:bCs/>
          <w:sz w:val="18"/>
          <w:szCs w:val="18"/>
        </w:rPr>
        <w:t xml:space="preserve"> willen</w:t>
      </w:r>
      <w:r>
        <w:rPr>
          <w:rFonts w:ascii="Verdana" w:hAnsi="Verdana"/>
          <w:bCs/>
          <w:sz w:val="18"/>
          <w:szCs w:val="18"/>
        </w:rPr>
        <w:t xml:space="preserve"> herzien, zodat </w:t>
      </w:r>
      <w:r w:rsidR="00B1491D">
        <w:rPr>
          <w:rFonts w:ascii="Verdana" w:hAnsi="Verdana"/>
          <w:bCs/>
          <w:sz w:val="18"/>
          <w:szCs w:val="18"/>
        </w:rPr>
        <w:t xml:space="preserve">dit </w:t>
      </w:r>
      <w:r>
        <w:rPr>
          <w:rFonts w:ascii="Verdana" w:hAnsi="Verdana"/>
          <w:bCs/>
          <w:sz w:val="18"/>
          <w:szCs w:val="18"/>
        </w:rPr>
        <w:t xml:space="preserve">meer in lijn </w:t>
      </w:r>
      <w:r w:rsidR="00B1491D">
        <w:rPr>
          <w:rFonts w:ascii="Verdana" w:hAnsi="Verdana"/>
          <w:bCs/>
          <w:sz w:val="18"/>
          <w:szCs w:val="18"/>
        </w:rPr>
        <w:t xml:space="preserve">wordt gebracht </w:t>
      </w:r>
      <w:r>
        <w:rPr>
          <w:rFonts w:ascii="Verdana" w:hAnsi="Verdana"/>
          <w:bCs/>
          <w:sz w:val="18"/>
          <w:szCs w:val="18"/>
        </w:rPr>
        <w:t>met internationale standaarde</w:t>
      </w:r>
      <w:r w:rsidR="00E63A56">
        <w:rPr>
          <w:rFonts w:ascii="Verdana" w:hAnsi="Verdana"/>
          <w:bCs/>
          <w:sz w:val="18"/>
          <w:szCs w:val="18"/>
        </w:rPr>
        <w:t>n</w:t>
      </w:r>
      <w:r w:rsidR="00D47904">
        <w:rPr>
          <w:rFonts w:ascii="Verdana" w:hAnsi="Verdana"/>
          <w:bCs/>
          <w:sz w:val="18"/>
          <w:szCs w:val="18"/>
        </w:rPr>
        <w:t>.</w:t>
      </w:r>
      <w:r w:rsidR="0085361E">
        <w:rPr>
          <w:rFonts w:ascii="Verdana" w:hAnsi="Verdana"/>
          <w:bCs/>
          <w:sz w:val="18"/>
          <w:szCs w:val="18"/>
        </w:rPr>
        <w:t xml:space="preserve"> </w:t>
      </w:r>
      <w:r w:rsidR="00BB709E">
        <w:rPr>
          <w:rFonts w:ascii="Verdana" w:hAnsi="Verdana"/>
          <w:bCs/>
          <w:sz w:val="18"/>
          <w:szCs w:val="18"/>
        </w:rPr>
        <w:t>De Commissie is</w:t>
      </w:r>
      <w:r w:rsidR="0085361E">
        <w:rPr>
          <w:rFonts w:ascii="Verdana" w:hAnsi="Verdana"/>
          <w:bCs/>
          <w:sz w:val="18"/>
          <w:szCs w:val="18"/>
        </w:rPr>
        <w:t xml:space="preserve"> ook</w:t>
      </w:r>
      <w:r w:rsidR="00BB709E">
        <w:rPr>
          <w:rFonts w:ascii="Verdana" w:hAnsi="Verdana"/>
          <w:bCs/>
          <w:sz w:val="18"/>
          <w:szCs w:val="18"/>
        </w:rPr>
        <w:t xml:space="preserve"> voornemens om de goedkeuringsprocessen voor het aflossen en vervangen van MREL-instrumenten verder te stroomlijnen en proportionaliteit te introduceren in aspecten van het resolutieplanningsproces. </w:t>
      </w:r>
      <w:r>
        <w:rPr>
          <w:rFonts w:ascii="Verdana" w:hAnsi="Verdana"/>
          <w:bCs/>
          <w:sz w:val="18"/>
          <w:szCs w:val="18"/>
        </w:rPr>
        <w:t>Met het oog op meer harmonisatie in de EU, is de Commissie voornemens om het macroprudentiële raamwerk</w:t>
      </w:r>
      <w:r w:rsidR="004D4D5C">
        <w:rPr>
          <w:rStyle w:val="FootnoteReference"/>
          <w:rFonts w:ascii="Verdana" w:hAnsi="Verdana"/>
          <w:bCs/>
          <w:sz w:val="18"/>
          <w:szCs w:val="18"/>
        </w:rPr>
        <w:footnoteReference w:id="8"/>
      </w:r>
      <w:r>
        <w:rPr>
          <w:rFonts w:ascii="Verdana" w:hAnsi="Verdana"/>
          <w:bCs/>
          <w:sz w:val="18"/>
          <w:szCs w:val="18"/>
        </w:rPr>
        <w:t xml:space="preserve"> te herzien. De Commissie gaat voorstellen doen die leiden tot meer consistentie in de toepassing van macroprudentiële instrumenten en een kleiner aantal buffers. Verder </w:t>
      </w:r>
      <w:r w:rsidR="00B1491D">
        <w:rPr>
          <w:rFonts w:ascii="Verdana" w:hAnsi="Verdana"/>
          <w:bCs/>
          <w:sz w:val="18"/>
          <w:szCs w:val="18"/>
        </w:rPr>
        <w:t xml:space="preserve">wil </w:t>
      </w:r>
      <w:r>
        <w:rPr>
          <w:rFonts w:ascii="Verdana" w:hAnsi="Verdana"/>
          <w:bCs/>
          <w:sz w:val="18"/>
          <w:szCs w:val="18"/>
        </w:rPr>
        <w:t xml:space="preserve">de Commissie voorstellen doen om de samenhang tussen micro- en macroprudentiële regels en het resolutieraamwerk te verbeteren. De Commissie gaat bijvoorbeeld de coördinatie versterken tussen autoriteiten die deze regels </w:t>
      </w:r>
      <w:r w:rsidR="00B1491D">
        <w:rPr>
          <w:rFonts w:ascii="Verdana" w:hAnsi="Verdana"/>
          <w:bCs/>
          <w:sz w:val="18"/>
          <w:szCs w:val="18"/>
        </w:rPr>
        <w:t xml:space="preserve">toepassen </w:t>
      </w:r>
      <w:r w:rsidRPr="000A1B49">
        <w:rPr>
          <w:rFonts w:ascii="Verdana" w:hAnsi="Verdana"/>
          <w:bCs/>
          <w:sz w:val="18"/>
          <w:szCs w:val="18"/>
        </w:rPr>
        <w:t>en ook voorstellen om bepaalde regels te verplaatsen naar direct toepasbare verordeningen.</w:t>
      </w:r>
      <w:r w:rsidR="00532830">
        <w:rPr>
          <w:rFonts w:ascii="Verdana" w:hAnsi="Verdana"/>
          <w:bCs/>
          <w:sz w:val="18"/>
          <w:szCs w:val="18"/>
        </w:rPr>
        <w:t xml:space="preserve"> Tot slot wil de Commissie kijken naar versimpeling van het rapportageraamwerk. </w:t>
      </w:r>
      <w:r w:rsidRPr="000A1B49">
        <w:rPr>
          <w:rFonts w:ascii="Verdana" w:hAnsi="Verdana"/>
          <w:bCs/>
          <w:sz w:val="18"/>
          <w:szCs w:val="18"/>
        </w:rPr>
        <w:t>Da</w:t>
      </w:r>
      <w:r w:rsidRPr="001C0590">
        <w:rPr>
          <w:rFonts w:ascii="Verdana" w:hAnsi="Verdana"/>
          <w:bCs/>
          <w:sz w:val="18"/>
          <w:szCs w:val="18"/>
        </w:rPr>
        <w:t>arbij onderzoekt de C</w:t>
      </w:r>
      <w:r>
        <w:rPr>
          <w:rFonts w:ascii="Verdana" w:hAnsi="Verdana"/>
          <w:bCs/>
          <w:sz w:val="18"/>
          <w:szCs w:val="18"/>
        </w:rPr>
        <w:t>o</w:t>
      </w:r>
      <w:r w:rsidRPr="001C0590">
        <w:rPr>
          <w:rFonts w:ascii="Verdana" w:hAnsi="Verdana"/>
          <w:bCs/>
          <w:sz w:val="18"/>
          <w:szCs w:val="18"/>
        </w:rPr>
        <w:t>mmis</w:t>
      </w:r>
      <w:r>
        <w:rPr>
          <w:rFonts w:ascii="Verdana" w:hAnsi="Verdana"/>
          <w:bCs/>
          <w:sz w:val="18"/>
          <w:szCs w:val="18"/>
        </w:rPr>
        <w:t>s</w:t>
      </w:r>
      <w:r w:rsidRPr="001C0590">
        <w:rPr>
          <w:rFonts w:ascii="Verdana" w:hAnsi="Verdana"/>
          <w:bCs/>
          <w:sz w:val="18"/>
          <w:szCs w:val="18"/>
        </w:rPr>
        <w:t>ie of het nodig is o</w:t>
      </w:r>
      <w:r>
        <w:rPr>
          <w:rFonts w:ascii="Verdana" w:hAnsi="Verdana"/>
          <w:bCs/>
          <w:sz w:val="18"/>
          <w:szCs w:val="18"/>
        </w:rPr>
        <w:t xml:space="preserve">m het mandaat van de </w:t>
      </w:r>
      <w:r w:rsidR="00E56199">
        <w:rPr>
          <w:rFonts w:ascii="Verdana" w:hAnsi="Verdana"/>
          <w:bCs/>
          <w:sz w:val="18"/>
          <w:szCs w:val="18"/>
        </w:rPr>
        <w:t>European Banking Authority (</w:t>
      </w:r>
      <w:r>
        <w:rPr>
          <w:rFonts w:ascii="Verdana" w:hAnsi="Verdana"/>
          <w:bCs/>
          <w:sz w:val="18"/>
          <w:szCs w:val="18"/>
        </w:rPr>
        <w:t>EBA</w:t>
      </w:r>
      <w:r w:rsidR="00E56199">
        <w:rPr>
          <w:rFonts w:ascii="Verdana" w:hAnsi="Verdana"/>
          <w:bCs/>
          <w:sz w:val="18"/>
          <w:szCs w:val="18"/>
        </w:rPr>
        <w:t>)</w:t>
      </w:r>
      <w:r>
        <w:rPr>
          <w:rFonts w:ascii="Verdana" w:hAnsi="Verdana"/>
          <w:bCs/>
          <w:sz w:val="18"/>
          <w:szCs w:val="18"/>
        </w:rPr>
        <w:t xml:space="preserve"> te herzien</w:t>
      </w:r>
      <w:r w:rsidR="00532830">
        <w:rPr>
          <w:rFonts w:ascii="Verdana" w:hAnsi="Verdana"/>
          <w:bCs/>
          <w:sz w:val="18"/>
          <w:szCs w:val="18"/>
        </w:rPr>
        <w:t>, zodat de EBA de vereenvoudiging, proportionaliteit en automatisering van rapportagelasten op technisch niveau kan realiseren.</w:t>
      </w:r>
      <w:r>
        <w:rPr>
          <w:rFonts w:ascii="Verdana" w:hAnsi="Verdana"/>
          <w:bCs/>
          <w:sz w:val="18"/>
          <w:szCs w:val="18"/>
        </w:rPr>
        <w:t xml:space="preserve"> </w:t>
      </w:r>
      <w:r w:rsidR="00532830">
        <w:rPr>
          <w:rFonts w:ascii="Verdana" w:hAnsi="Verdana"/>
          <w:bCs/>
          <w:sz w:val="18"/>
          <w:szCs w:val="18"/>
        </w:rPr>
        <w:t xml:space="preserve">Ook </w:t>
      </w:r>
      <w:r>
        <w:rPr>
          <w:rFonts w:ascii="Verdana" w:hAnsi="Verdana"/>
          <w:bCs/>
          <w:sz w:val="18"/>
          <w:szCs w:val="18"/>
        </w:rPr>
        <w:t>steunt de Commissie initiatieven van de EBA en nationale autoriteiten om dubbele rapportageverplichtingen te voorkomen en additionele nationale eisen te beperken.</w:t>
      </w:r>
    </w:p>
    <w:p w:rsidR="0044334A" w:rsidP="006012D0" w:rsidRDefault="0044334A" w14:paraId="7A453FBB" w14:textId="77777777">
      <w:pPr>
        <w:spacing w:line="360" w:lineRule="auto"/>
        <w:rPr>
          <w:rFonts w:ascii="Verdana" w:hAnsi="Verdana"/>
          <w:b/>
          <w:sz w:val="18"/>
          <w:szCs w:val="18"/>
        </w:rPr>
      </w:pPr>
    </w:p>
    <w:p w:rsidRPr="009C26F0" w:rsidR="00B328F3" w:rsidP="009C26F0" w:rsidRDefault="000D58A3" w14:paraId="06977217" w14:textId="73D433B2">
      <w:pPr>
        <w:spacing w:line="360" w:lineRule="auto"/>
        <w:rPr>
          <w:rFonts w:ascii="Verdana" w:hAnsi="Verdana"/>
          <w:sz w:val="18"/>
          <w:szCs w:val="18"/>
        </w:rPr>
      </w:pPr>
      <w:r w:rsidRPr="00ED6942">
        <w:rPr>
          <w:rFonts w:ascii="Verdana" w:hAnsi="Verdana"/>
          <w:sz w:val="18"/>
          <w:szCs w:val="18"/>
        </w:rPr>
        <w:t xml:space="preserve">Om het concurrentievermogen van de </w:t>
      </w:r>
      <w:r w:rsidRPr="00ED6942" w:rsidR="00665860">
        <w:rPr>
          <w:rFonts w:ascii="Verdana" w:hAnsi="Verdana"/>
          <w:sz w:val="18"/>
          <w:szCs w:val="18"/>
        </w:rPr>
        <w:t xml:space="preserve">Europese </w:t>
      </w:r>
      <w:r w:rsidRPr="00ED6942">
        <w:rPr>
          <w:rFonts w:ascii="Verdana" w:hAnsi="Verdana"/>
          <w:sz w:val="18"/>
          <w:szCs w:val="18"/>
        </w:rPr>
        <w:t>banksector effectief te ver</w:t>
      </w:r>
      <w:r w:rsidRPr="00ED6942" w:rsidR="00586CEF">
        <w:rPr>
          <w:rFonts w:ascii="Verdana" w:hAnsi="Verdana"/>
          <w:sz w:val="18"/>
          <w:szCs w:val="18"/>
        </w:rPr>
        <w:t>sterken</w:t>
      </w:r>
      <w:r w:rsidRPr="00ED6942">
        <w:rPr>
          <w:rFonts w:ascii="Verdana" w:hAnsi="Verdana"/>
          <w:sz w:val="18"/>
          <w:szCs w:val="18"/>
        </w:rPr>
        <w:t xml:space="preserve">, benadrukt de </w:t>
      </w:r>
      <w:r w:rsidRPr="00ED6942" w:rsidR="00B328F3">
        <w:rPr>
          <w:rFonts w:ascii="Verdana" w:hAnsi="Verdana"/>
          <w:sz w:val="18"/>
          <w:szCs w:val="18"/>
        </w:rPr>
        <w:t xml:space="preserve">Commissie dat </w:t>
      </w:r>
      <w:r w:rsidRPr="00ED6942">
        <w:rPr>
          <w:rFonts w:ascii="Verdana" w:hAnsi="Verdana"/>
          <w:sz w:val="18"/>
          <w:szCs w:val="18"/>
        </w:rPr>
        <w:t xml:space="preserve">een cultuuromslag nodig is en dat alle betrokken </w:t>
      </w:r>
      <w:r w:rsidRPr="00ED6942" w:rsidR="00B328F3">
        <w:rPr>
          <w:rFonts w:ascii="Verdana" w:hAnsi="Verdana"/>
          <w:sz w:val="18"/>
          <w:szCs w:val="18"/>
        </w:rPr>
        <w:t>overheden, toezichthouders en banken</w:t>
      </w:r>
      <w:r w:rsidRPr="00ED6942">
        <w:rPr>
          <w:rFonts w:ascii="Verdana" w:hAnsi="Verdana"/>
          <w:sz w:val="18"/>
          <w:szCs w:val="18"/>
        </w:rPr>
        <w:t xml:space="preserve"> daarin</w:t>
      </w:r>
      <w:r w:rsidRPr="00ED6942" w:rsidR="00B328F3">
        <w:rPr>
          <w:rFonts w:ascii="Verdana" w:hAnsi="Verdana"/>
          <w:sz w:val="18"/>
          <w:szCs w:val="18"/>
        </w:rPr>
        <w:t xml:space="preserve"> een gedeelde verantwoordelijkheid hebben. </w:t>
      </w:r>
      <w:r w:rsidRPr="00ED6942" w:rsidR="00491CAA">
        <w:rPr>
          <w:rFonts w:ascii="Verdana" w:hAnsi="Verdana"/>
          <w:sz w:val="18"/>
          <w:szCs w:val="18"/>
        </w:rPr>
        <w:t>De Commissie is daarom van plan om</w:t>
      </w:r>
      <w:r w:rsidRPr="00ED6942" w:rsidR="00B328F3">
        <w:rPr>
          <w:rFonts w:ascii="Verdana" w:hAnsi="Verdana"/>
          <w:sz w:val="18"/>
          <w:szCs w:val="18"/>
        </w:rPr>
        <w:t xml:space="preserve"> in gesprek</w:t>
      </w:r>
      <w:r w:rsidRPr="00ED6942" w:rsidR="00491CAA">
        <w:rPr>
          <w:rFonts w:ascii="Verdana" w:hAnsi="Verdana"/>
          <w:sz w:val="18"/>
          <w:szCs w:val="18"/>
        </w:rPr>
        <w:t xml:space="preserve"> te gaan</w:t>
      </w:r>
      <w:r w:rsidRPr="00ED6942" w:rsidR="00B328F3">
        <w:rPr>
          <w:rFonts w:ascii="Verdana" w:hAnsi="Verdana"/>
          <w:sz w:val="18"/>
          <w:szCs w:val="18"/>
        </w:rPr>
        <w:t xml:space="preserve"> met verschillende Europese en nationale autoriteiten om te kijken hoe het </w:t>
      </w:r>
      <w:r w:rsidRPr="00ED6942" w:rsidR="00B328F3">
        <w:rPr>
          <w:rFonts w:ascii="Verdana" w:hAnsi="Verdana"/>
          <w:sz w:val="18"/>
          <w:szCs w:val="18"/>
        </w:rPr>
        <w:lastRenderedPageBreak/>
        <w:t xml:space="preserve">toezicht kan bijdragen aan een goed werkende interne markt en grensoverschrijdende bankactiviteiten. </w:t>
      </w:r>
      <w:r w:rsidRPr="00ED6942" w:rsidR="00AB0595">
        <w:rPr>
          <w:rFonts w:ascii="Verdana" w:hAnsi="Verdana"/>
          <w:sz w:val="18"/>
          <w:szCs w:val="18"/>
        </w:rPr>
        <w:t xml:space="preserve">Ook overweegt de Commissie een mandaat voor de EBA en </w:t>
      </w:r>
      <w:r w:rsidRPr="00ED6942" w:rsidR="58E3DB70">
        <w:rPr>
          <w:rFonts w:ascii="Verdana" w:hAnsi="Verdana"/>
          <w:sz w:val="18"/>
          <w:szCs w:val="18"/>
        </w:rPr>
        <w:t>European Systemic Risk Board (</w:t>
      </w:r>
      <w:r w:rsidRPr="00ED6942" w:rsidR="00AB0595">
        <w:rPr>
          <w:rFonts w:ascii="Verdana" w:hAnsi="Verdana"/>
          <w:sz w:val="18"/>
          <w:szCs w:val="18"/>
        </w:rPr>
        <w:t>ESRB</w:t>
      </w:r>
      <w:r w:rsidRPr="00ED6942" w:rsidR="58E3DB70">
        <w:rPr>
          <w:rFonts w:ascii="Verdana" w:hAnsi="Verdana"/>
          <w:sz w:val="18"/>
          <w:szCs w:val="18"/>
        </w:rPr>
        <w:t>)</w:t>
      </w:r>
      <w:r w:rsidRPr="00ED6942" w:rsidR="00AB0595">
        <w:rPr>
          <w:rFonts w:ascii="Verdana" w:hAnsi="Verdana"/>
          <w:sz w:val="18"/>
          <w:szCs w:val="18"/>
        </w:rPr>
        <w:t xml:space="preserve"> om</w:t>
      </w:r>
      <w:r w:rsidRPr="00ED6942" w:rsidR="00C629C3">
        <w:rPr>
          <w:rFonts w:ascii="Verdana" w:hAnsi="Verdana"/>
          <w:sz w:val="18"/>
          <w:szCs w:val="18"/>
        </w:rPr>
        <w:t xml:space="preserve"> regulier</w:t>
      </w:r>
      <w:r w:rsidRPr="00ED6942" w:rsidR="00AB0595">
        <w:rPr>
          <w:rFonts w:ascii="Verdana" w:hAnsi="Verdana"/>
          <w:sz w:val="18"/>
          <w:szCs w:val="18"/>
        </w:rPr>
        <w:t xml:space="preserve"> te rapporteren over de </w:t>
      </w:r>
      <w:r w:rsidRPr="00ED6942" w:rsidR="00C629C3">
        <w:rPr>
          <w:rFonts w:ascii="Verdana" w:hAnsi="Verdana"/>
          <w:sz w:val="18"/>
          <w:szCs w:val="18"/>
        </w:rPr>
        <w:t>mate waarin de kapitaalvereisten in de EU adequaat zijn voor zowel de financiële stabiliteit als het concurrentievermogen van de bankensector</w:t>
      </w:r>
      <w:r w:rsidRPr="00ED6942" w:rsidR="00AB0595">
        <w:rPr>
          <w:rFonts w:ascii="Verdana" w:hAnsi="Verdana"/>
          <w:sz w:val="18"/>
          <w:szCs w:val="18"/>
        </w:rPr>
        <w:t>.</w:t>
      </w:r>
    </w:p>
    <w:p w:rsidRPr="00B328F3" w:rsidR="00E17D6F" w:rsidP="00CB7FF8" w:rsidRDefault="00E17D6F" w14:paraId="21B74437" w14:textId="77777777">
      <w:pPr>
        <w:spacing w:line="360" w:lineRule="auto"/>
        <w:ind w:left="360" w:hanging="360"/>
        <w:rPr>
          <w:rFonts w:ascii="Verdana" w:hAnsi="Verdana"/>
          <w:b/>
          <w:sz w:val="18"/>
          <w:szCs w:val="18"/>
        </w:rPr>
      </w:pPr>
    </w:p>
    <w:p w:rsidR="00CB7FF8" w:rsidP="005E260E" w:rsidRDefault="00CB7FF8" w14:paraId="4B833EFF" w14:textId="6006E906">
      <w:pPr>
        <w:numPr>
          <w:ilvl w:val="0"/>
          <w:numId w:val="3"/>
        </w:numPr>
        <w:spacing w:line="360" w:lineRule="auto"/>
        <w:rPr>
          <w:rFonts w:ascii="Verdana" w:hAnsi="Verdana"/>
          <w:b/>
          <w:sz w:val="18"/>
          <w:szCs w:val="18"/>
        </w:rPr>
      </w:pPr>
      <w:r w:rsidRPr="00DA19A2">
        <w:rPr>
          <w:rFonts w:ascii="Verdana" w:hAnsi="Verdana"/>
          <w:b/>
          <w:sz w:val="18"/>
          <w:szCs w:val="18"/>
        </w:rPr>
        <w:t>Nederlandse</w:t>
      </w:r>
      <w:r w:rsidR="00F74E07">
        <w:rPr>
          <w:rFonts w:ascii="Verdana" w:hAnsi="Verdana"/>
          <w:b/>
          <w:sz w:val="18"/>
          <w:szCs w:val="18"/>
        </w:rPr>
        <w:t xml:space="preserve"> positie ten aanzien van </w:t>
      </w:r>
      <w:r w:rsidR="007D6EDE">
        <w:rPr>
          <w:rFonts w:ascii="Verdana" w:hAnsi="Verdana"/>
          <w:b/>
          <w:sz w:val="18"/>
          <w:szCs w:val="18"/>
        </w:rPr>
        <w:t>de mededeling</w:t>
      </w:r>
      <w:r w:rsidRPr="00DA19A2">
        <w:rPr>
          <w:rFonts w:ascii="Verdana" w:hAnsi="Verdana"/>
          <w:b/>
          <w:sz w:val="18"/>
          <w:szCs w:val="18"/>
        </w:rPr>
        <w:t xml:space="preserve"> </w:t>
      </w:r>
    </w:p>
    <w:p w:rsidR="00F74E07" w:rsidP="005E260E" w:rsidRDefault="00F74E07" w14:paraId="05149A14" w14:textId="310F0249">
      <w:pPr>
        <w:numPr>
          <w:ilvl w:val="0"/>
          <w:numId w:val="5"/>
        </w:numPr>
        <w:spacing w:line="360" w:lineRule="auto"/>
        <w:rPr>
          <w:rFonts w:ascii="Verdana" w:hAnsi="Verdana"/>
          <w:i/>
          <w:sz w:val="18"/>
          <w:szCs w:val="18"/>
        </w:rPr>
      </w:pPr>
      <w:r w:rsidRPr="00FD0CBD">
        <w:rPr>
          <w:rFonts w:ascii="Verdana" w:hAnsi="Verdana"/>
          <w:i/>
          <w:sz w:val="18"/>
          <w:szCs w:val="18"/>
        </w:rPr>
        <w:t>Essentie Nederlands beleid op dit terrein</w:t>
      </w:r>
      <w:r w:rsidR="006012D0">
        <w:rPr>
          <w:rFonts w:ascii="Verdana" w:hAnsi="Verdana"/>
          <w:i/>
          <w:sz w:val="18"/>
          <w:szCs w:val="18"/>
        </w:rPr>
        <w:t xml:space="preserve"> </w:t>
      </w:r>
    </w:p>
    <w:p w:rsidR="00B1491D" w:rsidP="008C0BCF" w:rsidRDefault="001234FC" w14:paraId="3F1C0E03" w14:textId="2ED025DB">
      <w:pPr>
        <w:spacing w:line="360" w:lineRule="auto"/>
        <w:rPr>
          <w:rFonts w:ascii="Verdana" w:hAnsi="Verdana"/>
          <w:iCs/>
          <w:sz w:val="18"/>
          <w:szCs w:val="18"/>
        </w:rPr>
      </w:pPr>
      <w:r>
        <w:rPr>
          <w:rFonts w:ascii="Verdana" w:hAnsi="Verdana"/>
          <w:iCs/>
          <w:sz w:val="18"/>
          <w:szCs w:val="18"/>
        </w:rPr>
        <w:t xml:space="preserve">Het kabinet onderschrijft het </w:t>
      </w:r>
      <w:r w:rsidR="00FA6CA4">
        <w:rPr>
          <w:rFonts w:ascii="Verdana" w:hAnsi="Verdana"/>
          <w:iCs/>
          <w:sz w:val="18"/>
          <w:szCs w:val="18"/>
        </w:rPr>
        <w:t xml:space="preserve">grote </w:t>
      </w:r>
      <w:r>
        <w:rPr>
          <w:rFonts w:ascii="Verdana" w:hAnsi="Verdana"/>
          <w:iCs/>
          <w:sz w:val="18"/>
          <w:szCs w:val="18"/>
        </w:rPr>
        <w:t xml:space="preserve">belang van Europese banken voor het financieren van </w:t>
      </w:r>
      <w:r w:rsidR="00FA6CA4">
        <w:rPr>
          <w:rFonts w:ascii="Verdana" w:hAnsi="Verdana"/>
          <w:iCs/>
          <w:sz w:val="18"/>
          <w:szCs w:val="18"/>
        </w:rPr>
        <w:t>de Europese economie</w:t>
      </w:r>
      <w:r w:rsidR="001436E3">
        <w:rPr>
          <w:rFonts w:ascii="Verdana" w:hAnsi="Verdana"/>
          <w:iCs/>
          <w:sz w:val="18"/>
          <w:szCs w:val="18"/>
        </w:rPr>
        <w:t xml:space="preserve"> voor burgers en bedrijven</w:t>
      </w:r>
      <w:r>
        <w:rPr>
          <w:rFonts w:ascii="Verdana" w:hAnsi="Verdana"/>
          <w:iCs/>
          <w:sz w:val="18"/>
          <w:szCs w:val="18"/>
        </w:rPr>
        <w:t>.</w:t>
      </w:r>
      <w:r w:rsidR="001436E3">
        <w:rPr>
          <w:rStyle w:val="FootnoteReference"/>
          <w:rFonts w:ascii="Verdana" w:hAnsi="Verdana"/>
          <w:iCs/>
          <w:sz w:val="18"/>
          <w:szCs w:val="18"/>
        </w:rPr>
        <w:footnoteReference w:id="9"/>
      </w:r>
      <w:r>
        <w:rPr>
          <w:rFonts w:ascii="Verdana" w:hAnsi="Verdana"/>
          <w:iCs/>
          <w:sz w:val="18"/>
          <w:szCs w:val="18"/>
        </w:rPr>
        <w:t xml:space="preserve"> </w:t>
      </w:r>
      <w:r w:rsidR="00321DE4">
        <w:rPr>
          <w:rFonts w:ascii="Verdana" w:hAnsi="Verdana"/>
          <w:iCs/>
          <w:sz w:val="18"/>
          <w:szCs w:val="18"/>
        </w:rPr>
        <w:t xml:space="preserve">Verdere integratie van de bankenunie is naast </w:t>
      </w:r>
      <w:r w:rsidR="004A5272">
        <w:rPr>
          <w:rFonts w:ascii="Verdana" w:hAnsi="Verdana"/>
          <w:iCs/>
          <w:sz w:val="18"/>
          <w:szCs w:val="18"/>
        </w:rPr>
        <w:t xml:space="preserve">integratie </w:t>
      </w:r>
      <w:r w:rsidR="00AE23FF">
        <w:rPr>
          <w:rFonts w:ascii="Verdana" w:hAnsi="Verdana"/>
          <w:iCs/>
          <w:sz w:val="18"/>
          <w:szCs w:val="18"/>
        </w:rPr>
        <w:t>richting</w:t>
      </w:r>
      <w:r w:rsidR="00321DE4">
        <w:rPr>
          <w:rFonts w:ascii="Verdana" w:hAnsi="Verdana"/>
          <w:iCs/>
          <w:sz w:val="18"/>
          <w:szCs w:val="18"/>
        </w:rPr>
        <w:t xml:space="preserve"> de kapitaalmarktunie van cruciaal belang om de economische uitdagingen van de </w:t>
      </w:r>
      <w:r w:rsidR="0009325D">
        <w:rPr>
          <w:rFonts w:ascii="Verdana" w:hAnsi="Verdana"/>
          <w:iCs/>
          <w:sz w:val="18"/>
          <w:szCs w:val="18"/>
        </w:rPr>
        <w:t>EU</w:t>
      </w:r>
      <w:r w:rsidR="00321DE4">
        <w:rPr>
          <w:rFonts w:ascii="Verdana" w:hAnsi="Verdana"/>
          <w:iCs/>
          <w:sz w:val="18"/>
          <w:szCs w:val="18"/>
        </w:rPr>
        <w:t xml:space="preserve"> te adresseren</w:t>
      </w:r>
      <w:r w:rsidR="00661C47">
        <w:rPr>
          <w:rFonts w:ascii="Verdana" w:hAnsi="Verdana"/>
          <w:iCs/>
          <w:sz w:val="18"/>
          <w:szCs w:val="18"/>
        </w:rPr>
        <w:t xml:space="preserve"> en de EU toekomstbestendig te maken</w:t>
      </w:r>
      <w:r w:rsidR="00321DE4">
        <w:rPr>
          <w:rFonts w:ascii="Verdana" w:hAnsi="Verdana"/>
          <w:iCs/>
          <w:sz w:val="18"/>
          <w:szCs w:val="18"/>
        </w:rPr>
        <w:t>.</w:t>
      </w:r>
      <w:r w:rsidR="00C0005D">
        <w:rPr>
          <w:rStyle w:val="FootnoteReference"/>
          <w:rFonts w:ascii="Verdana" w:hAnsi="Verdana"/>
          <w:iCs/>
          <w:sz w:val="18"/>
          <w:szCs w:val="18"/>
        </w:rPr>
        <w:footnoteReference w:id="10"/>
      </w:r>
      <w:r w:rsidR="00321DE4">
        <w:rPr>
          <w:rFonts w:ascii="Verdana" w:hAnsi="Verdana"/>
          <w:iCs/>
          <w:sz w:val="18"/>
          <w:szCs w:val="18"/>
        </w:rPr>
        <w:t xml:space="preserve"> </w:t>
      </w:r>
      <w:r w:rsidR="001E727D">
        <w:rPr>
          <w:rFonts w:ascii="Verdana" w:hAnsi="Verdana"/>
          <w:iCs/>
          <w:sz w:val="18"/>
          <w:szCs w:val="18"/>
        </w:rPr>
        <w:t>Zo kan een</w:t>
      </w:r>
      <w:r w:rsidRPr="001E727D" w:rsidR="001E727D">
        <w:rPr>
          <w:rFonts w:ascii="Verdana" w:hAnsi="Verdana"/>
          <w:iCs/>
          <w:sz w:val="18"/>
          <w:szCs w:val="18"/>
        </w:rPr>
        <w:t xml:space="preserve"> concurrerende en geïntegreerde bankensector </w:t>
      </w:r>
      <w:r w:rsidR="001E727D">
        <w:rPr>
          <w:rFonts w:ascii="Verdana" w:hAnsi="Verdana"/>
          <w:iCs/>
          <w:sz w:val="18"/>
          <w:szCs w:val="18"/>
        </w:rPr>
        <w:t xml:space="preserve">een belangrijke bijdrage leveren </w:t>
      </w:r>
      <w:r w:rsidRPr="001E727D" w:rsidR="001E727D">
        <w:rPr>
          <w:rFonts w:ascii="Verdana" w:hAnsi="Verdana"/>
          <w:iCs/>
          <w:sz w:val="18"/>
          <w:szCs w:val="18"/>
        </w:rPr>
        <w:t xml:space="preserve">aan </w:t>
      </w:r>
      <w:r w:rsidR="001E727D">
        <w:rPr>
          <w:rFonts w:ascii="Verdana" w:hAnsi="Verdana"/>
          <w:iCs/>
          <w:sz w:val="18"/>
          <w:szCs w:val="18"/>
        </w:rPr>
        <w:t>de financiering van</w:t>
      </w:r>
      <w:r w:rsidRPr="001E727D" w:rsidR="001E727D">
        <w:rPr>
          <w:rFonts w:ascii="Verdana" w:hAnsi="Verdana"/>
          <w:iCs/>
          <w:sz w:val="18"/>
          <w:szCs w:val="18"/>
        </w:rPr>
        <w:t xml:space="preserve"> investeringen </w:t>
      </w:r>
      <w:r w:rsidR="001E727D">
        <w:rPr>
          <w:rFonts w:ascii="Verdana" w:hAnsi="Verdana"/>
          <w:iCs/>
          <w:sz w:val="18"/>
          <w:szCs w:val="18"/>
        </w:rPr>
        <w:t>ten behoeve van</w:t>
      </w:r>
      <w:r w:rsidRPr="001E727D" w:rsidR="001E727D">
        <w:rPr>
          <w:rFonts w:ascii="Verdana" w:hAnsi="Verdana"/>
          <w:iCs/>
          <w:sz w:val="18"/>
          <w:szCs w:val="18"/>
        </w:rPr>
        <w:t xml:space="preserve"> prioriteiten van EU-beleid</w:t>
      </w:r>
      <w:r w:rsidR="001E727D">
        <w:rPr>
          <w:rFonts w:ascii="Verdana" w:hAnsi="Verdana"/>
          <w:iCs/>
          <w:sz w:val="18"/>
          <w:szCs w:val="18"/>
        </w:rPr>
        <w:t>.</w:t>
      </w:r>
      <w:r w:rsidR="00D737DB">
        <w:rPr>
          <w:rStyle w:val="FootnoteReference"/>
          <w:rFonts w:ascii="Verdana" w:hAnsi="Verdana"/>
          <w:iCs/>
          <w:sz w:val="18"/>
          <w:szCs w:val="18"/>
        </w:rPr>
        <w:footnoteReference w:id="11"/>
      </w:r>
      <w:r w:rsidR="001E727D">
        <w:rPr>
          <w:rFonts w:ascii="Verdana" w:hAnsi="Verdana"/>
          <w:iCs/>
          <w:sz w:val="18"/>
          <w:szCs w:val="18"/>
        </w:rPr>
        <w:t xml:space="preserve"> </w:t>
      </w:r>
      <w:r>
        <w:rPr>
          <w:rFonts w:ascii="Verdana" w:hAnsi="Verdana"/>
          <w:iCs/>
          <w:sz w:val="18"/>
          <w:szCs w:val="18"/>
        </w:rPr>
        <w:t>Hoewel h</w:t>
      </w:r>
      <w:r w:rsidR="00321DE4">
        <w:rPr>
          <w:rFonts w:ascii="Verdana" w:hAnsi="Verdana"/>
          <w:iCs/>
          <w:sz w:val="18"/>
          <w:szCs w:val="18"/>
        </w:rPr>
        <w:t xml:space="preserve">et kabinet het van belang vindt </w:t>
      </w:r>
      <w:r>
        <w:rPr>
          <w:rFonts w:ascii="Verdana" w:hAnsi="Verdana"/>
          <w:iCs/>
          <w:sz w:val="18"/>
          <w:szCs w:val="18"/>
        </w:rPr>
        <w:t>ook niet-bancair risicokapitaal te mobiliseren</w:t>
      </w:r>
      <w:r w:rsidR="0025363F">
        <w:rPr>
          <w:rFonts w:ascii="Verdana" w:hAnsi="Verdana"/>
          <w:iCs/>
          <w:sz w:val="18"/>
          <w:szCs w:val="18"/>
        </w:rPr>
        <w:t>, zullen banken een belangrijke rol houden in het financiële ecosysteem.</w:t>
      </w:r>
      <w:r w:rsidR="00C0005D">
        <w:rPr>
          <w:rStyle w:val="FootnoteReference"/>
          <w:rFonts w:ascii="Verdana" w:hAnsi="Verdana"/>
          <w:iCs/>
          <w:sz w:val="18"/>
          <w:szCs w:val="18"/>
        </w:rPr>
        <w:footnoteReference w:id="12"/>
      </w:r>
      <w:r w:rsidR="0025363F">
        <w:rPr>
          <w:rFonts w:ascii="Verdana" w:hAnsi="Verdana"/>
          <w:iCs/>
          <w:sz w:val="18"/>
          <w:szCs w:val="18"/>
        </w:rPr>
        <w:t xml:space="preserve"> Het is </w:t>
      </w:r>
      <w:r w:rsidR="00FA6CA4">
        <w:rPr>
          <w:rFonts w:ascii="Verdana" w:hAnsi="Verdana"/>
          <w:iCs/>
          <w:sz w:val="18"/>
          <w:szCs w:val="18"/>
        </w:rPr>
        <w:t xml:space="preserve">dan ook </w:t>
      </w:r>
      <w:r w:rsidR="00321DE4">
        <w:rPr>
          <w:rFonts w:ascii="Verdana" w:hAnsi="Verdana"/>
          <w:iCs/>
          <w:sz w:val="18"/>
          <w:szCs w:val="18"/>
        </w:rPr>
        <w:t>noodzakelijk</w:t>
      </w:r>
      <w:r w:rsidR="0025363F">
        <w:rPr>
          <w:rFonts w:ascii="Verdana" w:hAnsi="Verdana"/>
          <w:iCs/>
          <w:sz w:val="18"/>
          <w:szCs w:val="18"/>
        </w:rPr>
        <w:t xml:space="preserve"> dat Europese banken met elkaar en met andere internationale banken kunnen concurreren </w:t>
      </w:r>
      <w:r w:rsidR="00FA6CA4">
        <w:rPr>
          <w:rFonts w:ascii="Verdana" w:hAnsi="Verdana"/>
          <w:iCs/>
          <w:sz w:val="18"/>
          <w:szCs w:val="18"/>
        </w:rPr>
        <w:t xml:space="preserve">voor alle verschillende typen </w:t>
      </w:r>
      <w:r w:rsidR="0025363F">
        <w:rPr>
          <w:rFonts w:ascii="Verdana" w:hAnsi="Verdana"/>
          <w:iCs/>
          <w:sz w:val="18"/>
          <w:szCs w:val="18"/>
        </w:rPr>
        <w:t xml:space="preserve">bankdienstverlening. </w:t>
      </w:r>
    </w:p>
    <w:p w:rsidR="00B1491D" w:rsidP="008C0BCF" w:rsidRDefault="00B1491D" w14:paraId="7898B453" w14:textId="77777777">
      <w:pPr>
        <w:spacing w:line="360" w:lineRule="auto"/>
        <w:rPr>
          <w:rFonts w:ascii="Verdana" w:hAnsi="Verdana"/>
          <w:iCs/>
          <w:sz w:val="18"/>
          <w:szCs w:val="18"/>
        </w:rPr>
      </w:pPr>
    </w:p>
    <w:p w:rsidR="00F30EC7" w:rsidP="008C0BCF" w:rsidRDefault="00AB0595" w14:paraId="1869B985" w14:textId="08FF114E">
      <w:pPr>
        <w:spacing w:line="360" w:lineRule="auto"/>
        <w:rPr>
          <w:rFonts w:ascii="Verdana" w:hAnsi="Verdana"/>
          <w:iCs/>
          <w:sz w:val="18"/>
          <w:szCs w:val="18"/>
        </w:rPr>
      </w:pPr>
      <w:r>
        <w:rPr>
          <w:rFonts w:ascii="Verdana" w:hAnsi="Verdana"/>
          <w:iCs/>
          <w:sz w:val="18"/>
          <w:szCs w:val="18"/>
        </w:rPr>
        <w:t xml:space="preserve">De Europese regelgeving voor en het Europese toezicht op banken dat sinds de financiële crisis tot stand is gekomen, draagt in belangrijke mate bij aan de financiële stabiliteit van de Europese economie. </w:t>
      </w:r>
      <w:r w:rsidR="00FA45D7">
        <w:rPr>
          <w:rFonts w:ascii="Verdana" w:hAnsi="Verdana"/>
          <w:iCs/>
          <w:sz w:val="18"/>
          <w:szCs w:val="18"/>
        </w:rPr>
        <w:t>De regels komen voort uit de financiële en eurocrisis, een crisis waar</w:t>
      </w:r>
      <w:r w:rsidR="002576C9">
        <w:rPr>
          <w:rFonts w:ascii="Verdana" w:hAnsi="Verdana"/>
          <w:iCs/>
          <w:sz w:val="18"/>
          <w:szCs w:val="18"/>
        </w:rPr>
        <w:t>in</w:t>
      </w:r>
      <w:r w:rsidR="00FA45D7">
        <w:rPr>
          <w:rFonts w:ascii="Verdana" w:hAnsi="Verdana"/>
          <w:iCs/>
          <w:sz w:val="18"/>
          <w:szCs w:val="18"/>
        </w:rPr>
        <w:t xml:space="preserve"> </w:t>
      </w:r>
      <w:r w:rsidR="002576C9">
        <w:rPr>
          <w:rFonts w:ascii="Verdana" w:hAnsi="Verdana"/>
          <w:iCs/>
          <w:sz w:val="18"/>
          <w:szCs w:val="18"/>
        </w:rPr>
        <w:t xml:space="preserve">kwetsbaarheden en verliezen </w:t>
      </w:r>
      <w:r w:rsidR="00FA45D7">
        <w:rPr>
          <w:rFonts w:ascii="Verdana" w:hAnsi="Verdana"/>
          <w:iCs/>
          <w:sz w:val="18"/>
          <w:szCs w:val="18"/>
        </w:rPr>
        <w:t>in de financiële sector significante impact hebben gehad op de reële economie en waar</w:t>
      </w:r>
      <w:r w:rsidR="002576C9">
        <w:rPr>
          <w:rFonts w:ascii="Verdana" w:hAnsi="Verdana"/>
          <w:iCs/>
          <w:sz w:val="18"/>
          <w:szCs w:val="18"/>
        </w:rPr>
        <w:t xml:space="preserve">in Nederland en </w:t>
      </w:r>
      <w:r w:rsidR="00FA45D7">
        <w:rPr>
          <w:rFonts w:ascii="Verdana" w:hAnsi="Verdana"/>
          <w:iCs/>
          <w:sz w:val="18"/>
          <w:szCs w:val="18"/>
        </w:rPr>
        <w:t>veel</w:t>
      </w:r>
      <w:r w:rsidR="002576C9">
        <w:rPr>
          <w:rFonts w:ascii="Verdana" w:hAnsi="Verdana"/>
          <w:iCs/>
          <w:sz w:val="18"/>
          <w:szCs w:val="18"/>
        </w:rPr>
        <w:t xml:space="preserve"> andere</w:t>
      </w:r>
      <w:r w:rsidR="00FA45D7">
        <w:rPr>
          <w:rFonts w:ascii="Verdana" w:hAnsi="Verdana"/>
          <w:iCs/>
          <w:sz w:val="18"/>
          <w:szCs w:val="18"/>
        </w:rPr>
        <w:t xml:space="preserve"> Europese overheden financiële instellingen met belastinggeld overeind hebben </w:t>
      </w:r>
      <w:r w:rsidR="002576C9">
        <w:rPr>
          <w:rFonts w:ascii="Verdana" w:hAnsi="Verdana"/>
          <w:iCs/>
          <w:sz w:val="18"/>
          <w:szCs w:val="18"/>
        </w:rPr>
        <w:t>ge</w:t>
      </w:r>
      <w:r w:rsidR="00FA45D7">
        <w:rPr>
          <w:rFonts w:ascii="Verdana" w:hAnsi="Verdana"/>
          <w:iCs/>
          <w:sz w:val="18"/>
          <w:szCs w:val="18"/>
        </w:rPr>
        <w:t xml:space="preserve">houden. Het bankenraamwerk dat na de financiële en eurocrisis tot stand is gekomen, heeft bijgedragen aan een sterke bankensector die ook in tijden van crises (Covid-19, de oorlog in Oekraïne) in staat was financiering te blijven verlenen. </w:t>
      </w:r>
      <w:r w:rsidR="00B1491D">
        <w:rPr>
          <w:rFonts w:ascii="Verdana" w:hAnsi="Verdana"/>
          <w:iCs/>
          <w:sz w:val="18"/>
          <w:szCs w:val="18"/>
        </w:rPr>
        <w:t>Tegelijkertijd erkent het kabinet dat</w:t>
      </w:r>
      <w:r w:rsidR="0025363F">
        <w:rPr>
          <w:rFonts w:ascii="Verdana" w:hAnsi="Verdana"/>
          <w:iCs/>
          <w:sz w:val="18"/>
          <w:szCs w:val="18"/>
        </w:rPr>
        <w:t xml:space="preserve"> </w:t>
      </w:r>
      <w:r w:rsidR="00F30EC7">
        <w:rPr>
          <w:rFonts w:ascii="Verdana" w:hAnsi="Verdana"/>
          <w:iCs/>
          <w:sz w:val="18"/>
          <w:szCs w:val="18"/>
        </w:rPr>
        <w:t>het raamwerk voor banken</w:t>
      </w:r>
      <w:r w:rsidR="00B1491D">
        <w:rPr>
          <w:rFonts w:ascii="Verdana" w:hAnsi="Verdana"/>
          <w:iCs/>
          <w:sz w:val="18"/>
          <w:szCs w:val="18"/>
        </w:rPr>
        <w:t xml:space="preserve"> </w:t>
      </w:r>
      <w:r w:rsidR="0025363F">
        <w:rPr>
          <w:rFonts w:ascii="Verdana" w:hAnsi="Verdana"/>
          <w:iCs/>
          <w:sz w:val="18"/>
          <w:szCs w:val="18"/>
        </w:rPr>
        <w:t xml:space="preserve">complex </w:t>
      </w:r>
      <w:r w:rsidR="00B1491D">
        <w:rPr>
          <w:rFonts w:ascii="Verdana" w:hAnsi="Verdana"/>
          <w:iCs/>
          <w:sz w:val="18"/>
          <w:szCs w:val="18"/>
        </w:rPr>
        <w:t>is</w:t>
      </w:r>
      <w:r w:rsidR="0025363F">
        <w:rPr>
          <w:rFonts w:ascii="Verdana" w:hAnsi="Verdana"/>
          <w:iCs/>
          <w:sz w:val="18"/>
          <w:szCs w:val="18"/>
        </w:rPr>
        <w:t xml:space="preserve">. </w:t>
      </w:r>
      <w:r w:rsidR="00F30EC7">
        <w:rPr>
          <w:rFonts w:ascii="Verdana" w:hAnsi="Verdana"/>
          <w:iCs/>
          <w:sz w:val="18"/>
          <w:szCs w:val="18"/>
        </w:rPr>
        <w:t>Daarnaast</w:t>
      </w:r>
      <w:r w:rsidR="0025363F">
        <w:rPr>
          <w:rFonts w:ascii="Verdana" w:hAnsi="Verdana"/>
          <w:iCs/>
          <w:sz w:val="18"/>
          <w:szCs w:val="18"/>
        </w:rPr>
        <w:t xml:space="preserve"> </w:t>
      </w:r>
      <w:r w:rsidR="00B1491D">
        <w:rPr>
          <w:rFonts w:ascii="Verdana" w:hAnsi="Verdana"/>
          <w:iCs/>
          <w:sz w:val="18"/>
          <w:szCs w:val="18"/>
        </w:rPr>
        <w:t xml:space="preserve">is </w:t>
      </w:r>
      <w:r w:rsidR="0025363F">
        <w:rPr>
          <w:rFonts w:ascii="Verdana" w:hAnsi="Verdana"/>
          <w:iCs/>
          <w:sz w:val="18"/>
          <w:szCs w:val="18"/>
        </w:rPr>
        <w:t xml:space="preserve">de Europese bankensector </w:t>
      </w:r>
      <w:r w:rsidR="00B1491D">
        <w:rPr>
          <w:rFonts w:ascii="Verdana" w:hAnsi="Verdana"/>
          <w:iCs/>
          <w:sz w:val="18"/>
          <w:szCs w:val="18"/>
        </w:rPr>
        <w:t xml:space="preserve">nog </w:t>
      </w:r>
      <w:r w:rsidR="00F30EC7">
        <w:rPr>
          <w:rFonts w:ascii="Verdana" w:hAnsi="Verdana"/>
          <w:iCs/>
          <w:sz w:val="18"/>
          <w:szCs w:val="18"/>
        </w:rPr>
        <w:t xml:space="preserve">sterk </w:t>
      </w:r>
      <w:r w:rsidR="0025363F">
        <w:rPr>
          <w:rFonts w:ascii="Verdana" w:hAnsi="Verdana"/>
          <w:iCs/>
          <w:sz w:val="18"/>
          <w:szCs w:val="18"/>
        </w:rPr>
        <w:t>gefragmenteerd en is het</w:t>
      </w:r>
      <w:r w:rsidR="00B1491D">
        <w:rPr>
          <w:rFonts w:ascii="Verdana" w:hAnsi="Verdana"/>
          <w:iCs/>
          <w:sz w:val="18"/>
          <w:szCs w:val="18"/>
        </w:rPr>
        <w:t xml:space="preserve"> voor banken</w:t>
      </w:r>
      <w:r w:rsidR="0025363F">
        <w:rPr>
          <w:rFonts w:ascii="Verdana" w:hAnsi="Verdana"/>
          <w:iCs/>
          <w:sz w:val="18"/>
          <w:szCs w:val="18"/>
        </w:rPr>
        <w:t xml:space="preserve"> </w:t>
      </w:r>
      <w:r w:rsidR="004A5272">
        <w:rPr>
          <w:rFonts w:ascii="Verdana" w:hAnsi="Verdana"/>
          <w:iCs/>
          <w:sz w:val="18"/>
          <w:szCs w:val="18"/>
        </w:rPr>
        <w:t>onvoldoende</w:t>
      </w:r>
      <w:r w:rsidR="0025363F">
        <w:rPr>
          <w:rFonts w:ascii="Verdana" w:hAnsi="Verdana"/>
          <w:iCs/>
          <w:sz w:val="18"/>
          <w:szCs w:val="18"/>
        </w:rPr>
        <w:t xml:space="preserve"> mogelijk </w:t>
      </w:r>
      <w:r w:rsidR="00B1491D">
        <w:rPr>
          <w:rFonts w:ascii="Verdana" w:hAnsi="Verdana"/>
          <w:iCs/>
          <w:sz w:val="18"/>
          <w:szCs w:val="18"/>
        </w:rPr>
        <w:t xml:space="preserve">om </w:t>
      </w:r>
      <w:r w:rsidR="0025363F">
        <w:rPr>
          <w:rFonts w:ascii="Verdana" w:hAnsi="Verdana"/>
          <w:iCs/>
          <w:sz w:val="18"/>
          <w:szCs w:val="18"/>
        </w:rPr>
        <w:t xml:space="preserve">grensoverschrijdend te concurreren binnen de interne markt. </w:t>
      </w:r>
      <w:r w:rsidR="00FF004B">
        <w:rPr>
          <w:rFonts w:ascii="Verdana" w:hAnsi="Verdana"/>
          <w:iCs/>
          <w:sz w:val="18"/>
          <w:szCs w:val="18"/>
        </w:rPr>
        <w:t>Het kabinet erkent dat de Europese regelgeving voor banken bijdraagt aan deze fragmentatie</w:t>
      </w:r>
      <w:r w:rsidR="0025363F">
        <w:rPr>
          <w:rFonts w:ascii="Verdana" w:hAnsi="Verdana"/>
          <w:iCs/>
          <w:sz w:val="18"/>
          <w:szCs w:val="18"/>
        </w:rPr>
        <w:t xml:space="preserve">. </w:t>
      </w:r>
      <w:r w:rsidR="006D62AE">
        <w:rPr>
          <w:rFonts w:ascii="Verdana" w:hAnsi="Verdana"/>
          <w:iCs/>
          <w:sz w:val="18"/>
          <w:szCs w:val="18"/>
        </w:rPr>
        <w:t>De complexiteit van regelgeving en de gefragmenteerde Europese bankensector kunnen uiteindelijk negatieve gevolgen hebben voor (grensoverschrijdende) investeringen en daarmee economische groei.</w:t>
      </w:r>
    </w:p>
    <w:p w:rsidR="00F30EC7" w:rsidP="008C0BCF" w:rsidRDefault="00F30EC7" w14:paraId="110F528E" w14:textId="77777777">
      <w:pPr>
        <w:spacing w:line="360" w:lineRule="auto"/>
        <w:rPr>
          <w:rFonts w:ascii="Verdana" w:hAnsi="Verdana"/>
          <w:iCs/>
          <w:sz w:val="18"/>
          <w:szCs w:val="18"/>
        </w:rPr>
      </w:pPr>
    </w:p>
    <w:p w:rsidRPr="008C0BCF" w:rsidR="008C0BCF" w:rsidP="008C0BCF" w:rsidRDefault="006E69AE" w14:paraId="3FF138B5" w14:textId="48CAD2A0">
      <w:pPr>
        <w:spacing w:line="360" w:lineRule="auto"/>
        <w:rPr>
          <w:rFonts w:ascii="Verdana" w:hAnsi="Verdana"/>
          <w:iCs/>
          <w:sz w:val="18"/>
          <w:szCs w:val="18"/>
        </w:rPr>
      </w:pPr>
      <w:r>
        <w:rPr>
          <w:rFonts w:ascii="Verdana" w:hAnsi="Verdana"/>
          <w:iCs/>
          <w:sz w:val="18"/>
          <w:szCs w:val="18"/>
        </w:rPr>
        <w:t>Het kabinet heeft eerder samen met De Nederlandsche Bank</w:t>
      </w:r>
      <w:r w:rsidR="00DF2455">
        <w:rPr>
          <w:rFonts w:ascii="Verdana" w:hAnsi="Verdana"/>
          <w:iCs/>
          <w:sz w:val="18"/>
          <w:szCs w:val="18"/>
        </w:rPr>
        <w:t xml:space="preserve"> (DNB)</w:t>
      </w:r>
      <w:r>
        <w:rPr>
          <w:rFonts w:ascii="Verdana" w:hAnsi="Verdana"/>
          <w:iCs/>
          <w:sz w:val="18"/>
          <w:szCs w:val="18"/>
        </w:rPr>
        <w:t xml:space="preserve"> gereageerd op de consultatie van de Commissie, waarin ze </w:t>
      </w:r>
      <w:r w:rsidR="008E04FA">
        <w:rPr>
          <w:rFonts w:ascii="Verdana" w:hAnsi="Verdana"/>
          <w:iCs/>
          <w:sz w:val="18"/>
          <w:szCs w:val="18"/>
        </w:rPr>
        <w:t>heeft benoemd waar ze kansen ziet voor verdere integratie en versimpeling van het bankenraamwerk.</w:t>
      </w:r>
      <w:r w:rsidR="008E04FA">
        <w:rPr>
          <w:rStyle w:val="FootnoteReference"/>
          <w:rFonts w:ascii="Verdana" w:hAnsi="Verdana"/>
          <w:iCs/>
          <w:sz w:val="18"/>
          <w:szCs w:val="18"/>
        </w:rPr>
        <w:footnoteReference w:id="13"/>
      </w:r>
      <w:r w:rsidR="008E04FA">
        <w:rPr>
          <w:rFonts w:ascii="Verdana" w:hAnsi="Verdana"/>
          <w:iCs/>
          <w:sz w:val="18"/>
          <w:szCs w:val="18"/>
        </w:rPr>
        <w:t xml:space="preserve"> </w:t>
      </w:r>
      <w:r w:rsidR="00665860">
        <w:rPr>
          <w:rFonts w:ascii="Verdana" w:hAnsi="Verdana"/>
          <w:iCs/>
          <w:sz w:val="18"/>
          <w:szCs w:val="18"/>
        </w:rPr>
        <w:t>Het kabinet</w:t>
      </w:r>
      <w:r w:rsidR="00F30EC7">
        <w:rPr>
          <w:rFonts w:ascii="Verdana" w:hAnsi="Verdana"/>
          <w:iCs/>
          <w:sz w:val="18"/>
          <w:szCs w:val="18"/>
        </w:rPr>
        <w:t xml:space="preserve"> ziet met name </w:t>
      </w:r>
      <w:r w:rsidR="00C0005D">
        <w:rPr>
          <w:rFonts w:ascii="Verdana" w:hAnsi="Verdana"/>
          <w:iCs/>
          <w:sz w:val="18"/>
          <w:szCs w:val="18"/>
        </w:rPr>
        <w:t>kansen</w:t>
      </w:r>
      <w:r w:rsidR="00F30EC7">
        <w:rPr>
          <w:rFonts w:ascii="Verdana" w:hAnsi="Verdana"/>
          <w:iCs/>
          <w:sz w:val="18"/>
          <w:szCs w:val="18"/>
        </w:rPr>
        <w:t xml:space="preserve"> om de interne markt te versterken door </w:t>
      </w:r>
      <w:r w:rsidR="00AE23FF">
        <w:rPr>
          <w:rFonts w:ascii="Verdana" w:hAnsi="Verdana"/>
          <w:iCs/>
          <w:sz w:val="18"/>
          <w:szCs w:val="18"/>
        </w:rPr>
        <w:t>stappen te zetten richting</w:t>
      </w:r>
      <w:r w:rsidR="00B1491D">
        <w:rPr>
          <w:rFonts w:ascii="Verdana" w:hAnsi="Verdana"/>
          <w:iCs/>
          <w:sz w:val="18"/>
          <w:szCs w:val="18"/>
        </w:rPr>
        <w:t xml:space="preserve"> vervolmaking van</w:t>
      </w:r>
      <w:r w:rsidR="00AE23FF">
        <w:rPr>
          <w:rFonts w:ascii="Verdana" w:hAnsi="Verdana"/>
          <w:iCs/>
          <w:sz w:val="18"/>
          <w:szCs w:val="18"/>
        </w:rPr>
        <w:t xml:space="preserve"> </w:t>
      </w:r>
      <w:r w:rsidR="00F30EC7">
        <w:rPr>
          <w:rFonts w:ascii="Verdana" w:hAnsi="Verdana"/>
          <w:iCs/>
          <w:sz w:val="18"/>
          <w:szCs w:val="18"/>
        </w:rPr>
        <w:t xml:space="preserve">de </w:t>
      </w:r>
      <w:r w:rsidR="00F57642">
        <w:rPr>
          <w:rFonts w:ascii="Verdana" w:hAnsi="Verdana"/>
          <w:iCs/>
          <w:sz w:val="18"/>
          <w:szCs w:val="18"/>
        </w:rPr>
        <w:t>b</w:t>
      </w:r>
      <w:r w:rsidR="00F30EC7">
        <w:rPr>
          <w:rFonts w:ascii="Verdana" w:hAnsi="Verdana"/>
          <w:iCs/>
          <w:sz w:val="18"/>
          <w:szCs w:val="18"/>
        </w:rPr>
        <w:t xml:space="preserve">ankenunie, om banken </w:t>
      </w:r>
      <w:r w:rsidR="00F30EC7">
        <w:rPr>
          <w:rFonts w:ascii="Verdana" w:hAnsi="Verdana"/>
          <w:iCs/>
          <w:sz w:val="18"/>
          <w:szCs w:val="18"/>
        </w:rPr>
        <w:lastRenderedPageBreak/>
        <w:t xml:space="preserve">zodoende in staat te stellen </w:t>
      </w:r>
      <w:r w:rsidR="004A5272">
        <w:rPr>
          <w:rFonts w:ascii="Verdana" w:hAnsi="Verdana"/>
          <w:iCs/>
          <w:sz w:val="18"/>
          <w:szCs w:val="18"/>
        </w:rPr>
        <w:t xml:space="preserve">in de gehele Europese markt te concurreren en </w:t>
      </w:r>
      <w:r w:rsidR="00F30EC7">
        <w:rPr>
          <w:rFonts w:ascii="Verdana" w:hAnsi="Verdana"/>
          <w:iCs/>
          <w:sz w:val="18"/>
          <w:szCs w:val="18"/>
        </w:rPr>
        <w:t xml:space="preserve">de Europese economie </w:t>
      </w:r>
      <w:r w:rsidR="004A5272">
        <w:rPr>
          <w:rFonts w:ascii="Verdana" w:hAnsi="Verdana"/>
          <w:iCs/>
          <w:sz w:val="18"/>
          <w:szCs w:val="18"/>
        </w:rPr>
        <w:t xml:space="preserve">efficiënt </w:t>
      </w:r>
      <w:r w:rsidR="00F30EC7">
        <w:rPr>
          <w:rFonts w:ascii="Verdana" w:hAnsi="Verdana"/>
          <w:iCs/>
          <w:sz w:val="18"/>
          <w:szCs w:val="18"/>
        </w:rPr>
        <w:t>van financiering te voorzien.</w:t>
      </w:r>
      <w:r w:rsidR="004D4D5C">
        <w:rPr>
          <w:rFonts w:ascii="Verdana" w:hAnsi="Verdana"/>
          <w:iCs/>
          <w:sz w:val="18"/>
          <w:szCs w:val="18"/>
        </w:rPr>
        <w:t xml:space="preserve"> </w:t>
      </w:r>
      <w:r w:rsidR="008C0BCF">
        <w:rPr>
          <w:rFonts w:ascii="Verdana" w:hAnsi="Verdana"/>
          <w:iCs/>
          <w:sz w:val="18"/>
          <w:szCs w:val="18"/>
        </w:rPr>
        <w:br/>
      </w:r>
    </w:p>
    <w:p w:rsidR="00F74E07" w:rsidP="005E260E" w:rsidRDefault="00F74E07" w14:paraId="026791CA" w14:textId="667B229B">
      <w:pPr>
        <w:numPr>
          <w:ilvl w:val="0"/>
          <w:numId w:val="5"/>
        </w:numPr>
        <w:spacing w:line="360" w:lineRule="auto"/>
        <w:rPr>
          <w:rFonts w:ascii="Verdana" w:hAnsi="Verdana"/>
          <w:i/>
          <w:sz w:val="18"/>
          <w:szCs w:val="18"/>
        </w:rPr>
      </w:pPr>
      <w:r w:rsidRPr="00FD0CBD">
        <w:rPr>
          <w:rFonts w:ascii="Verdana" w:hAnsi="Verdana"/>
          <w:i/>
          <w:sz w:val="18"/>
          <w:szCs w:val="18"/>
        </w:rPr>
        <w:t>Beoordeling + inzet ten aanzien van dit voorstel</w:t>
      </w:r>
      <w:r w:rsidR="00C66BFF">
        <w:rPr>
          <w:rFonts w:ascii="Verdana" w:hAnsi="Verdana"/>
          <w:i/>
          <w:sz w:val="18"/>
          <w:szCs w:val="18"/>
        </w:rPr>
        <w:t xml:space="preserve"> </w:t>
      </w:r>
    </w:p>
    <w:p w:rsidR="00B01822" w:rsidP="00B01822" w:rsidRDefault="00E56199" w14:paraId="30918A0D" w14:textId="40C6A0B9">
      <w:pPr>
        <w:spacing w:line="360" w:lineRule="auto"/>
        <w:rPr>
          <w:rFonts w:ascii="Verdana" w:hAnsi="Verdana"/>
          <w:bCs/>
          <w:sz w:val="18"/>
          <w:szCs w:val="18"/>
        </w:rPr>
      </w:pPr>
      <w:r>
        <w:rPr>
          <w:rFonts w:ascii="Verdana" w:hAnsi="Verdana"/>
          <w:bCs/>
          <w:sz w:val="18"/>
          <w:szCs w:val="18"/>
        </w:rPr>
        <w:t xml:space="preserve">Het kabinet </w:t>
      </w:r>
      <w:r w:rsidR="002E28D1">
        <w:rPr>
          <w:rFonts w:ascii="Verdana" w:hAnsi="Verdana"/>
          <w:bCs/>
          <w:sz w:val="18"/>
          <w:szCs w:val="18"/>
        </w:rPr>
        <w:t xml:space="preserve">is voorstander van de </w:t>
      </w:r>
      <w:r w:rsidR="00B1491D">
        <w:rPr>
          <w:rFonts w:ascii="Verdana" w:hAnsi="Verdana"/>
          <w:bCs/>
          <w:sz w:val="18"/>
          <w:szCs w:val="18"/>
        </w:rPr>
        <w:t xml:space="preserve">in de mededeling aangekondigde </w:t>
      </w:r>
      <w:r w:rsidR="002E28D1">
        <w:rPr>
          <w:rFonts w:ascii="Verdana" w:hAnsi="Verdana"/>
          <w:bCs/>
          <w:sz w:val="18"/>
          <w:szCs w:val="18"/>
        </w:rPr>
        <w:t xml:space="preserve">herziening </w:t>
      </w:r>
      <w:r w:rsidR="00FB1D33">
        <w:rPr>
          <w:rFonts w:ascii="Verdana" w:hAnsi="Verdana"/>
          <w:bCs/>
          <w:sz w:val="18"/>
          <w:szCs w:val="18"/>
        </w:rPr>
        <w:t xml:space="preserve">van </w:t>
      </w:r>
      <w:r w:rsidR="002E28D1">
        <w:rPr>
          <w:rFonts w:ascii="Verdana" w:hAnsi="Verdana"/>
          <w:bCs/>
          <w:sz w:val="18"/>
          <w:szCs w:val="18"/>
        </w:rPr>
        <w:t>bankregelgeving, met als doel om het concurrentievermogen van Europese banken te verbeteren</w:t>
      </w:r>
      <w:r w:rsidR="00FB1D33">
        <w:rPr>
          <w:rFonts w:ascii="Verdana" w:hAnsi="Verdana"/>
          <w:bCs/>
          <w:sz w:val="18"/>
          <w:szCs w:val="18"/>
        </w:rPr>
        <w:t xml:space="preserve"> en te waarborgen dat banken hun belangrijke rol kunnen vervullen in de Europese economie</w:t>
      </w:r>
      <w:r w:rsidR="002E28D1">
        <w:rPr>
          <w:rFonts w:ascii="Verdana" w:hAnsi="Verdana"/>
          <w:bCs/>
          <w:sz w:val="18"/>
          <w:szCs w:val="18"/>
        </w:rPr>
        <w:t xml:space="preserve">. </w:t>
      </w:r>
      <w:r w:rsidR="00FB1D33">
        <w:rPr>
          <w:rFonts w:ascii="Verdana" w:hAnsi="Verdana"/>
          <w:bCs/>
          <w:sz w:val="18"/>
          <w:szCs w:val="18"/>
        </w:rPr>
        <w:t xml:space="preserve">Het kabinet is van mening dat </w:t>
      </w:r>
      <w:r w:rsidR="00B1491D">
        <w:rPr>
          <w:rFonts w:ascii="Verdana" w:hAnsi="Verdana"/>
          <w:bCs/>
          <w:sz w:val="18"/>
          <w:szCs w:val="18"/>
        </w:rPr>
        <w:t xml:space="preserve">het </w:t>
      </w:r>
      <w:r w:rsidR="00FB1D33">
        <w:rPr>
          <w:rFonts w:ascii="Verdana" w:hAnsi="Verdana"/>
          <w:bCs/>
          <w:sz w:val="18"/>
          <w:szCs w:val="18"/>
        </w:rPr>
        <w:t>concurrentievermogen</w:t>
      </w:r>
      <w:r w:rsidR="00B1491D">
        <w:rPr>
          <w:rFonts w:ascii="Verdana" w:hAnsi="Verdana"/>
          <w:bCs/>
          <w:sz w:val="18"/>
          <w:szCs w:val="18"/>
        </w:rPr>
        <w:t xml:space="preserve"> van banken</w:t>
      </w:r>
      <w:r w:rsidR="00FB1D33">
        <w:rPr>
          <w:rFonts w:ascii="Verdana" w:hAnsi="Verdana"/>
          <w:bCs/>
          <w:sz w:val="18"/>
          <w:szCs w:val="18"/>
        </w:rPr>
        <w:t xml:space="preserve"> met name verbeterd kan worden door de markt voor bankdienstverlening verder te integreren en grensoverschrijdende Europese concurrentie beter mogelijk te maken. </w:t>
      </w:r>
      <w:r w:rsidR="00B01822">
        <w:rPr>
          <w:rFonts w:ascii="Verdana" w:hAnsi="Verdana"/>
          <w:iCs/>
          <w:sz w:val="18"/>
          <w:szCs w:val="18"/>
        </w:rPr>
        <w:t>Vervolmaking van de bankenunie is onderdeel van het coalitieakkoord en zal een belangrijk onderdeel zijn van de inzet richting de Europese Commissie.</w:t>
      </w:r>
      <w:r w:rsidR="00B01822">
        <w:rPr>
          <w:rStyle w:val="FootnoteReference"/>
          <w:rFonts w:ascii="Verdana" w:hAnsi="Verdana"/>
          <w:iCs/>
          <w:sz w:val="18"/>
          <w:szCs w:val="18"/>
        </w:rPr>
        <w:footnoteReference w:id="14"/>
      </w:r>
      <w:r w:rsidR="00B01822">
        <w:rPr>
          <w:rFonts w:ascii="Verdana" w:hAnsi="Verdana"/>
          <w:iCs/>
          <w:sz w:val="18"/>
          <w:szCs w:val="18"/>
        </w:rPr>
        <w:t xml:space="preserve"> </w:t>
      </w:r>
      <w:r w:rsidR="00FB1D33">
        <w:rPr>
          <w:rFonts w:ascii="Verdana" w:hAnsi="Verdana"/>
          <w:bCs/>
          <w:sz w:val="18"/>
          <w:szCs w:val="18"/>
        </w:rPr>
        <w:t xml:space="preserve">Illustratief voor de incomplete interne markt </w:t>
      </w:r>
      <w:r w:rsidR="004D4D5C">
        <w:rPr>
          <w:rFonts w:ascii="Verdana" w:hAnsi="Verdana"/>
          <w:bCs/>
          <w:sz w:val="18"/>
          <w:szCs w:val="18"/>
        </w:rPr>
        <w:t xml:space="preserve">voor bankdiensten </w:t>
      </w:r>
      <w:r w:rsidR="00FB1D33">
        <w:rPr>
          <w:rFonts w:ascii="Verdana" w:hAnsi="Verdana"/>
          <w:bCs/>
          <w:sz w:val="18"/>
          <w:szCs w:val="18"/>
        </w:rPr>
        <w:t>is de vaststelling dat Europese banken gemiddeld meer blootstellingen hebben buiten de EU, dan naar andere lidstaten.</w:t>
      </w:r>
      <w:r w:rsidR="00FB1D33">
        <w:rPr>
          <w:rStyle w:val="FootnoteReference"/>
          <w:rFonts w:ascii="Verdana" w:hAnsi="Verdana"/>
          <w:bCs/>
          <w:sz w:val="18"/>
          <w:szCs w:val="18"/>
        </w:rPr>
        <w:footnoteReference w:id="15"/>
      </w:r>
      <w:r w:rsidR="00FB1D33">
        <w:rPr>
          <w:rFonts w:ascii="Verdana" w:hAnsi="Verdana"/>
          <w:bCs/>
          <w:sz w:val="18"/>
          <w:szCs w:val="18"/>
        </w:rPr>
        <w:t xml:space="preserve"> </w:t>
      </w:r>
      <w:r w:rsidR="002E28D1">
        <w:rPr>
          <w:rFonts w:ascii="Verdana" w:hAnsi="Verdana"/>
          <w:bCs/>
          <w:sz w:val="18"/>
          <w:szCs w:val="18"/>
        </w:rPr>
        <w:t xml:space="preserve">Het </w:t>
      </w:r>
      <w:r w:rsidR="00B1491D">
        <w:rPr>
          <w:rFonts w:ascii="Verdana" w:hAnsi="Verdana"/>
          <w:bCs/>
          <w:sz w:val="18"/>
          <w:szCs w:val="18"/>
        </w:rPr>
        <w:t xml:space="preserve">kabinet vindt het </w:t>
      </w:r>
      <w:r w:rsidR="002E28D1">
        <w:rPr>
          <w:rFonts w:ascii="Verdana" w:hAnsi="Verdana"/>
          <w:bCs/>
          <w:sz w:val="18"/>
          <w:szCs w:val="18"/>
        </w:rPr>
        <w:t xml:space="preserve">daarnaast </w:t>
      </w:r>
      <w:r w:rsidR="00F13387">
        <w:rPr>
          <w:rFonts w:ascii="Verdana" w:hAnsi="Verdana"/>
          <w:bCs/>
          <w:sz w:val="18"/>
          <w:szCs w:val="18"/>
        </w:rPr>
        <w:t>belangrijk</w:t>
      </w:r>
      <w:r w:rsidR="002E28D1">
        <w:rPr>
          <w:rFonts w:ascii="Verdana" w:hAnsi="Verdana"/>
          <w:bCs/>
          <w:sz w:val="18"/>
          <w:szCs w:val="18"/>
        </w:rPr>
        <w:t xml:space="preserve"> dat de Commissie de complexe regelgeving </w:t>
      </w:r>
      <w:r w:rsidR="00B1491D">
        <w:rPr>
          <w:rFonts w:ascii="Verdana" w:hAnsi="Verdana"/>
          <w:bCs/>
          <w:sz w:val="18"/>
          <w:szCs w:val="18"/>
        </w:rPr>
        <w:t xml:space="preserve">voor banken </w:t>
      </w:r>
      <w:r w:rsidR="002E28D1">
        <w:rPr>
          <w:rFonts w:ascii="Verdana" w:hAnsi="Verdana"/>
          <w:bCs/>
          <w:sz w:val="18"/>
          <w:szCs w:val="18"/>
        </w:rPr>
        <w:t>tegen het licht houdt</w:t>
      </w:r>
      <w:r w:rsidR="00F13387">
        <w:rPr>
          <w:rFonts w:ascii="Verdana" w:hAnsi="Verdana"/>
          <w:bCs/>
          <w:sz w:val="18"/>
          <w:szCs w:val="18"/>
        </w:rPr>
        <w:t xml:space="preserve"> </w:t>
      </w:r>
      <w:r w:rsidR="002E28D1">
        <w:rPr>
          <w:rFonts w:ascii="Verdana" w:hAnsi="Verdana"/>
          <w:bCs/>
          <w:sz w:val="18"/>
          <w:szCs w:val="18"/>
        </w:rPr>
        <w:t xml:space="preserve">en deze regelgeving waar mogelijk </w:t>
      </w:r>
      <w:r w:rsidR="00B1491D">
        <w:rPr>
          <w:rFonts w:ascii="Verdana" w:hAnsi="Verdana"/>
          <w:bCs/>
          <w:sz w:val="18"/>
          <w:szCs w:val="18"/>
        </w:rPr>
        <w:t>versimpelt</w:t>
      </w:r>
      <w:r w:rsidR="00447C7A">
        <w:rPr>
          <w:rFonts w:ascii="Verdana" w:hAnsi="Verdana"/>
          <w:bCs/>
          <w:sz w:val="18"/>
          <w:szCs w:val="18"/>
        </w:rPr>
        <w:t xml:space="preserve"> met regeldrukvermindering als gevolg</w:t>
      </w:r>
      <w:r w:rsidR="002E28D1">
        <w:rPr>
          <w:rFonts w:ascii="Verdana" w:hAnsi="Verdana"/>
          <w:bCs/>
          <w:sz w:val="18"/>
          <w:szCs w:val="18"/>
        </w:rPr>
        <w:t>.</w:t>
      </w:r>
      <w:r w:rsidRPr="00B01822" w:rsidR="00B01822">
        <w:rPr>
          <w:rStyle w:val="FootnoteReference"/>
          <w:rFonts w:ascii="Verdana" w:hAnsi="Verdana"/>
          <w:iCs/>
          <w:sz w:val="18"/>
          <w:szCs w:val="18"/>
        </w:rPr>
        <w:t xml:space="preserve"> </w:t>
      </w:r>
      <w:r w:rsidR="00B01822">
        <w:rPr>
          <w:rStyle w:val="FootnoteReference"/>
          <w:rFonts w:ascii="Verdana" w:hAnsi="Verdana"/>
          <w:iCs/>
          <w:sz w:val="18"/>
          <w:szCs w:val="18"/>
        </w:rPr>
        <w:footnoteReference w:id="16"/>
      </w:r>
      <w:r w:rsidR="002E28D1">
        <w:rPr>
          <w:rFonts w:ascii="Verdana" w:hAnsi="Verdana"/>
          <w:bCs/>
          <w:sz w:val="18"/>
          <w:szCs w:val="18"/>
        </w:rPr>
        <w:t xml:space="preserve"> </w:t>
      </w:r>
      <w:r w:rsidR="00B01822">
        <w:rPr>
          <w:rFonts w:ascii="Verdana" w:hAnsi="Verdana"/>
          <w:iCs/>
          <w:sz w:val="18"/>
          <w:szCs w:val="18"/>
        </w:rPr>
        <w:t>Hierbij zal het kabinet benadrukken het belangrijk te vinden om oog te houden voor het belang van internationale standaarden en weerbare banken voor de financiële stabiliteit.</w:t>
      </w:r>
    </w:p>
    <w:p w:rsidR="00E56199" w:rsidP="006012D0" w:rsidRDefault="002E28D1" w14:paraId="138F4108" w14:textId="5A69D0E4">
      <w:pPr>
        <w:spacing w:line="360" w:lineRule="auto"/>
        <w:rPr>
          <w:rFonts w:ascii="Verdana" w:hAnsi="Verdana"/>
          <w:bCs/>
          <w:sz w:val="18"/>
          <w:szCs w:val="18"/>
        </w:rPr>
      </w:pPr>
      <w:r>
        <w:rPr>
          <w:rFonts w:ascii="Verdana" w:hAnsi="Verdana"/>
          <w:bCs/>
          <w:sz w:val="18"/>
          <w:szCs w:val="18"/>
        </w:rPr>
        <w:t xml:space="preserve">Het kabinet steunt </w:t>
      </w:r>
      <w:r w:rsidR="00B1491D">
        <w:rPr>
          <w:rFonts w:ascii="Verdana" w:hAnsi="Verdana"/>
          <w:bCs/>
          <w:sz w:val="18"/>
          <w:szCs w:val="18"/>
        </w:rPr>
        <w:t xml:space="preserve">ook de </w:t>
      </w:r>
      <w:r>
        <w:rPr>
          <w:rFonts w:ascii="Verdana" w:hAnsi="Verdana"/>
          <w:bCs/>
          <w:sz w:val="18"/>
          <w:szCs w:val="18"/>
        </w:rPr>
        <w:t>doelstelling</w:t>
      </w:r>
      <w:r w:rsidR="00E40E97">
        <w:rPr>
          <w:rFonts w:ascii="Verdana" w:hAnsi="Verdana"/>
          <w:bCs/>
          <w:sz w:val="18"/>
          <w:szCs w:val="18"/>
        </w:rPr>
        <w:t xml:space="preserve"> om meer regels op te nemen in een verordening</w:t>
      </w:r>
      <w:r w:rsidR="009D1806">
        <w:rPr>
          <w:rFonts w:ascii="Verdana" w:hAnsi="Verdana"/>
          <w:bCs/>
          <w:sz w:val="18"/>
          <w:szCs w:val="18"/>
        </w:rPr>
        <w:t xml:space="preserve"> in plaats van richtlijnen</w:t>
      </w:r>
      <w:r w:rsidR="001E727D">
        <w:rPr>
          <w:rFonts w:ascii="Verdana" w:hAnsi="Verdana"/>
          <w:bCs/>
          <w:sz w:val="18"/>
          <w:szCs w:val="18"/>
        </w:rPr>
        <w:t xml:space="preserve">. </w:t>
      </w:r>
      <w:r w:rsidRPr="001E727D" w:rsidR="001E727D">
        <w:rPr>
          <w:rFonts w:ascii="Verdana" w:hAnsi="Verdana"/>
          <w:bCs/>
          <w:sz w:val="18"/>
          <w:szCs w:val="18"/>
        </w:rPr>
        <w:t>Het kabinet</w:t>
      </w:r>
      <w:r w:rsidR="001E727D">
        <w:rPr>
          <w:rFonts w:ascii="Verdana" w:hAnsi="Verdana"/>
          <w:bCs/>
          <w:sz w:val="18"/>
          <w:szCs w:val="18"/>
        </w:rPr>
        <w:t xml:space="preserve"> is</w:t>
      </w:r>
      <w:r w:rsidRPr="001E727D" w:rsidR="001E727D">
        <w:rPr>
          <w:rFonts w:ascii="Verdana" w:hAnsi="Verdana"/>
          <w:bCs/>
          <w:sz w:val="18"/>
          <w:szCs w:val="18"/>
        </w:rPr>
        <w:t xml:space="preserve"> in het algemeen</w:t>
      </w:r>
      <w:r w:rsidR="001E727D">
        <w:rPr>
          <w:rFonts w:ascii="Verdana" w:hAnsi="Verdana"/>
          <w:bCs/>
          <w:sz w:val="18"/>
          <w:szCs w:val="18"/>
        </w:rPr>
        <w:t xml:space="preserve"> voorstander van</w:t>
      </w:r>
      <w:r w:rsidRPr="001E727D" w:rsidR="001E727D">
        <w:rPr>
          <w:rFonts w:ascii="Verdana" w:hAnsi="Verdana"/>
          <w:bCs/>
          <w:sz w:val="18"/>
          <w:szCs w:val="18"/>
        </w:rPr>
        <w:t xml:space="preserve"> een geharmoniseerde toepassing van regels en ziet daartoe de vervanging van richtlijnen door verordeningen als belangrijk middel, mits dit passend is in de context van consumentenbescherming.</w:t>
      </w:r>
      <w:r w:rsidR="001E727D">
        <w:rPr>
          <w:rFonts w:ascii="Verdana" w:hAnsi="Verdana"/>
          <w:bCs/>
          <w:sz w:val="18"/>
          <w:szCs w:val="18"/>
        </w:rPr>
        <w:t xml:space="preserve"> Verder steunt het kabinet de doelstelling</w:t>
      </w:r>
      <w:r w:rsidR="00F13387">
        <w:rPr>
          <w:rFonts w:ascii="Verdana" w:hAnsi="Verdana"/>
          <w:bCs/>
          <w:sz w:val="18"/>
          <w:szCs w:val="18"/>
        </w:rPr>
        <w:t xml:space="preserve"> </w:t>
      </w:r>
      <w:r w:rsidR="00B1491D">
        <w:rPr>
          <w:rFonts w:ascii="Verdana" w:hAnsi="Verdana"/>
          <w:bCs/>
          <w:sz w:val="18"/>
          <w:szCs w:val="18"/>
        </w:rPr>
        <w:t>om de</w:t>
      </w:r>
      <w:r w:rsidR="00F13387">
        <w:rPr>
          <w:rFonts w:ascii="Verdana" w:hAnsi="Verdana"/>
          <w:bCs/>
          <w:sz w:val="18"/>
          <w:szCs w:val="18"/>
        </w:rPr>
        <w:t xml:space="preserve"> </w:t>
      </w:r>
      <w:r w:rsidR="00E40E97">
        <w:rPr>
          <w:rFonts w:ascii="Verdana" w:hAnsi="Verdana"/>
          <w:bCs/>
          <w:sz w:val="18"/>
          <w:szCs w:val="18"/>
        </w:rPr>
        <w:t>context van</w:t>
      </w:r>
      <w:r w:rsidR="00F13387">
        <w:rPr>
          <w:rFonts w:ascii="Verdana" w:hAnsi="Verdana"/>
          <w:bCs/>
          <w:sz w:val="18"/>
          <w:szCs w:val="18"/>
        </w:rPr>
        <w:t xml:space="preserve"> Europese banken </w:t>
      </w:r>
      <w:r w:rsidR="00E40E97">
        <w:rPr>
          <w:rFonts w:ascii="Verdana" w:hAnsi="Verdana"/>
          <w:bCs/>
          <w:sz w:val="18"/>
          <w:szCs w:val="18"/>
        </w:rPr>
        <w:t xml:space="preserve">ten opzichte van hun niet-Europese concurrenten </w:t>
      </w:r>
      <w:r w:rsidR="00F13387">
        <w:rPr>
          <w:rFonts w:ascii="Verdana" w:hAnsi="Verdana"/>
          <w:bCs/>
          <w:sz w:val="18"/>
          <w:szCs w:val="18"/>
        </w:rPr>
        <w:t xml:space="preserve">in acht </w:t>
      </w:r>
      <w:r w:rsidR="00B1491D">
        <w:rPr>
          <w:rFonts w:ascii="Verdana" w:hAnsi="Verdana"/>
          <w:bCs/>
          <w:sz w:val="18"/>
          <w:szCs w:val="18"/>
        </w:rPr>
        <w:t xml:space="preserve">te nemen bij de implementatie van internationale standaarden. Tegelijkertijd </w:t>
      </w:r>
      <w:r w:rsidR="00F13387">
        <w:rPr>
          <w:rFonts w:ascii="Verdana" w:hAnsi="Verdana"/>
          <w:bCs/>
          <w:sz w:val="18"/>
          <w:szCs w:val="18"/>
        </w:rPr>
        <w:t xml:space="preserve">hecht </w:t>
      </w:r>
      <w:r w:rsidR="00B1491D">
        <w:rPr>
          <w:rFonts w:ascii="Verdana" w:hAnsi="Verdana"/>
          <w:bCs/>
          <w:sz w:val="18"/>
          <w:szCs w:val="18"/>
        </w:rPr>
        <w:t xml:space="preserve">het kabinet </w:t>
      </w:r>
      <w:r w:rsidR="00F13387">
        <w:rPr>
          <w:rFonts w:ascii="Verdana" w:hAnsi="Verdana"/>
          <w:bCs/>
          <w:sz w:val="18"/>
          <w:szCs w:val="18"/>
        </w:rPr>
        <w:t xml:space="preserve">ook </w:t>
      </w:r>
      <w:r w:rsidR="004D4D5C">
        <w:rPr>
          <w:rFonts w:ascii="Verdana" w:hAnsi="Verdana"/>
          <w:bCs/>
          <w:sz w:val="18"/>
          <w:szCs w:val="18"/>
        </w:rPr>
        <w:t xml:space="preserve">veel waarde </w:t>
      </w:r>
      <w:r w:rsidR="00F13387">
        <w:rPr>
          <w:rFonts w:ascii="Verdana" w:hAnsi="Verdana"/>
          <w:bCs/>
          <w:sz w:val="18"/>
          <w:szCs w:val="18"/>
        </w:rPr>
        <w:t>aan de</w:t>
      </w:r>
      <w:r w:rsidR="00B1491D">
        <w:rPr>
          <w:rFonts w:ascii="Verdana" w:hAnsi="Verdana"/>
          <w:bCs/>
          <w:sz w:val="18"/>
          <w:szCs w:val="18"/>
        </w:rPr>
        <w:t xml:space="preserve"> </w:t>
      </w:r>
      <w:r w:rsidR="004D4D5C">
        <w:rPr>
          <w:rFonts w:ascii="Verdana" w:hAnsi="Verdana"/>
          <w:bCs/>
          <w:sz w:val="18"/>
          <w:szCs w:val="18"/>
        </w:rPr>
        <w:t xml:space="preserve">belangrijke </w:t>
      </w:r>
      <w:r w:rsidR="00B1491D">
        <w:rPr>
          <w:rFonts w:ascii="Verdana" w:hAnsi="Verdana"/>
          <w:bCs/>
          <w:sz w:val="18"/>
          <w:szCs w:val="18"/>
        </w:rPr>
        <w:t>bijdrage die deze</w:t>
      </w:r>
      <w:r w:rsidR="00F13387">
        <w:rPr>
          <w:rFonts w:ascii="Verdana" w:hAnsi="Verdana"/>
          <w:bCs/>
          <w:sz w:val="18"/>
          <w:szCs w:val="18"/>
        </w:rPr>
        <w:t xml:space="preserve"> </w:t>
      </w:r>
      <w:r>
        <w:rPr>
          <w:rFonts w:ascii="Verdana" w:hAnsi="Verdana"/>
          <w:bCs/>
          <w:sz w:val="18"/>
          <w:szCs w:val="18"/>
        </w:rPr>
        <w:t>internationale standaarden</w:t>
      </w:r>
      <w:r w:rsidR="00B1491D">
        <w:rPr>
          <w:rFonts w:ascii="Verdana" w:hAnsi="Verdana"/>
          <w:bCs/>
          <w:sz w:val="18"/>
          <w:szCs w:val="18"/>
        </w:rPr>
        <w:t xml:space="preserve"> leveren</w:t>
      </w:r>
      <w:r>
        <w:rPr>
          <w:rFonts w:ascii="Verdana" w:hAnsi="Verdana"/>
          <w:bCs/>
          <w:sz w:val="18"/>
          <w:szCs w:val="18"/>
        </w:rPr>
        <w:t xml:space="preserve"> aan de weerbaarheid van de financiële sector</w:t>
      </w:r>
      <w:r w:rsidR="00DE649F">
        <w:rPr>
          <w:rFonts w:ascii="Verdana" w:hAnsi="Verdana"/>
          <w:bCs/>
          <w:sz w:val="18"/>
          <w:szCs w:val="18"/>
        </w:rPr>
        <w:t xml:space="preserve"> en een internationaal gelijk speelveld</w:t>
      </w:r>
      <w:r>
        <w:rPr>
          <w:rFonts w:ascii="Verdana" w:hAnsi="Verdana"/>
          <w:bCs/>
          <w:sz w:val="18"/>
          <w:szCs w:val="18"/>
        </w:rPr>
        <w:t>.</w:t>
      </w:r>
      <w:r w:rsidR="00E56199">
        <w:rPr>
          <w:rFonts w:ascii="Verdana" w:hAnsi="Verdana"/>
          <w:bCs/>
          <w:sz w:val="18"/>
          <w:szCs w:val="18"/>
        </w:rPr>
        <w:t xml:space="preserve"> </w:t>
      </w:r>
      <w:r w:rsidR="00DF2455">
        <w:rPr>
          <w:rFonts w:ascii="Verdana" w:hAnsi="Verdana"/>
          <w:bCs/>
          <w:sz w:val="18"/>
          <w:szCs w:val="18"/>
        </w:rPr>
        <w:t>Recent nog concludeerde DNB dat d</w:t>
      </w:r>
      <w:r w:rsidR="00665860">
        <w:rPr>
          <w:rFonts w:ascii="Verdana" w:hAnsi="Verdana"/>
          <w:bCs/>
          <w:sz w:val="18"/>
          <w:szCs w:val="18"/>
        </w:rPr>
        <w:t>e weerbaarheid van de bankensector, met adequate kapitaal- en liquiditeitsbuffers, op lange termijn bij</w:t>
      </w:r>
      <w:r w:rsidR="00DF2455">
        <w:rPr>
          <w:rFonts w:ascii="Verdana" w:hAnsi="Verdana"/>
          <w:bCs/>
          <w:sz w:val="18"/>
          <w:szCs w:val="18"/>
        </w:rPr>
        <w:t>draagt</w:t>
      </w:r>
      <w:r w:rsidR="00665860">
        <w:rPr>
          <w:rFonts w:ascii="Verdana" w:hAnsi="Verdana"/>
          <w:bCs/>
          <w:sz w:val="18"/>
          <w:szCs w:val="18"/>
        </w:rPr>
        <w:t xml:space="preserve"> aan het concurrentievermogen van de sector en de mogelijkheid om de economie te financieren, ook in slechte tijden.</w:t>
      </w:r>
      <w:r w:rsidR="00DF2455">
        <w:rPr>
          <w:rStyle w:val="FootnoteReference"/>
          <w:rFonts w:ascii="Verdana" w:hAnsi="Verdana"/>
          <w:bCs/>
          <w:sz w:val="18"/>
          <w:szCs w:val="18"/>
        </w:rPr>
        <w:footnoteReference w:id="17"/>
      </w:r>
      <w:r w:rsidR="00665860">
        <w:rPr>
          <w:rFonts w:ascii="Verdana" w:hAnsi="Verdana"/>
          <w:bCs/>
          <w:sz w:val="18"/>
          <w:szCs w:val="18"/>
        </w:rPr>
        <w:t xml:space="preserve"> </w:t>
      </w:r>
      <w:r w:rsidR="00A75218">
        <w:rPr>
          <w:rFonts w:ascii="Verdana" w:hAnsi="Verdana"/>
          <w:bCs/>
          <w:sz w:val="18"/>
          <w:szCs w:val="18"/>
        </w:rPr>
        <w:t xml:space="preserve">De impact van prudentiële regelgeving op financieringslasten is beperkt, al benoemt DNB dat </w:t>
      </w:r>
      <w:r w:rsidR="00DE7049">
        <w:rPr>
          <w:rFonts w:ascii="Verdana" w:hAnsi="Verdana"/>
          <w:bCs/>
          <w:sz w:val="18"/>
          <w:szCs w:val="18"/>
        </w:rPr>
        <w:t>regelgeving wel de keuze van banken in de allocatie van de financiering kan beïnvloeden</w:t>
      </w:r>
      <w:r w:rsidR="00A75218">
        <w:rPr>
          <w:rFonts w:ascii="Verdana" w:hAnsi="Verdana"/>
          <w:bCs/>
          <w:sz w:val="18"/>
          <w:szCs w:val="18"/>
        </w:rPr>
        <w:t>. Voorstellen</w:t>
      </w:r>
      <w:r w:rsidR="004244E0">
        <w:rPr>
          <w:rFonts w:ascii="Verdana" w:hAnsi="Verdana"/>
          <w:bCs/>
          <w:sz w:val="18"/>
          <w:szCs w:val="18"/>
        </w:rPr>
        <w:t xml:space="preserve"> moet</w:t>
      </w:r>
      <w:r w:rsidR="0090415B">
        <w:rPr>
          <w:rFonts w:ascii="Verdana" w:hAnsi="Verdana"/>
          <w:bCs/>
          <w:sz w:val="18"/>
          <w:szCs w:val="18"/>
        </w:rPr>
        <w:t>en</w:t>
      </w:r>
      <w:r w:rsidR="004244E0">
        <w:rPr>
          <w:rFonts w:ascii="Verdana" w:hAnsi="Verdana"/>
          <w:bCs/>
          <w:sz w:val="18"/>
          <w:szCs w:val="18"/>
        </w:rPr>
        <w:t xml:space="preserve"> daarom </w:t>
      </w:r>
      <w:r w:rsidRPr="004244E0" w:rsidR="004244E0">
        <w:rPr>
          <w:rFonts w:ascii="Verdana" w:hAnsi="Verdana"/>
          <w:bCs/>
          <w:sz w:val="18"/>
          <w:szCs w:val="18"/>
        </w:rPr>
        <w:t xml:space="preserve">balans </w:t>
      </w:r>
      <w:r w:rsidR="00A75218">
        <w:rPr>
          <w:rFonts w:ascii="Verdana" w:hAnsi="Verdana"/>
          <w:bCs/>
          <w:sz w:val="18"/>
          <w:szCs w:val="18"/>
        </w:rPr>
        <w:t xml:space="preserve">houden </w:t>
      </w:r>
      <w:r w:rsidRPr="004244E0" w:rsidR="004244E0">
        <w:rPr>
          <w:rFonts w:ascii="Verdana" w:hAnsi="Verdana"/>
          <w:bCs/>
          <w:sz w:val="18"/>
          <w:szCs w:val="18"/>
        </w:rPr>
        <w:t>tussen het in acht nemen van de specifieke kenmerken van de E</w:t>
      </w:r>
      <w:r w:rsidR="004244E0">
        <w:rPr>
          <w:rFonts w:ascii="Verdana" w:hAnsi="Verdana"/>
          <w:bCs/>
          <w:sz w:val="18"/>
          <w:szCs w:val="18"/>
        </w:rPr>
        <w:t>uropese</w:t>
      </w:r>
      <w:r w:rsidRPr="004244E0" w:rsidR="004244E0">
        <w:rPr>
          <w:rFonts w:ascii="Verdana" w:hAnsi="Verdana"/>
          <w:bCs/>
          <w:sz w:val="18"/>
          <w:szCs w:val="18"/>
        </w:rPr>
        <w:t xml:space="preserve"> bankensector en een adequate implementatie van internationale standaarden, die </w:t>
      </w:r>
      <w:r w:rsidR="00C32971">
        <w:rPr>
          <w:rFonts w:ascii="Verdana" w:hAnsi="Verdana"/>
          <w:bCs/>
          <w:sz w:val="18"/>
          <w:szCs w:val="18"/>
        </w:rPr>
        <w:t>beogen</w:t>
      </w:r>
      <w:r w:rsidRPr="004244E0" w:rsidR="004244E0">
        <w:rPr>
          <w:rFonts w:ascii="Verdana" w:hAnsi="Verdana"/>
          <w:bCs/>
          <w:sz w:val="18"/>
          <w:szCs w:val="18"/>
        </w:rPr>
        <w:t xml:space="preserve"> een wereldwijd weerbare bankensector te borgen</w:t>
      </w:r>
      <w:r w:rsidR="004244E0">
        <w:rPr>
          <w:rFonts w:ascii="Verdana" w:hAnsi="Verdana"/>
          <w:bCs/>
          <w:sz w:val="18"/>
          <w:szCs w:val="18"/>
        </w:rPr>
        <w:t xml:space="preserve">. </w:t>
      </w:r>
      <w:r w:rsidR="00F13387">
        <w:rPr>
          <w:rFonts w:ascii="Verdana" w:hAnsi="Verdana"/>
          <w:bCs/>
          <w:sz w:val="18"/>
          <w:szCs w:val="18"/>
        </w:rPr>
        <w:t xml:space="preserve">Het kabinet deelt de analyse van de Europese Commissie dat fragmentatie, </w:t>
      </w:r>
      <w:r w:rsidR="00E40E97">
        <w:rPr>
          <w:rFonts w:ascii="Verdana" w:hAnsi="Verdana"/>
          <w:bCs/>
          <w:sz w:val="18"/>
          <w:szCs w:val="18"/>
        </w:rPr>
        <w:t>de context</w:t>
      </w:r>
      <w:r w:rsidR="00F13387">
        <w:rPr>
          <w:rFonts w:ascii="Verdana" w:hAnsi="Verdana"/>
          <w:bCs/>
          <w:sz w:val="18"/>
          <w:szCs w:val="18"/>
        </w:rPr>
        <w:t xml:space="preserve"> van Europese banken en de complexiteit van het raamwerk uitdagingen zijn die moeten worden geadresseerd. Vooruitgang ten aanzien van deze drie uitdagingen vereist nadrukkelijk een integraal pakket waarin belangen tegen elkaar worden afgewogen. Vandaar dat het kabinet zich ervoor zal inzetten dat wetsvoorstellen voor versimpeling en voor verdere integratie in samenhang </w:t>
      </w:r>
      <w:r w:rsidR="00A2190C">
        <w:rPr>
          <w:rFonts w:ascii="Verdana" w:hAnsi="Verdana"/>
          <w:bCs/>
          <w:sz w:val="18"/>
          <w:szCs w:val="18"/>
        </w:rPr>
        <w:t>worden</w:t>
      </w:r>
      <w:r w:rsidR="00F13387">
        <w:rPr>
          <w:rFonts w:ascii="Verdana" w:hAnsi="Verdana"/>
          <w:bCs/>
          <w:sz w:val="18"/>
          <w:szCs w:val="18"/>
        </w:rPr>
        <w:t xml:space="preserve"> bezien en behandeld. </w:t>
      </w:r>
      <w:r w:rsidRPr="00D7055B" w:rsidR="002C4DA9">
        <w:rPr>
          <w:rFonts w:ascii="Verdana" w:hAnsi="Verdana"/>
          <w:bCs/>
          <w:sz w:val="18"/>
          <w:szCs w:val="18"/>
        </w:rPr>
        <w:t xml:space="preserve">Maatregelen ter verbetering van het </w:t>
      </w:r>
      <w:r w:rsidRPr="00D7055B" w:rsidR="002C4DA9">
        <w:rPr>
          <w:rFonts w:ascii="Verdana" w:hAnsi="Verdana"/>
          <w:bCs/>
          <w:sz w:val="18"/>
          <w:szCs w:val="18"/>
        </w:rPr>
        <w:lastRenderedPageBreak/>
        <w:t xml:space="preserve">concurrentievermogen moeten voordelen opleveren die door banken worden doorgegeven aan de samenleving, het bedrijfsleven </w:t>
      </w:r>
      <w:r w:rsidR="002C4DA9">
        <w:rPr>
          <w:rFonts w:ascii="Verdana" w:hAnsi="Verdana"/>
          <w:bCs/>
          <w:sz w:val="18"/>
          <w:szCs w:val="18"/>
        </w:rPr>
        <w:t xml:space="preserve">(waaronder het mkb) </w:t>
      </w:r>
      <w:r w:rsidRPr="00D7055B" w:rsidR="002C4DA9">
        <w:rPr>
          <w:rFonts w:ascii="Verdana" w:hAnsi="Verdana"/>
          <w:bCs/>
          <w:sz w:val="18"/>
          <w:szCs w:val="18"/>
        </w:rPr>
        <w:t xml:space="preserve">en consumenten. </w:t>
      </w:r>
      <w:r w:rsidR="002C4DA9">
        <w:rPr>
          <w:rFonts w:ascii="Verdana" w:hAnsi="Verdana"/>
          <w:bCs/>
          <w:sz w:val="18"/>
          <w:szCs w:val="18"/>
        </w:rPr>
        <w:t>Dit kan</w:t>
      </w:r>
      <w:r w:rsidRPr="00D7055B" w:rsidR="002C4DA9">
        <w:rPr>
          <w:rFonts w:ascii="Verdana" w:hAnsi="Verdana"/>
          <w:bCs/>
          <w:sz w:val="18"/>
          <w:szCs w:val="18"/>
        </w:rPr>
        <w:t xml:space="preserve"> leiden tot een betere en betaalbaardere kredietverlening en verbeterde bankdiensten.</w:t>
      </w:r>
    </w:p>
    <w:p w:rsidR="002E28D1" w:rsidP="006012D0" w:rsidRDefault="002E28D1" w14:paraId="0C21FE5F" w14:textId="77777777">
      <w:pPr>
        <w:spacing w:line="360" w:lineRule="auto"/>
        <w:rPr>
          <w:rFonts w:ascii="Verdana" w:hAnsi="Verdana"/>
          <w:bCs/>
          <w:sz w:val="18"/>
          <w:szCs w:val="18"/>
        </w:rPr>
      </w:pPr>
    </w:p>
    <w:p w:rsidR="000D755F" w:rsidP="00993A0D" w:rsidRDefault="00DB0142" w14:paraId="503F57B4" w14:textId="345ABF02">
      <w:pPr>
        <w:spacing w:line="360" w:lineRule="auto"/>
        <w:rPr>
          <w:rFonts w:ascii="Verdana" w:hAnsi="Verdana"/>
          <w:sz w:val="18"/>
          <w:szCs w:val="18"/>
        </w:rPr>
      </w:pPr>
      <w:r w:rsidRPr="00DB5F1D">
        <w:rPr>
          <w:rFonts w:ascii="Verdana" w:hAnsi="Verdana"/>
          <w:sz w:val="18"/>
          <w:szCs w:val="18"/>
        </w:rPr>
        <w:t xml:space="preserve">Het kabinet verwelkomt </w:t>
      </w:r>
      <w:r w:rsidR="005C6D16">
        <w:rPr>
          <w:rFonts w:ascii="Verdana" w:hAnsi="Verdana"/>
          <w:sz w:val="18"/>
          <w:szCs w:val="18"/>
        </w:rPr>
        <w:t>dat de Commissie prioriteit wil geven aan</w:t>
      </w:r>
      <w:r w:rsidRPr="00DB5F1D">
        <w:rPr>
          <w:rFonts w:ascii="Verdana" w:hAnsi="Verdana"/>
          <w:sz w:val="18"/>
          <w:szCs w:val="18"/>
        </w:rPr>
        <w:t xml:space="preserve"> verdere grensoverschrijdende marktintegratie. </w:t>
      </w:r>
      <w:r>
        <w:rPr>
          <w:rFonts w:ascii="Verdana" w:hAnsi="Verdana"/>
          <w:sz w:val="18"/>
          <w:szCs w:val="18"/>
        </w:rPr>
        <w:t xml:space="preserve">Voor het kabinet </w:t>
      </w:r>
      <w:r w:rsidR="005C6D16">
        <w:rPr>
          <w:rFonts w:ascii="Verdana" w:hAnsi="Verdana"/>
          <w:sz w:val="18"/>
          <w:szCs w:val="18"/>
        </w:rPr>
        <w:t xml:space="preserve">is </w:t>
      </w:r>
      <w:r w:rsidR="006D62AE">
        <w:rPr>
          <w:rFonts w:ascii="Verdana" w:hAnsi="Verdana"/>
          <w:sz w:val="18"/>
          <w:szCs w:val="18"/>
        </w:rPr>
        <w:t xml:space="preserve">meer </w:t>
      </w:r>
      <w:r w:rsidR="00AB0595">
        <w:rPr>
          <w:rFonts w:ascii="Verdana" w:hAnsi="Verdana"/>
          <w:sz w:val="18"/>
          <w:szCs w:val="18"/>
        </w:rPr>
        <w:t xml:space="preserve">grensoverschrijdende dienstverlening een belangrijk middel </w:t>
      </w:r>
      <w:r w:rsidRPr="00DB5F1D" w:rsidR="00AB0595">
        <w:rPr>
          <w:rFonts w:ascii="Verdana" w:hAnsi="Verdana"/>
          <w:sz w:val="18"/>
          <w:szCs w:val="18"/>
        </w:rPr>
        <w:t>om meer Europees concurrentievermogen</w:t>
      </w:r>
      <w:r w:rsidR="00AB0595">
        <w:rPr>
          <w:rFonts w:ascii="Verdana" w:hAnsi="Verdana"/>
          <w:sz w:val="18"/>
          <w:szCs w:val="18"/>
        </w:rPr>
        <w:t xml:space="preserve"> én internationale concurrentie</w:t>
      </w:r>
      <w:r w:rsidRPr="00DB5F1D" w:rsidR="00AB0595">
        <w:rPr>
          <w:rFonts w:ascii="Verdana" w:hAnsi="Verdana"/>
          <w:sz w:val="18"/>
          <w:szCs w:val="18"/>
        </w:rPr>
        <w:t xml:space="preserve"> te creëren.</w:t>
      </w:r>
      <w:r w:rsidR="00C81731">
        <w:rPr>
          <w:rFonts w:ascii="Verdana" w:hAnsi="Verdana"/>
          <w:sz w:val="18"/>
          <w:szCs w:val="18"/>
        </w:rPr>
        <w:t xml:space="preserve"> Het kabinet is van mening dat </w:t>
      </w:r>
      <w:r w:rsidR="002576C9">
        <w:rPr>
          <w:rFonts w:ascii="Verdana" w:hAnsi="Verdana"/>
          <w:sz w:val="18"/>
          <w:szCs w:val="18"/>
        </w:rPr>
        <w:t>meer</w:t>
      </w:r>
      <w:r w:rsidR="00C81731">
        <w:rPr>
          <w:rFonts w:ascii="Verdana" w:hAnsi="Verdana"/>
          <w:sz w:val="18"/>
          <w:szCs w:val="18"/>
        </w:rPr>
        <w:t xml:space="preserve"> grensoverschrijdende bankdienstverlening leidt </w:t>
      </w:r>
      <w:r w:rsidR="00454893">
        <w:rPr>
          <w:rFonts w:ascii="Verdana" w:hAnsi="Verdana"/>
          <w:sz w:val="18"/>
          <w:szCs w:val="18"/>
        </w:rPr>
        <w:t xml:space="preserve">tot </w:t>
      </w:r>
      <w:r w:rsidR="00C81731">
        <w:rPr>
          <w:rFonts w:ascii="Verdana" w:hAnsi="Verdana"/>
          <w:sz w:val="18"/>
          <w:szCs w:val="18"/>
        </w:rPr>
        <w:t>efficiënte</w:t>
      </w:r>
      <w:r w:rsidR="002576C9">
        <w:rPr>
          <w:rFonts w:ascii="Verdana" w:hAnsi="Verdana"/>
          <w:sz w:val="18"/>
          <w:szCs w:val="18"/>
        </w:rPr>
        <w:t>re</w:t>
      </w:r>
      <w:r w:rsidR="00C81731">
        <w:rPr>
          <w:rFonts w:ascii="Verdana" w:hAnsi="Verdana"/>
          <w:sz w:val="18"/>
          <w:szCs w:val="18"/>
        </w:rPr>
        <w:t xml:space="preserve"> allocatie van ban</w:t>
      </w:r>
      <w:r w:rsidR="002576C9">
        <w:rPr>
          <w:rFonts w:ascii="Verdana" w:hAnsi="Verdana"/>
          <w:sz w:val="18"/>
          <w:szCs w:val="18"/>
        </w:rPr>
        <w:t xml:space="preserve">cair kapitaal, </w:t>
      </w:r>
      <w:r w:rsidR="00C81731">
        <w:rPr>
          <w:rFonts w:ascii="Verdana" w:hAnsi="Verdana"/>
          <w:sz w:val="18"/>
          <w:szCs w:val="18"/>
        </w:rPr>
        <w:t xml:space="preserve">wat </w:t>
      </w:r>
      <w:r w:rsidR="002576C9">
        <w:rPr>
          <w:rFonts w:ascii="Verdana" w:hAnsi="Verdana"/>
          <w:sz w:val="18"/>
          <w:szCs w:val="18"/>
        </w:rPr>
        <w:t xml:space="preserve">de financiering van </w:t>
      </w:r>
      <w:r w:rsidR="00C81731">
        <w:rPr>
          <w:rFonts w:ascii="Verdana" w:hAnsi="Verdana"/>
          <w:sz w:val="18"/>
          <w:szCs w:val="18"/>
        </w:rPr>
        <w:t>het Europees bedrijfsleven ten goede kan komen. H</w:t>
      </w:r>
      <w:r w:rsidRPr="00DB5F1D" w:rsidR="00C33984">
        <w:rPr>
          <w:rFonts w:ascii="Verdana" w:hAnsi="Verdana"/>
          <w:sz w:val="18"/>
          <w:szCs w:val="18"/>
        </w:rPr>
        <w:t xml:space="preserve">et kabinet </w:t>
      </w:r>
      <w:r w:rsidR="00586C3C">
        <w:rPr>
          <w:rFonts w:ascii="Verdana" w:hAnsi="Verdana"/>
          <w:sz w:val="18"/>
          <w:szCs w:val="18"/>
        </w:rPr>
        <w:t xml:space="preserve">zal bij de Commissie onder de aandacht blijven brengen dat zij veel waarde hecht aan versterking van de interne markt. Zo </w:t>
      </w:r>
      <w:r w:rsidRPr="00DB5F1D" w:rsidR="00C33984">
        <w:rPr>
          <w:rFonts w:ascii="Verdana" w:hAnsi="Verdana"/>
          <w:sz w:val="18"/>
          <w:szCs w:val="18"/>
        </w:rPr>
        <w:t>verwelkomt</w:t>
      </w:r>
      <w:r w:rsidR="00586C3C">
        <w:rPr>
          <w:rFonts w:ascii="Verdana" w:hAnsi="Verdana"/>
          <w:sz w:val="18"/>
          <w:szCs w:val="18"/>
        </w:rPr>
        <w:t xml:space="preserve"> het kabinet</w:t>
      </w:r>
      <w:r w:rsidRPr="00DB5F1D" w:rsidR="00C33984">
        <w:rPr>
          <w:rFonts w:ascii="Verdana" w:hAnsi="Verdana"/>
          <w:sz w:val="18"/>
          <w:szCs w:val="18"/>
        </w:rPr>
        <w:t xml:space="preserve"> de </w:t>
      </w:r>
      <w:r w:rsidR="005C6D16">
        <w:rPr>
          <w:rFonts w:ascii="Verdana" w:hAnsi="Verdana"/>
          <w:sz w:val="18"/>
          <w:szCs w:val="18"/>
        </w:rPr>
        <w:t>voornemens van de Commissie om met</w:t>
      </w:r>
      <w:r w:rsidRPr="00DB5F1D" w:rsidR="005C6D16">
        <w:rPr>
          <w:rFonts w:ascii="Verdana" w:hAnsi="Verdana"/>
          <w:sz w:val="18"/>
          <w:szCs w:val="18"/>
        </w:rPr>
        <w:t xml:space="preserve"> </w:t>
      </w:r>
      <w:r w:rsidRPr="00DB5F1D" w:rsidR="00C33984">
        <w:rPr>
          <w:rFonts w:ascii="Verdana" w:hAnsi="Verdana"/>
          <w:sz w:val="18"/>
          <w:szCs w:val="18"/>
        </w:rPr>
        <w:t>maatregelen</w:t>
      </w:r>
      <w:r w:rsidR="005C6D16">
        <w:rPr>
          <w:rFonts w:ascii="Verdana" w:hAnsi="Verdana"/>
          <w:sz w:val="18"/>
          <w:szCs w:val="18"/>
        </w:rPr>
        <w:t xml:space="preserve"> te komen</w:t>
      </w:r>
      <w:r w:rsidRPr="00DB5F1D" w:rsidR="00C33984">
        <w:rPr>
          <w:rFonts w:ascii="Verdana" w:hAnsi="Verdana"/>
          <w:sz w:val="18"/>
          <w:szCs w:val="18"/>
        </w:rPr>
        <w:t xml:space="preserve"> om de efficiëntie van de allocatie van kapitaal en liquiditeit binnen de EU te verbeteren. </w:t>
      </w:r>
      <w:r w:rsidRPr="00DB5F1D" w:rsidR="00AB0595">
        <w:rPr>
          <w:rFonts w:ascii="Verdana" w:hAnsi="Verdana"/>
          <w:sz w:val="18"/>
          <w:szCs w:val="18"/>
        </w:rPr>
        <w:t xml:space="preserve">Het kabinet </w:t>
      </w:r>
      <w:r w:rsidR="00AB0595">
        <w:rPr>
          <w:rFonts w:ascii="Verdana" w:hAnsi="Verdana"/>
          <w:sz w:val="18"/>
          <w:szCs w:val="18"/>
        </w:rPr>
        <w:t xml:space="preserve">steunt </w:t>
      </w:r>
      <w:r w:rsidRPr="00DB5F1D" w:rsidR="00AB0595">
        <w:rPr>
          <w:rFonts w:ascii="Verdana" w:hAnsi="Verdana"/>
          <w:sz w:val="18"/>
          <w:szCs w:val="18"/>
        </w:rPr>
        <w:t>het voornemen</w:t>
      </w:r>
      <w:r w:rsidR="00C81731">
        <w:rPr>
          <w:rFonts w:ascii="Verdana" w:hAnsi="Verdana"/>
          <w:sz w:val="18"/>
          <w:szCs w:val="18"/>
        </w:rPr>
        <w:t xml:space="preserve"> van de Commissie om kapitaal- en liquiditeitswaivers (beter) mogelijk te maken</w:t>
      </w:r>
      <w:r w:rsidR="00122AC0">
        <w:rPr>
          <w:rFonts w:ascii="Verdana" w:hAnsi="Verdana"/>
          <w:sz w:val="18"/>
          <w:szCs w:val="18"/>
        </w:rPr>
        <w:t xml:space="preserve">. Het kabinet is er voorstander van om de </w:t>
      </w:r>
      <w:r w:rsidRPr="00DB5F1D" w:rsidR="00AB0595">
        <w:rPr>
          <w:rFonts w:ascii="Verdana" w:hAnsi="Verdana"/>
          <w:sz w:val="18"/>
          <w:szCs w:val="18"/>
        </w:rPr>
        <w:t>toezichthouder</w:t>
      </w:r>
      <w:r w:rsidR="00C81731">
        <w:rPr>
          <w:rFonts w:ascii="Verdana" w:hAnsi="Verdana"/>
          <w:sz w:val="18"/>
          <w:szCs w:val="18"/>
        </w:rPr>
        <w:t xml:space="preserve"> van banken op groepsniveau</w:t>
      </w:r>
      <w:r w:rsidRPr="00DB5F1D" w:rsidR="00AB0595">
        <w:rPr>
          <w:rFonts w:ascii="Verdana" w:hAnsi="Verdana"/>
          <w:sz w:val="18"/>
          <w:szCs w:val="18"/>
        </w:rPr>
        <w:t xml:space="preserve"> het mandaat te geven om</w:t>
      </w:r>
      <w:r w:rsidR="00AB0595">
        <w:rPr>
          <w:rFonts w:ascii="Verdana" w:hAnsi="Verdana"/>
          <w:sz w:val="18"/>
          <w:szCs w:val="18"/>
        </w:rPr>
        <w:t xml:space="preserve"> via</w:t>
      </w:r>
      <w:r w:rsidRPr="00DB5F1D" w:rsidR="00AB0595">
        <w:rPr>
          <w:rFonts w:ascii="Verdana" w:hAnsi="Verdana"/>
          <w:sz w:val="18"/>
          <w:szCs w:val="18"/>
        </w:rPr>
        <w:t xml:space="preserve"> </w:t>
      </w:r>
      <w:r w:rsidRPr="002D1417" w:rsidR="00AB0595">
        <w:rPr>
          <w:rFonts w:ascii="Verdana" w:hAnsi="Verdana"/>
          <w:sz w:val="18"/>
          <w:szCs w:val="18"/>
        </w:rPr>
        <w:t>kapitaal</w:t>
      </w:r>
      <w:r w:rsidR="00AB0595">
        <w:rPr>
          <w:rFonts w:ascii="Verdana" w:hAnsi="Verdana"/>
          <w:sz w:val="18"/>
          <w:szCs w:val="18"/>
        </w:rPr>
        <w:t>waivers</w:t>
      </w:r>
      <w:r w:rsidRPr="002D1417" w:rsidR="00AB0595">
        <w:rPr>
          <w:rFonts w:ascii="Verdana" w:hAnsi="Verdana"/>
          <w:sz w:val="18"/>
          <w:szCs w:val="18"/>
        </w:rPr>
        <w:t xml:space="preserve"> en</w:t>
      </w:r>
      <w:r w:rsidR="00AB0595">
        <w:rPr>
          <w:rFonts w:ascii="Verdana" w:hAnsi="Verdana"/>
          <w:sz w:val="18"/>
          <w:szCs w:val="18"/>
        </w:rPr>
        <w:t xml:space="preserve"> verbeterde</w:t>
      </w:r>
      <w:r w:rsidRPr="002D1417" w:rsidR="00AB0595">
        <w:rPr>
          <w:rFonts w:ascii="Verdana" w:hAnsi="Verdana"/>
          <w:sz w:val="18"/>
          <w:szCs w:val="18"/>
        </w:rPr>
        <w:t xml:space="preserve"> liquiditeitswaivers tot een adequate, </w:t>
      </w:r>
      <w:r w:rsidR="00122AC0">
        <w:rPr>
          <w:rFonts w:ascii="Verdana" w:hAnsi="Verdana"/>
          <w:sz w:val="18"/>
          <w:szCs w:val="18"/>
        </w:rPr>
        <w:t>meer</w:t>
      </w:r>
      <w:r w:rsidRPr="002D1417" w:rsidR="00122AC0">
        <w:rPr>
          <w:rFonts w:ascii="Verdana" w:hAnsi="Verdana"/>
          <w:sz w:val="18"/>
          <w:szCs w:val="18"/>
        </w:rPr>
        <w:t xml:space="preserve"> </w:t>
      </w:r>
      <w:r w:rsidRPr="002D1417" w:rsidR="00AB0595">
        <w:rPr>
          <w:rFonts w:ascii="Verdana" w:hAnsi="Verdana"/>
          <w:sz w:val="18"/>
          <w:szCs w:val="18"/>
        </w:rPr>
        <w:t>efficiënte verdeling van kapitaal en liquiditeit binnen een groep te komen</w:t>
      </w:r>
      <w:r w:rsidR="00AB0595">
        <w:rPr>
          <w:rFonts w:ascii="Verdana" w:hAnsi="Verdana"/>
          <w:sz w:val="18"/>
          <w:szCs w:val="18"/>
        </w:rPr>
        <w:t xml:space="preserve"> en regels over limieten op blootstellingen binnen een bankengroep te harmoniseren</w:t>
      </w:r>
      <w:r w:rsidRPr="00DB5F1D" w:rsidR="00AB0595">
        <w:rPr>
          <w:rFonts w:ascii="Verdana" w:hAnsi="Verdana"/>
          <w:sz w:val="18"/>
          <w:szCs w:val="18"/>
        </w:rPr>
        <w:t>.</w:t>
      </w:r>
      <w:r w:rsidR="00AB0595">
        <w:rPr>
          <w:rFonts w:ascii="Verdana" w:hAnsi="Verdana"/>
          <w:sz w:val="18"/>
          <w:szCs w:val="18"/>
        </w:rPr>
        <w:t xml:space="preserve"> </w:t>
      </w:r>
      <w:r w:rsidRPr="00DB5F1D" w:rsidR="00C33984">
        <w:rPr>
          <w:rFonts w:ascii="Verdana" w:hAnsi="Verdana"/>
          <w:sz w:val="18"/>
          <w:szCs w:val="18"/>
        </w:rPr>
        <w:t xml:space="preserve">Voor het kabinet is het </w:t>
      </w:r>
      <w:r w:rsidR="00122AC0">
        <w:rPr>
          <w:rFonts w:ascii="Verdana" w:hAnsi="Verdana"/>
          <w:sz w:val="18"/>
          <w:szCs w:val="18"/>
        </w:rPr>
        <w:t>zowel</w:t>
      </w:r>
      <w:r w:rsidRPr="00DB5F1D" w:rsidR="00122AC0">
        <w:rPr>
          <w:rFonts w:ascii="Verdana" w:hAnsi="Verdana"/>
          <w:sz w:val="18"/>
          <w:szCs w:val="18"/>
        </w:rPr>
        <w:t xml:space="preserve"> </w:t>
      </w:r>
      <w:r w:rsidRPr="00DB5F1D" w:rsidR="00C33984">
        <w:rPr>
          <w:rFonts w:ascii="Verdana" w:hAnsi="Verdana"/>
          <w:sz w:val="18"/>
          <w:szCs w:val="18"/>
        </w:rPr>
        <w:t xml:space="preserve">van belang dat </w:t>
      </w:r>
      <w:r w:rsidR="00122AC0">
        <w:rPr>
          <w:rFonts w:ascii="Verdana" w:hAnsi="Verdana"/>
          <w:sz w:val="18"/>
          <w:szCs w:val="18"/>
        </w:rPr>
        <w:t xml:space="preserve">het toepassen van </w:t>
      </w:r>
      <w:r w:rsidR="00C3361E">
        <w:rPr>
          <w:rFonts w:ascii="Verdana" w:hAnsi="Verdana"/>
          <w:sz w:val="18"/>
          <w:szCs w:val="18"/>
        </w:rPr>
        <w:t>waivers</w:t>
      </w:r>
      <w:r w:rsidR="00122AC0">
        <w:rPr>
          <w:rFonts w:ascii="Verdana" w:hAnsi="Verdana"/>
          <w:sz w:val="18"/>
          <w:szCs w:val="18"/>
        </w:rPr>
        <w:t xml:space="preserve"> meer voorspelbaar wordt, als dat deze toepassing</w:t>
      </w:r>
      <w:r w:rsidR="00C3361E">
        <w:rPr>
          <w:rFonts w:ascii="Verdana" w:hAnsi="Verdana"/>
          <w:sz w:val="18"/>
          <w:szCs w:val="18"/>
        </w:rPr>
        <w:t xml:space="preserve"> samengaa</w:t>
      </w:r>
      <w:r w:rsidR="00122AC0">
        <w:rPr>
          <w:rFonts w:ascii="Verdana" w:hAnsi="Verdana"/>
          <w:sz w:val="18"/>
          <w:szCs w:val="18"/>
        </w:rPr>
        <w:t xml:space="preserve">t </w:t>
      </w:r>
      <w:r w:rsidR="00C3361E">
        <w:rPr>
          <w:rFonts w:ascii="Verdana" w:hAnsi="Verdana"/>
          <w:sz w:val="18"/>
          <w:szCs w:val="18"/>
        </w:rPr>
        <w:t>met goede waarborgen</w:t>
      </w:r>
      <w:r w:rsidR="005C6D16">
        <w:rPr>
          <w:rFonts w:ascii="Verdana" w:hAnsi="Verdana"/>
          <w:sz w:val="18"/>
          <w:szCs w:val="18"/>
        </w:rPr>
        <w:t xml:space="preserve"> ter bescherming van </w:t>
      </w:r>
      <w:r w:rsidR="005C78A8">
        <w:rPr>
          <w:rFonts w:ascii="Verdana" w:hAnsi="Verdana"/>
          <w:sz w:val="18"/>
          <w:szCs w:val="18"/>
        </w:rPr>
        <w:t xml:space="preserve">rekeninghouders </w:t>
      </w:r>
      <w:r w:rsidR="005C6D16">
        <w:rPr>
          <w:rFonts w:ascii="Verdana" w:hAnsi="Verdana"/>
          <w:sz w:val="18"/>
          <w:szCs w:val="18"/>
        </w:rPr>
        <w:t>en crediteuren</w:t>
      </w:r>
      <w:r w:rsidR="002D1417">
        <w:rPr>
          <w:rFonts w:ascii="Verdana" w:hAnsi="Verdana"/>
          <w:sz w:val="18"/>
          <w:szCs w:val="18"/>
        </w:rPr>
        <w:t xml:space="preserve"> en de stabiliteit in landen waar de bankengroep actief is</w:t>
      </w:r>
      <w:r w:rsidR="00837372">
        <w:rPr>
          <w:rFonts w:ascii="Verdana" w:hAnsi="Verdana"/>
          <w:sz w:val="18"/>
          <w:szCs w:val="18"/>
        </w:rPr>
        <w:t xml:space="preserve">. </w:t>
      </w:r>
    </w:p>
    <w:p w:rsidR="000D755F" w:rsidP="00993A0D" w:rsidRDefault="000D755F" w14:paraId="20388BAF" w14:textId="77777777">
      <w:pPr>
        <w:spacing w:line="360" w:lineRule="auto"/>
        <w:rPr>
          <w:rFonts w:ascii="Verdana" w:hAnsi="Verdana"/>
          <w:sz w:val="18"/>
          <w:szCs w:val="18"/>
        </w:rPr>
      </w:pPr>
    </w:p>
    <w:p w:rsidR="00F058F5" w:rsidP="00993A0D" w:rsidRDefault="00586C3C" w14:paraId="787A5674" w14:textId="1F10A530">
      <w:pPr>
        <w:spacing w:line="360" w:lineRule="auto"/>
        <w:rPr>
          <w:rFonts w:ascii="Verdana" w:hAnsi="Verdana"/>
          <w:sz w:val="18"/>
          <w:szCs w:val="18"/>
        </w:rPr>
      </w:pPr>
      <w:r>
        <w:rPr>
          <w:rFonts w:ascii="Verdana" w:hAnsi="Verdana"/>
          <w:sz w:val="18"/>
          <w:szCs w:val="18"/>
        </w:rPr>
        <w:t>Met het oog op verdere versterking van de integratie, vindt het</w:t>
      </w:r>
      <w:r w:rsidR="000D755F">
        <w:rPr>
          <w:rFonts w:ascii="Verdana" w:hAnsi="Verdana"/>
          <w:sz w:val="18"/>
          <w:szCs w:val="18"/>
        </w:rPr>
        <w:t xml:space="preserve"> kabinet </w:t>
      </w:r>
      <w:r>
        <w:rPr>
          <w:rFonts w:ascii="Verdana" w:hAnsi="Verdana"/>
          <w:sz w:val="18"/>
          <w:szCs w:val="18"/>
        </w:rPr>
        <w:t>het ook</w:t>
      </w:r>
      <w:r w:rsidR="000D755F">
        <w:rPr>
          <w:rFonts w:ascii="Verdana" w:hAnsi="Verdana"/>
          <w:sz w:val="18"/>
          <w:szCs w:val="18"/>
        </w:rPr>
        <w:t xml:space="preserve"> wenselijk dat de Commissie </w:t>
      </w:r>
      <w:r w:rsidRPr="00DB5F1D" w:rsidR="00C33984">
        <w:rPr>
          <w:rFonts w:ascii="Verdana" w:hAnsi="Verdana"/>
          <w:sz w:val="18"/>
          <w:szCs w:val="18"/>
        </w:rPr>
        <w:t xml:space="preserve">integraal </w:t>
      </w:r>
      <w:r w:rsidR="007E3B33">
        <w:rPr>
          <w:rFonts w:ascii="Verdana" w:hAnsi="Verdana"/>
          <w:sz w:val="18"/>
          <w:szCs w:val="18"/>
        </w:rPr>
        <w:t xml:space="preserve">stappen wil </w:t>
      </w:r>
      <w:r w:rsidR="00782285">
        <w:rPr>
          <w:rFonts w:ascii="Verdana" w:hAnsi="Verdana"/>
          <w:sz w:val="18"/>
          <w:szCs w:val="18"/>
        </w:rPr>
        <w:t xml:space="preserve">zetten </w:t>
      </w:r>
      <w:r w:rsidR="00E03B5F">
        <w:rPr>
          <w:rFonts w:ascii="Verdana" w:hAnsi="Verdana"/>
          <w:sz w:val="18"/>
          <w:szCs w:val="18"/>
        </w:rPr>
        <w:t>richting een vervolmaakte bankenunie</w:t>
      </w:r>
      <w:r w:rsidRPr="00454893" w:rsidR="00454893">
        <w:rPr>
          <w:rFonts w:ascii="Verdana" w:hAnsi="Verdana"/>
          <w:sz w:val="18"/>
          <w:szCs w:val="18"/>
        </w:rPr>
        <w:t xml:space="preserve">. </w:t>
      </w:r>
      <w:r w:rsidR="00831100">
        <w:rPr>
          <w:rFonts w:ascii="Verdana" w:hAnsi="Verdana"/>
          <w:sz w:val="18"/>
          <w:szCs w:val="18"/>
        </w:rPr>
        <w:t xml:space="preserve">Het is </w:t>
      </w:r>
      <w:r>
        <w:rPr>
          <w:rFonts w:ascii="Verdana" w:hAnsi="Verdana"/>
          <w:sz w:val="18"/>
          <w:szCs w:val="18"/>
        </w:rPr>
        <w:t xml:space="preserve">daarom </w:t>
      </w:r>
      <w:r w:rsidR="00831100">
        <w:rPr>
          <w:rFonts w:ascii="Verdana" w:hAnsi="Verdana"/>
          <w:sz w:val="18"/>
          <w:szCs w:val="18"/>
        </w:rPr>
        <w:t>positief dat de Commissie van plan is met een nieuw voorstel voor EDIS te komen</w:t>
      </w:r>
      <w:r w:rsidR="00863A33">
        <w:rPr>
          <w:rFonts w:ascii="Verdana" w:hAnsi="Verdana"/>
          <w:sz w:val="18"/>
          <w:szCs w:val="18"/>
        </w:rPr>
        <w:t xml:space="preserve"> als belangrijke stap ter voltooiing van de bankenunie, nadat het eerdere voorstel uit 2015 is vastgelopen</w:t>
      </w:r>
      <w:r w:rsidR="00984C9D">
        <w:rPr>
          <w:rFonts w:ascii="Verdana" w:hAnsi="Verdana"/>
          <w:sz w:val="18"/>
          <w:szCs w:val="18"/>
        </w:rPr>
        <w:t>.</w:t>
      </w:r>
      <w:r w:rsidR="002C7E3E">
        <w:rPr>
          <w:rFonts w:ascii="Verdana" w:hAnsi="Verdana"/>
          <w:sz w:val="18"/>
          <w:szCs w:val="18"/>
        </w:rPr>
        <w:t xml:space="preserve"> Het kabinet ziet het belang van een EDIS, onder meer </w:t>
      </w:r>
      <w:r w:rsidR="00CC4E31">
        <w:rPr>
          <w:rFonts w:ascii="Verdana" w:hAnsi="Verdana"/>
          <w:sz w:val="18"/>
          <w:szCs w:val="18"/>
        </w:rPr>
        <w:t xml:space="preserve">omdat het combineren van </w:t>
      </w:r>
      <w:r w:rsidR="007B1218">
        <w:rPr>
          <w:rFonts w:ascii="Verdana" w:hAnsi="Verdana"/>
          <w:sz w:val="18"/>
          <w:szCs w:val="18"/>
        </w:rPr>
        <w:t xml:space="preserve">privaat gefinancierde </w:t>
      </w:r>
      <w:r w:rsidRPr="00454893" w:rsidR="00454893">
        <w:rPr>
          <w:rFonts w:ascii="Verdana" w:hAnsi="Verdana"/>
          <w:sz w:val="18"/>
          <w:szCs w:val="18"/>
        </w:rPr>
        <w:t xml:space="preserve">achtervangfondsen </w:t>
      </w:r>
      <w:r w:rsidR="00CC4E31">
        <w:rPr>
          <w:rFonts w:ascii="Verdana" w:hAnsi="Verdana"/>
          <w:sz w:val="18"/>
          <w:szCs w:val="18"/>
        </w:rPr>
        <w:t>de slagkracht om problemen in de financiële sector aan te pakken vergroot en de risico’s voor nationale overheden beperkt.</w:t>
      </w:r>
      <w:r w:rsidR="002C7E3E">
        <w:rPr>
          <w:rFonts w:ascii="Verdana" w:hAnsi="Verdana"/>
          <w:sz w:val="18"/>
          <w:szCs w:val="18"/>
        </w:rPr>
        <w:t xml:space="preserve"> Tegelijkertijd is het kabinet van mening dat stappen </w:t>
      </w:r>
      <w:r w:rsidR="00831100">
        <w:rPr>
          <w:rFonts w:ascii="Verdana" w:hAnsi="Verdana"/>
          <w:sz w:val="18"/>
          <w:szCs w:val="18"/>
        </w:rPr>
        <w:t>ten aanzien van</w:t>
      </w:r>
      <w:r w:rsidR="002C7E3E">
        <w:rPr>
          <w:rFonts w:ascii="Verdana" w:hAnsi="Verdana"/>
          <w:sz w:val="18"/>
          <w:szCs w:val="18"/>
        </w:rPr>
        <w:t xml:space="preserve"> verdere risicodeling gepaard moeten gaan met </w:t>
      </w:r>
      <w:r w:rsidRPr="00454893" w:rsidR="00454893">
        <w:rPr>
          <w:rFonts w:ascii="Verdana" w:hAnsi="Verdana"/>
          <w:sz w:val="18"/>
          <w:szCs w:val="18"/>
        </w:rPr>
        <w:t xml:space="preserve">verdere risicoreductie, </w:t>
      </w:r>
      <w:r w:rsidR="00863A33">
        <w:rPr>
          <w:rFonts w:ascii="Verdana" w:hAnsi="Verdana"/>
          <w:sz w:val="18"/>
          <w:szCs w:val="18"/>
        </w:rPr>
        <w:t xml:space="preserve">om </w:t>
      </w:r>
      <w:r w:rsidR="00CC4E31">
        <w:rPr>
          <w:rFonts w:ascii="Verdana" w:hAnsi="Verdana"/>
          <w:sz w:val="18"/>
          <w:szCs w:val="18"/>
        </w:rPr>
        <w:t>de verwevenheid</w:t>
      </w:r>
      <w:r w:rsidR="00454893">
        <w:rPr>
          <w:rFonts w:ascii="Verdana" w:hAnsi="Verdana"/>
          <w:sz w:val="18"/>
          <w:szCs w:val="18"/>
        </w:rPr>
        <w:t xml:space="preserve"> </w:t>
      </w:r>
      <w:r w:rsidR="00863A33">
        <w:rPr>
          <w:rFonts w:ascii="Verdana" w:hAnsi="Verdana"/>
          <w:sz w:val="18"/>
          <w:szCs w:val="18"/>
        </w:rPr>
        <w:t xml:space="preserve">tussen </w:t>
      </w:r>
      <w:r w:rsidR="002C7E3E">
        <w:rPr>
          <w:rFonts w:ascii="Verdana" w:hAnsi="Verdana"/>
          <w:sz w:val="18"/>
          <w:szCs w:val="18"/>
        </w:rPr>
        <w:t>banken en overheden</w:t>
      </w:r>
      <w:r w:rsidR="00863A33">
        <w:rPr>
          <w:rFonts w:ascii="Verdana" w:hAnsi="Verdana"/>
          <w:sz w:val="18"/>
          <w:szCs w:val="18"/>
        </w:rPr>
        <w:t xml:space="preserve"> te verminderen</w:t>
      </w:r>
      <w:r w:rsidR="002C7E3E">
        <w:rPr>
          <w:rFonts w:ascii="Verdana" w:hAnsi="Verdana"/>
          <w:sz w:val="18"/>
          <w:szCs w:val="18"/>
        </w:rPr>
        <w:t xml:space="preserve">. In dat licht verwelkomt het kabinet het voornemen van de Commissie om </w:t>
      </w:r>
      <w:r w:rsidR="00A63004">
        <w:rPr>
          <w:rFonts w:ascii="Verdana" w:hAnsi="Verdana"/>
          <w:sz w:val="18"/>
          <w:szCs w:val="18"/>
        </w:rPr>
        <w:t>hoge concentraties van staatsobligaties</w:t>
      </w:r>
      <w:r w:rsidR="00CC4E31">
        <w:rPr>
          <w:rFonts w:ascii="Verdana" w:hAnsi="Verdana"/>
          <w:sz w:val="18"/>
          <w:szCs w:val="18"/>
        </w:rPr>
        <w:t xml:space="preserve"> op bankbalansen</w:t>
      </w:r>
      <w:r w:rsidR="00A63004">
        <w:rPr>
          <w:rFonts w:ascii="Verdana" w:hAnsi="Verdana"/>
          <w:sz w:val="18"/>
          <w:szCs w:val="18"/>
        </w:rPr>
        <w:t xml:space="preserve"> te adresseren</w:t>
      </w:r>
      <w:r w:rsidR="00CC4E31">
        <w:rPr>
          <w:rFonts w:ascii="Verdana" w:hAnsi="Verdana"/>
          <w:sz w:val="18"/>
          <w:szCs w:val="18"/>
        </w:rPr>
        <w:t xml:space="preserve"> en diversificatie van staatsobligatieportfolio’s op bankbalansen te stimuleren</w:t>
      </w:r>
      <w:r w:rsidR="00A63004">
        <w:rPr>
          <w:rFonts w:ascii="Verdana" w:hAnsi="Verdana"/>
          <w:sz w:val="18"/>
          <w:szCs w:val="18"/>
        </w:rPr>
        <w:t xml:space="preserve">. Het kabinet zal </w:t>
      </w:r>
      <w:r w:rsidR="00AB0595">
        <w:rPr>
          <w:rFonts w:ascii="Verdana" w:hAnsi="Verdana"/>
          <w:sz w:val="18"/>
          <w:szCs w:val="18"/>
        </w:rPr>
        <w:t>de</w:t>
      </w:r>
      <w:r w:rsidR="00A63004">
        <w:rPr>
          <w:rFonts w:ascii="Verdana" w:hAnsi="Verdana"/>
          <w:sz w:val="18"/>
          <w:szCs w:val="18"/>
        </w:rPr>
        <w:t xml:space="preserve"> </w:t>
      </w:r>
      <w:r w:rsidR="00CC4E31">
        <w:rPr>
          <w:rFonts w:ascii="Verdana" w:hAnsi="Verdana"/>
          <w:sz w:val="18"/>
          <w:szCs w:val="18"/>
        </w:rPr>
        <w:t xml:space="preserve">toekomstige </w:t>
      </w:r>
      <w:r w:rsidR="00A63004">
        <w:rPr>
          <w:rFonts w:ascii="Verdana" w:hAnsi="Verdana"/>
          <w:sz w:val="18"/>
          <w:szCs w:val="18"/>
        </w:rPr>
        <w:t xml:space="preserve">voorstellen in samenhang beoordelen. </w:t>
      </w:r>
      <w:r w:rsidDel="00A63004" w:rsidR="00A63004">
        <w:rPr>
          <w:rFonts w:ascii="Verdana" w:hAnsi="Verdana"/>
          <w:sz w:val="18"/>
          <w:szCs w:val="18"/>
        </w:rPr>
        <w:t xml:space="preserve"> </w:t>
      </w:r>
    </w:p>
    <w:p w:rsidR="00A67263" w:rsidP="00993A0D" w:rsidRDefault="00A67263" w14:paraId="5E08614F" w14:textId="77777777">
      <w:pPr>
        <w:spacing w:line="360" w:lineRule="auto"/>
        <w:rPr>
          <w:rFonts w:ascii="Verdana" w:hAnsi="Verdana"/>
          <w:sz w:val="18"/>
          <w:szCs w:val="18"/>
        </w:rPr>
      </w:pPr>
    </w:p>
    <w:p w:rsidRPr="009C26F0" w:rsidR="00C33984" w:rsidP="009C26F0" w:rsidRDefault="004F2A8C" w14:paraId="215C1E04" w14:textId="40414B8C">
      <w:pPr>
        <w:spacing w:line="360" w:lineRule="auto"/>
        <w:rPr>
          <w:rFonts w:ascii="Verdana" w:hAnsi="Verdana"/>
          <w:sz w:val="18"/>
          <w:szCs w:val="18"/>
        </w:rPr>
      </w:pPr>
      <w:r w:rsidRPr="00ED6942">
        <w:rPr>
          <w:rFonts w:ascii="Verdana" w:hAnsi="Verdana"/>
          <w:sz w:val="18"/>
          <w:szCs w:val="18"/>
        </w:rPr>
        <w:t>Het kabinet</w:t>
      </w:r>
      <w:r w:rsidRPr="00ED6942" w:rsidR="00CF1C49">
        <w:rPr>
          <w:rFonts w:ascii="Verdana" w:hAnsi="Verdana"/>
          <w:sz w:val="18"/>
          <w:szCs w:val="18"/>
        </w:rPr>
        <w:t xml:space="preserve"> is ook voorstander van e</w:t>
      </w:r>
      <w:r w:rsidRPr="00ED6942" w:rsidR="00171B1F">
        <w:rPr>
          <w:rFonts w:ascii="Verdana" w:hAnsi="Verdana"/>
          <w:sz w:val="18"/>
          <w:szCs w:val="18"/>
        </w:rPr>
        <w:t>en geharmoniseerde toepassing</w:t>
      </w:r>
      <w:r w:rsidRPr="00ED6942" w:rsidR="00CF1C49">
        <w:rPr>
          <w:rFonts w:ascii="Verdana" w:hAnsi="Verdana"/>
          <w:sz w:val="18"/>
          <w:szCs w:val="18"/>
        </w:rPr>
        <w:t xml:space="preserve"> van antiwitwaswetgeving, via het </w:t>
      </w:r>
      <w:r w:rsidRPr="00706E7B" w:rsidR="00CF1C49">
        <w:rPr>
          <w:rFonts w:ascii="Verdana" w:hAnsi="Verdana"/>
          <w:i/>
          <w:iCs/>
          <w:sz w:val="18"/>
          <w:szCs w:val="18"/>
        </w:rPr>
        <w:t xml:space="preserve">Single </w:t>
      </w:r>
      <w:r w:rsidRPr="00706E7B" w:rsidR="7A0974A2">
        <w:rPr>
          <w:rFonts w:ascii="Verdana" w:hAnsi="Verdana"/>
          <w:i/>
          <w:iCs/>
          <w:sz w:val="18"/>
          <w:szCs w:val="18"/>
        </w:rPr>
        <w:t>Anti-Money Laundering</w:t>
      </w:r>
      <w:r w:rsidRPr="00ED6942" w:rsidR="7A0974A2">
        <w:rPr>
          <w:rFonts w:ascii="Verdana" w:hAnsi="Verdana"/>
          <w:sz w:val="18"/>
          <w:szCs w:val="18"/>
        </w:rPr>
        <w:t xml:space="preserve"> (</w:t>
      </w:r>
      <w:r w:rsidRPr="00ED6942" w:rsidR="00CF1C49">
        <w:rPr>
          <w:rFonts w:ascii="Verdana" w:hAnsi="Verdana"/>
          <w:sz w:val="18"/>
          <w:szCs w:val="18"/>
        </w:rPr>
        <w:t>AML</w:t>
      </w:r>
      <w:r w:rsidRPr="00ED6942" w:rsidR="7A0974A2">
        <w:rPr>
          <w:rFonts w:ascii="Verdana" w:hAnsi="Verdana"/>
          <w:sz w:val="18"/>
          <w:szCs w:val="18"/>
        </w:rPr>
        <w:t>)</w:t>
      </w:r>
      <w:r w:rsidRPr="00ED6942" w:rsidR="00CF1C49">
        <w:rPr>
          <w:rFonts w:ascii="Verdana" w:hAnsi="Verdana"/>
          <w:sz w:val="18"/>
          <w:szCs w:val="18"/>
        </w:rPr>
        <w:t xml:space="preserve">-rulebook oftewel de antiwitwasverordening. Belangrijk punt daarvan is de risicogebaseerde benadering die volgens </w:t>
      </w:r>
      <w:r w:rsidRPr="00ED6942" w:rsidR="00837372">
        <w:rPr>
          <w:rFonts w:ascii="Verdana" w:hAnsi="Verdana"/>
          <w:sz w:val="18"/>
          <w:szCs w:val="18"/>
        </w:rPr>
        <w:t>het kabinet</w:t>
      </w:r>
      <w:r w:rsidRPr="00ED6942" w:rsidR="00CF1C49">
        <w:rPr>
          <w:rFonts w:ascii="Verdana" w:hAnsi="Verdana"/>
          <w:sz w:val="18"/>
          <w:szCs w:val="18"/>
        </w:rPr>
        <w:t xml:space="preserve"> een belangrijke bijdrage levert aan het concurrentievermogen</w:t>
      </w:r>
      <w:r w:rsidRPr="00ED6942" w:rsidR="00171B1F">
        <w:rPr>
          <w:rFonts w:ascii="Verdana" w:hAnsi="Verdana"/>
          <w:sz w:val="18"/>
          <w:szCs w:val="18"/>
        </w:rPr>
        <w:t xml:space="preserve"> en lage lasten </w:t>
      </w:r>
      <w:r w:rsidRPr="00ED6942" w:rsidR="00A82AA0">
        <w:rPr>
          <w:rFonts w:ascii="Verdana" w:hAnsi="Verdana"/>
          <w:sz w:val="18"/>
          <w:szCs w:val="18"/>
        </w:rPr>
        <w:t xml:space="preserve">voor </w:t>
      </w:r>
      <w:r w:rsidRPr="00ED6942" w:rsidR="00171B1F">
        <w:rPr>
          <w:rFonts w:ascii="Verdana" w:hAnsi="Verdana"/>
          <w:sz w:val="18"/>
          <w:szCs w:val="18"/>
        </w:rPr>
        <w:t xml:space="preserve">bonafide bedrijven van en binnen </w:t>
      </w:r>
      <w:r w:rsidRPr="00ED6942" w:rsidR="00CF1C49">
        <w:rPr>
          <w:rFonts w:ascii="Verdana" w:hAnsi="Verdana"/>
          <w:sz w:val="18"/>
          <w:szCs w:val="18"/>
        </w:rPr>
        <w:t>de EU</w:t>
      </w:r>
      <w:r w:rsidRPr="00ED6942" w:rsidR="00E03B5F">
        <w:rPr>
          <w:rFonts w:ascii="Verdana" w:hAnsi="Verdana"/>
          <w:sz w:val="18"/>
          <w:szCs w:val="18"/>
        </w:rPr>
        <w:t>.</w:t>
      </w:r>
      <w:r w:rsidRPr="00ED6942" w:rsidR="00CF1C49">
        <w:rPr>
          <w:rFonts w:ascii="Verdana" w:hAnsi="Verdana"/>
          <w:sz w:val="18"/>
          <w:szCs w:val="18"/>
        </w:rPr>
        <w:t xml:space="preserve"> </w:t>
      </w:r>
      <w:r w:rsidRPr="00ED6942" w:rsidR="00E03B5F">
        <w:rPr>
          <w:rFonts w:ascii="Verdana" w:hAnsi="Verdana"/>
          <w:sz w:val="18"/>
          <w:szCs w:val="18"/>
        </w:rPr>
        <w:t>D</w:t>
      </w:r>
      <w:r w:rsidRPr="00ED6942" w:rsidR="00CF1C49">
        <w:rPr>
          <w:rFonts w:ascii="Verdana" w:hAnsi="Verdana"/>
          <w:sz w:val="18"/>
          <w:szCs w:val="18"/>
        </w:rPr>
        <w:t xml:space="preserve">aar zet </w:t>
      </w:r>
      <w:r w:rsidRPr="00ED6942">
        <w:rPr>
          <w:rFonts w:ascii="Verdana" w:hAnsi="Verdana"/>
          <w:sz w:val="18"/>
          <w:szCs w:val="18"/>
        </w:rPr>
        <w:t xml:space="preserve">het kabinet </w:t>
      </w:r>
      <w:r w:rsidRPr="00ED6942" w:rsidR="00CF1C49">
        <w:rPr>
          <w:rFonts w:ascii="Verdana" w:hAnsi="Verdana"/>
          <w:sz w:val="18"/>
          <w:szCs w:val="18"/>
        </w:rPr>
        <w:t>zich voor in.</w:t>
      </w:r>
      <w:r w:rsidRPr="00ED6942" w:rsidR="00BD6446">
        <w:rPr>
          <w:rFonts w:ascii="Verdana" w:hAnsi="Verdana"/>
          <w:sz w:val="18"/>
          <w:szCs w:val="18"/>
        </w:rPr>
        <w:t xml:space="preserve"> </w:t>
      </w:r>
      <w:r w:rsidRPr="00ED6942" w:rsidR="00897D7E">
        <w:rPr>
          <w:rFonts w:ascii="Verdana" w:hAnsi="Verdana"/>
          <w:sz w:val="18"/>
          <w:szCs w:val="18"/>
        </w:rPr>
        <w:t xml:space="preserve">Het kabinet steunt de overheveling van antiwitwasregels van een richtlijn naar een verordening ter bevordering van harmonisering. Het kabinet is van mening dat in veel gevallen de keuze voor een verordening ten opzichte van een richtlijn van meerwaarde kan zijn voor harmonisering, bijvoorbeeld ook waar het gaat om productgebaseerde richtlijnen binnen </w:t>
      </w:r>
      <w:r w:rsidRPr="00ED6942" w:rsidR="00897D7E">
        <w:rPr>
          <w:rFonts w:ascii="Verdana" w:hAnsi="Verdana"/>
          <w:sz w:val="18"/>
          <w:szCs w:val="18"/>
        </w:rPr>
        <w:lastRenderedPageBreak/>
        <w:t>de financiële sector die regels bevatten op het gebied van consumentenbescherming</w:t>
      </w:r>
      <w:r w:rsidRPr="00ED6942" w:rsidR="00AB2C64">
        <w:rPr>
          <w:rFonts w:ascii="Verdana" w:hAnsi="Verdana"/>
          <w:sz w:val="18"/>
          <w:szCs w:val="18"/>
        </w:rPr>
        <w:t>, mits daarmee in de betreffende context een adequaat niveau van consumentenbescherming geborgd is</w:t>
      </w:r>
      <w:r w:rsidRPr="00ED6942" w:rsidR="00897D7E">
        <w:rPr>
          <w:rFonts w:ascii="Verdana" w:hAnsi="Verdana"/>
          <w:sz w:val="18"/>
          <w:szCs w:val="18"/>
        </w:rPr>
        <w:t xml:space="preserve">. </w:t>
      </w:r>
      <w:r w:rsidRPr="00ED6942" w:rsidR="00BD6446">
        <w:rPr>
          <w:rFonts w:ascii="Verdana" w:hAnsi="Verdana"/>
          <w:sz w:val="18"/>
          <w:szCs w:val="18"/>
        </w:rPr>
        <w:t xml:space="preserve">Tot slot </w:t>
      </w:r>
      <w:r w:rsidRPr="00ED6942" w:rsidR="00ED574F">
        <w:rPr>
          <w:rFonts w:ascii="Verdana" w:hAnsi="Verdana"/>
          <w:sz w:val="18"/>
          <w:szCs w:val="18"/>
        </w:rPr>
        <w:t>kan het</w:t>
      </w:r>
      <w:r w:rsidRPr="00ED6942" w:rsidR="00BD6446">
        <w:rPr>
          <w:rFonts w:ascii="Verdana" w:hAnsi="Verdana"/>
          <w:sz w:val="18"/>
          <w:szCs w:val="18"/>
        </w:rPr>
        <w:t xml:space="preserve"> kabinet zich vinden in het voornemen van de Europese Commissie om scherper toe te zien op nationale interventies </w:t>
      </w:r>
      <w:r w:rsidRPr="00ED6942" w:rsidR="00454893">
        <w:rPr>
          <w:rFonts w:ascii="Verdana" w:hAnsi="Verdana"/>
          <w:sz w:val="18"/>
          <w:szCs w:val="18"/>
        </w:rPr>
        <w:t xml:space="preserve">ten aanzien van fusies en overnames </w:t>
      </w:r>
      <w:r w:rsidRPr="00ED6942" w:rsidR="00BD6446">
        <w:rPr>
          <w:rFonts w:ascii="Verdana" w:hAnsi="Verdana"/>
          <w:sz w:val="18"/>
          <w:szCs w:val="18"/>
        </w:rPr>
        <w:t>die in strijd zijn met Europese regelgeving.</w:t>
      </w:r>
      <w:r w:rsidRPr="00ED6942" w:rsidR="00CF1C49">
        <w:rPr>
          <w:rFonts w:ascii="Verdana" w:hAnsi="Verdana"/>
          <w:sz w:val="18"/>
          <w:szCs w:val="18"/>
        </w:rPr>
        <w:t xml:space="preserve"> </w:t>
      </w:r>
    </w:p>
    <w:p w:rsidR="006819A2" w:rsidP="00993A0D" w:rsidRDefault="006819A2" w14:paraId="7A66FC49" w14:textId="77777777">
      <w:pPr>
        <w:spacing w:line="360" w:lineRule="auto"/>
        <w:rPr>
          <w:rFonts w:ascii="Verdana" w:hAnsi="Verdana"/>
          <w:sz w:val="18"/>
          <w:szCs w:val="18"/>
        </w:rPr>
      </w:pPr>
    </w:p>
    <w:p w:rsidR="00DF389E" w:rsidP="00DF389E" w:rsidRDefault="002B79CE" w14:paraId="0F6990F0" w14:textId="2F327786">
      <w:pPr>
        <w:spacing w:line="360" w:lineRule="auto"/>
        <w:rPr>
          <w:rFonts w:ascii="Verdana" w:hAnsi="Verdana"/>
          <w:bCs/>
          <w:sz w:val="18"/>
          <w:szCs w:val="18"/>
        </w:rPr>
      </w:pPr>
      <w:bookmarkStart w:name="_Hlk236218469" w:id="2"/>
      <w:r>
        <w:rPr>
          <w:rFonts w:ascii="Verdana" w:hAnsi="Verdana"/>
          <w:bCs/>
          <w:sz w:val="18"/>
          <w:szCs w:val="18"/>
        </w:rPr>
        <w:t>Ten aanzien van</w:t>
      </w:r>
      <w:r w:rsidR="00AE63EB">
        <w:rPr>
          <w:rFonts w:ascii="Verdana" w:hAnsi="Verdana"/>
          <w:bCs/>
          <w:sz w:val="18"/>
          <w:szCs w:val="18"/>
        </w:rPr>
        <w:t xml:space="preserve"> </w:t>
      </w:r>
      <w:r w:rsidR="00A713FD">
        <w:rPr>
          <w:rFonts w:ascii="Verdana" w:hAnsi="Verdana"/>
          <w:bCs/>
          <w:sz w:val="18"/>
          <w:szCs w:val="18"/>
        </w:rPr>
        <w:t xml:space="preserve">het meewegen van de context waarin Europese banken opereren, </w:t>
      </w:r>
      <w:r>
        <w:rPr>
          <w:rFonts w:ascii="Verdana" w:hAnsi="Verdana"/>
          <w:bCs/>
          <w:sz w:val="18"/>
          <w:szCs w:val="18"/>
        </w:rPr>
        <w:t xml:space="preserve">vindt </w:t>
      </w:r>
      <w:r w:rsidR="00AE63EB">
        <w:rPr>
          <w:rFonts w:ascii="Verdana" w:hAnsi="Verdana"/>
          <w:bCs/>
          <w:sz w:val="18"/>
          <w:szCs w:val="18"/>
        </w:rPr>
        <w:t xml:space="preserve">het kabinet </w:t>
      </w:r>
      <w:r w:rsidR="00DF389E">
        <w:rPr>
          <w:rFonts w:ascii="Verdana" w:hAnsi="Verdana"/>
          <w:bCs/>
          <w:sz w:val="18"/>
          <w:szCs w:val="18"/>
        </w:rPr>
        <w:t>dat kapitaaleisen</w:t>
      </w:r>
      <w:r w:rsidRPr="008E61E7" w:rsidR="00DF389E">
        <w:rPr>
          <w:rFonts w:ascii="Verdana" w:hAnsi="Verdana"/>
          <w:bCs/>
          <w:sz w:val="18"/>
          <w:szCs w:val="18"/>
        </w:rPr>
        <w:t xml:space="preserve"> voor banken risicogebaseerd </w:t>
      </w:r>
      <w:r w:rsidR="00DF389E">
        <w:rPr>
          <w:rFonts w:ascii="Verdana" w:hAnsi="Verdana"/>
          <w:bCs/>
          <w:sz w:val="18"/>
          <w:szCs w:val="18"/>
        </w:rPr>
        <w:t xml:space="preserve">moeten </w:t>
      </w:r>
      <w:r w:rsidRPr="008E61E7" w:rsidR="00DF389E">
        <w:rPr>
          <w:rFonts w:ascii="Verdana" w:hAnsi="Verdana"/>
          <w:bCs/>
          <w:sz w:val="18"/>
          <w:szCs w:val="18"/>
        </w:rPr>
        <w:t xml:space="preserve">zijn en dat banken </w:t>
      </w:r>
      <w:r w:rsidR="00DF389E">
        <w:rPr>
          <w:rFonts w:ascii="Verdana" w:hAnsi="Verdana"/>
          <w:bCs/>
          <w:sz w:val="18"/>
          <w:szCs w:val="18"/>
        </w:rPr>
        <w:t xml:space="preserve">zodanig </w:t>
      </w:r>
      <w:r w:rsidRPr="008E61E7" w:rsidR="00DF389E">
        <w:rPr>
          <w:rFonts w:ascii="Verdana" w:hAnsi="Verdana"/>
          <w:bCs/>
          <w:sz w:val="18"/>
          <w:szCs w:val="18"/>
        </w:rPr>
        <w:t xml:space="preserve">goed gekapitaliseerd </w:t>
      </w:r>
      <w:r w:rsidR="000613FF">
        <w:rPr>
          <w:rFonts w:ascii="Verdana" w:hAnsi="Verdana"/>
          <w:bCs/>
          <w:sz w:val="18"/>
          <w:szCs w:val="18"/>
        </w:rPr>
        <w:t xml:space="preserve">moeten </w:t>
      </w:r>
      <w:r w:rsidRPr="008E61E7" w:rsidR="00DF389E">
        <w:rPr>
          <w:rFonts w:ascii="Verdana" w:hAnsi="Verdana"/>
          <w:bCs/>
          <w:sz w:val="18"/>
          <w:szCs w:val="18"/>
        </w:rPr>
        <w:t>zijn</w:t>
      </w:r>
      <w:r w:rsidR="00DF389E">
        <w:rPr>
          <w:rFonts w:ascii="Verdana" w:hAnsi="Verdana"/>
          <w:bCs/>
          <w:sz w:val="18"/>
          <w:szCs w:val="18"/>
        </w:rPr>
        <w:t xml:space="preserve"> dat ze op korte en lange termijn een concurrerende Europese economie kunnen ondersteunen</w:t>
      </w:r>
      <w:r w:rsidRPr="008E61E7" w:rsidR="00DF389E">
        <w:rPr>
          <w:rFonts w:ascii="Verdana" w:hAnsi="Verdana"/>
          <w:bCs/>
          <w:sz w:val="18"/>
          <w:szCs w:val="18"/>
        </w:rPr>
        <w:t xml:space="preserve">. </w:t>
      </w:r>
      <w:r w:rsidR="00DF389E">
        <w:rPr>
          <w:rFonts w:ascii="Verdana" w:hAnsi="Verdana"/>
          <w:bCs/>
          <w:sz w:val="18"/>
          <w:szCs w:val="18"/>
        </w:rPr>
        <w:t>Sterke</w:t>
      </w:r>
      <w:r w:rsidRPr="008E61E7" w:rsidR="00DF389E">
        <w:rPr>
          <w:rFonts w:ascii="Verdana" w:hAnsi="Verdana"/>
          <w:bCs/>
          <w:sz w:val="18"/>
          <w:szCs w:val="18"/>
        </w:rPr>
        <w:t xml:space="preserve"> </w:t>
      </w:r>
      <w:r w:rsidR="00DF389E">
        <w:rPr>
          <w:rFonts w:ascii="Verdana" w:hAnsi="Verdana"/>
          <w:bCs/>
          <w:sz w:val="18"/>
          <w:szCs w:val="18"/>
        </w:rPr>
        <w:t xml:space="preserve">en stabiele </w:t>
      </w:r>
      <w:r w:rsidRPr="008E61E7" w:rsidR="00DF389E">
        <w:rPr>
          <w:rFonts w:ascii="Verdana" w:hAnsi="Verdana"/>
          <w:bCs/>
          <w:sz w:val="18"/>
          <w:szCs w:val="18"/>
        </w:rPr>
        <w:t xml:space="preserve">banken zijn in staat burgers en bedrijven te blijven </w:t>
      </w:r>
      <w:r w:rsidR="00DF389E">
        <w:rPr>
          <w:rFonts w:ascii="Verdana" w:hAnsi="Verdana"/>
          <w:bCs/>
          <w:sz w:val="18"/>
          <w:szCs w:val="18"/>
        </w:rPr>
        <w:t>financieren</w:t>
      </w:r>
      <w:r w:rsidRPr="008E61E7" w:rsidR="00DF389E">
        <w:rPr>
          <w:rFonts w:ascii="Verdana" w:hAnsi="Verdana"/>
          <w:bCs/>
          <w:sz w:val="18"/>
          <w:szCs w:val="18"/>
        </w:rPr>
        <w:t>, ook als het economisch tegenzit</w:t>
      </w:r>
      <w:r w:rsidR="00DF389E">
        <w:rPr>
          <w:rFonts w:ascii="Verdana" w:hAnsi="Verdana"/>
          <w:bCs/>
          <w:sz w:val="18"/>
          <w:szCs w:val="18"/>
        </w:rPr>
        <w:t>.</w:t>
      </w:r>
      <w:r w:rsidR="00C82C7F">
        <w:rPr>
          <w:rFonts w:ascii="Verdana" w:hAnsi="Verdana"/>
          <w:bCs/>
          <w:sz w:val="18"/>
          <w:szCs w:val="18"/>
        </w:rPr>
        <w:t xml:space="preserve"> Het kabinet </w:t>
      </w:r>
      <w:r w:rsidR="0037251D">
        <w:rPr>
          <w:rFonts w:ascii="Verdana" w:hAnsi="Verdana"/>
          <w:bCs/>
          <w:sz w:val="18"/>
          <w:szCs w:val="18"/>
        </w:rPr>
        <w:t>nodigt</w:t>
      </w:r>
      <w:r w:rsidR="00C82C7F">
        <w:rPr>
          <w:rFonts w:ascii="Verdana" w:hAnsi="Verdana"/>
          <w:bCs/>
          <w:sz w:val="18"/>
          <w:szCs w:val="18"/>
        </w:rPr>
        <w:t xml:space="preserve"> de Commissie</w:t>
      </w:r>
      <w:r w:rsidR="0037251D">
        <w:rPr>
          <w:rFonts w:ascii="Verdana" w:hAnsi="Verdana"/>
          <w:bCs/>
          <w:sz w:val="18"/>
          <w:szCs w:val="18"/>
        </w:rPr>
        <w:t xml:space="preserve"> uit om een zorgvuldige analyse te doen </w:t>
      </w:r>
      <w:r w:rsidR="00D867A7">
        <w:rPr>
          <w:rFonts w:ascii="Verdana" w:hAnsi="Verdana"/>
          <w:bCs/>
          <w:sz w:val="18"/>
          <w:szCs w:val="18"/>
        </w:rPr>
        <w:t>naar</w:t>
      </w:r>
      <w:r w:rsidR="00FF680E">
        <w:rPr>
          <w:rFonts w:ascii="Verdana" w:hAnsi="Verdana"/>
          <w:bCs/>
          <w:sz w:val="18"/>
          <w:szCs w:val="18"/>
        </w:rPr>
        <w:t xml:space="preserve"> </w:t>
      </w:r>
      <w:r w:rsidR="00454893">
        <w:rPr>
          <w:rFonts w:ascii="Verdana" w:hAnsi="Verdana"/>
          <w:bCs/>
          <w:sz w:val="18"/>
          <w:szCs w:val="18"/>
        </w:rPr>
        <w:t xml:space="preserve">de </w:t>
      </w:r>
      <w:r w:rsidR="00FF680E">
        <w:rPr>
          <w:rFonts w:ascii="Verdana" w:hAnsi="Verdana"/>
          <w:bCs/>
          <w:sz w:val="18"/>
          <w:szCs w:val="18"/>
        </w:rPr>
        <w:t>proportionaliteit in kapitaaleisen gezien</w:t>
      </w:r>
      <w:r w:rsidR="00A713FD">
        <w:rPr>
          <w:rFonts w:ascii="Verdana" w:hAnsi="Verdana"/>
          <w:bCs/>
          <w:sz w:val="18"/>
          <w:szCs w:val="18"/>
        </w:rPr>
        <w:t xml:space="preserve"> de</w:t>
      </w:r>
      <w:r w:rsidR="00FF680E">
        <w:rPr>
          <w:rFonts w:ascii="Verdana" w:hAnsi="Verdana"/>
          <w:bCs/>
          <w:sz w:val="18"/>
          <w:szCs w:val="18"/>
        </w:rPr>
        <w:t xml:space="preserve"> </w:t>
      </w:r>
      <w:r w:rsidR="0037251D">
        <w:rPr>
          <w:rFonts w:ascii="Verdana" w:hAnsi="Verdana"/>
          <w:bCs/>
          <w:sz w:val="18"/>
          <w:szCs w:val="18"/>
        </w:rPr>
        <w:t xml:space="preserve">specifieke </w:t>
      </w:r>
      <w:r w:rsidR="00A713FD">
        <w:rPr>
          <w:rFonts w:ascii="Verdana" w:hAnsi="Verdana"/>
          <w:bCs/>
          <w:sz w:val="18"/>
          <w:szCs w:val="18"/>
        </w:rPr>
        <w:t>Europese context</w:t>
      </w:r>
      <w:r w:rsidR="00FF680E">
        <w:rPr>
          <w:rFonts w:ascii="Verdana" w:hAnsi="Verdana"/>
          <w:bCs/>
          <w:sz w:val="18"/>
          <w:szCs w:val="18"/>
        </w:rPr>
        <w:t xml:space="preserve">, </w:t>
      </w:r>
      <w:r w:rsidR="00D867A7">
        <w:rPr>
          <w:rFonts w:ascii="Verdana" w:hAnsi="Verdana"/>
          <w:bCs/>
          <w:sz w:val="18"/>
          <w:szCs w:val="18"/>
        </w:rPr>
        <w:t>bijvoorbeeld</w:t>
      </w:r>
      <w:r w:rsidR="00FF680E">
        <w:rPr>
          <w:rFonts w:ascii="Verdana" w:hAnsi="Verdana"/>
          <w:bCs/>
          <w:sz w:val="18"/>
          <w:szCs w:val="18"/>
        </w:rPr>
        <w:t xml:space="preserve"> het feit dat veel Europese bedrijven geen externe kredietbeoordeling hebben omdat ze bankfinanciering gebruiken</w:t>
      </w:r>
      <w:r w:rsidR="0037251D">
        <w:rPr>
          <w:rFonts w:ascii="Verdana" w:hAnsi="Verdana"/>
          <w:bCs/>
          <w:sz w:val="18"/>
          <w:szCs w:val="18"/>
        </w:rPr>
        <w:t>.</w:t>
      </w:r>
      <w:r w:rsidR="00DF389E">
        <w:rPr>
          <w:rFonts w:ascii="Verdana" w:hAnsi="Verdana"/>
          <w:bCs/>
          <w:sz w:val="18"/>
          <w:szCs w:val="18"/>
        </w:rPr>
        <w:t xml:space="preserve"> Het kabinet hecht </w:t>
      </w:r>
      <w:r w:rsidR="00FF680E">
        <w:rPr>
          <w:rFonts w:ascii="Verdana" w:hAnsi="Verdana"/>
          <w:bCs/>
          <w:sz w:val="18"/>
          <w:szCs w:val="18"/>
        </w:rPr>
        <w:t xml:space="preserve">daarbij </w:t>
      </w:r>
      <w:r w:rsidR="00DF389E">
        <w:rPr>
          <w:rFonts w:ascii="Verdana" w:hAnsi="Verdana"/>
          <w:bCs/>
          <w:sz w:val="18"/>
          <w:szCs w:val="18"/>
        </w:rPr>
        <w:t xml:space="preserve">aan het voorkomen van </w:t>
      </w:r>
      <w:r w:rsidR="00953EBA">
        <w:rPr>
          <w:rFonts w:ascii="Verdana" w:hAnsi="Verdana"/>
          <w:bCs/>
          <w:sz w:val="18"/>
          <w:szCs w:val="18"/>
        </w:rPr>
        <w:t xml:space="preserve">een </w:t>
      </w:r>
      <w:r w:rsidR="00DF389E">
        <w:rPr>
          <w:rFonts w:ascii="Verdana" w:hAnsi="Verdana"/>
          <w:bCs/>
          <w:sz w:val="18"/>
          <w:szCs w:val="18"/>
        </w:rPr>
        <w:t xml:space="preserve">wereldwijde race naar de bodem ten aanzien van kapitaalstandaarden. Het uitgangspunt van het kabinet </w:t>
      </w:r>
      <w:r w:rsidR="00F162BE">
        <w:rPr>
          <w:rFonts w:ascii="Verdana" w:hAnsi="Verdana"/>
          <w:bCs/>
          <w:sz w:val="18"/>
          <w:szCs w:val="18"/>
        </w:rPr>
        <w:t xml:space="preserve">blijft </w:t>
      </w:r>
      <w:r w:rsidR="00DF389E">
        <w:rPr>
          <w:rFonts w:ascii="Verdana" w:hAnsi="Verdana"/>
          <w:bCs/>
          <w:sz w:val="18"/>
          <w:szCs w:val="18"/>
        </w:rPr>
        <w:t>daarom dat Bazelstandaarden getrouw in de EU geïmplementeerd moeten worden.</w:t>
      </w:r>
      <w:r w:rsidR="00FF680E">
        <w:rPr>
          <w:rFonts w:ascii="Verdana" w:hAnsi="Verdana"/>
          <w:bCs/>
          <w:sz w:val="18"/>
          <w:szCs w:val="18"/>
        </w:rPr>
        <w:t xml:space="preserve"> Het kabinet heeft ook oog voor een gelijk speelveld waarin banken met elkaar concurreren.</w:t>
      </w:r>
      <w:r w:rsidR="00DF389E">
        <w:rPr>
          <w:rFonts w:ascii="Verdana" w:hAnsi="Verdana"/>
          <w:bCs/>
          <w:sz w:val="18"/>
          <w:szCs w:val="18"/>
        </w:rPr>
        <w:t xml:space="preserve"> </w:t>
      </w:r>
      <w:r w:rsidR="007E64D7">
        <w:rPr>
          <w:rFonts w:ascii="Verdana" w:hAnsi="Verdana"/>
          <w:bCs/>
          <w:sz w:val="18"/>
          <w:szCs w:val="18"/>
        </w:rPr>
        <w:t>Als</w:t>
      </w:r>
      <w:r w:rsidRPr="00FF680E" w:rsidR="00FF680E">
        <w:rPr>
          <w:rFonts w:ascii="Verdana" w:hAnsi="Verdana"/>
          <w:bCs/>
          <w:sz w:val="18"/>
          <w:szCs w:val="18"/>
        </w:rPr>
        <w:t xml:space="preserve"> de Commissie afwijkingen overweegt, zal het kabinet zich ervoor inzetten dat </w:t>
      </w:r>
      <w:r w:rsidR="00F14EF5">
        <w:rPr>
          <w:rFonts w:ascii="Verdana" w:hAnsi="Verdana"/>
          <w:bCs/>
          <w:sz w:val="18"/>
          <w:szCs w:val="18"/>
        </w:rPr>
        <w:t>beleidsvoorstellen</w:t>
      </w:r>
      <w:r w:rsidR="00A713FD">
        <w:rPr>
          <w:rFonts w:ascii="Verdana" w:hAnsi="Verdana"/>
          <w:bCs/>
          <w:sz w:val="18"/>
          <w:szCs w:val="18"/>
        </w:rPr>
        <w:t xml:space="preserve"> vooraf worden gegaan door een zorgvuldige analyse</w:t>
      </w:r>
      <w:r w:rsidR="00962EB3">
        <w:rPr>
          <w:rFonts w:ascii="Verdana" w:hAnsi="Verdana"/>
          <w:bCs/>
          <w:sz w:val="18"/>
          <w:szCs w:val="18"/>
        </w:rPr>
        <w:t xml:space="preserve">, dat </w:t>
      </w:r>
      <w:r w:rsidR="00F14EF5">
        <w:rPr>
          <w:rFonts w:ascii="Verdana" w:hAnsi="Verdana"/>
          <w:bCs/>
          <w:sz w:val="18"/>
          <w:szCs w:val="18"/>
        </w:rPr>
        <w:t xml:space="preserve">eventuele </w:t>
      </w:r>
      <w:r w:rsidR="00962EB3">
        <w:rPr>
          <w:rFonts w:ascii="Verdana" w:hAnsi="Verdana"/>
          <w:bCs/>
          <w:sz w:val="18"/>
          <w:szCs w:val="18"/>
        </w:rPr>
        <w:t>afwijkingen</w:t>
      </w:r>
      <w:r w:rsidR="00DF389E">
        <w:rPr>
          <w:rFonts w:ascii="Verdana" w:hAnsi="Verdana"/>
          <w:bCs/>
          <w:sz w:val="18"/>
          <w:szCs w:val="18"/>
        </w:rPr>
        <w:t xml:space="preserve"> gericht </w:t>
      </w:r>
      <w:r w:rsidR="00962EB3">
        <w:rPr>
          <w:rFonts w:ascii="Verdana" w:hAnsi="Verdana"/>
          <w:bCs/>
          <w:sz w:val="18"/>
          <w:szCs w:val="18"/>
        </w:rPr>
        <w:t xml:space="preserve">zijn en dat ze noodzakelijk zijn </w:t>
      </w:r>
      <w:r w:rsidR="00DF389E">
        <w:rPr>
          <w:rFonts w:ascii="Verdana" w:hAnsi="Verdana"/>
          <w:bCs/>
          <w:sz w:val="18"/>
          <w:szCs w:val="18"/>
        </w:rPr>
        <w:t xml:space="preserve">om te zorgen voor risicogebaseerde eisen. </w:t>
      </w:r>
      <w:r w:rsidR="004D4D5C">
        <w:rPr>
          <w:rFonts w:ascii="Verdana" w:hAnsi="Verdana"/>
          <w:bCs/>
          <w:sz w:val="18"/>
          <w:szCs w:val="18"/>
        </w:rPr>
        <w:t xml:space="preserve">Zo steunt het </w:t>
      </w:r>
      <w:r w:rsidR="00DF389E">
        <w:rPr>
          <w:rFonts w:ascii="Verdana" w:hAnsi="Verdana"/>
          <w:bCs/>
          <w:sz w:val="18"/>
          <w:szCs w:val="18"/>
        </w:rPr>
        <w:t xml:space="preserve">kabinet dat de Commissie </w:t>
      </w:r>
      <w:r w:rsidR="00433E5F">
        <w:rPr>
          <w:rFonts w:ascii="Verdana" w:hAnsi="Verdana"/>
          <w:bCs/>
          <w:sz w:val="18"/>
          <w:szCs w:val="18"/>
        </w:rPr>
        <w:t>met voorstel</w:t>
      </w:r>
      <w:r w:rsidR="009D562D">
        <w:rPr>
          <w:rFonts w:ascii="Verdana" w:hAnsi="Verdana"/>
          <w:bCs/>
          <w:sz w:val="18"/>
          <w:szCs w:val="18"/>
        </w:rPr>
        <w:t>len</w:t>
      </w:r>
      <w:r w:rsidR="00433E5F">
        <w:rPr>
          <w:rFonts w:ascii="Verdana" w:hAnsi="Verdana"/>
          <w:bCs/>
          <w:sz w:val="18"/>
          <w:szCs w:val="18"/>
        </w:rPr>
        <w:t xml:space="preserve"> komt </w:t>
      </w:r>
      <w:r w:rsidR="00C74B33">
        <w:rPr>
          <w:rFonts w:ascii="Verdana" w:hAnsi="Verdana"/>
          <w:bCs/>
          <w:sz w:val="18"/>
          <w:szCs w:val="18"/>
        </w:rPr>
        <w:t>over het omgaan met</w:t>
      </w:r>
      <w:r w:rsidR="009D562D">
        <w:rPr>
          <w:rFonts w:ascii="Verdana" w:hAnsi="Verdana"/>
          <w:bCs/>
          <w:sz w:val="18"/>
          <w:szCs w:val="18"/>
        </w:rPr>
        <w:t xml:space="preserve"> de</w:t>
      </w:r>
      <w:r w:rsidR="00433E5F">
        <w:rPr>
          <w:rFonts w:ascii="Verdana" w:hAnsi="Verdana"/>
          <w:bCs/>
          <w:sz w:val="18"/>
          <w:szCs w:val="18"/>
        </w:rPr>
        <w:t xml:space="preserve"> </w:t>
      </w:r>
      <w:r w:rsidR="00DF389E">
        <w:rPr>
          <w:rFonts w:ascii="Verdana" w:hAnsi="Verdana"/>
          <w:bCs/>
          <w:sz w:val="18"/>
          <w:szCs w:val="18"/>
        </w:rPr>
        <w:t>maatregelen</w:t>
      </w:r>
      <w:r w:rsidR="00D867A7">
        <w:rPr>
          <w:rFonts w:ascii="Verdana" w:hAnsi="Verdana"/>
          <w:bCs/>
          <w:sz w:val="18"/>
          <w:szCs w:val="18"/>
        </w:rPr>
        <w:t xml:space="preserve"> voor bedrijven zonder externe kredietbeoordeling</w:t>
      </w:r>
      <w:r w:rsidR="00DF389E">
        <w:rPr>
          <w:rFonts w:ascii="Verdana" w:hAnsi="Verdana"/>
          <w:bCs/>
          <w:sz w:val="18"/>
          <w:szCs w:val="18"/>
        </w:rPr>
        <w:t xml:space="preserve">, </w:t>
      </w:r>
      <w:r w:rsidR="009D562D">
        <w:rPr>
          <w:rFonts w:ascii="Verdana" w:hAnsi="Verdana"/>
          <w:bCs/>
          <w:sz w:val="18"/>
          <w:szCs w:val="18"/>
        </w:rPr>
        <w:t>mits op</w:t>
      </w:r>
      <w:r w:rsidR="00433E5F">
        <w:rPr>
          <w:rFonts w:ascii="Verdana" w:hAnsi="Verdana"/>
          <w:bCs/>
          <w:sz w:val="18"/>
          <w:szCs w:val="18"/>
        </w:rPr>
        <w:t xml:space="preserve"> basis van een gedegen analyse.</w:t>
      </w:r>
      <w:r w:rsidR="00433E5F">
        <w:rPr>
          <w:rStyle w:val="FootnoteReference"/>
          <w:rFonts w:ascii="Verdana" w:hAnsi="Verdana"/>
          <w:bCs/>
          <w:sz w:val="18"/>
          <w:szCs w:val="18"/>
        </w:rPr>
        <w:footnoteReference w:id="18"/>
      </w:r>
      <w:r w:rsidR="00433E5F">
        <w:rPr>
          <w:rFonts w:ascii="Verdana" w:hAnsi="Verdana"/>
          <w:bCs/>
          <w:sz w:val="18"/>
          <w:szCs w:val="18"/>
        </w:rPr>
        <w:t xml:space="preserve"> </w:t>
      </w:r>
      <w:r w:rsidRPr="00444DB0" w:rsidR="00444DB0">
        <w:rPr>
          <w:rFonts w:ascii="Verdana" w:hAnsi="Verdana"/>
          <w:sz w:val="18"/>
          <w:szCs w:val="18"/>
        </w:rPr>
        <w:t>T.a.v. de maatregel voor laagrisicohypotheken is het kabinet terughoudend, vanwege de gevoeligheid van de Nederlandse en Europese economie voor een omslag van huizenmarkten.</w:t>
      </w:r>
      <w:r w:rsidR="00BE3CA0">
        <w:rPr>
          <w:rStyle w:val="FootnoteReference"/>
          <w:rFonts w:ascii="Verdana" w:hAnsi="Verdana"/>
          <w:bCs/>
          <w:sz w:val="18"/>
          <w:szCs w:val="18"/>
        </w:rPr>
        <w:footnoteReference w:id="19"/>
      </w:r>
      <w:r w:rsidR="00BE3CA0">
        <w:rPr>
          <w:rFonts w:ascii="Verdana" w:hAnsi="Verdana"/>
          <w:bCs/>
          <w:sz w:val="18"/>
          <w:szCs w:val="18"/>
        </w:rPr>
        <w:t xml:space="preserve"> </w:t>
      </w:r>
      <w:r w:rsidRPr="00444DB0" w:rsidR="00444DB0">
        <w:rPr>
          <w:rFonts w:ascii="Verdana" w:hAnsi="Verdana"/>
          <w:bCs/>
          <w:sz w:val="18"/>
          <w:szCs w:val="18"/>
        </w:rPr>
        <w:t xml:space="preserve">Beide maatregelen zijn nadrukkelijk bedoeld om tijdelijk van aard te zijn en uitgefaseerd te worden. Gebeurt dit niet, dan bestaat het risico dat banken onvoldoende gekapitaliseerd zijn voor deze blootstellingen. </w:t>
      </w:r>
      <w:r w:rsidR="00FE451D">
        <w:rPr>
          <w:rFonts w:ascii="Verdana" w:hAnsi="Verdana"/>
          <w:bCs/>
          <w:sz w:val="18"/>
          <w:szCs w:val="18"/>
        </w:rPr>
        <w:t>Een analyse van maatregelen ten aanzien van de outputvloer</w:t>
      </w:r>
      <w:r w:rsidRPr="00FE451D" w:rsidR="00FE451D">
        <w:rPr>
          <w:rFonts w:ascii="Verdana" w:hAnsi="Verdana"/>
          <w:bCs/>
          <w:sz w:val="18"/>
          <w:szCs w:val="18"/>
        </w:rPr>
        <w:t xml:space="preserve"> </w:t>
      </w:r>
      <w:r w:rsidR="00FE451D">
        <w:rPr>
          <w:rFonts w:ascii="Verdana" w:hAnsi="Verdana"/>
          <w:bCs/>
          <w:sz w:val="18"/>
          <w:szCs w:val="18"/>
        </w:rPr>
        <w:t>vraagt tevens om</w:t>
      </w:r>
      <w:r w:rsidRPr="00FE451D" w:rsidR="00FE451D">
        <w:rPr>
          <w:rFonts w:ascii="Verdana" w:hAnsi="Verdana"/>
          <w:bCs/>
          <w:sz w:val="18"/>
          <w:szCs w:val="18"/>
        </w:rPr>
        <w:t xml:space="preserve"> afweging</w:t>
      </w:r>
      <w:r w:rsidR="00FE451D">
        <w:rPr>
          <w:rFonts w:ascii="Verdana" w:hAnsi="Verdana"/>
          <w:bCs/>
          <w:sz w:val="18"/>
          <w:szCs w:val="18"/>
        </w:rPr>
        <w:t>en</w:t>
      </w:r>
      <w:r w:rsidRPr="00FE451D" w:rsidR="00FE451D">
        <w:rPr>
          <w:rFonts w:ascii="Verdana" w:hAnsi="Verdana"/>
          <w:bCs/>
          <w:sz w:val="18"/>
          <w:szCs w:val="18"/>
        </w:rPr>
        <w:t xml:space="preserve"> tussen vergelijkbaarheid van </w:t>
      </w:r>
      <w:r w:rsidR="00FE451D">
        <w:rPr>
          <w:rFonts w:ascii="Verdana" w:hAnsi="Verdana"/>
          <w:bCs/>
          <w:sz w:val="18"/>
          <w:szCs w:val="18"/>
        </w:rPr>
        <w:t>kapitaaleisen</w:t>
      </w:r>
      <w:r w:rsidRPr="00FE451D" w:rsidR="00FE451D">
        <w:rPr>
          <w:rFonts w:ascii="Verdana" w:hAnsi="Verdana"/>
          <w:bCs/>
          <w:sz w:val="18"/>
          <w:szCs w:val="18"/>
        </w:rPr>
        <w:t xml:space="preserve"> </w:t>
      </w:r>
      <w:r w:rsidR="00644F2F">
        <w:rPr>
          <w:rFonts w:ascii="Verdana" w:hAnsi="Verdana"/>
          <w:bCs/>
          <w:sz w:val="18"/>
          <w:szCs w:val="18"/>
        </w:rPr>
        <w:t xml:space="preserve">tussen banken, </w:t>
      </w:r>
      <w:r w:rsidR="00FE451D">
        <w:rPr>
          <w:rFonts w:ascii="Verdana" w:hAnsi="Verdana"/>
          <w:bCs/>
          <w:sz w:val="18"/>
          <w:szCs w:val="18"/>
        </w:rPr>
        <w:t>minimumniveau</w:t>
      </w:r>
      <w:r w:rsidR="00644F2F">
        <w:rPr>
          <w:rFonts w:ascii="Verdana" w:hAnsi="Verdana"/>
          <w:bCs/>
          <w:sz w:val="18"/>
          <w:szCs w:val="18"/>
        </w:rPr>
        <w:t>s</w:t>
      </w:r>
      <w:r w:rsidR="00FE451D">
        <w:rPr>
          <w:rFonts w:ascii="Verdana" w:hAnsi="Verdana"/>
          <w:bCs/>
          <w:sz w:val="18"/>
          <w:szCs w:val="18"/>
        </w:rPr>
        <w:t xml:space="preserve"> van weerbaarheid</w:t>
      </w:r>
      <w:r w:rsidRPr="00FE451D" w:rsidR="00FE451D">
        <w:rPr>
          <w:rFonts w:ascii="Verdana" w:hAnsi="Verdana"/>
          <w:bCs/>
          <w:sz w:val="18"/>
          <w:szCs w:val="18"/>
        </w:rPr>
        <w:t xml:space="preserve"> en risicosensitiviteit</w:t>
      </w:r>
      <w:r w:rsidR="00FE451D">
        <w:rPr>
          <w:rFonts w:ascii="Verdana" w:hAnsi="Verdana"/>
          <w:bCs/>
          <w:sz w:val="18"/>
          <w:szCs w:val="18"/>
        </w:rPr>
        <w:t xml:space="preserve">. </w:t>
      </w:r>
      <w:r w:rsidR="00DF389E">
        <w:rPr>
          <w:rFonts w:ascii="Verdana" w:hAnsi="Verdana"/>
          <w:bCs/>
          <w:sz w:val="18"/>
          <w:szCs w:val="18"/>
        </w:rPr>
        <w:t>Daarbij zal het kabinet voorstel</w:t>
      </w:r>
      <w:r w:rsidR="00CE0151">
        <w:rPr>
          <w:rFonts w:ascii="Verdana" w:hAnsi="Verdana"/>
          <w:bCs/>
          <w:sz w:val="18"/>
          <w:szCs w:val="18"/>
        </w:rPr>
        <w:t>len</w:t>
      </w:r>
      <w:r w:rsidR="00DF389E">
        <w:rPr>
          <w:rFonts w:ascii="Verdana" w:hAnsi="Verdana"/>
          <w:bCs/>
          <w:sz w:val="18"/>
          <w:szCs w:val="18"/>
        </w:rPr>
        <w:t xml:space="preserve"> van de Commissie </w:t>
      </w:r>
      <w:r w:rsidR="00CE0151">
        <w:rPr>
          <w:rFonts w:ascii="Verdana" w:hAnsi="Verdana"/>
          <w:bCs/>
          <w:sz w:val="18"/>
          <w:szCs w:val="18"/>
        </w:rPr>
        <w:t>holistisch beoordelen in de context van</w:t>
      </w:r>
      <w:r w:rsidR="00DF389E">
        <w:rPr>
          <w:rFonts w:ascii="Verdana" w:hAnsi="Verdana"/>
          <w:bCs/>
          <w:sz w:val="18"/>
          <w:szCs w:val="18"/>
        </w:rPr>
        <w:t xml:space="preserve"> het gehele pakket. Het geheel van aanpassingen moet de concurrentiekracht en </w:t>
      </w:r>
      <w:r w:rsidR="00962EB3">
        <w:rPr>
          <w:rFonts w:ascii="Verdana" w:hAnsi="Verdana"/>
          <w:bCs/>
          <w:sz w:val="18"/>
          <w:szCs w:val="18"/>
        </w:rPr>
        <w:t xml:space="preserve">financiële </w:t>
      </w:r>
      <w:r w:rsidR="00DF389E">
        <w:rPr>
          <w:rFonts w:ascii="Verdana" w:hAnsi="Verdana"/>
          <w:bCs/>
          <w:sz w:val="18"/>
          <w:szCs w:val="18"/>
        </w:rPr>
        <w:t>stabiliteit op korte en lange termijn ondersteunen en niet leiden tot een</w:t>
      </w:r>
      <w:r w:rsidR="00961F72">
        <w:rPr>
          <w:rFonts w:ascii="Verdana" w:hAnsi="Verdana"/>
          <w:bCs/>
          <w:sz w:val="18"/>
          <w:szCs w:val="18"/>
        </w:rPr>
        <w:t xml:space="preserve"> disproportionele</w:t>
      </w:r>
      <w:r w:rsidR="00DF389E">
        <w:rPr>
          <w:rFonts w:ascii="Verdana" w:hAnsi="Verdana"/>
          <w:bCs/>
          <w:sz w:val="18"/>
          <w:szCs w:val="18"/>
        </w:rPr>
        <w:t xml:space="preserve"> verwatering van kapitaaleisen.</w:t>
      </w:r>
      <w:bookmarkEnd w:id="2"/>
      <w:r w:rsidR="00DF389E">
        <w:rPr>
          <w:rFonts w:ascii="Verdana" w:hAnsi="Verdana"/>
          <w:bCs/>
          <w:sz w:val="18"/>
          <w:szCs w:val="18"/>
        </w:rPr>
        <w:t xml:space="preserve"> </w:t>
      </w:r>
      <w:r w:rsidRPr="002E2748" w:rsidR="002E2748">
        <w:rPr>
          <w:rFonts w:ascii="Verdana" w:hAnsi="Verdana"/>
          <w:bCs/>
          <w:sz w:val="18"/>
          <w:szCs w:val="18"/>
        </w:rPr>
        <w:t xml:space="preserve">Het kabinet is </w:t>
      </w:r>
      <w:r w:rsidR="004601D9">
        <w:rPr>
          <w:rFonts w:ascii="Verdana" w:hAnsi="Verdana"/>
          <w:bCs/>
          <w:sz w:val="18"/>
          <w:szCs w:val="18"/>
        </w:rPr>
        <w:t xml:space="preserve">verder </w:t>
      </w:r>
      <w:r w:rsidRPr="002E2748" w:rsidR="002E2748">
        <w:rPr>
          <w:rFonts w:ascii="Verdana" w:hAnsi="Verdana"/>
          <w:bCs/>
          <w:sz w:val="18"/>
          <w:szCs w:val="18"/>
        </w:rPr>
        <w:t xml:space="preserve">positief dat de Commissie </w:t>
      </w:r>
      <w:r w:rsidR="00D867A7">
        <w:rPr>
          <w:rFonts w:ascii="Verdana" w:hAnsi="Verdana"/>
          <w:bCs/>
          <w:sz w:val="18"/>
          <w:szCs w:val="18"/>
        </w:rPr>
        <w:t xml:space="preserve">de </w:t>
      </w:r>
      <w:r w:rsidRPr="002E2748" w:rsidR="00D867A7">
        <w:rPr>
          <w:rFonts w:ascii="Verdana" w:hAnsi="Verdana"/>
          <w:bCs/>
          <w:sz w:val="18"/>
          <w:szCs w:val="18"/>
        </w:rPr>
        <w:t>prudentiële weging van gespecialiseerde vormen van financiering</w:t>
      </w:r>
      <w:r w:rsidR="00D867A7">
        <w:rPr>
          <w:rFonts w:ascii="Verdana" w:hAnsi="Verdana"/>
          <w:bCs/>
          <w:sz w:val="18"/>
          <w:szCs w:val="18"/>
        </w:rPr>
        <w:t xml:space="preserve"> en handelsfinanciering</w:t>
      </w:r>
      <w:r w:rsidRPr="002E2748" w:rsidR="00D867A7">
        <w:rPr>
          <w:rFonts w:ascii="Verdana" w:hAnsi="Verdana"/>
          <w:bCs/>
          <w:sz w:val="18"/>
          <w:szCs w:val="18"/>
        </w:rPr>
        <w:t xml:space="preserve"> </w:t>
      </w:r>
      <w:r w:rsidRPr="002E2748" w:rsidR="002E2748">
        <w:rPr>
          <w:rFonts w:ascii="Verdana" w:hAnsi="Verdana"/>
          <w:bCs/>
          <w:sz w:val="18"/>
          <w:szCs w:val="18"/>
        </w:rPr>
        <w:t>gaat evalueren, zodat de impact hiervan duidelijker in beeld komt</w:t>
      </w:r>
      <w:r w:rsidR="00962EB3">
        <w:rPr>
          <w:rFonts w:ascii="Verdana" w:hAnsi="Verdana"/>
          <w:bCs/>
          <w:sz w:val="18"/>
          <w:szCs w:val="18"/>
        </w:rPr>
        <w:t xml:space="preserve"> voordat eventuele wijzigingen worden overwogen</w:t>
      </w:r>
      <w:r w:rsidRPr="002E2748" w:rsidR="002E2748">
        <w:rPr>
          <w:rFonts w:ascii="Verdana" w:hAnsi="Verdana"/>
          <w:bCs/>
          <w:sz w:val="18"/>
          <w:szCs w:val="18"/>
        </w:rPr>
        <w:t>.</w:t>
      </w:r>
      <w:r w:rsidR="002E2748">
        <w:rPr>
          <w:rFonts w:ascii="Verdana" w:hAnsi="Verdana"/>
          <w:bCs/>
          <w:sz w:val="18"/>
          <w:szCs w:val="18"/>
        </w:rPr>
        <w:t xml:space="preserve"> </w:t>
      </w:r>
      <w:r w:rsidR="00967180">
        <w:rPr>
          <w:rFonts w:ascii="Verdana" w:hAnsi="Verdana"/>
          <w:bCs/>
          <w:sz w:val="18"/>
          <w:szCs w:val="18"/>
        </w:rPr>
        <w:t xml:space="preserve">Het kabinet ziet dat de prudentiële behandeling van investeringen in software gefragmenteerd is, met verschillende benaderingen in het VK, de VS en </w:t>
      </w:r>
      <w:r w:rsidR="00967180">
        <w:rPr>
          <w:rFonts w:ascii="Verdana" w:hAnsi="Verdana"/>
          <w:bCs/>
          <w:sz w:val="18"/>
          <w:szCs w:val="18"/>
        </w:rPr>
        <w:lastRenderedPageBreak/>
        <w:t>de EU. Het kabinet vindt de huidige</w:t>
      </w:r>
      <w:r w:rsidR="00FC22C4">
        <w:rPr>
          <w:rFonts w:ascii="Verdana" w:hAnsi="Verdana"/>
          <w:bCs/>
          <w:sz w:val="18"/>
          <w:szCs w:val="18"/>
        </w:rPr>
        <w:t xml:space="preserve"> Europese</w:t>
      </w:r>
      <w:r w:rsidR="00967180">
        <w:rPr>
          <w:rFonts w:ascii="Verdana" w:hAnsi="Verdana"/>
          <w:bCs/>
          <w:sz w:val="18"/>
          <w:szCs w:val="18"/>
        </w:rPr>
        <w:t xml:space="preserve"> prudentiële behandeling een passende middenweg in dit vraagstuk</w:t>
      </w:r>
      <w:r w:rsidR="00FC22C4">
        <w:rPr>
          <w:rFonts w:ascii="Verdana" w:hAnsi="Verdana"/>
          <w:bCs/>
          <w:sz w:val="18"/>
          <w:szCs w:val="18"/>
        </w:rPr>
        <w:t xml:space="preserve"> </w:t>
      </w:r>
      <w:r w:rsidR="00967180">
        <w:rPr>
          <w:rFonts w:ascii="Verdana" w:hAnsi="Verdana"/>
          <w:bCs/>
          <w:sz w:val="18"/>
          <w:szCs w:val="18"/>
        </w:rPr>
        <w:t xml:space="preserve">en </w:t>
      </w:r>
      <w:r w:rsidR="00FC22C4">
        <w:rPr>
          <w:rFonts w:ascii="Verdana" w:hAnsi="Verdana"/>
          <w:bCs/>
          <w:sz w:val="18"/>
          <w:szCs w:val="18"/>
        </w:rPr>
        <w:t>stelt</w:t>
      </w:r>
      <w:r w:rsidR="00967180">
        <w:rPr>
          <w:rFonts w:ascii="Verdana" w:hAnsi="Verdana"/>
          <w:bCs/>
          <w:sz w:val="18"/>
          <w:szCs w:val="18"/>
        </w:rPr>
        <w:t xml:space="preserve"> dat investeringen in software </w:t>
      </w:r>
      <w:r w:rsidR="0061280E">
        <w:rPr>
          <w:rFonts w:ascii="Verdana" w:hAnsi="Verdana"/>
          <w:bCs/>
          <w:sz w:val="18"/>
          <w:szCs w:val="18"/>
        </w:rPr>
        <w:t xml:space="preserve">zeer </w:t>
      </w:r>
      <w:r w:rsidR="00967180">
        <w:rPr>
          <w:rFonts w:ascii="Verdana" w:hAnsi="Verdana"/>
          <w:bCs/>
          <w:sz w:val="18"/>
          <w:szCs w:val="18"/>
        </w:rPr>
        <w:t xml:space="preserve">beperkt verliezen kunnen opvangen.  </w:t>
      </w:r>
    </w:p>
    <w:p w:rsidR="001F1282" w:rsidP="006012D0" w:rsidRDefault="001F1282" w14:paraId="1EDA3EF9" w14:textId="77777777">
      <w:pPr>
        <w:spacing w:line="360" w:lineRule="auto"/>
        <w:rPr>
          <w:rFonts w:ascii="Verdana" w:hAnsi="Verdana"/>
          <w:bCs/>
          <w:sz w:val="18"/>
          <w:szCs w:val="18"/>
        </w:rPr>
      </w:pPr>
    </w:p>
    <w:p w:rsidR="00C07BA4" w:rsidP="001408B4" w:rsidRDefault="000613FF" w14:paraId="29F668E7" w14:textId="59002BF5">
      <w:pPr>
        <w:spacing w:line="360" w:lineRule="auto"/>
        <w:rPr>
          <w:rFonts w:ascii="Verdana" w:hAnsi="Verdana"/>
          <w:bCs/>
          <w:sz w:val="18"/>
          <w:szCs w:val="18"/>
        </w:rPr>
      </w:pPr>
      <w:r>
        <w:rPr>
          <w:rFonts w:ascii="Verdana" w:hAnsi="Verdana"/>
          <w:bCs/>
          <w:sz w:val="18"/>
          <w:szCs w:val="18"/>
        </w:rPr>
        <w:t xml:space="preserve">Het kabinet verwelkomt het </w:t>
      </w:r>
      <w:r w:rsidR="00F162BE">
        <w:rPr>
          <w:rFonts w:ascii="Verdana" w:hAnsi="Verdana"/>
          <w:bCs/>
          <w:sz w:val="18"/>
          <w:szCs w:val="18"/>
        </w:rPr>
        <w:t xml:space="preserve">voornemen </w:t>
      </w:r>
      <w:r>
        <w:rPr>
          <w:rFonts w:ascii="Verdana" w:hAnsi="Verdana"/>
          <w:bCs/>
          <w:sz w:val="18"/>
          <w:szCs w:val="18"/>
        </w:rPr>
        <w:t xml:space="preserve">van de Commissie om de regelgeving en het toezicht </w:t>
      </w:r>
      <w:r w:rsidR="00F162BE">
        <w:rPr>
          <w:rFonts w:ascii="Verdana" w:hAnsi="Verdana"/>
          <w:bCs/>
          <w:sz w:val="18"/>
          <w:szCs w:val="18"/>
        </w:rPr>
        <w:t xml:space="preserve">voor </w:t>
      </w:r>
      <w:r>
        <w:rPr>
          <w:rFonts w:ascii="Verdana" w:hAnsi="Verdana"/>
          <w:bCs/>
          <w:sz w:val="18"/>
          <w:szCs w:val="18"/>
        </w:rPr>
        <w:t xml:space="preserve">kleine of minder complexe banken te versimpelen. </w:t>
      </w:r>
      <w:r w:rsidR="00F162BE">
        <w:rPr>
          <w:rFonts w:ascii="Verdana" w:hAnsi="Verdana"/>
          <w:bCs/>
          <w:sz w:val="18"/>
          <w:szCs w:val="18"/>
        </w:rPr>
        <w:t>Dat geldt ook voor</w:t>
      </w:r>
      <w:r w:rsidR="000B62E6">
        <w:rPr>
          <w:rFonts w:ascii="Verdana" w:hAnsi="Verdana"/>
          <w:bCs/>
          <w:sz w:val="18"/>
          <w:szCs w:val="18"/>
        </w:rPr>
        <w:t xml:space="preserve"> het voornemen van de Commissie en van toezichthouders om niet alleen in de regelgeving, maar ook in het toezicht meer proportionaliteit toe te passen</w:t>
      </w:r>
      <w:r w:rsidR="00F162BE">
        <w:rPr>
          <w:rFonts w:ascii="Verdana" w:hAnsi="Verdana"/>
          <w:bCs/>
          <w:sz w:val="18"/>
          <w:szCs w:val="18"/>
        </w:rPr>
        <w:t>. Randvoorwaarden die het kabinet hierbij stelt zijn dat er voldoende sprake moet zijn van Europese harmonisatie (</w:t>
      </w:r>
      <w:r w:rsidRPr="00343990" w:rsidR="00F162BE">
        <w:rPr>
          <w:rFonts w:ascii="Verdana" w:hAnsi="Verdana"/>
          <w:bCs/>
          <w:i/>
          <w:iCs/>
          <w:sz w:val="18"/>
          <w:szCs w:val="18"/>
        </w:rPr>
        <w:t>single rulebook</w:t>
      </w:r>
      <w:r w:rsidR="00F162BE">
        <w:rPr>
          <w:rFonts w:ascii="Verdana" w:hAnsi="Verdana"/>
          <w:bCs/>
          <w:sz w:val="18"/>
          <w:szCs w:val="18"/>
        </w:rPr>
        <w:t xml:space="preserve">) en dat het risicogebaseerde karakter van het raamwerk behouden moet blijven. </w:t>
      </w:r>
      <w:r w:rsidR="0011189C">
        <w:rPr>
          <w:rFonts w:ascii="Verdana" w:hAnsi="Verdana"/>
          <w:bCs/>
          <w:sz w:val="18"/>
          <w:szCs w:val="18"/>
        </w:rPr>
        <w:t>Bij het toepassen van proportionaliteit moeten ook banken met een grote omvang, maar een relatief laag risicoprofiel, niet over het hoofd gezien worden</w:t>
      </w:r>
      <w:r w:rsidR="000B62E6">
        <w:rPr>
          <w:rFonts w:ascii="Verdana" w:hAnsi="Verdana"/>
          <w:bCs/>
          <w:sz w:val="18"/>
          <w:szCs w:val="18"/>
        </w:rPr>
        <w:t>.</w:t>
      </w:r>
      <w:r>
        <w:rPr>
          <w:rFonts w:ascii="Verdana" w:hAnsi="Verdana"/>
          <w:bCs/>
          <w:sz w:val="18"/>
          <w:szCs w:val="18"/>
        </w:rPr>
        <w:t xml:space="preserve"> </w:t>
      </w:r>
      <w:r w:rsidR="00953EBA">
        <w:rPr>
          <w:rFonts w:ascii="Verdana" w:hAnsi="Verdana"/>
          <w:bCs/>
          <w:sz w:val="18"/>
          <w:szCs w:val="18"/>
        </w:rPr>
        <w:t>In het kader van het teweegbrengen van versimpeling verwelkomt h</w:t>
      </w:r>
      <w:r w:rsidR="00A10600">
        <w:rPr>
          <w:rFonts w:ascii="Verdana" w:hAnsi="Verdana"/>
          <w:bCs/>
          <w:sz w:val="18"/>
          <w:szCs w:val="18"/>
        </w:rPr>
        <w:t xml:space="preserve">et kabinet </w:t>
      </w:r>
      <w:r w:rsidR="00F162BE">
        <w:rPr>
          <w:rFonts w:ascii="Verdana" w:hAnsi="Verdana"/>
          <w:bCs/>
          <w:sz w:val="18"/>
          <w:szCs w:val="18"/>
        </w:rPr>
        <w:t>in het bijzonder</w:t>
      </w:r>
      <w:r w:rsidR="00A10600">
        <w:rPr>
          <w:rFonts w:ascii="Verdana" w:hAnsi="Verdana"/>
          <w:bCs/>
          <w:sz w:val="18"/>
          <w:szCs w:val="18"/>
        </w:rPr>
        <w:t xml:space="preserve"> het voornemen van de Europese Commissie om het prudentiële raamwerk voor beleggingsondernemingen gericht te </w:t>
      </w:r>
      <w:r w:rsidR="000B62E6">
        <w:rPr>
          <w:rFonts w:ascii="Verdana" w:hAnsi="Verdana"/>
          <w:bCs/>
          <w:sz w:val="18"/>
          <w:szCs w:val="18"/>
        </w:rPr>
        <w:t>wijzigen</w:t>
      </w:r>
      <w:r w:rsidR="00A10600">
        <w:rPr>
          <w:rFonts w:ascii="Verdana" w:hAnsi="Verdana"/>
          <w:bCs/>
          <w:sz w:val="18"/>
          <w:szCs w:val="18"/>
        </w:rPr>
        <w:t xml:space="preserve">, </w:t>
      </w:r>
      <w:r w:rsidRPr="00A36D28" w:rsidR="00A36D28">
        <w:rPr>
          <w:rFonts w:ascii="Verdana" w:hAnsi="Verdana"/>
          <w:bCs/>
          <w:sz w:val="18"/>
          <w:szCs w:val="18"/>
        </w:rPr>
        <w:t xml:space="preserve">waarbij het kabinet waarde hecht aan het verbeteren van </w:t>
      </w:r>
      <w:r w:rsidR="00454893">
        <w:rPr>
          <w:rFonts w:ascii="Verdana" w:hAnsi="Verdana"/>
          <w:bCs/>
          <w:sz w:val="18"/>
          <w:szCs w:val="18"/>
        </w:rPr>
        <w:t xml:space="preserve">het </w:t>
      </w:r>
      <w:r w:rsidRPr="00A36D28" w:rsidR="00A36D28">
        <w:rPr>
          <w:rFonts w:ascii="Verdana" w:hAnsi="Verdana"/>
          <w:bCs/>
          <w:sz w:val="18"/>
          <w:szCs w:val="18"/>
        </w:rPr>
        <w:t xml:space="preserve">risico gedreven karakter van het raamwerk, het waarborgen van een internationaal gelijk speelveld en proportionaliteit van vereisten </w:t>
      </w:r>
      <w:r w:rsidR="00A10600">
        <w:rPr>
          <w:rFonts w:ascii="Verdana" w:hAnsi="Verdana"/>
          <w:bCs/>
          <w:sz w:val="18"/>
          <w:szCs w:val="18"/>
        </w:rPr>
        <w:t xml:space="preserve">rond </w:t>
      </w:r>
      <w:r w:rsidR="00A10600">
        <w:rPr>
          <w:rFonts w:ascii="Verdana" w:hAnsi="Verdana"/>
          <w:bCs/>
          <w:i/>
          <w:iCs/>
          <w:sz w:val="18"/>
          <w:szCs w:val="18"/>
        </w:rPr>
        <w:t>governance</w:t>
      </w:r>
      <w:r w:rsidR="00A10600">
        <w:rPr>
          <w:rFonts w:ascii="Verdana" w:hAnsi="Verdana"/>
          <w:bCs/>
          <w:sz w:val="18"/>
          <w:szCs w:val="18"/>
        </w:rPr>
        <w:t>.</w:t>
      </w:r>
      <w:r w:rsidR="00A10600">
        <w:rPr>
          <w:rStyle w:val="FootnoteReference"/>
          <w:rFonts w:ascii="Verdana" w:hAnsi="Verdana"/>
          <w:bCs/>
          <w:sz w:val="18"/>
          <w:szCs w:val="18"/>
        </w:rPr>
        <w:footnoteReference w:id="20"/>
      </w:r>
      <w:r w:rsidR="00A10600">
        <w:rPr>
          <w:rFonts w:ascii="Verdana" w:hAnsi="Verdana"/>
          <w:bCs/>
          <w:sz w:val="18"/>
          <w:szCs w:val="18"/>
        </w:rPr>
        <w:t xml:space="preserve"> </w:t>
      </w:r>
    </w:p>
    <w:p w:rsidR="00837372" w:rsidP="001408B4" w:rsidRDefault="00837372" w14:paraId="19CDD419" w14:textId="77777777">
      <w:pPr>
        <w:spacing w:line="360" w:lineRule="auto"/>
        <w:rPr>
          <w:rFonts w:ascii="Verdana" w:hAnsi="Verdana"/>
          <w:bCs/>
          <w:sz w:val="18"/>
          <w:szCs w:val="18"/>
        </w:rPr>
      </w:pPr>
    </w:p>
    <w:p w:rsidR="00837372" w:rsidP="001408B4" w:rsidRDefault="00837372" w14:paraId="45AB57AC" w14:textId="50D13B27">
      <w:pPr>
        <w:spacing w:line="360" w:lineRule="auto"/>
        <w:rPr>
          <w:rFonts w:ascii="Verdana" w:hAnsi="Verdana"/>
          <w:bCs/>
          <w:sz w:val="18"/>
          <w:szCs w:val="18"/>
        </w:rPr>
      </w:pPr>
      <w:r w:rsidRPr="00C07BA4">
        <w:rPr>
          <w:rFonts w:ascii="Verdana" w:hAnsi="Verdana"/>
          <w:bCs/>
          <w:sz w:val="18"/>
          <w:szCs w:val="18"/>
        </w:rPr>
        <w:t>De Commissie gaat de effectiviteit van de huidige</w:t>
      </w:r>
      <w:r w:rsidR="00F162BE">
        <w:rPr>
          <w:rFonts w:ascii="Verdana" w:hAnsi="Verdana"/>
          <w:bCs/>
          <w:sz w:val="18"/>
          <w:szCs w:val="18"/>
        </w:rPr>
        <w:t xml:space="preserve"> Europese</w:t>
      </w:r>
      <w:r w:rsidRPr="00C07BA4">
        <w:rPr>
          <w:rFonts w:ascii="Verdana" w:hAnsi="Verdana"/>
          <w:bCs/>
          <w:sz w:val="18"/>
          <w:szCs w:val="18"/>
        </w:rPr>
        <w:t xml:space="preserve"> beloningsregels voor banken en de impact daarvan op het concurrentievermogen onderzoeken. Het kabinet is van mening dat het wetgevend kader moet voorzien in adequate waarborgen die het nemen van excessieve risico’s minimaliseren. Hierbij dient een evenwicht te worden gevonden tussen verschillende belangen</w:t>
      </w:r>
      <w:r>
        <w:rPr>
          <w:rFonts w:ascii="Verdana" w:hAnsi="Verdana"/>
          <w:bCs/>
          <w:sz w:val="18"/>
          <w:szCs w:val="18"/>
        </w:rPr>
        <w:t>,</w:t>
      </w:r>
      <w:r w:rsidRPr="00C07BA4">
        <w:rPr>
          <w:rFonts w:ascii="Verdana" w:hAnsi="Verdana"/>
          <w:bCs/>
          <w:sz w:val="18"/>
          <w:szCs w:val="18"/>
        </w:rPr>
        <w:t xml:space="preserve"> zoals concurrentievermogen en het voorkomen van perverse prikkels. De mededeling van de Commissie kondigt slechts aanvullend onderzoek aan en bevat geen concrete voorstellen. Een inhoudelijke beoordeling is daarom nog niet mogelijk.</w:t>
      </w:r>
    </w:p>
    <w:p w:rsidR="00C07BA4" w:rsidP="006012D0" w:rsidRDefault="00C07BA4" w14:paraId="6556C96D" w14:textId="77777777">
      <w:pPr>
        <w:spacing w:line="360" w:lineRule="auto"/>
        <w:rPr>
          <w:rFonts w:ascii="Verdana" w:hAnsi="Verdana"/>
          <w:bCs/>
          <w:sz w:val="18"/>
          <w:szCs w:val="18"/>
        </w:rPr>
      </w:pPr>
    </w:p>
    <w:p w:rsidR="00FA5B14" w:rsidP="00C83A06" w:rsidRDefault="001F1282" w14:paraId="643E328F" w14:textId="27EFB58F">
      <w:pPr>
        <w:spacing w:line="360" w:lineRule="auto"/>
        <w:rPr>
          <w:rFonts w:ascii="Verdana" w:hAnsi="Verdana"/>
          <w:bCs/>
          <w:sz w:val="18"/>
          <w:szCs w:val="18"/>
        </w:rPr>
      </w:pPr>
      <w:r>
        <w:rPr>
          <w:rFonts w:ascii="Verdana" w:hAnsi="Verdana"/>
          <w:bCs/>
          <w:sz w:val="18"/>
          <w:szCs w:val="18"/>
        </w:rPr>
        <w:t xml:space="preserve">Het kabinet steunt in algemene zin initiatieven die </w:t>
      </w:r>
      <w:r w:rsidR="00FA5B14">
        <w:rPr>
          <w:rFonts w:ascii="Verdana" w:hAnsi="Verdana"/>
          <w:bCs/>
          <w:sz w:val="18"/>
          <w:szCs w:val="18"/>
        </w:rPr>
        <w:t>tot een meer simpel en geharmoniseerd prudentieel- en resolutie</w:t>
      </w:r>
      <w:r>
        <w:rPr>
          <w:rFonts w:ascii="Verdana" w:hAnsi="Verdana"/>
          <w:bCs/>
          <w:sz w:val="18"/>
          <w:szCs w:val="18"/>
        </w:rPr>
        <w:t>raamwerk</w:t>
      </w:r>
      <w:r w:rsidR="00FA5B14">
        <w:rPr>
          <w:rFonts w:ascii="Verdana" w:hAnsi="Verdana"/>
          <w:bCs/>
          <w:sz w:val="18"/>
          <w:szCs w:val="18"/>
        </w:rPr>
        <w:t xml:space="preserve"> leiden om zo bij te</w:t>
      </w:r>
      <w:r w:rsidR="00962EB3">
        <w:rPr>
          <w:rFonts w:ascii="Verdana" w:hAnsi="Verdana"/>
          <w:bCs/>
          <w:sz w:val="18"/>
          <w:szCs w:val="18"/>
        </w:rPr>
        <w:t xml:space="preserve"> </w:t>
      </w:r>
      <w:r w:rsidR="00FA5B14">
        <w:rPr>
          <w:rFonts w:ascii="Verdana" w:hAnsi="Verdana"/>
          <w:bCs/>
          <w:sz w:val="18"/>
          <w:szCs w:val="18"/>
        </w:rPr>
        <w:t>dragen aan het concurrentievermogen van de bankensector en een gelijk speelveld tussen lidstaten.</w:t>
      </w:r>
      <w:r>
        <w:rPr>
          <w:rFonts w:ascii="Verdana" w:hAnsi="Verdana"/>
          <w:bCs/>
          <w:sz w:val="18"/>
          <w:szCs w:val="18"/>
        </w:rPr>
        <w:t xml:space="preserve"> </w:t>
      </w:r>
      <w:r w:rsidR="00FA5B14">
        <w:rPr>
          <w:rFonts w:ascii="Verdana" w:hAnsi="Verdana"/>
          <w:bCs/>
          <w:sz w:val="18"/>
          <w:szCs w:val="18"/>
        </w:rPr>
        <w:t>Wel is</w:t>
      </w:r>
      <w:r w:rsidR="004E100F">
        <w:rPr>
          <w:rFonts w:ascii="Verdana" w:hAnsi="Verdana"/>
          <w:bCs/>
          <w:sz w:val="18"/>
          <w:szCs w:val="18"/>
        </w:rPr>
        <w:t xml:space="preserve"> het</w:t>
      </w:r>
      <w:r>
        <w:rPr>
          <w:rFonts w:ascii="Verdana" w:hAnsi="Verdana"/>
          <w:bCs/>
          <w:sz w:val="18"/>
          <w:szCs w:val="18"/>
        </w:rPr>
        <w:t xml:space="preserve"> kabinet</w:t>
      </w:r>
      <w:r w:rsidR="004E100F">
        <w:rPr>
          <w:rFonts w:ascii="Verdana" w:hAnsi="Verdana"/>
          <w:bCs/>
          <w:sz w:val="18"/>
          <w:szCs w:val="18"/>
        </w:rPr>
        <w:t xml:space="preserve"> </w:t>
      </w:r>
      <w:r>
        <w:rPr>
          <w:rFonts w:ascii="Verdana" w:hAnsi="Verdana"/>
          <w:bCs/>
          <w:sz w:val="18"/>
          <w:szCs w:val="18"/>
        </w:rPr>
        <w:t xml:space="preserve">terughoudend bij aanpassingen die </w:t>
      </w:r>
      <w:r w:rsidR="00FA5B14">
        <w:rPr>
          <w:rFonts w:ascii="Verdana" w:hAnsi="Verdana"/>
          <w:bCs/>
          <w:sz w:val="18"/>
          <w:szCs w:val="18"/>
        </w:rPr>
        <w:t xml:space="preserve">niet alleen </w:t>
      </w:r>
      <w:r w:rsidR="00454893">
        <w:rPr>
          <w:rFonts w:ascii="Verdana" w:hAnsi="Verdana"/>
          <w:bCs/>
          <w:sz w:val="18"/>
          <w:szCs w:val="18"/>
        </w:rPr>
        <w:t>het</w:t>
      </w:r>
      <w:r w:rsidR="00FA5B14">
        <w:rPr>
          <w:rFonts w:ascii="Verdana" w:hAnsi="Verdana"/>
          <w:bCs/>
          <w:sz w:val="18"/>
          <w:szCs w:val="18"/>
        </w:rPr>
        <w:t xml:space="preserve"> raamwerk</w:t>
      </w:r>
      <w:r w:rsidR="00454893">
        <w:rPr>
          <w:rFonts w:ascii="Verdana" w:hAnsi="Verdana"/>
          <w:bCs/>
          <w:sz w:val="18"/>
          <w:szCs w:val="18"/>
        </w:rPr>
        <w:t xml:space="preserve"> vereenvoudigen</w:t>
      </w:r>
      <w:r w:rsidR="00FA5B14">
        <w:rPr>
          <w:rFonts w:ascii="Verdana" w:hAnsi="Verdana"/>
          <w:bCs/>
          <w:sz w:val="18"/>
          <w:szCs w:val="18"/>
        </w:rPr>
        <w:t xml:space="preserve">, maar </w:t>
      </w:r>
      <w:r w:rsidR="00454893">
        <w:rPr>
          <w:rFonts w:ascii="Verdana" w:hAnsi="Verdana"/>
          <w:bCs/>
          <w:sz w:val="18"/>
          <w:szCs w:val="18"/>
        </w:rPr>
        <w:t>ook leiden tot</w:t>
      </w:r>
      <w:r w:rsidR="00FA5B14">
        <w:rPr>
          <w:rFonts w:ascii="Verdana" w:hAnsi="Verdana"/>
          <w:bCs/>
          <w:sz w:val="18"/>
          <w:szCs w:val="18"/>
        </w:rPr>
        <w:t xml:space="preserve"> een </w:t>
      </w:r>
      <w:r w:rsidR="00454893">
        <w:rPr>
          <w:rFonts w:ascii="Verdana" w:hAnsi="Verdana"/>
          <w:bCs/>
          <w:sz w:val="18"/>
          <w:szCs w:val="18"/>
        </w:rPr>
        <w:t xml:space="preserve">materiële </w:t>
      </w:r>
      <w:r w:rsidR="00FA5B14">
        <w:rPr>
          <w:rFonts w:ascii="Verdana" w:hAnsi="Verdana"/>
          <w:bCs/>
          <w:sz w:val="18"/>
          <w:szCs w:val="18"/>
        </w:rPr>
        <w:t xml:space="preserve">afzwakking van vereisten. Dat kan namelijk ten koste gaan </w:t>
      </w:r>
      <w:r>
        <w:rPr>
          <w:rFonts w:ascii="Verdana" w:hAnsi="Verdana"/>
          <w:bCs/>
          <w:sz w:val="18"/>
          <w:szCs w:val="18"/>
        </w:rPr>
        <w:t>van</w:t>
      </w:r>
      <w:r w:rsidR="00CC6BB5">
        <w:rPr>
          <w:rFonts w:ascii="Verdana" w:hAnsi="Verdana"/>
          <w:bCs/>
          <w:sz w:val="18"/>
          <w:szCs w:val="18"/>
        </w:rPr>
        <w:t xml:space="preserve"> de</w:t>
      </w:r>
      <w:r>
        <w:rPr>
          <w:rFonts w:ascii="Verdana" w:hAnsi="Verdana"/>
          <w:bCs/>
          <w:sz w:val="18"/>
          <w:szCs w:val="18"/>
        </w:rPr>
        <w:t xml:space="preserve"> financiële stabiliteit</w:t>
      </w:r>
      <w:r w:rsidR="00FA5B14">
        <w:rPr>
          <w:rFonts w:ascii="Verdana" w:hAnsi="Verdana"/>
          <w:bCs/>
          <w:sz w:val="18"/>
          <w:szCs w:val="18"/>
        </w:rPr>
        <w:t xml:space="preserve"> en weerbaarheid</w:t>
      </w:r>
      <w:r>
        <w:rPr>
          <w:rFonts w:ascii="Verdana" w:hAnsi="Verdana"/>
          <w:bCs/>
          <w:sz w:val="18"/>
          <w:szCs w:val="18"/>
        </w:rPr>
        <w:t xml:space="preserve">. </w:t>
      </w:r>
      <w:r w:rsidR="004E100F">
        <w:rPr>
          <w:rFonts w:ascii="Verdana" w:hAnsi="Verdana"/>
          <w:bCs/>
          <w:sz w:val="18"/>
          <w:szCs w:val="18"/>
        </w:rPr>
        <w:t xml:space="preserve">Het kabinet vindt het daarbij belangrijk om de voorstellen voor versimpeling als geheel te bekijken, zodat ze ervoor kan waken dat het totale pakket leidt tot een te sterke afzwakking van vereisten. </w:t>
      </w:r>
    </w:p>
    <w:p w:rsidR="00FA5B14" w:rsidP="00C83A06" w:rsidRDefault="00FA5B14" w14:paraId="35DFDB5E" w14:textId="77777777">
      <w:pPr>
        <w:spacing w:line="360" w:lineRule="auto"/>
        <w:rPr>
          <w:rFonts w:ascii="Verdana" w:hAnsi="Verdana"/>
          <w:bCs/>
          <w:sz w:val="18"/>
          <w:szCs w:val="18"/>
        </w:rPr>
      </w:pPr>
    </w:p>
    <w:p w:rsidR="00FA5B14" w:rsidP="00C83A06" w:rsidRDefault="001F1282" w14:paraId="6A97C2A0" w14:textId="69169653">
      <w:pPr>
        <w:spacing w:line="360" w:lineRule="auto"/>
        <w:rPr>
          <w:rFonts w:ascii="Verdana" w:hAnsi="Verdana"/>
          <w:bCs/>
          <w:sz w:val="18"/>
          <w:szCs w:val="18"/>
        </w:rPr>
      </w:pPr>
      <w:r>
        <w:rPr>
          <w:rFonts w:ascii="Verdana" w:hAnsi="Verdana"/>
          <w:bCs/>
          <w:sz w:val="18"/>
          <w:szCs w:val="18"/>
        </w:rPr>
        <w:t xml:space="preserve">Op het gebied van </w:t>
      </w:r>
      <w:r w:rsidR="0074124B">
        <w:rPr>
          <w:rFonts w:ascii="Verdana" w:hAnsi="Verdana"/>
          <w:bCs/>
          <w:sz w:val="18"/>
          <w:szCs w:val="18"/>
        </w:rPr>
        <w:t xml:space="preserve">instellingsspecifieke </w:t>
      </w:r>
      <w:r>
        <w:rPr>
          <w:rFonts w:ascii="Verdana" w:hAnsi="Verdana"/>
          <w:bCs/>
          <w:sz w:val="18"/>
          <w:szCs w:val="18"/>
        </w:rPr>
        <w:t xml:space="preserve">microprudentiële vereisten staat het kabinet positief tegenover </w:t>
      </w:r>
      <w:r w:rsidR="00F162BE">
        <w:rPr>
          <w:rFonts w:ascii="Verdana" w:hAnsi="Verdana"/>
          <w:bCs/>
          <w:sz w:val="18"/>
          <w:szCs w:val="18"/>
        </w:rPr>
        <w:t xml:space="preserve">het voornemen van de Commissie om met </w:t>
      </w:r>
      <w:r>
        <w:rPr>
          <w:rFonts w:ascii="Verdana" w:hAnsi="Verdana"/>
          <w:bCs/>
          <w:sz w:val="18"/>
          <w:szCs w:val="18"/>
        </w:rPr>
        <w:t>voorstellen</w:t>
      </w:r>
      <w:r w:rsidR="00F162BE">
        <w:rPr>
          <w:rFonts w:ascii="Verdana" w:hAnsi="Verdana"/>
          <w:bCs/>
          <w:sz w:val="18"/>
          <w:szCs w:val="18"/>
        </w:rPr>
        <w:t xml:space="preserve"> te komen</w:t>
      </w:r>
      <w:r>
        <w:rPr>
          <w:rFonts w:ascii="Verdana" w:hAnsi="Verdana"/>
          <w:bCs/>
          <w:sz w:val="18"/>
          <w:szCs w:val="18"/>
        </w:rPr>
        <w:t xml:space="preserve"> die de transparantie en voorspelbaarheid van deze vereisten verbeteren. Zo is het kabinet van mening dat er verduidelijking </w:t>
      </w:r>
      <w:r w:rsidR="00276601">
        <w:rPr>
          <w:rFonts w:ascii="Verdana" w:hAnsi="Verdana"/>
          <w:bCs/>
          <w:sz w:val="18"/>
          <w:szCs w:val="18"/>
        </w:rPr>
        <w:t xml:space="preserve">mogelijk </w:t>
      </w:r>
      <w:r>
        <w:rPr>
          <w:rFonts w:ascii="Verdana" w:hAnsi="Verdana"/>
          <w:bCs/>
          <w:sz w:val="18"/>
          <w:szCs w:val="18"/>
        </w:rPr>
        <w:t xml:space="preserve">is </w:t>
      </w:r>
      <w:r w:rsidR="00343990">
        <w:rPr>
          <w:rFonts w:ascii="Verdana" w:hAnsi="Verdana"/>
          <w:bCs/>
          <w:sz w:val="18"/>
          <w:szCs w:val="18"/>
        </w:rPr>
        <w:t>om</w:t>
      </w:r>
      <w:r>
        <w:rPr>
          <w:rFonts w:ascii="Verdana" w:hAnsi="Verdana"/>
          <w:bCs/>
          <w:sz w:val="18"/>
          <w:szCs w:val="18"/>
        </w:rPr>
        <w:t xml:space="preserve"> overlap </w:t>
      </w:r>
      <w:r w:rsidR="00343990">
        <w:rPr>
          <w:rFonts w:ascii="Verdana" w:hAnsi="Verdana"/>
          <w:bCs/>
          <w:sz w:val="18"/>
          <w:szCs w:val="18"/>
        </w:rPr>
        <w:t>tussen deze</w:t>
      </w:r>
      <w:r>
        <w:rPr>
          <w:rFonts w:ascii="Verdana" w:hAnsi="Verdana"/>
          <w:bCs/>
          <w:sz w:val="18"/>
          <w:szCs w:val="18"/>
        </w:rPr>
        <w:t xml:space="preserve"> vereisten </w:t>
      </w:r>
      <w:r w:rsidR="00343990">
        <w:rPr>
          <w:rFonts w:ascii="Verdana" w:hAnsi="Verdana"/>
          <w:bCs/>
          <w:sz w:val="18"/>
          <w:szCs w:val="18"/>
        </w:rPr>
        <w:t xml:space="preserve">en die </w:t>
      </w:r>
      <w:r>
        <w:rPr>
          <w:rFonts w:ascii="Verdana" w:hAnsi="Verdana"/>
          <w:bCs/>
          <w:sz w:val="18"/>
          <w:szCs w:val="18"/>
        </w:rPr>
        <w:t xml:space="preserve">uit het macroprudentiële </w:t>
      </w:r>
      <w:r>
        <w:rPr>
          <w:rFonts w:ascii="Verdana" w:hAnsi="Verdana"/>
          <w:bCs/>
          <w:sz w:val="18"/>
          <w:szCs w:val="18"/>
        </w:rPr>
        <w:lastRenderedPageBreak/>
        <w:t>raamwerk</w:t>
      </w:r>
      <w:r w:rsidR="00343990">
        <w:rPr>
          <w:rFonts w:ascii="Verdana" w:hAnsi="Verdana"/>
          <w:bCs/>
          <w:sz w:val="18"/>
          <w:szCs w:val="18"/>
        </w:rPr>
        <w:t xml:space="preserve"> te voorkomen</w:t>
      </w:r>
      <w:r w:rsidR="0043314C">
        <w:rPr>
          <w:rFonts w:ascii="Verdana" w:hAnsi="Verdana"/>
          <w:bCs/>
          <w:sz w:val="18"/>
          <w:szCs w:val="18"/>
        </w:rPr>
        <w:t>.</w:t>
      </w:r>
      <w:r w:rsidR="0043314C">
        <w:rPr>
          <w:rStyle w:val="FootnoteReference"/>
          <w:rFonts w:ascii="Verdana" w:hAnsi="Verdana"/>
          <w:bCs/>
          <w:sz w:val="18"/>
          <w:szCs w:val="18"/>
        </w:rPr>
        <w:footnoteReference w:id="21"/>
      </w:r>
      <w:r w:rsidR="0043314C">
        <w:rPr>
          <w:rFonts w:ascii="Verdana" w:hAnsi="Verdana"/>
          <w:bCs/>
          <w:sz w:val="18"/>
          <w:szCs w:val="18"/>
        </w:rPr>
        <w:t xml:space="preserve"> </w:t>
      </w:r>
      <w:r w:rsidR="00AB0595">
        <w:rPr>
          <w:rFonts w:ascii="Verdana" w:hAnsi="Verdana"/>
          <w:bCs/>
          <w:sz w:val="18"/>
          <w:szCs w:val="18"/>
        </w:rPr>
        <w:t>Het kabinet ziet het afschaffen van de bevoegdheid voor de toezichthouder om bankspecifieke maatregelen te nemen ten aanzien van de leverage ratio niet als een betekenisvolle versimpeling</w:t>
      </w:r>
      <w:r w:rsidRPr="00837372" w:rsidR="00AB0595">
        <w:rPr>
          <w:rFonts w:ascii="Verdana" w:hAnsi="Verdana"/>
          <w:bCs/>
          <w:sz w:val="18"/>
          <w:szCs w:val="18"/>
        </w:rPr>
        <w:t>.</w:t>
      </w:r>
      <w:r w:rsidR="00454893">
        <w:rPr>
          <w:rFonts w:ascii="Verdana" w:hAnsi="Verdana"/>
          <w:bCs/>
          <w:sz w:val="18"/>
          <w:szCs w:val="18"/>
        </w:rPr>
        <w:t xml:space="preserve"> </w:t>
      </w:r>
      <w:r w:rsidR="00750D1F">
        <w:rPr>
          <w:rFonts w:ascii="Verdana" w:hAnsi="Verdana"/>
          <w:bCs/>
          <w:sz w:val="18"/>
          <w:szCs w:val="18"/>
        </w:rPr>
        <w:t xml:space="preserve">Daarnaast acht het kabinet het van belang dat er voldoende ruimte behouden blijft om Pillar 2 Guidance op te leggen waar prudentieel nodig, zonder dat </w:t>
      </w:r>
      <w:r w:rsidR="005E3C82">
        <w:rPr>
          <w:rFonts w:ascii="Verdana" w:hAnsi="Verdana"/>
          <w:bCs/>
          <w:sz w:val="18"/>
          <w:szCs w:val="18"/>
        </w:rPr>
        <w:t xml:space="preserve">dit </w:t>
      </w:r>
      <w:r w:rsidR="00750D1F">
        <w:rPr>
          <w:rFonts w:ascii="Verdana" w:hAnsi="Verdana"/>
          <w:bCs/>
          <w:sz w:val="18"/>
          <w:szCs w:val="18"/>
        </w:rPr>
        <w:t>leidt tot overlap met andere buffers.</w:t>
      </w:r>
      <w:r w:rsidR="00454893">
        <w:rPr>
          <w:rFonts w:ascii="Verdana" w:hAnsi="Verdana"/>
          <w:bCs/>
          <w:sz w:val="18"/>
          <w:szCs w:val="18"/>
        </w:rPr>
        <w:t xml:space="preserve"> </w:t>
      </w:r>
      <w:r w:rsidR="00AB0595">
        <w:rPr>
          <w:rFonts w:ascii="Verdana" w:hAnsi="Verdana"/>
          <w:bCs/>
          <w:sz w:val="18"/>
          <w:szCs w:val="18"/>
        </w:rPr>
        <w:t xml:space="preserve"> </w:t>
      </w:r>
      <w:r w:rsidR="00837372">
        <w:rPr>
          <w:rFonts w:ascii="Verdana" w:hAnsi="Verdana"/>
          <w:bCs/>
          <w:sz w:val="18"/>
          <w:szCs w:val="18"/>
        </w:rPr>
        <w:t xml:space="preserve"> </w:t>
      </w:r>
    </w:p>
    <w:p w:rsidR="00FA5B14" w:rsidP="00C83A06" w:rsidRDefault="00FA5B14" w14:paraId="32136E75" w14:textId="77777777">
      <w:pPr>
        <w:spacing w:line="360" w:lineRule="auto"/>
        <w:rPr>
          <w:rFonts w:ascii="Verdana" w:hAnsi="Verdana"/>
          <w:bCs/>
          <w:sz w:val="18"/>
          <w:szCs w:val="18"/>
        </w:rPr>
      </w:pPr>
    </w:p>
    <w:p w:rsidR="00C83A06" w:rsidP="00C83A06" w:rsidRDefault="00837372" w14:paraId="278E198F" w14:textId="68ED6C79">
      <w:pPr>
        <w:spacing w:line="360" w:lineRule="auto"/>
        <w:rPr>
          <w:rFonts w:ascii="Verdana" w:hAnsi="Verdana"/>
          <w:bCs/>
          <w:sz w:val="18"/>
          <w:szCs w:val="18"/>
        </w:rPr>
      </w:pPr>
      <w:r>
        <w:rPr>
          <w:rFonts w:ascii="Verdana" w:hAnsi="Verdana"/>
          <w:bCs/>
          <w:sz w:val="18"/>
          <w:szCs w:val="18"/>
        </w:rPr>
        <w:t>Het kabinet</w:t>
      </w:r>
      <w:r w:rsidR="00C83A06">
        <w:rPr>
          <w:rFonts w:ascii="Verdana" w:hAnsi="Verdana"/>
          <w:bCs/>
          <w:sz w:val="18"/>
          <w:szCs w:val="18"/>
        </w:rPr>
        <w:t xml:space="preserve"> </w:t>
      </w:r>
      <w:r>
        <w:rPr>
          <w:rFonts w:ascii="Verdana" w:hAnsi="Verdana"/>
          <w:bCs/>
          <w:sz w:val="18"/>
          <w:szCs w:val="18"/>
        </w:rPr>
        <w:t xml:space="preserve">onderschrijft </w:t>
      </w:r>
      <w:r w:rsidRPr="003F3576" w:rsidR="00C83A06">
        <w:rPr>
          <w:rFonts w:ascii="Verdana" w:hAnsi="Verdana"/>
          <w:bCs/>
          <w:sz w:val="18"/>
          <w:szCs w:val="18"/>
        </w:rPr>
        <w:t xml:space="preserve">dat het </w:t>
      </w:r>
      <w:r w:rsidR="00FA5B14">
        <w:rPr>
          <w:rFonts w:ascii="Verdana" w:hAnsi="Verdana"/>
          <w:bCs/>
          <w:sz w:val="18"/>
          <w:szCs w:val="18"/>
        </w:rPr>
        <w:t>resolutie</w:t>
      </w:r>
      <w:r w:rsidRPr="003F3576" w:rsidR="00C83A06">
        <w:rPr>
          <w:rFonts w:ascii="Verdana" w:hAnsi="Verdana"/>
          <w:bCs/>
          <w:sz w:val="18"/>
          <w:szCs w:val="18"/>
        </w:rPr>
        <w:t>raamwerk complex is geworden</w:t>
      </w:r>
      <w:r>
        <w:rPr>
          <w:rFonts w:ascii="Verdana" w:hAnsi="Verdana"/>
          <w:bCs/>
          <w:sz w:val="18"/>
          <w:szCs w:val="18"/>
        </w:rPr>
        <w:t xml:space="preserve">, </w:t>
      </w:r>
      <w:r w:rsidR="00C83A06">
        <w:rPr>
          <w:rFonts w:ascii="Verdana" w:hAnsi="Verdana"/>
          <w:bCs/>
          <w:sz w:val="18"/>
          <w:szCs w:val="18"/>
        </w:rPr>
        <w:t xml:space="preserve">onder meer </w:t>
      </w:r>
      <w:r>
        <w:rPr>
          <w:rFonts w:ascii="Verdana" w:hAnsi="Verdana"/>
          <w:bCs/>
          <w:sz w:val="18"/>
          <w:szCs w:val="18"/>
        </w:rPr>
        <w:t xml:space="preserve">door </w:t>
      </w:r>
      <w:r w:rsidR="00863A33">
        <w:rPr>
          <w:rFonts w:ascii="Verdana" w:hAnsi="Verdana"/>
          <w:bCs/>
          <w:sz w:val="18"/>
          <w:szCs w:val="18"/>
        </w:rPr>
        <w:t>afwijkende criteria ten opzichte van</w:t>
      </w:r>
      <w:r w:rsidRPr="003F3576" w:rsidR="00C83A06">
        <w:rPr>
          <w:rFonts w:ascii="Verdana" w:hAnsi="Verdana"/>
          <w:bCs/>
          <w:sz w:val="18"/>
          <w:szCs w:val="18"/>
        </w:rPr>
        <w:t xml:space="preserve"> internationale standaarden</w:t>
      </w:r>
      <w:r>
        <w:rPr>
          <w:rFonts w:ascii="Verdana" w:hAnsi="Verdana"/>
          <w:bCs/>
          <w:sz w:val="18"/>
          <w:szCs w:val="18"/>
        </w:rPr>
        <w:t xml:space="preserve"> </w:t>
      </w:r>
      <w:r w:rsidRPr="003F3576">
        <w:rPr>
          <w:rFonts w:ascii="Verdana" w:hAnsi="Verdana"/>
          <w:bCs/>
          <w:sz w:val="18"/>
          <w:szCs w:val="18"/>
        </w:rPr>
        <w:t>(</w:t>
      </w:r>
      <w:r>
        <w:rPr>
          <w:rFonts w:ascii="Verdana" w:hAnsi="Verdana"/>
          <w:bCs/>
          <w:i/>
          <w:iCs/>
          <w:sz w:val="18"/>
          <w:szCs w:val="18"/>
        </w:rPr>
        <w:t>Total Loss Absorbing Capacity, TLAC</w:t>
      </w:r>
      <w:r w:rsidRPr="003F3576">
        <w:rPr>
          <w:rFonts w:ascii="Verdana" w:hAnsi="Verdana"/>
          <w:bCs/>
          <w:sz w:val="18"/>
          <w:szCs w:val="18"/>
        </w:rPr>
        <w:t>)</w:t>
      </w:r>
      <w:r w:rsidRPr="003F3576" w:rsidR="00C83A06">
        <w:rPr>
          <w:rFonts w:ascii="Verdana" w:hAnsi="Verdana"/>
          <w:bCs/>
          <w:sz w:val="18"/>
          <w:szCs w:val="18"/>
        </w:rPr>
        <w:t>.</w:t>
      </w:r>
      <w:r w:rsidR="00AC273D">
        <w:rPr>
          <w:rStyle w:val="FootnoteReference"/>
          <w:rFonts w:ascii="Verdana" w:hAnsi="Verdana"/>
          <w:bCs/>
          <w:i/>
          <w:iCs/>
          <w:sz w:val="18"/>
          <w:szCs w:val="18"/>
        </w:rPr>
        <w:footnoteReference w:id="22"/>
      </w:r>
      <w:r w:rsidRPr="003F3576" w:rsidR="00C83A06">
        <w:rPr>
          <w:rFonts w:ascii="Verdana" w:hAnsi="Verdana"/>
          <w:bCs/>
          <w:sz w:val="18"/>
          <w:szCs w:val="18"/>
        </w:rPr>
        <w:t xml:space="preserve"> </w:t>
      </w:r>
      <w:r w:rsidR="00C83A06">
        <w:rPr>
          <w:rFonts w:ascii="Verdana" w:hAnsi="Verdana"/>
          <w:bCs/>
          <w:sz w:val="18"/>
          <w:szCs w:val="18"/>
        </w:rPr>
        <w:t xml:space="preserve">Het kabinet </w:t>
      </w:r>
      <w:r w:rsidR="00F162BE">
        <w:rPr>
          <w:rFonts w:ascii="Verdana" w:hAnsi="Verdana"/>
          <w:bCs/>
          <w:sz w:val="18"/>
          <w:szCs w:val="18"/>
        </w:rPr>
        <w:t xml:space="preserve">staat </w:t>
      </w:r>
      <w:r w:rsidRPr="00E7417D" w:rsidR="00F162BE">
        <w:rPr>
          <w:rFonts w:ascii="Verdana" w:hAnsi="Verdana"/>
          <w:bCs/>
          <w:sz w:val="18"/>
          <w:szCs w:val="18"/>
        </w:rPr>
        <w:t xml:space="preserve">daarom </w:t>
      </w:r>
      <w:r w:rsidRPr="00E7417D" w:rsidR="00E7417D">
        <w:rPr>
          <w:rFonts w:ascii="Verdana" w:hAnsi="Verdana"/>
          <w:bCs/>
          <w:sz w:val="18"/>
          <w:szCs w:val="18"/>
        </w:rPr>
        <w:t xml:space="preserve">in beginsel </w:t>
      </w:r>
      <w:r w:rsidRPr="00E7417D" w:rsidR="00F162BE">
        <w:rPr>
          <w:rFonts w:ascii="Verdana" w:hAnsi="Verdana"/>
          <w:bCs/>
          <w:sz w:val="18"/>
          <w:szCs w:val="18"/>
        </w:rPr>
        <w:t>positief</w:t>
      </w:r>
      <w:r w:rsidR="00F162BE">
        <w:rPr>
          <w:rFonts w:ascii="Verdana" w:hAnsi="Verdana"/>
          <w:bCs/>
          <w:sz w:val="18"/>
          <w:szCs w:val="18"/>
        </w:rPr>
        <w:t xml:space="preserve"> tegenover mogelijke</w:t>
      </w:r>
      <w:r w:rsidR="00C83A06">
        <w:rPr>
          <w:rFonts w:ascii="Verdana" w:hAnsi="Verdana"/>
          <w:bCs/>
          <w:sz w:val="18"/>
          <w:szCs w:val="18"/>
        </w:rPr>
        <w:t xml:space="preserve"> </w:t>
      </w:r>
      <w:r w:rsidR="00872DFB">
        <w:rPr>
          <w:rFonts w:ascii="Verdana" w:hAnsi="Verdana"/>
          <w:bCs/>
          <w:sz w:val="18"/>
          <w:szCs w:val="18"/>
        </w:rPr>
        <w:t xml:space="preserve">voorstellen </w:t>
      </w:r>
      <w:r w:rsidR="00CA5AF2">
        <w:rPr>
          <w:rFonts w:ascii="Verdana" w:hAnsi="Verdana"/>
          <w:bCs/>
          <w:sz w:val="18"/>
          <w:szCs w:val="18"/>
        </w:rPr>
        <w:t xml:space="preserve">die </w:t>
      </w:r>
      <w:r w:rsidRPr="003F3576" w:rsidR="00C83A06">
        <w:rPr>
          <w:rFonts w:ascii="Verdana" w:hAnsi="Verdana"/>
          <w:bCs/>
          <w:sz w:val="18"/>
          <w:szCs w:val="18"/>
        </w:rPr>
        <w:t>het Europese raamwerk</w:t>
      </w:r>
      <w:r w:rsidR="00F802BB">
        <w:rPr>
          <w:rFonts w:ascii="Verdana" w:hAnsi="Verdana"/>
          <w:bCs/>
          <w:sz w:val="18"/>
          <w:szCs w:val="18"/>
        </w:rPr>
        <w:t xml:space="preserve"> voor verliesabsorberend</w:t>
      </w:r>
      <w:r w:rsidR="00C41EE1">
        <w:rPr>
          <w:rFonts w:ascii="Verdana" w:hAnsi="Verdana"/>
          <w:bCs/>
          <w:sz w:val="18"/>
          <w:szCs w:val="18"/>
        </w:rPr>
        <w:t>- en herkapitaliserend</w:t>
      </w:r>
      <w:r w:rsidR="00F802BB">
        <w:rPr>
          <w:rFonts w:ascii="Verdana" w:hAnsi="Verdana"/>
          <w:bCs/>
          <w:sz w:val="18"/>
          <w:szCs w:val="18"/>
        </w:rPr>
        <w:t xml:space="preserve"> vermogen</w:t>
      </w:r>
      <w:r w:rsidRPr="003F3576" w:rsidR="00C83A06">
        <w:rPr>
          <w:rFonts w:ascii="Verdana" w:hAnsi="Verdana"/>
          <w:bCs/>
          <w:sz w:val="18"/>
          <w:szCs w:val="18"/>
        </w:rPr>
        <w:t xml:space="preserve"> (</w:t>
      </w:r>
      <w:r w:rsidR="00D11738">
        <w:rPr>
          <w:rFonts w:ascii="Verdana" w:hAnsi="Verdana"/>
          <w:bCs/>
          <w:i/>
          <w:iCs/>
          <w:sz w:val="18"/>
          <w:szCs w:val="18"/>
        </w:rPr>
        <w:t>MREL</w:t>
      </w:r>
      <w:r w:rsidRPr="003F3576" w:rsidR="00C83A06">
        <w:rPr>
          <w:rFonts w:ascii="Verdana" w:hAnsi="Verdana"/>
          <w:bCs/>
          <w:sz w:val="18"/>
          <w:szCs w:val="18"/>
        </w:rPr>
        <w:t xml:space="preserve">) meer in lijn brengen met </w:t>
      </w:r>
      <w:r>
        <w:rPr>
          <w:rFonts w:ascii="Verdana" w:hAnsi="Verdana"/>
          <w:bCs/>
          <w:sz w:val="18"/>
          <w:szCs w:val="18"/>
        </w:rPr>
        <w:t xml:space="preserve">deze </w:t>
      </w:r>
      <w:r w:rsidRPr="003F3576" w:rsidR="00C83A06">
        <w:rPr>
          <w:rFonts w:ascii="Verdana" w:hAnsi="Verdana"/>
          <w:bCs/>
          <w:sz w:val="18"/>
          <w:szCs w:val="18"/>
        </w:rPr>
        <w:t>internationale standaarden</w:t>
      </w:r>
      <w:r w:rsidR="005C1A74">
        <w:rPr>
          <w:rFonts w:ascii="Verdana" w:hAnsi="Verdana"/>
          <w:bCs/>
          <w:sz w:val="18"/>
          <w:szCs w:val="18"/>
        </w:rPr>
        <w:t xml:space="preserve">, </w:t>
      </w:r>
      <w:r w:rsidR="00CA5AF2">
        <w:rPr>
          <w:rFonts w:ascii="Verdana" w:hAnsi="Verdana"/>
          <w:bCs/>
          <w:sz w:val="18"/>
          <w:szCs w:val="18"/>
        </w:rPr>
        <w:t>onder meer</w:t>
      </w:r>
      <w:r w:rsidR="005C1A74">
        <w:rPr>
          <w:rFonts w:ascii="Verdana" w:hAnsi="Verdana"/>
          <w:bCs/>
          <w:sz w:val="18"/>
          <w:szCs w:val="18"/>
        </w:rPr>
        <w:t xml:space="preserve"> ten aanzien van de kwalitatieve vereisten</w:t>
      </w:r>
      <w:r w:rsidRPr="003F3576" w:rsidR="00C83A06">
        <w:rPr>
          <w:rFonts w:ascii="Verdana" w:hAnsi="Verdana"/>
          <w:bCs/>
          <w:sz w:val="18"/>
          <w:szCs w:val="18"/>
        </w:rPr>
        <w:t>.</w:t>
      </w:r>
      <w:r w:rsidR="00AC273D">
        <w:rPr>
          <w:rStyle w:val="FootnoteReference"/>
          <w:rFonts w:ascii="Verdana" w:hAnsi="Verdana"/>
          <w:bCs/>
          <w:i/>
          <w:iCs/>
          <w:sz w:val="18"/>
          <w:szCs w:val="18"/>
        </w:rPr>
        <w:footnoteReference w:id="23"/>
      </w:r>
      <w:r w:rsidR="00344D7F">
        <w:rPr>
          <w:rFonts w:ascii="Verdana" w:hAnsi="Verdana"/>
          <w:bCs/>
          <w:sz w:val="18"/>
          <w:szCs w:val="18"/>
        </w:rPr>
        <w:t xml:space="preserve"> </w:t>
      </w:r>
      <w:r w:rsidR="00A675E9">
        <w:rPr>
          <w:rFonts w:ascii="Verdana" w:hAnsi="Verdana"/>
          <w:bCs/>
          <w:sz w:val="18"/>
          <w:szCs w:val="18"/>
        </w:rPr>
        <w:t xml:space="preserve">Het doel van deze herziening zou wat het kabinet betreft moeten zijn om </w:t>
      </w:r>
      <w:r w:rsidR="0069632E">
        <w:rPr>
          <w:rFonts w:ascii="Verdana" w:hAnsi="Verdana"/>
          <w:bCs/>
          <w:sz w:val="18"/>
          <w:szCs w:val="18"/>
        </w:rPr>
        <w:t xml:space="preserve">verdere </w:t>
      </w:r>
      <w:r w:rsidR="009502E1">
        <w:rPr>
          <w:rFonts w:ascii="Verdana" w:hAnsi="Verdana"/>
          <w:bCs/>
          <w:sz w:val="18"/>
          <w:szCs w:val="18"/>
        </w:rPr>
        <w:t>standaardisatie</w:t>
      </w:r>
      <w:r w:rsidR="0069632E">
        <w:rPr>
          <w:rFonts w:ascii="Verdana" w:hAnsi="Verdana"/>
          <w:bCs/>
          <w:sz w:val="18"/>
          <w:szCs w:val="18"/>
        </w:rPr>
        <w:t xml:space="preserve"> te </w:t>
      </w:r>
      <w:r w:rsidR="008E166C">
        <w:rPr>
          <w:rFonts w:ascii="Verdana" w:hAnsi="Verdana"/>
          <w:bCs/>
          <w:sz w:val="18"/>
          <w:szCs w:val="18"/>
        </w:rPr>
        <w:t>introduceren</w:t>
      </w:r>
      <w:r w:rsidR="00C41EE1">
        <w:rPr>
          <w:rFonts w:ascii="Verdana" w:hAnsi="Verdana"/>
          <w:bCs/>
          <w:sz w:val="18"/>
          <w:szCs w:val="18"/>
        </w:rPr>
        <w:t xml:space="preserve"> via een</w:t>
      </w:r>
      <w:r w:rsidR="007B58B6">
        <w:rPr>
          <w:rFonts w:ascii="Verdana" w:hAnsi="Verdana"/>
          <w:bCs/>
          <w:sz w:val="18"/>
          <w:szCs w:val="18"/>
        </w:rPr>
        <w:t xml:space="preserve"> automatische</w:t>
      </w:r>
      <w:r w:rsidR="00C41EE1">
        <w:rPr>
          <w:rFonts w:ascii="Verdana" w:hAnsi="Verdana"/>
          <w:bCs/>
          <w:sz w:val="18"/>
          <w:szCs w:val="18"/>
        </w:rPr>
        <w:t xml:space="preserve"> koppeling tussen prudentiële- en resolutie-vereisten</w:t>
      </w:r>
      <w:r w:rsidR="0069632E">
        <w:rPr>
          <w:rFonts w:ascii="Verdana" w:hAnsi="Verdana"/>
          <w:bCs/>
          <w:sz w:val="18"/>
          <w:szCs w:val="18"/>
        </w:rPr>
        <w:t>,</w:t>
      </w:r>
      <w:r w:rsidR="008E166C">
        <w:rPr>
          <w:rFonts w:ascii="Verdana" w:hAnsi="Verdana"/>
          <w:bCs/>
          <w:sz w:val="18"/>
          <w:szCs w:val="18"/>
        </w:rPr>
        <w:t xml:space="preserve"> zodat het raamwerk voorspelbaarder </w:t>
      </w:r>
      <w:r w:rsidR="006E27F2">
        <w:rPr>
          <w:rFonts w:ascii="Verdana" w:hAnsi="Verdana"/>
          <w:bCs/>
          <w:sz w:val="18"/>
          <w:szCs w:val="18"/>
        </w:rPr>
        <w:t>en meer uniform wordt</w:t>
      </w:r>
      <w:r w:rsidR="00A93EAD">
        <w:rPr>
          <w:rFonts w:ascii="Verdana" w:hAnsi="Verdana"/>
          <w:bCs/>
          <w:sz w:val="18"/>
          <w:szCs w:val="18"/>
        </w:rPr>
        <w:t>.</w:t>
      </w:r>
      <w:r w:rsidR="008E166C">
        <w:rPr>
          <w:rFonts w:ascii="Verdana" w:hAnsi="Verdana"/>
          <w:bCs/>
          <w:sz w:val="18"/>
          <w:szCs w:val="18"/>
        </w:rPr>
        <w:t xml:space="preserve"> Tegelijkertijd </w:t>
      </w:r>
      <w:r w:rsidR="00377785">
        <w:rPr>
          <w:rFonts w:ascii="Verdana" w:hAnsi="Verdana"/>
          <w:bCs/>
          <w:sz w:val="18"/>
          <w:szCs w:val="18"/>
        </w:rPr>
        <w:t xml:space="preserve">is het voor het kabinet van belang dat de weerbaarheid van </w:t>
      </w:r>
      <w:r w:rsidR="00E7417D">
        <w:rPr>
          <w:rFonts w:ascii="Verdana" w:hAnsi="Verdana"/>
          <w:bCs/>
          <w:sz w:val="18"/>
          <w:szCs w:val="18"/>
        </w:rPr>
        <w:t>de bankensector</w:t>
      </w:r>
      <w:r w:rsidR="00CF0AD5">
        <w:rPr>
          <w:rFonts w:ascii="Verdana" w:hAnsi="Verdana"/>
          <w:bCs/>
          <w:sz w:val="18"/>
          <w:szCs w:val="18"/>
        </w:rPr>
        <w:t xml:space="preserve">, inclusief </w:t>
      </w:r>
      <w:r w:rsidR="00F802BB">
        <w:rPr>
          <w:rFonts w:ascii="Verdana" w:hAnsi="Verdana"/>
          <w:bCs/>
          <w:sz w:val="18"/>
          <w:szCs w:val="18"/>
        </w:rPr>
        <w:t>MREL</w:t>
      </w:r>
      <w:r w:rsidR="00CF0AD5">
        <w:rPr>
          <w:rFonts w:ascii="Verdana" w:hAnsi="Verdana"/>
          <w:bCs/>
          <w:sz w:val="18"/>
          <w:szCs w:val="18"/>
        </w:rPr>
        <w:t>,</w:t>
      </w:r>
      <w:r w:rsidR="00377785">
        <w:rPr>
          <w:rFonts w:ascii="Verdana" w:hAnsi="Verdana"/>
          <w:bCs/>
          <w:sz w:val="18"/>
          <w:szCs w:val="18"/>
        </w:rPr>
        <w:t xml:space="preserve"> gewaarborgd blijft. </w:t>
      </w:r>
      <w:r w:rsidR="00FA5B14">
        <w:rPr>
          <w:rFonts w:ascii="Verdana" w:hAnsi="Verdana"/>
          <w:bCs/>
          <w:sz w:val="18"/>
          <w:szCs w:val="18"/>
        </w:rPr>
        <w:t>Daarnaast steunt h</w:t>
      </w:r>
      <w:r w:rsidR="000128E9">
        <w:rPr>
          <w:rFonts w:ascii="Verdana" w:hAnsi="Verdana"/>
          <w:bCs/>
          <w:sz w:val="18"/>
          <w:szCs w:val="18"/>
        </w:rPr>
        <w:t xml:space="preserve">et kabinet in beginsel de voornemens van de Commissie </w:t>
      </w:r>
      <w:r w:rsidR="00E7417D">
        <w:rPr>
          <w:rFonts w:ascii="Verdana" w:hAnsi="Verdana"/>
          <w:bCs/>
          <w:sz w:val="18"/>
          <w:szCs w:val="18"/>
        </w:rPr>
        <w:t>om de goedkeuringsprocessen voor het aflossen en vervangen van MREL-instrumenten te stroomlijnen</w:t>
      </w:r>
      <w:r w:rsidR="001C1960">
        <w:rPr>
          <w:rFonts w:ascii="Verdana" w:hAnsi="Verdana"/>
          <w:bCs/>
          <w:sz w:val="18"/>
          <w:szCs w:val="18"/>
        </w:rPr>
        <w:t>.</w:t>
      </w:r>
      <w:r w:rsidR="00E7417D">
        <w:rPr>
          <w:rFonts w:ascii="Verdana" w:hAnsi="Verdana"/>
          <w:bCs/>
          <w:sz w:val="18"/>
          <w:szCs w:val="18"/>
        </w:rPr>
        <w:t xml:space="preserve"> </w:t>
      </w:r>
    </w:p>
    <w:p w:rsidRPr="006C79F1" w:rsidR="00A170AB" w:rsidP="001F1282" w:rsidRDefault="00A170AB" w14:paraId="061011F6" w14:textId="77777777">
      <w:pPr>
        <w:spacing w:line="360" w:lineRule="auto"/>
        <w:rPr>
          <w:rFonts w:ascii="Verdana" w:hAnsi="Verdana"/>
          <w:bCs/>
          <w:sz w:val="18"/>
          <w:szCs w:val="18"/>
        </w:rPr>
      </w:pPr>
    </w:p>
    <w:p w:rsidRPr="00344D7F" w:rsidR="00B33886" w:rsidP="00B33886" w:rsidRDefault="00837372" w14:paraId="13D3A3D5" w14:textId="72530F17">
      <w:pPr>
        <w:spacing w:line="360" w:lineRule="auto"/>
        <w:rPr>
          <w:rFonts w:ascii="Verdana" w:hAnsi="Verdana"/>
          <w:bCs/>
          <w:sz w:val="18"/>
          <w:szCs w:val="18"/>
        </w:rPr>
      </w:pPr>
      <w:r>
        <w:rPr>
          <w:rFonts w:ascii="Verdana" w:hAnsi="Verdana"/>
          <w:bCs/>
          <w:sz w:val="18"/>
          <w:szCs w:val="18"/>
        </w:rPr>
        <w:t>Het kabinet verwelkomt</w:t>
      </w:r>
      <w:r w:rsidR="001F1282">
        <w:rPr>
          <w:rFonts w:ascii="Verdana" w:hAnsi="Verdana"/>
          <w:bCs/>
          <w:sz w:val="18"/>
          <w:szCs w:val="18"/>
        </w:rPr>
        <w:t xml:space="preserve"> voorstellen die het macroprudentiële raamwerk versimpelen en consistenter maken. De Commissie is voornemens het aantal</w:t>
      </w:r>
      <w:r w:rsidR="006D648E">
        <w:rPr>
          <w:rFonts w:ascii="Verdana" w:hAnsi="Verdana"/>
          <w:bCs/>
          <w:sz w:val="18"/>
          <w:szCs w:val="18"/>
        </w:rPr>
        <w:t xml:space="preserve"> verschillende</w:t>
      </w:r>
      <w:r w:rsidR="001F1282">
        <w:rPr>
          <w:rFonts w:ascii="Verdana" w:hAnsi="Verdana"/>
          <w:bCs/>
          <w:sz w:val="18"/>
          <w:szCs w:val="18"/>
        </w:rPr>
        <w:t xml:space="preserve"> buffers en de berekening daarvan te herzien. Doel van deze herziening zou wat het kabinet betreft moeten zijn om </w:t>
      </w:r>
      <w:r w:rsidR="00CC6BB5">
        <w:rPr>
          <w:rFonts w:ascii="Verdana" w:hAnsi="Verdana"/>
          <w:bCs/>
          <w:sz w:val="18"/>
          <w:szCs w:val="18"/>
        </w:rPr>
        <w:t>verschillen</w:t>
      </w:r>
      <w:r w:rsidR="001F1282">
        <w:rPr>
          <w:rFonts w:ascii="Verdana" w:hAnsi="Verdana"/>
          <w:bCs/>
          <w:sz w:val="18"/>
          <w:szCs w:val="18"/>
        </w:rPr>
        <w:t xml:space="preserve"> in de toepassing van buffers</w:t>
      </w:r>
      <w:r w:rsidR="00CC6BB5">
        <w:rPr>
          <w:rFonts w:ascii="Verdana" w:hAnsi="Verdana"/>
          <w:bCs/>
          <w:sz w:val="18"/>
          <w:szCs w:val="18"/>
        </w:rPr>
        <w:t xml:space="preserve"> in de verschillende lidstaten</w:t>
      </w:r>
      <w:r w:rsidR="001F1282">
        <w:rPr>
          <w:rFonts w:ascii="Verdana" w:hAnsi="Verdana"/>
          <w:bCs/>
          <w:sz w:val="18"/>
          <w:szCs w:val="18"/>
        </w:rPr>
        <w:t xml:space="preserve"> te verminderen. Het kabinet staat positief tegenover</w:t>
      </w:r>
      <w:r w:rsidR="00CC6BB5">
        <w:rPr>
          <w:rFonts w:ascii="Verdana" w:hAnsi="Verdana"/>
          <w:bCs/>
          <w:sz w:val="18"/>
          <w:szCs w:val="18"/>
        </w:rPr>
        <w:t xml:space="preserve"> dit voornemen en ziet uit naar</w:t>
      </w:r>
      <w:r w:rsidR="001F1282">
        <w:rPr>
          <w:rFonts w:ascii="Verdana" w:hAnsi="Verdana"/>
          <w:bCs/>
          <w:sz w:val="18"/>
          <w:szCs w:val="18"/>
        </w:rPr>
        <w:t xml:space="preserve"> voorstellen die overlap tussen verschillende buffers tegengaan</w:t>
      </w:r>
      <w:r w:rsidR="00CC6BB5">
        <w:rPr>
          <w:rFonts w:ascii="Verdana" w:hAnsi="Verdana"/>
          <w:bCs/>
          <w:sz w:val="18"/>
          <w:szCs w:val="18"/>
        </w:rPr>
        <w:t xml:space="preserve">, </w:t>
      </w:r>
      <w:r w:rsidR="001F1282">
        <w:rPr>
          <w:rFonts w:ascii="Verdana" w:hAnsi="Verdana"/>
          <w:bCs/>
          <w:sz w:val="18"/>
          <w:szCs w:val="18"/>
        </w:rPr>
        <w:t xml:space="preserve">bijvoorbeeld </w:t>
      </w:r>
      <w:r w:rsidR="00CC6BB5">
        <w:rPr>
          <w:rFonts w:ascii="Verdana" w:hAnsi="Verdana"/>
          <w:bCs/>
          <w:sz w:val="18"/>
          <w:szCs w:val="18"/>
        </w:rPr>
        <w:t xml:space="preserve">door </w:t>
      </w:r>
      <w:r w:rsidR="001F1282">
        <w:rPr>
          <w:rFonts w:ascii="Verdana" w:hAnsi="Verdana"/>
          <w:bCs/>
          <w:sz w:val="18"/>
          <w:szCs w:val="18"/>
        </w:rPr>
        <w:t>buffers samen te voegen</w:t>
      </w:r>
      <w:r w:rsidR="006D648E">
        <w:rPr>
          <w:rStyle w:val="FootnoteReference"/>
          <w:rFonts w:ascii="Verdana" w:hAnsi="Verdana"/>
          <w:bCs/>
          <w:sz w:val="18"/>
          <w:szCs w:val="18"/>
        </w:rPr>
        <w:footnoteReference w:id="24"/>
      </w:r>
      <w:r w:rsidR="001F1282">
        <w:rPr>
          <w:rFonts w:ascii="Verdana" w:hAnsi="Verdana"/>
          <w:bCs/>
          <w:sz w:val="18"/>
          <w:szCs w:val="18"/>
        </w:rPr>
        <w:t xml:space="preserve"> en </w:t>
      </w:r>
      <w:r w:rsidR="00CC6BB5">
        <w:rPr>
          <w:rFonts w:ascii="Verdana" w:hAnsi="Verdana"/>
          <w:bCs/>
          <w:sz w:val="18"/>
          <w:szCs w:val="18"/>
        </w:rPr>
        <w:t>die de toepassing daarvan verder</w:t>
      </w:r>
      <w:r w:rsidR="001F1282">
        <w:rPr>
          <w:rFonts w:ascii="Verdana" w:hAnsi="Verdana"/>
          <w:bCs/>
          <w:sz w:val="18"/>
          <w:szCs w:val="18"/>
        </w:rPr>
        <w:t xml:space="preserve"> harmoniseren binnen de EU.</w:t>
      </w:r>
      <w:r w:rsidR="002A5CCB">
        <w:rPr>
          <w:rFonts w:ascii="Verdana" w:hAnsi="Verdana"/>
          <w:bCs/>
          <w:sz w:val="18"/>
          <w:szCs w:val="18"/>
        </w:rPr>
        <w:t xml:space="preserve"> Het kabinet vindt het hierbij van belang dat </w:t>
      </w:r>
      <w:r w:rsidR="00002F4B">
        <w:rPr>
          <w:rFonts w:ascii="Verdana" w:hAnsi="Verdana"/>
          <w:bCs/>
          <w:sz w:val="18"/>
          <w:szCs w:val="18"/>
        </w:rPr>
        <w:t xml:space="preserve">consistente toepassing van buffers </w:t>
      </w:r>
      <w:r w:rsidR="002A5CCB">
        <w:rPr>
          <w:rFonts w:ascii="Verdana" w:hAnsi="Verdana"/>
          <w:bCs/>
          <w:sz w:val="18"/>
          <w:szCs w:val="18"/>
        </w:rPr>
        <w:t xml:space="preserve">gebeurt op een wijze waarbij vroegtijdig </w:t>
      </w:r>
      <w:r w:rsidRPr="001A1205" w:rsidR="001A1205">
        <w:rPr>
          <w:rFonts w:ascii="Verdana" w:hAnsi="Verdana"/>
          <w:bCs/>
          <w:sz w:val="18"/>
          <w:szCs w:val="18"/>
        </w:rPr>
        <w:t>voldoende buffers worden opgebouwd in tijden waarin het mee</w:t>
      </w:r>
      <w:r w:rsidR="004E100F">
        <w:rPr>
          <w:rFonts w:ascii="Verdana" w:hAnsi="Verdana"/>
          <w:bCs/>
          <w:sz w:val="18"/>
          <w:szCs w:val="18"/>
        </w:rPr>
        <w:t xml:space="preserve"> zit en benut kunnen worden</w:t>
      </w:r>
      <w:r w:rsidRPr="001A1205" w:rsidR="001A1205">
        <w:rPr>
          <w:rFonts w:ascii="Verdana" w:hAnsi="Verdana"/>
          <w:bCs/>
          <w:sz w:val="18"/>
          <w:szCs w:val="18"/>
        </w:rPr>
        <w:t xml:space="preserve"> in tijden waarin het </w:t>
      </w:r>
      <w:r w:rsidRPr="001A1205" w:rsidR="007E64D7">
        <w:rPr>
          <w:rFonts w:ascii="Verdana" w:hAnsi="Verdana"/>
          <w:bCs/>
          <w:sz w:val="18"/>
          <w:szCs w:val="18"/>
        </w:rPr>
        <w:t>tegenzit</w:t>
      </w:r>
      <w:r w:rsidR="001A1205">
        <w:rPr>
          <w:rFonts w:ascii="Verdana" w:hAnsi="Verdana"/>
          <w:bCs/>
          <w:sz w:val="18"/>
          <w:szCs w:val="18"/>
        </w:rPr>
        <w:t>. Zo wordt recht</w:t>
      </w:r>
      <w:r w:rsidR="002A5CCB">
        <w:rPr>
          <w:rFonts w:ascii="Verdana" w:hAnsi="Verdana"/>
          <w:bCs/>
          <w:sz w:val="18"/>
          <w:szCs w:val="18"/>
        </w:rPr>
        <w:t xml:space="preserve"> gedaan aan de lessen van afgelopen crises. </w:t>
      </w:r>
      <w:r w:rsidRPr="00344D7F" w:rsidR="00B33886">
        <w:rPr>
          <w:rFonts w:ascii="Verdana" w:hAnsi="Verdana"/>
          <w:bCs/>
          <w:sz w:val="18"/>
          <w:szCs w:val="18"/>
        </w:rPr>
        <w:t xml:space="preserve">Het kabinet mist in het rapport aandacht voor gerichte verbeteringen en versimpelingen van eigenschappen van hybride kapitaalinstrumenten (zogeheten </w:t>
      </w:r>
      <w:r w:rsidRPr="00344D7F" w:rsidR="00B33886">
        <w:rPr>
          <w:rFonts w:ascii="Verdana" w:hAnsi="Verdana"/>
          <w:bCs/>
          <w:i/>
          <w:iCs/>
          <w:sz w:val="18"/>
          <w:szCs w:val="18"/>
        </w:rPr>
        <w:t>contingent convertibles</w:t>
      </w:r>
      <w:r w:rsidRPr="007E64D7" w:rsidR="007B58B6">
        <w:rPr>
          <w:rFonts w:ascii="Verdana" w:hAnsi="Verdana"/>
          <w:bCs/>
          <w:sz w:val="18"/>
          <w:szCs w:val="18"/>
        </w:rPr>
        <w:t>)</w:t>
      </w:r>
      <w:r w:rsidRPr="00344D7F" w:rsidR="00B33886">
        <w:rPr>
          <w:rFonts w:ascii="Verdana" w:hAnsi="Verdana"/>
          <w:bCs/>
          <w:sz w:val="18"/>
          <w:szCs w:val="18"/>
        </w:rPr>
        <w:t>.</w:t>
      </w:r>
      <w:r w:rsidR="00B66A52">
        <w:rPr>
          <w:rStyle w:val="FootnoteReference"/>
          <w:rFonts w:ascii="Verdana" w:hAnsi="Verdana"/>
          <w:bCs/>
          <w:sz w:val="18"/>
          <w:szCs w:val="18"/>
        </w:rPr>
        <w:footnoteReference w:id="25"/>
      </w:r>
      <w:r w:rsidRPr="00344D7F" w:rsidR="00B33886">
        <w:rPr>
          <w:rFonts w:ascii="Verdana" w:hAnsi="Verdana"/>
          <w:bCs/>
          <w:sz w:val="18"/>
          <w:szCs w:val="18"/>
        </w:rPr>
        <w:t xml:space="preserve"> </w:t>
      </w:r>
      <w:r w:rsidR="00CC6BB5">
        <w:rPr>
          <w:rFonts w:ascii="Verdana" w:hAnsi="Verdana"/>
          <w:bCs/>
          <w:sz w:val="18"/>
          <w:szCs w:val="18"/>
        </w:rPr>
        <w:t>Het kabinet zal de Commissie erop wijzen dat dit, als</w:t>
      </w:r>
      <w:r w:rsidRPr="00344D7F" w:rsidR="00CC6BB5">
        <w:rPr>
          <w:rFonts w:ascii="Verdana" w:hAnsi="Verdana"/>
          <w:bCs/>
          <w:sz w:val="18"/>
          <w:szCs w:val="18"/>
        </w:rPr>
        <w:t xml:space="preserve"> </w:t>
      </w:r>
      <w:r w:rsidRPr="00344D7F" w:rsidR="00B33886">
        <w:rPr>
          <w:rFonts w:ascii="Verdana" w:hAnsi="Verdana"/>
          <w:bCs/>
          <w:sz w:val="18"/>
          <w:szCs w:val="18"/>
        </w:rPr>
        <w:t>onderdeel van een totaalpakket</w:t>
      </w:r>
      <w:r w:rsidR="00CC6BB5">
        <w:rPr>
          <w:rFonts w:ascii="Verdana" w:hAnsi="Verdana"/>
          <w:bCs/>
          <w:sz w:val="18"/>
          <w:szCs w:val="18"/>
        </w:rPr>
        <w:t xml:space="preserve"> en onder de juiste randvoorwaarden,</w:t>
      </w:r>
      <w:r w:rsidRPr="00344D7F" w:rsidR="00B33886">
        <w:rPr>
          <w:rFonts w:ascii="Verdana" w:hAnsi="Verdana"/>
          <w:bCs/>
          <w:sz w:val="18"/>
          <w:szCs w:val="18"/>
        </w:rPr>
        <w:t xml:space="preserve"> zou kunnen bijdragen aan versimpeling en zorgen over het functioneren van deze instrumenten kunnen wegnemen</w:t>
      </w:r>
      <w:r w:rsidR="00A11999">
        <w:rPr>
          <w:rFonts w:ascii="Verdana" w:hAnsi="Verdana"/>
          <w:bCs/>
          <w:sz w:val="18"/>
          <w:szCs w:val="18"/>
        </w:rPr>
        <w:t>, terwijl het instrument behouden blijft</w:t>
      </w:r>
      <w:r w:rsidRPr="00344D7F" w:rsidR="00B33886">
        <w:rPr>
          <w:rFonts w:ascii="Verdana" w:hAnsi="Verdana"/>
          <w:bCs/>
          <w:sz w:val="18"/>
          <w:szCs w:val="18"/>
        </w:rPr>
        <w:t xml:space="preserve">. </w:t>
      </w:r>
    </w:p>
    <w:p w:rsidR="00B33886" w:rsidP="006012D0" w:rsidRDefault="00B33886" w14:paraId="70EB2234" w14:textId="77777777">
      <w:pPr>
        <w:spacing w:line="360" w:lineRule="auto"/>
        <w:rPr>
          <w:rFonts w:ascii="Verdana" w:hAnsi="Verdana"/>
          <w:bCs/>
          <w:sz w:val="18"/>
          <w:szCs w:val="18"/>
        </w:rPr>
      </w:pPr>
    </w:p>
    <w:p w:rsidRPr="00B879A4" w:rsidR="001F1282" w:rsidP="006012D0" w:rsidRDefault="001F1282" w14:paraId="1214D45E" w14:textId="36F5231C">
      <w:pPr>
        <w:spacing w:line="360" w:lineRule="auto"/>
        <w:rPr>
          <w:rFonts w:ascii="Verdana" w:hAnsi="Verdana"/>
          <w:bCs/>
          <w:sz w:val="18"/>
          <w:szCs w:val="18"/>
        </w:rPr>
      </w:pPr>
      <w:r>
        <w:rPr>
          <w:rFonts w:ascii="Verdana" w:hAnsi="Verdana"/>
          <w:bCs/>
          <w:sz w:val="18"/>
          <w:szCs w:val="18"/>
        </w:rPr>
        <w:lastRenderedPageBreak/>
        <w:t xml:space="preserve">Met het oog op administratieve lasten en regeldruk, </w:t>
      </w:r>
      <w:r w:rsidR="00B66A52">
        <w:rPr>
          <w:rFonts w:ascii="Verdana" w:hAnsi="Verdana"/>
          <w:bCs/>
          <w:sz w:val="18"/>
          <w:szCs w:val="18"/>
        </w:rPr>
        <w:t>is het kabinet positief</w:t>
      </w:r>
      <w:r w:rsidR="00B879A4">
        <w:rPr>
          <w:rFonts w:ascii="Verdana" w:hAnsi="Verdana"/>
          <w:bCs/>
          <w:sz w:val="18"/>
          <w:szCs w:val="18"/>
        </w:rPr>
        <w:t xml:space="preserve"> over het voornemen om in samenwerking met de EBA en nationale autoriteiten </w:t>
      </w:r>
      <w:r w:rsidR="00CF5BEC">
        <w:rPr>
          <w:rFonts w:ascii="Verdana" w:hAnsi="Verdana"/>
          <w:bCs/>
          <w:sz w:val="18"/>
          <w:szCs w:val="18"/>
        </w:rPr>
        <w:t>in te zetten</w:t>
      </w:r>
      <w:r w:rsidR="00B879A4">
        <w:rPr>
          <w:rFonts w:ascii="Verdana" w:hAnsi="Verdana"/>
          <w:bCs/>
          <w:sz w:val="18"/>
          <w:szCs w:val="18"/>
        </w:rPr>
        <w:t xml:space="preserve"> op versimpeling van het </w:t>
      </w:r>
      <w:r w:rsidRPr="007B58B6" w:rsidR="007B58B6">
        <w:rPr>
          <w:rFonts w:ascii="Verdana" w:hAnsi="Verdana"/>
          <w:bCs/>
          <w:sz w:val="18"/>
          <w:szCs w:val="18"/>
        </w:rPr>
        <w:t>rapportage</w:t>
      </w:r>
      <w:r w:rsidR="00B879A4">
        <w:rPr>
          <w:rFonts w:ascii="Verdana" w:hAnsi="Verdana"/>
          <w:bCs/>
          <w:sz w:val="18"/>
          <w:szCs w:val="18"/>
        </w:rPr>
        <w:t xml:space="preserve">raamwerk. Het kabinet vindt het belangrijk dat nieuwe eisen alleen worden toegevoegd zolang deze </w:t>
      </w:r>
      <w:r w:rsidR="00C6475F">
        <w:rPr>
          <w:rFonts w:ascii="Verdana" w:hAnsi="Verdana"/>
          <w:bCs/>
          <w:sz w:val="18"/>
          <w:szCs w:val="18"/>
        </w:rPr>
        <w:t xml:space="preserve">noodzakelijk zijn </w:t>
      </w:r>
      <w:r w:rsidR="00B879A4">
        <w:rPr>
          <w:rFonts w:ascii="Verdana" w:hAnsi="Verdana"/>
          <w:bCs/>
          <w:sz w:val="18"/>
          <w:szCs w:val="18"/>
        </w:rPr>
        <w:t xml:space="preserve">en </w:t>
      </w:r>
      <w:r w:rsidR="00C6475F">
        <w:rPr>
          <w:rFonts w:ascii="Verdana" w:hAnsi="Verdana"/>
          <w:bCs/>
          <w:sz w:val="18"/>
          <w:szCs w:val="18"/>
        </w:rPr>
        <w:t>zolang daarbij minder belastende alternatieven zijn verkend</w:t>
      </w:r>
      <w:r w:rsidR="00B879A4">
        <w:rPr>
          <w:rFonts w:ascii="Verdana" w:hAnsi="Verdana"/>
          <w:bCs/>
          <w:sz w:val="18"/>
          <w:szCs w:val="18"/>
        </w:rPr>
        <w:t xml:space="preserve">. Het kabinet benadrukt verder dat het belangrijk is dat actualisering van rapportageverplichtingen op vaste momenten plaatsvindt en ruimte biedt </w:t>
      </w:r>
      <w:r w:rsidR="00AC273D">
        <w:rPr>
          <w:rFonts w:ascii="Verdana" w:hAnsi="Verdana"/>
          <w:bCs/>
          <w:sz w:val="18"/>
          <w:szCs w:val="18"/>
        </w:rPr>
        <w:t xml:space="preserve">aan </w:t>
      </w:r>
      <w:r w:rsidR="00B879A4">
        <w:rPr>
          <w:rFonts w:ascii="Verdana" w:hAnsi="Verdana"/>
          <w:bCs/>
          <w:sz w:val="18"/>
          <w:szCs w:val="18"/>
        </w:rPr>
        <w:t xml:space="preserve">betrokkenen om deze aanpassingen door te </w:t>
      </w:r>
      <w:r w:rsidRPr="00B879A4" w:rsidR="00B879A4">
        <w:rPr>
          <w:rFonts w:ascii="Verdana" w:hAnsi="Verdana"/>
          <w:bCs/>
          <w:sz w:val="18"/>
          <w:szCs w:val="18"/>
        </w:rPr>
        <w:t xml:space="preserve">voeren. </w:t>
      </w:r>
      <w:r w:rsidRPr="00B879A4" w:rsidR="00AB0595">
        <w:rPr>
          <w:rFonts w:ascii="Verdana" w:hAnsi="Verdana"/>
          <w:bCs/>
          <w:sz w:val="18"/>
          <w:szCs w:val="18"/>
        </w:rPr>
        <w:t xml:space="preserve">Het kabinet </w:t>
      </w:r>
      <w:r w:rsidR="00AB0595">
        <w:rPr>
          <w:rFonts w:ascii="Verdana" w:hAnsi="Verdana"/>
          <w:bCs/>
          <w:sz w:val="18"/>
          <w:szCs w:val="18"/>
        </w:rPr>
        <w:t xml:space="preserve">heeft </w:t>
      </w:r>
      <w:r w:rsidR="00122AC0">
        <w:rPr>
          <w:rFonts w:ascii="Verdana" w:hAnsi="Verdana"/>
          <w:bCs/>
          <w:sz w:val="18"/>
          <w:szCs w:val="18"/>
        </w:rPr>
        <w:t xml:space="preserve">zorgen </w:t>
      </w:r>
      <w:r w:rsidR="00AB0595">
        <w:rPr>
          <w:rFonts w:ascii="Verdana" w:hAnsi="Verdana"/>
          <w:bCs/>
          <w:sz w:val="18"/>
          <w:szCs w:val="18"/>
        </w:rPr>
        <w:t>bij de herziening van het mandaat van de EBA.</w:t>
      </w:r>
      <w:r>
        <w:rPr>
          <w:rFonts w:ascii="Verdana" w:hAnsi="Verdana"/>
          <w:bCs/>
          <w:sz w:val="18"/>
          <w:szCs w:val="18"/>
        </w:rPr>
        <w:t xml:space="preserve"> Het kabinet steunt het doel om waar mogelijk proportionaliteit en versimpeling in rapportageverplichtingen aan te brengen</w:t>
      </w:r>
      <w:r w:rsidR="003E74A0">
        <w:rPr>
          <w:rFonts w:ascii="Verdana" w:hAnsi="Verdana"/>
          <w:bCs/>
          <w:sz w:val="18"/>
          <w:szCs w:val="18"/>
        </w:rPr>
        <w:t xml:space="preserve"> en ziet bijvoorbeeld mogelijkheden hiertoe door betere datadeling tussen toezichthouders</w:t>
      </w:r>
      <w:r>
        <w:rPr>
          <w:rFonts w:ascii="Verdana" w:hAnsi="Verdana"/>
          <w:bCs/>
          <w:sz w:val="18"/>
          <w:szCs w:val="18"/>
        </w:rPr>
        <w:t xml:space="preserve">. De Commissie specificeert nog niet hoe ze dit, eventueel via het mandaat van de EBA, wil bereiken. Het kabinet wacht de uitwerking van het voorstel </w:t>
      </w:r>
      <w:r w:rsidR="00CF5BEC">
        <w:rPr>
          <w:rFonts w:ascii="Verdana" w:hAnsi="Verdana"/>
          <w:bCs/>
          <w:sz w:val="18"/>
          <w:szCs w:val="18"/>
        </w:rPr>
        <w:t xml:space="preserve">daarom </w:t>
      </w:r>
      <w:r>
        <w:rPr>
          <w:rFonts w:ascii="Verdana" w:hAnsi="Verdana"/>
          <w:bCs/>
          <w:sz w:val="18"/>
          <w:szCs w:val="18"/>
        </w:rPr>
        <w:t>af.</w:t>
      </w:r>
    </w:p>
    <w:p w:rsidR="000B0075" w:rsidP="006012D0" w:rsidRDefault="000B0075" w14:paraId="20737B8F" w14:textId="77777777">
      <w:pPr>
        <w:spacing w:line="360" w:lineRule="auto"/>
        <w:rPr>
          <w:rFonts w:ascii="Verdana" w:hAnsi="Verdana"/>
          <w:bCs/>
          <w:sz w:val="18"/>
          <w:szCs w:val="18"/>
        </w:rPr>
      </w:pPr>
    </w:p>
    <w:p w:rsidRPr="00344D7F" w:rsidR="008C0BCF" w:rsidP="006012D0" w:rsidRDefault="000B0075" w14:paraId="32BEDF03" w14:textId="651CA4C4">
      <w:pPr>
        <w:spacing w:line="360" w:lineRule="auto"/>
        <w:rPr>
          <w:rFonts w:ascii="Verdana" w:hAnsi="Verdana"/>
          <w:bCs/>
          <w:sz w:val="18"/>
          <w:szCs w:val="18"/>
        </w:rPr>
      </w:pPr>
      <w:r w:rsidRPr="000B0075">
        <w:rPr>
          <w:rFonts w:ascii="Verdana" w:hAnsi="Verdana"/>
          <w:bCs/>
          <w:sz w:val="18"/>
          <w:szCs w:val="18"/>
        </w:rPr>
        <w:t xml:space="preserve">Tot slot deelt het kabinet de zienswijze van de Commissie dat het </w:t>
      </w:r>
      <w:r w:rsidR="005C78A8">
        <w:rPr>
          <w:rFonts w:ascii="Verdana" w:hAnsi="Verdana"/>
          <w:bCs/>
          <w:sz w:val="18"/>
          <w:szCs w:val="18"/>
        </w:rPr>
        <w:t xml:space="preserve">bevorderen van </w:t>
      </w:r>
      <w:r w:rsidRPr="000B0075">
        <w:rPr>
          <w:rFonts w:ascii="Verdana" w:hAnsi="Verdana"/>
          <w:bCs/>
          <w:sz w:val="18"/>
          <w:szCs w:val="18"/>
        </w:rPr>
        <w:t>concurrentiekracht en concurrentie een verantwoordelijkheid van de Commissie is. Ook steunt het kabinet het voornemen van de Commissie om regulier het Europese stelsel te evalueren en te borgen dat het regelgevend kader en toezicht effectief, proportioneel en ondersteunend is. Dit past bij het standpunt van het kabinet dat er sprake moet zijn van een zorgvuldige weging en</w:t>
      </w:r>
      <w:r>
        <w:rPr>
          <w:rFonts w:ascii="Verdana" w:hAnsi="Verdana"/>
          <w:bCs/>
          <w:sz w:val="18"/>
          <w:szCs w:val="18"/>
        </w:rPr>
        <w:t xml:space="preserve"> </w:t>
      </w:r>
      <w:r w:rsidRPr="000B0075">
        <w:rPr>
          <w:rFonts w:ascii="Verdana" w:hAnsi="Verdana"/>
          <w:bCs/>
          <w:sz w:val="18"/>
          <w:szCs w:val="18"/>
        </w:rPr>
        <w:t>verantwoording van de impact van werkzaamheden van E</w:t>
      </w:r>
      <w:r w:rsidR="007E64D7">
        <w:rPr>
          <w:rFonts w:ascii="Verdana" w:hAnsi="Verdana"/>
          <w:bCs/>
          <w:sz w:val="18"/>
          <w:szCs w:val="18"/>
        </w:rPr>
        <w:t xml:space="preserve">uropese </w:t>
      </w:r>
      <w:r w:rsidRPr="000B0075">
        <w:rPr>
          <w:rFonts w:ascii="Verdana" w:hAnsi="Verdana"/>
          <w:bCs/>
          <w:sz w:val="18"/>
          <w:szCs w:val="18"/>
        </w:rPr>
        <w:t xml:space="preserve">toezichthouders op de concurrentiekracht van de </w:t>
      </w:r>
      <w:r w:rsidR="00AB0595">
        <w:rPr>
          <w:rFonts w:ascii="Verdana" w:hAnsi="Verdana"/>
          <w:bCs/>
          <w:sz w:val="18"/>
          <w:szCs w:val="18"/>
        </w:rPr>
        <w:t>Europese</w:t>
      </w:r>
      <w:r w:rsidRPr="000B0075">
        <w:rPr>
          <w:rFonts w:ascii="Verdana" w:hAnsi="Verdana"/>
          <w:bCs/>
          <w:sz w:val="18"/>
          <w:szCs w:val="18"/>
        </w:rPr>
        <w:t xml:space="preserve"> bankensector. </w:t>
      </w:r>
      <w:r w:rsidRPr="000B0075" w:rsidR="00AB0595">
        <w:rPr>
          <w:rFonts w:ascii="Verdana" w:hAnsi="Verdana"/>
          <w:bCs/>
          <w:sz w:val="18"/>
          <w:szCs w:val="18"/>
        </w:rPr>
        <w:t xml:space="preserve">Het kabinet </w:t>
      </w:r>
      <w:r w:rsidR="00FA33FB">
        <w:rPr>
          <w:rFonts w:ascii="Verdana" w:hAnsi="Verdana"/>
          <w:bCs/>
          <w:sz w:val="18"/>
          <w:szCs w:val="18"/>
        </w:rPr>
        <w:t>kan steunen dat de EBA en ESRB regulier rapporteren over de mate waarin kapitaaleisen adequaat zijn, maar</w:t>
      </w:r>
      <w:r w:rsidRPr="000B0075" w:rsidR="00FA33FB">
        <w:rPr>
          <w:rFonts w:ascii="Verdana" w:hAnsi="Verdana"/>
          <w:bCs/>
          <w:sz w:val="18"/>
          <w:szCs w:val="18"/>
        </w:rPr>
        <w:t xml:space="preserve"> </w:t>
      </w:r>
      <w:r w:rsidRPr="000B0075" w:rsidR="00AB0595">
        <w:rPr>
          <w:rFonts w:ascii="Verdana" w:hAnsi="Verdana"/>
          <w:bCs/>
          <w:sz w:val="18"/>
          <w:szCs w:val="18"/>
        </w:rPr>
        <w:t xml:space="preserve">heeft wel </w:t>
      </w:r>
      <w:r w:rsidR="00FA33FB">
        <w:rPr>
          <w:rFonts w:ascii="Verdana" w:hAnsi="Verdana"/>
          <w:bCs/>
          <w:sz w:val="18"/>
          <w:szCs w:val="18"/>
        </w:rPr>
        <w:t>zorgen</w:t>
      </w:r>
      <w:r w:rsidRPr="000B0075" w:rsidR="00AB0595">
        <w:rPr>
          <w:rFonts w:ascii="Verdana" w:hAnsi="Verdana"/>
          <w:bCs/>
          <w:sz w:val="18"/>
          <w:szCs w:val="18"/>
        </w:rPr>
        <w:t xml:space="preserve"> </w:t>
      </w:r>
      <w:r w:rsidR="00AB0595">
        <w:rPr>
          <w:rFonts w:ascii="Verdana" w:hAnsi="Verdana"/>
          <w:bCs/>
          <w:sz w:val="18"/>
          <w:szCs w:val="18"/>
        </w:rPr>
        <w:t>bij</w:t>
      </w:r>
      <w:r w:rsidRPr="000B0075" w:rsidR="00AB0595">
        <w:rPr>
          <w:rFonts w:ascii="Verdana" w:hAnsi="Verdana"/>
          <w:bCs/>
          <w:sz w:val="18"/>
          <w:szCs w:val="18"/>
        </w:rPr>
        <w:t xml:space="preserve"> de effectiviteit </w:t>
      </w:r>
      <w:r w:rsidRPr="000B0075" w:rsidR="007B58B6">
        <w:rPr>
          <w:rFonts w:ascii="Verdana" w:hAnsi="Verdana"/>
          <w:bCs/>
          <w:sz w:val="18"/>
          <w:szCs w:val="18"/>
        </w:rPr>
        <w:t xml:space="preserve">en haalbaarheid </w:t>
      </w:r>
      <w:r w:rsidRPr="000B0075" w:rsidR="00AB0595">
        <w:rPr>
          <w:rFonts w:ascii="Verdana" w:hAnsi="Verdana"/>
          <w:bCs/>
          <w:sz w:val="18"/>
          <w:szCs w:val="18"/>
        </w:rPr>
        <w:t>van</w:t>
      </w:r>
      <w:r w:rsidR="00AB0595">
        <w:rPr>
          <w:rFonts w:ascii="Verdana" w:hAnsi="Verdana"/>
          <w:bCs/>
          <w:sz w:val="18"/>
          <w:szCs w:val="18"/>
        </w:rPr>
        <w:t xml:space="preserve"> mogelijke</w:t>
      </w:r>
      <w:r w:rsidRPr="000B0075" w:rsidR="00AB0595">
        <w:rPr>
          <w:rFonts w:ascii="Verdana" w:hAnsi="Verdana"/>
          <w:bCs/>
          <w:sz w:val="18"/>
          <w:szCs w:val="18"/>
        </w:rPr>
        <w:t xml:space="preserve"> verdergaande maatregelen</w:t>
      </w:r>
      <w:r w:rsidR="00AB0595">
        <w:rPr>
          <w:rFonts w:ascii="Verdana" w:hAnsi="Verdana"/>
          <w:bCs/>
          <w:sz w:val="18"/>
          <w:szCs w:val="18"/>
        </w:rPr>
        <w:t>,</w:t>
      </w:r>
      <w:r w:rsidRPr="000B0075" w:rsidR="00AB0595">
        <w:rPr>
          <w:rFonts w:ascii="Verdana" w:hAnsi="Verdana"/>
          <w:bCs/>
          <w:sz w:val="18"/>
          <w:szCs w:val="18"/>
        </w:rPr>
        <w:t xml:space="preserve"> zoals </w:t>
      </w:r>
      <w:r w:rsidR="00AB0595">
        <w:rPr>
          <w:rFonts w:ascii="Verdana" w:hAnsi="Verdana"/>
          <w:bCs/>
          <w:sz w:val="18"/>
          <w:szCs w:val="18"/>
        </w:rPr>
        <w:t xml:space="preserve">(aanvullende) </w:t>
      </w:r>
      <w:r w:rsidRPr="000B0075" w:rsidR="00AB0595">
        <w:rPr>
          <w:rFonts w:ascii="Verdana" w:hAnsi="Verdana"/>
          <w:bCs/>
          <w:sz w:val="18"/>
          <w:szCs w:val="18"/>
        </w:rPr>
        <w:t xml:space="preserve">concurrentiemandaten voor de toezichthouders. </w:t>
      </w:r>
      <w:r w:rsidRPr="000B0075">
        <w:rPr>
          <w:rFonts w:ascii="Verdana" w:hAnsi="Verdana"/>
          <w:bCs/>
          <w:sz w:val="18"/>
          <w:szCs w:val="18"/>
        </w:rPr>
        <w:t>Het kabinet wacht de definitieve voorstellen van de Commissie derhalve af, alvorens tot een definitieve beoordeling te komen.</w:t>
      </w:r>
      <w:r w:rsidRPr="00344D7F" w:rsidR="008C0BCF">
        <w:rPr>
          <w:rFonts w:ascii="Verdana" w:hAnsi="Verdana"/>
          <w:bCs/>
          <w:sz w:val="18"/>
          <w:szCs w:val="18"/>
        </w:rPr>
        <w:br/>
      </w:r>
    </w:p>
    <w:p w:rsidRPr="008C0BCF" w:rsidR="00B202B0" w:rsidP="00B202B0" w:rsidRDefault="0018227F" w14:paraId="56EEA58E" w14:textId="4B729A31">
      <w:pPr>
        <w:numPr>
          <w:ilvl w:val="0"/>
          <w:numId w:val="5"/>
        </w:numPr>
        <w:spacing w:line="360" w:lineRule="auto"/>
        <w:rPr>
          <w:rFonts w:ascii="Verdana" w:hAnsi="Verdana"/>
          <w:i/>
          <w:sz w:val="18"/>
          <w:szCs w:val="18"/>
        </w:rPr>
      </w:pPr>
      <w:r w:rsidRPr="00B202B0">
        <w:rPr>
          <w:rFonts w:ascii="Verdana" w:hAnsi="Verdana"/>
          <w:i/>
          <w:sz w:val="18"/>
          <w:szCs w:val="18"/>
        </w:rPr>
        <w:t>Eerste inschatting van k</w:t>
      </w:r>
      <w:r w:rsidRPr="00B202B0" w:rsidR="00F74E07">
        <w:rPr>
          <w:rFonts w:ascii="Verdana" w:hAnsi="Verdana"/>
          <w:i/>
          <w:sz w:val="18"/>
          <w:szCs w:val="18"/>
        </w:rPr>
        <w:t>rachtenveld</w:t>
      </w:r>
      <w:r w:rsidRPr="00B202B0" w:rsidR="008C0BCF">
        <w:rPr>
          <w:rFonts w:ascii="Verdana" w:hAnsi="Verdana"/>
          <w:i/>
          <w:sz w:val="18"/>
          <w:szCs w:val="18"/>
        </w:rPr>
        <w:t xml:space="preserve"> </w:t>
      </w:r>
    </w:p>
    <w:p w:rsidR="00E539A8" w:rsidP="00344D7F" w:rsidRDefault="00B01822" w14:paraId="620085B7" w14:textId="14EDD844">
      <w:pPr>
        <w:spacing w:line="360" w:lineRule="auto"/>
        <w:rPr>
          <w:rFonts w:ascii="Verdana" w:hAnsi="Verdana"/>
          <w:bCs/>
          <w:sz w:val="18"/>
          <w:szCs w:val="18"/>
        </w:rPr>
      </w:pPr>
      <w:r>
        <w:rPr>
          <w:rFonts w:ascii="Verdana" w:hAnsi="Verdana"/>
          <w:bCs/>
          <w:sz w:val="18"/>
          <w:szCs w:val="18"/>
        </w:rPr>
        <w:t xml:space="preserve">Een grote meerderheid van lidstaten steunt </w:t>
      </w:r>
      <w:r w:rsidR="002479B3">
        <w:rPr>
          <w:rFonts w:ascii="Verdana" w:hAnsi="Verdana"/>
          <w:bCs/>
          <w:sz w:val="18"/>
          <w:szCs w:val="18"/>
        </w:rPr>
        <w:t xml:space="preserve">de doelstellingen van de spaar- en investeringsunie en </w:t>
      </w:r>
      <w:r>
        <w:rPr>
          <w:rFonts w:ascii="Verdana" w:hAnsi="Verdana"/>
          <w:bCs/>
          <w:sz w:val="18"/>
          <w:szCs w:val="18"/>
        </w:rPr>
        <w:t xml:space="preserve">meerdere </w:t>
      </w:r>
      <w:r w:rsidR="00B66A52">
        <w:rPr>
          <w:rFonts w:ascii="Verdana" w:hAnsi="Verdana"/>
          <w:bCs/>
          <w:sz w:val="18"/>
          <w:szCs w:val="18"/>
        </w:rPr>
        <w:t xml:space="preserve">lidstaten </w:t>
      </w:r>
      <w:r w:rsidR="002479B3">
        <w:rPr>
          <w:rFonts w:ascii="Verdana" w:hAnsi="Verdana"/>
          <w:bCs/>
          <w:sz w:val="18"/>
          <w:szCs w:val="18"/>
        </w:rPr>
        <w:t xml:space="preserve">hebben de Commissie er eerder toe opgeroepen met een rapport te komen over het concurrentievermogen van de bankensector. Onder lidstaten is er ook </w:t>
      </w:r>
      <w:r>
        <w:rPr>
          <w:rFonts w:ascii="Verdana" w:hAnsi="Verdana"/>
          <w:bCs/>
          <w:sz w:val="18"/>
          <w:szCs w:val="18"/>
        </w:rPr>
        <w:t xml:space="preserve">breed draagvlak </w:t>
      </w:r>
      <w:r w:rsidR="002479B3">
        <w:rPr>
          <w:rFonts w:ascii="Verdana" w:hAnsi="Verdana"/>
          <w:bCs/>
          <w:sz w:val="18"/>
          <w:szCs w:val="18"/>
        </w:rPr>
        <w:t xml:space="preserve">voor het voornemen om regelgeving te versimpelen. Ten aanzien van </w:t>
      </w:r>
      <w:r w:rsidR="00DF4FD8">
        <w:rPr>
          <w:rFonts w:ascii="Verdana" w:hAnsi="Verdana"/>
          <w:bCs/>
          <w:sz w:val="18"/>
          <w:szCs w:val="18"/>
        </w:rPr>
        <w:t xml:space="preserve">maatregelen ter vermindering </w:t>
      </w:r>
      <w:r w:rsidR="002479B3">
        <w:rPr>
          <w:rFonts w:ascii="Verdana" w:hAnsi="Verdana"/>
          <w:bCs/>
          <w:sz w:val="18"/>
          <w:szCs w:val="18"/>
        </w:rPr>
        <w:t xml:space="preserve">van fragmentatie zijn lidstaten meer verdeeld, al heeft de Eurogroep in inclusief format in 2022 wel </w:t>
      </w:r>
      <w:r w:rsidR="00704D44">
        <w:rPr>
          <w:rFonts w:ascii="Verdana" w:hAnsi="Verdana"/>
          <w:bCs/>
          <w:sz w:val="18"/>
          <w:szCs w:val="18"/>
        </w:rPr>
        <w:t xml:space="preserve">verklaard verdere stappen te willen onderzoeken om de </w:t>
      </w:r>
      <w:r w:rsidR="00F57642">
        <w:rPr>
          <w:rFonts w:ascii="Verdana" w:hAnsi="Verdana"/>
          <w:bCs/>
          <w:sz w:val="18"/>
          <w:szCs w:val="18"/>
        </w:rPr>
        <w:t>b</w:t>
      </w:r>
      <w:r w:rsidR="00704D44">
        <w:rPr>
          <w:rFonts w:ascii="Verdana" w:hAnsi="Verdana"/>
          <w:bCs/>
          <w:sz w:val="18"/>
          <w:szCs w:val="18"/>
        </w:rPr>
        <w:t>ankenunie te vervolmaken.</w:t>
      </w:r>
      <w:r w:rsidR="00704D44">
        <w:rPr>
          <w:rStyle w:val="FootnoteReference"/>
          <w:rFonts w:ascii="Verdana" w:hAnsi="Verdana"/>
          <w:bCs/>
          <w:sz w:val="18"/>
          <w:szCs w:val="18"/>
        </w:rPr>
        <w:footnoteReference w:id="26"/>
      </w:r>
      <w:r w:rsidR="00704D44">
        <w:rPr>
          <w:rFonts w:ascii="Verdana" w:hAnsi="Verdana"/>
          <w:bCs/>
          <w:sz w:val="18"/>
          <w:szCs w:val="18"/>
        </w:rPr>
        <w:t xml:space="preserve"> </w:t>
      </w:r>
      <w:r w:rsidR="00194A38">
        <w:rPr>
          <w:rFonts w:ascii="Verdana" w:hAnsi="Verdana"/>
          <w:bCs/>
          <w:sz w:val="18"/>
          <w:szCs w:val="18"/>
        </w:rPr>
        <w:t>In maart 2025 heeft de Europese Raad daarnaast geconcludeerd dat de bankenunie met spoed voltooid moet worden.</w:t>
      </w:r>
      <w:r w:rsidR="00194A38">
        <w:rPr>
          <w:rStyle w:val="FootnoteReference"/>
          <w:rFonts w:ascii="Verdana" w:hAnsi="Verdana"/>
          <w:bCs/>
          <w:sz w:val="18"/>
          <w:szCs w:val="18"/>
        </w:rPr>
        <w:footnoteReference w:id="27"/>
      </w:r>
      <w:r w:rsidR="00194A38">
        <w:rPr>
          <w:rFonts w:ascii="Verdana" w:hAnsi="Verdana"/>
          <w:bCs/>
          <w:sz w:val="18"/>
          <w:szCs w:val="18"/>
        </w:rPr>
        <w:t xml:space="preserve"> </w:t>
      </w:r>
      <w:r w:rsidR="00704D44">
        <w:rPr>
          <w:rFonts w:ascii="Verdana" w:hAnsi="Verdana"/>
          <w:bCs/>
          <w:sz w:val="18"/>
          <w:szCs w:val="18"/>
        </w:rPr>
        <w:t xml:space="preserve">Ook het </w:t>
      </w:r>
      <w:r w:rsidR="00D87BF8">
        <w:rPr>
          <w:rFonts w:ascii="Verdana" w:hAnsi="Verdana"/>
          <w:bCs/>
          <w:sz w:val="18"/>
          <w:szCs w:val="18"/>
        </w:rPr>
        <w:t xml:space="preserve">Europees </w:t>
      </w:r>
      <w:r w:rsidR="00704D44">
        <w:rPr>
          <w:rFonts w:ascii="Verdana" w:hAnsi="Verdana"/>
          <w:bCs/>
          <w:sz w:val="18"/>
          <w:szCs w:val="18"/>
        </w:rPr>
        <w:t xml:space="preserve">Parlement steunt over het algemeen de vaststelling dat de Europese bankensector gefragmenteerd is en is voorstander van stappen om het bankenraamwerk te versimpelen. Op deelonderwerpen blijft het krachtenveld echter gevarieerd, zowel in de Raad als in het Europees Parlement. Dat maakt dat significante vooruitgang, met name ten aanzien van verdere integratie, zal vereisen dat lidstaten en andere belanghebbenden toenadering tot elkaar zoeken.  </w:t>
      </w:r>
      <w:r w:rsidRPr="00344D7F" w:rsidR="00B202B0">
        <w:rPr>
          <w:rFonts w:ascii="Verdana" w:hAnsi="Verdana"/>
          <w:bCs/>
          <w:sz w:val="18"/>
          <w:szCs w:val="18"/>
        </w:rPr>
        <w:br/>
      </w:r>
    </w:p>
    <w:p w:rsidRPr="00344D7F" w:rsidR="00914F70" w:rsidP="00344D7F" w:rsidRDefault="00914F70" w14:paraId="6ED37CDF" w14:textId="77777777">
      <w:pPr>
        <w:spacing w:line="360" w:lineRule="auto"/>
        <w:rPr>
          <w:rFonts w:ascii="Verdana" w:hAnsi="Verdana"/>
          <w:bCs/>
          <w:sz w:val="18"/>
          <w:szCs w:val="18"/>
        </w:rPr>
      </w:pPr>
    </w:p>
    <w:p w:rsidRPr="00CB7FF8" w:rsidR="00A15B58" w:rsidP="005E260E" w:rsidRDefault="00A15B58" w14:paraId="4916B704" w14:textId="5EB33466">
      <w:pPr>
        <w:numPr>
          <w:ilvl w:val="0"/>
          <w:numId w:val="3"/>
        </w:numPr>
        <w:spacing w:line="360" w:lineRule="auto"/>
        <w:rPr>
          <w:rFonts w:ascii="Verdana" w:hAnsi="Verdana"/>
          <w:i/>
          <w:iCs/>
          <w:sz w:val="18"/>
          <w:szCs w:val="18"/>
        </w:rPr>
      </w:pPr>
      <w:r>
        <w:rPr>
          <w:rFonts w:ascii="Verdana" w:hAnsi="Verdana"/>
          <w:b/>
          <w:sz w:val="18"/>
          <w:szCs w:val="18"/>
        </w:rPr>
        <w:lastRenderedPageBreak/>
        <w:t>Beoordeling bevoegdheid, subsidiariteit en proportionaliteit</w:t>
      </w:r>
      <w:r w:rsidRPr="00CB7FF8">
        <w:rPr>
          <w:rFonts w:ascii="Verdana" w:hAnsi="Verdana"/>
          <w:b/>
          <w:sz w:val="18"/>
          <w:szCs w:val="18"/>
        </w:rPr>
        <w:t xml:space="preserve"> </w:t>
      </w:r>
    </w:p>
    <w:p w:rsidR="00A15B58" w:rsidP="005E260E" w:rsidRDefault="00076EDE" w14:paraId="0777DFC3" w14:textId="77777777">
      <w:pPr>
        <w:pStyle w:val="Spreekpunten"/>
        <w:numPr>
          <w:ilvl w:val="0"/>
          <w:numId w:val="6"/>
        </w:numPr>
        <w:rPr>
          <w:rFonts w:ascii="Verdana" w:hAnsi="Verdana"/>
          <w:i/>
          <w:iCs/>
          <w:sz w:val="18"/>
          <w:szCs w:val="18"/>
          <w:lang w:val="nl-NL" w:eastAsia="zh-CN"/>
        </w:rPr>
      </w:pPr>
      <w:r>
        <w:rPr>
          <w:rFonts w:ascii="Verdana" w:hAnsi="Verdana"/>
          <w:i/>
          <w:iCs/>
          <w:sz w:val="18"/>
          <w:szCs w:val="18"/>
          <w:lang w:val="nl-NL" w:eastAsia="zh-CN"/>
        </w:rPr>
        <w:t>B</w:t>
      </w:r>
      <w:r w:rsidR="00A15B58">
        <w:rPr>
          <w:rFonts w:ascii="Verdana" w:hAnsi="Verdana"/>
          <w:i/>
          <w:iCs/>
          <w:sz w:val="18"/>
          <w:szCs w:val="18"/>
          <w:lang w:val="nl-NL" w:eastAsia="zh-CN"/>
        </w:rPr>
        <w:t>evoegdheid</w:t>
      </w:r>
    </w:p>
    <w:p w:rsidR="002A63BD" w:rsidP="002A63BD" w:rsidRDefault="00F52E8E" w14:paraId="2F863F11" w14:textId="48F09826">
      <w:pPr>
        <w:pStyle w:val="Spreekpunten"/>
        <w:numPr>
          <w:ilvl w:val="0"/>
          <w:numId w:val="0"/>
        </w:numPr>
        <w:rPr>
          <w:rFonts w:ascii="Verdana" w:hAnsi="Verdana"/>
          <w:i/>
          <w:iCs/>
          <w:sz w:val="18"/>
          <w:szCs w:val="18"/>
          <w:lang w:val="nl-NL" w:eastAsia="zh-CN"/>
        </w:rPr>
      </w:pPr>
      <w:r w:rsidRPr="00F52E8E">
        <w:rPr>
          <w:rFonts w:ascii="Verdana" w:hAnsi="Verdana"/>
          <w:sz w:val="18"/>
          <w:szCs w:val="18"/>
          <w:lang w:val="nl-NL" w:eastAsia="zh-CN"/>
        </w:rPr>
        <w:t xml:space="preserve">Als onderdeel van de toets of de EU mag optreden conform de EU-verdragen toetst het kabinet of de EU handelt binnen de grenzen van de bevoegdheden die haar door de lidstaten in de EU-verdragen zijn toegedeeld om de daarin bepaalde doelstellingen te verwezenlijken. </w:t>
      </w:r>
      <w:r w:rsidR="007F2D80">
        <w:rPr>
          <w:rFonts w:ascii="Verdana" w:hAnsi="Verdana"/>
          <w:sz w:val="18"/>
          <w:szCs w:val="18"/>
          <w:lang w:val="nl-NL" w:eastAsia="zh-CN"/>
        </w:rPr>
        <w:t xml:space="preserve">De grondhouding </w:t>
      </w:r>
      <w:r w:rsidRPr="00F52E8E">
        <w:rPr>
          <w:rFonts w:ascii="Verdana" w:hAnsi="Verdana"/>
          <w:sz w:val="18"/>
          <w:szCs w:val="18"/>
          <w:lang w:val="nl-NL" w:eastAsia="zh-CN"/>
        </w:rPr>
        <w:t xml:space="preserve">van het kabinet ten aanzien van de bevoegdheid is positief. De voornemens die de Commissie aankondigt zouden passen binnen de rechtsgrondslag van artikel 114 VWEU. Artikel 114 VWEU geeft de EU de bevoegdheid tot het vaststellen van maatregelen betreffende de totstandbrenging en werking van de interne markt. Het kabinet </w:t>
      </w:r>
      <w:r w:rsidR="007F2D80">
        <w:rPr>
          <w:rFonts w:ascii="Verdana" w:hAnsi="Verdana"/>
          <w:sz w:val="18"/>
          <w:szCs w:val="18"/>
          <w:lang w:val="nl-NL" w:eastAsia="zh-CN"/>
        </w:rPr>
        <w:t xml:space="preserve">kan zich vinden in deze </w:t>
      </w:r>
      <w:r w:rsidRPr="00F52E8E">
        <w:rPr>
          <w:rFonts w:ascii="Verdana" w:hAnsi="Verdana"/>
          <w:sz w:val="18"/>
          <w:szCs w:val="18"/>
          <w:lang w:val="nl-NL" w:eastAsia="zh-CN"/>
        </w:rPr>
        <w:t xml:space="preserve">rechtsgrondslag, aangezien het voorstel gericht is op het versterken van het concurrentievermogen van de Europese bankensector door het adresseren van fragmentatie, het verbeteren van proportionaliteit bij implementatie van internationale standaarden en het vereenvoudigen van het regelgevend kader. Deze voorgenomen maatregelen ondersteunen de harmonisatie van regelgeving en het bevorderen van een gelijk speelveld, wat bijdraagt aan de goede werking van de interne markt. Op het terrein van de interne markt voor bankdienstverlening is sprake van een gedeelde bevoegdheid tussen de EU en de lidstaten, conform artikel 4, </w:t>
      </w:r>
      <w:r w:rsidR="006020F0">
        <w:rPr>
          <w:rFonts w:ascii="Verdana" w:hAnsi="Verdana"/>
          <w:sz w:val="18"/>
          <w:szCs w:val="18"/>
          <w:lang w:val="nl-NL" w:eastAsia="zh-CN"/>
        </w:rPr>
        <w:t xml:space="preserve">tweede lid, onder a, </w:t>
      </w:r>
      <w:r w:rsidRPr="00F52E8E">
        <w:rPr>
          <w:rFonts w:ascii="Verdana" w:hAnsi="Verdana"/>
          <w:sz w:val="18"/>
          <w:szCs w:val="18"/>
          <w:lang w:val="nl-NL" w:eastAsia="zh-CN"/>
        </w:rPr>
        <w:t>VWEU.</w:t>
      </w:r>
    </w:p>
    <w:p w:rsidR="00F52E8E" w:rsidP="0043314C" w:rsidRDefault="00F52E8E" w14:paraId="6B34C812" w14:textId="77777777">
      <w:pPr>
        <w:pStyle w:val="Spreekpunten"/>
        <w:numPr>
          <w:ilvl w:val="0"/>
          <w:numId w:val="0"/>
        </w:numPr>
        <w:ind w:left="360"/>
        <w:rPr>
          <w:rFonts w:ascii="Verdana" w:hAnsi="Verdana"/>
          <w:i/>
          <w:iCs/>
          <w:sz w:val="18"/>
          <w:szCs w:val="18"/>
          <w:lang w:val="nl-NL" w:eastAsia="zh-CN"/>
        </w:rPr>
      </w:pPr>
    </w:p>
    <w:p w:rsidR="007B55BE" w:rsidP="007B55BE" w:rsidRDefault="00076EDE" w14:paraId="251B8B47" w14:textId="3DEDE9F2">
      <w:pPr>
        <w:pStyle w:val="Spreekpunten"/>
        <w:numPr>
          <w:ilvl w:val="0"/>
          <w:numId w:val="6"/>
        </w:numPr>
        <w:rPr>
          <w:rFonts w:ascii="Verdana" w:hAnsi="Verdana"/>
          <w:i/>
          <w:iCs/>
          <w:sz w:val="18"/>
          <w:szCs w:val="18"/>
          <w:lang w:val="nl-NL" w:eastAsia="zh-CN"/>
        </w:rPr>
      </w:pPr>
      <w:r>
        <w:rPr>
          <w:rFonts w:ascii="Verdana" w:hAnsi="Verdana"/>
          <w:i/>
          <w:iCs/>
          <w:sz w:val="18"/>
          <w:szCs w:val="18"/>
          <w:lang w:val="nl-NL" w:eastAsia="zh-CN"/>
        </w:rPr>
        <w:t>S</w:t>
      </w:r>
      <w:r w:rsidRPr="00A15B58" w:rsidR="00A15B58">
        <w:rPr>
          <w:rFonts w:ascii="Verdana" w:hAnsi="Verdana"/>
          <w:i/>
          <w:iCs/>
          <w:sz w:val="18"/>
          <w:szCs w:val="18"/>
          <w:lang w:val="nl-NL" w:eastAsia="zh-CN"/>
        </w:rPr>
        <w:t>ubsidiariteit</w:t>
      </w:r>
    </w:p>
    <w:p w:rsidRPr="007B55BE" w:rsidR="007B55BE" w:rsidP="007B55BE" w:rsidRDefault="00F52E8E" w14:paraId="29C471D0" w14:textId="3791CD09">
      <w:pPr>
        <w:pStyle w:val="Spreekpunten"/>
        <w:numPr>
          <w:ilvl w:val="0"/>
          <w:numId w:val="0"/>
        </w:numPr>
        <w:rPr>
          <w:rFonts w:ascii="Verdana" w:hAnsi="Verdana"/>
          <w:i/>
          <w:iCs/>
          <w:sz w:val="18"/>
          <w:szCs w:val="18"/>
          <w:lang w:val="nl-NL" w:eastAsia="zh-CN"/>
        </w:rPr>
      </w:pPr>
      <w:r w:rsidRPr="00F52E8E">
        <w:rPr>
          <w:rFonts w:ascii="Verdana" w:hAnsi="Verdana"/>
          <w:sz w:val="18"/>
          <w:szCs w:val="18"/>
          <w:lang w:val="nl-NL" w:eastAsia="zh-CN"/>
        </w:rPr>
        <w:t xml:space="preserve">Als onderdeel van de toets of de EU mag optreden conform de EU-verdragen 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 </w:t>
      </w:r>
      <w:r w:rsidR="006020F0">
        <w:rPr>
          <w:rFonts w:ascii="Verdana" w:hAnsi="Verdana"/>
          <w:sz w:val="18"/>
          <w:szCs w:val="18"/>
          <w:lang w:val="nl-NL" w:eastAsia="zh-CN"/>
        </w:rPr>
        <w:t xml:space="preserve">De grondhouding </w:t>
      </w:r>
      <w:r w:rsidRPr="00F52E8E">
        <w:rPr>
          <w:rFonts w:ascii="Verdana" w:hAnsi="Verdana"/>
          <w:sz w:val="18"/>
          <w:szCs w:val="18"/>
          <w:lang w:val="nl-NL" w:eastAsia="zh-CN"/>
        </w:rPr>
        <w:t xml:space="preserve">van het kabinet ten aanzien van de subsidiariteit is positief. </w:t>
      </w:r>
      <w:r w:rsidRPr="009C26F0" w:rsidR="00B01822">
        <w:rPr>
          <w:rFonts w:ascii="Verdana" w:hAnsi="Verdana"/>
          <w:sz w:val="18"/>
          <w:szCs w:val="18"/>
          <w:lang w:val="nl-NL"/>
        </w:rPr>
        <w:t xml:space="preserve">De mededeling heeft tot doel de werking van de Europese bankensector te verbeteren, zodat banken effectief kunnen bijdragen aan de financiering van de Europese economie. </w:t>
      </w:r>
      <w:r w:rsidRPr="00F52E8E">
        <w:rPr>
          <w:rFonts w:ascii="Verdana" w:hAnsi="Verdana"/>
          <w:sz w:val="18"/>
          <w:szCs w:val="18"/>
          <w:lang w:val="nl-NL" w:eastAsia="zh-CN"/>
        </w:rPr>
        <w:t xml:space="preserve"> Gezien het grensoverschrijdende karakter van een goed functionerende Europese bankensector en het belang van harmonisatie van regelgeving kan dit onvoldoende door de lidstaten op centraal, regionaal of lokaal niveau worden verwezenlijkt. Door het in de mededeling aangekondigde optreden wordt het gelijk speelveld op het terrein van bankdienstverlening verbeterd en worden belemmeringen op de interne markt weggenomen. De interne markt voor bankdienstverlening zal het beste functioneren wanneer de relevante regelgeving voldoende geharmoniseerd is. Om die redenen is optreden op het niveau van de EU gerechtvaardigd. </w:t>
      </w:r>
    </w:p>
    <w:p w:rsidR="00F52E8E" w:rsidP="0043314C" w:rsidRDefault="00F52E8E" w14:paraId="732D9DA8" w14:textId="77777777">
      <w:pPr>
        <w:pStyle w:val="Spreekpunten"/>
        <w:numPr>
          <w:ilvl w:val="0"/>
          <w:numId w:val="0"/>
        </w:numPr>
        <w:ind w:left="360"/>
        <w:rPr>
          <w:rFonts w:ascii="Verdana" w:hAnsi="Verdana"/>
          <w:i/>
          <w:iCs/>
          <w:sz w:val="18"/>
          <w:szCs w:val="18"/>
          <w:lang w:val="nl-NL" w:eastAsia="zh-CN"/>
        </w:rPr>
      </w:pPr>
    </w:p>
    <w:p w:rsidRPr="00A15B58" w:rsidR="00A15B58" w:rsidP="005E260E" w:rsidRDefault="00076EDE" w14:paraId="6D84C5F8" w14:textId="6908017A">
      <w:pPr>
        <w:pStyle w:val="Spreekpunten"/>
        <w:numPr>
          <w:ilvl w:val="0"/>
          <w:numId w:val="6"/>
        </w:numPr>
        <w:rPr>
          <w:rFonts w:ascii="Verdana" w:hAnsi="Verdana"/>
          <w:i/>
          <w:iCs/>
          <w:sz w:val="18"/>
          <w:szCs w:val="18"/>
          <w:lang w:val="nl-NL" w:eastAsia="zh-CN"/>
        </w:rPr>
      </w:pPr>
      <w:r>
        <w:rPr>
          <w:rFonts w:ascii="Verdana" w:hAnsi="Verdana"/>
          <w:i/>
          <w:iCs/>
          <w:sz w:val="18"/>
          <w:szCs w:val="18"/>
          <w:lang w:val="nl-NL" w:eastAsia="zh-CN"/>
        </w:rPr>
        <w:t>P</w:t>
      </w:r>
      <w:r w:rsidRPr="00A15B58" w:rsidR="00A15B58">
        <w:rPr>
          <w:rFonts w:ascii="Verdana" w:hAnsi="Verdana"/>
          <w:i/>
          <w:iCs/>
          <w:sz w:val="18"/>
          <w:szCs w:val="18"/>
          <w:lang w:val="nl-NL" w:eastAsia="zh-CN"/>
        </w:rPr>
        <w:t>roportionaliteit</w:t>
      </w:r>
    </w:p>
    <w:p w:rsidR="00F52E8E" w:rsidP="00ED6942" w:rsidRDefault="00F52E8E" w14:paraId="3960C320" w14:textId="6F73AC1B">
      <w:pPr>
        <w:spacing w:line="360" w:lineRule="auto"/>
        <w:rPr>
          <w:rFonts w:ascii="Verdana" w:hAnsi="Verdana"/>
          <w:bCs/>
          <w:sz w:val="18"/>
          <w:szCs w:val="18"/>
        </w:rPr>
      </w:pPr>
      <w:r w:rsidRPr="00F52E8E">
        <w:rPr>
          <w:rFonts w:ascii="Verdana" w:hAnsi="Verdana"/>
          <w:bCs/>
          <w:sz w:val="18"/>
          <w:szCs w:val="18"/>
        </w:rPr>
        <w:t xml:space="preserve">Als onderdeel van de toets of de EU mag optreden conform de EU-verdragen toetst het kabinet of de inhoud en vorm van het optreden van de Unie niet verder gaan dan wat nodig is om de doelstellingen van de EU-verdragen te verwezenlijken (het proportionaliteitsbeginsel). </w:t>
      </w:r>
      <w:r w:rsidR="00EA6FCE">
        <w:rPr>
          <w:rFonts w:ascii="Verdana" w:hAnsi="Verdana"/>
          <w:bCs/>
          <w:sz w:val="18"/>
          <w:szCs w:val="18"/>
        </w:rPr>
        <w:t xml:space="preserve">De grondhouding </w:t>
      </w:r>
      <w:r w:rsidRPr="00F52E8E">
        <w:rPr>
          <w:rFonts w:ascii="Verdana" w:hAnsi="Verdana"/>
          <w:bCs/>
          <w:sz w:val="18"/>
          <w:szCs w:val="18"/>
        </w:rPr>
        <w:t xml:space="preserve">van het kabinet ten aanzien van de proportionaliteit is positief. De mededeling heeft tot doel de werking van de Europese bankensector te verbeteren, zodat banken effectief kunnen </w:t>
      </w:r>
      <w:r w:rsidRPr="00F52E8E">
        <w:rPr>
          <w:rFonts w:ascii="Verdana" w:hAnsi="Verdana"/>
          <w:bCs/>
          <w:sz w:val="18"/>
          <w:szCs w:val="18"/>
        </w:rPr>
        <w:lastRenderedPageBreak/>
        <w:t>bijdragen aan de financiering van de Europese economie. Het voorgestelde optreden is wel geschikt om deze doelstelling te bereiken, omdat de aangekondigde initiatieven naar verwachting bijdragen aan het verminderen van fragmentatie en complexiteit van regels en tevens rekening beogen te houden met EU-specifieke kenmerken. Bovendien gaat het voorgestelde optreden niet verder dan noodzakelijk, omdat de mededeling gericht is op het wegnemen van de belangrijkste barrières die leiden tot een gefragmenteerde bankensector en die banken weerhouden om schaal- en synergievoordelen over landsgrenzen te benutten</w:t>
      </w:r>
      <w:r>
        <w:rPr>
          <w:rFonts w:ascii="Verdana" w:hAnsi="Verdana"/>
          <w:bCs/>
          <w:sz w:val="18"/>
          <w:szCs w:val="18"/>
        </w:rPr>
        <w:t>.</w:t>
      </w:r>
    </w:p>
    <w:p w:rsidRPr="00DA19A2" w:rsidR="00093526" w:rsidP="00ED6942" w:rsidRDefault="00093526" w14:paraId="110777B1" w14:textId="77777777">
      <w:pPr>
        <w:spacing w:line="360" w:lineRule="auto"/>
        <w:rPr>
          <w:rFonts w:ascii="Verdana" w:hAnsi="Verdana"/>
          <w:b/>
          <w:sz w:val="18"/>
          <w:szCs w:val="18"/>
        </w:rPr>
      </w:pPr>
    </w:p>
    <w:p w:rsidRPr="009C26F0" w:rsidR="00ED6942" w:rsidP="009C26F0" w:rsidRDefault="00D97CA9" w14:paraId="2B415BE2" w14:textId="51C345B8">
      <w:pPr>
        <w:pStyle w:val="ListParagraph"/>
        <w:numPr>
          <w:ilvl w:val="0"/>
          <w:numId w:val="6"/>
        </w:numPr>
        <w:spacing w:line="360" w:lineRule="auto"/>
        <w:rPr>
          <w:rFonts w:ascii="Verdana" w:hAnsi="Verdana"/>
          <w:bCs/>
          <w:sz w:val="18"/>
          <w:szCs w:val="18"/>
        </w:rPr>
      </w:pPr>
      <w:r w:rsidRPr="009C26F0">
        <w:rPr>
          <w:rFonts w:ascii="Verdana" w:hAnsi="Verdana"/>
          <w:bCs/>
          <w:i/>
          <w:iCs/>
          <w:sz w:val="18"/>
          <w:szCs w:val="18"/>
        </w:rPr>
        <w:t>Financiële gevolgen</w:t>
      </w:r>
    </w:p>
    <w:p w:rsidRPr="009C26F0" w:rsidR="00D97CA9" w:rsidP="00ED6942" w:rsidRDefault="00D97CA9" w14:paraId="620B393A" w14:textId="28C8330C">
      <w:pPr>
        <w:spacing w:line="360" w:lineRule="auto"/>
        <w:rPr>
          <w:rFonts w:ascii="Verdana" w:hAnsi="Verdana"/>
          <w:bCs/>
          <w:sz w:val="18"/>
          <w:szCs w:val="18"/>
        </w:rPr>
      </w:pPr>
      <w:r w:rsidRPr="009C26F0">
        <w:rPr>
          <w:rFonts w:ascii="Verdana" w:hAnsi="Verdana"/>
          <w:bCs/>
          <w:sz w:val="18"/>
          <w:szCs w:val="18"/>
        </w:rPr>
        <w:t>De mededeling kent geen directe financiële gevolgen, maar in de mededeling worden wel nieuwe voorstellen en plannen aangekondigd.</w:t>
      </w:r>
      <w:r w:rsidRPr="009C26F0" w:rsidR="00275424">
        <w:rPr>
          <w:rFonts w:ascii="Verdana" w:hAnsi="Verdana"/>
          <w:bCs/>
          <w:sz w:val="18"/>
          <w:szCs w:val="18"/>
        </w:rPr>
        <w:t xml:space="preserve"> Op dit moment is niet de verwachting dat deze voornemens financiële gevolgen hebben. Als er toch financiële middelen nodig zijn, dan is h</w:t>
      </w:r>
      <w:r w:rsidRPr="009C26F0">
        <w:rPr>
          <w:rFonts w:ascii="Verdana" w:hAnsi="Verdana"/>
          <w:bCs/>
          <w:sz w:val="18"/>
          <w:szCs w:val="18"/>
        </w:rPr>
        <w:t>et kabinet van mening dat eventueel benodigde EU-middelen gevonden dienen te worden binnen de in de Raad afgesproken financiële kaders van de EU-begroting 2021–2027, voor zover deze voorstellen uitkomen voordat het volgende meerjarig financieel kader is vastgesteld, en dat deze moeten passen bij een prudente ontwikkeling van de jaarbegroting. Eventuele budgettaire gevolgen voor de Rijksbegroting worden ingepast op de begroting van het beleidsverantwoordelijke departement, conform de regels van de budgetdiscipline. Het kabinet wil niet vooruitlopen op de integrale afweging van middelen na 2027.</w:t>
      </w:r>
    </w:p>
    <w:p w:rsidRPr="00ED6942" w:rsidR="00D97CA9" w:rsidP="00ED6942" w:rsidRDefault="00D97CA9" w14:paraId="4D4C6132" w14:textId="77777777">
      <w:pPr>
        <w:spacing w:line="360" w:lineRule="auto"/>
        <w:rPr>
          <w:rFonts w:ascii="Verdana" w:hAnsi="Verdana"/>
          <w:b/>
          <w:sz w:val="18"/>
          <w:szCs w:val="18"/>
        </w:rPr>
      </w:pPr>
    </w:p>
    <w:p w:rsidRPr="00ED6942" w:rsidR="00CB7FF8" w:rsidP="009C26F0" w:rsidRDefault="00D97CA9" w14:paraId="468D33B3" w14:textId="4EE72258">
      <w:pPr>
        <w:numPr>
          <w:ilvl w:val="0"/>
          <w:numId w:val="6"/>
        </w:numPr>
        <w:spacing w:line="360" w:lineRule="auto"/>
        <w:rPr>
          <w:rFonts w:ascii="Verdana" w:hAnsi="Verdana"/>
          <w:bCs/>
          <w:i/>
          <w:iCs/>
          <w:sz w:val="18"/>
          <w:szCs w:val="18"/>
        </w:rPr>
      </w:pPr>
      <w:r w:rsidRPr="00ED6942">
        <w:rPr>
          <w:rFonts w:ascii="Verdana" w:hAnsi="Verdana"/>
          <w:bCs/>
          <w:i/>
          <w:iCs/>
          <w:sz w:val="18"/>
          <w:szCs w:val="18"/>
        </w:rPr>
        <w:t>G</w:t>
      </w:r>
      <w:r w:rsidRPr="00ED6942" w:rsidR="000A39A4">
        <w:rPr>
          <w:rFonts w:ascii="Verdana" w:hAnsi="Verdana"/>
          <w:bCs/>
          <w:i/>
          <w:iCs/>
          <w:sz w:val="18"/>
          <w:szCs w:val="18"/>
        </w:rPr>
        <w:t>evolgen voor regeldruk</w:t>
      </w:r>
      <w:r w:rsidRPr="00ED6942">
        <w:rPr>
          <w:rFonts w:ascii="Verdana" w:hAnsi="Verdana"/>
          <w:bCs/>
          <w:i/>
          <w:iCs/>
          <w:sz w:val="18"/>
          <w:szCs w:val="18"/>
        </w:rPr>
        <w:t>, concurrentiekracht en geopolitieke aspecten</w:t>
      </w:r>
    </w:p>
    <w:p w:rsidRPr="003724F9" w:rsidR="009A3B1D" w:rsidP="003724F9" w:rsidRDefault="00D97CA9" w14:paraId="4B21D00E" w14:textId="6B692BA2">
      <w:pPr>
        <w:spacing w:line="360" w:lineRule="auto"/>
        <w:rPr>
          <w:rFonts w:ascii="Verdana" w:hAnsi="Verdana"/>
          <w:bCs/>
          <w:i/>
          <w:iCs/>
          <w:sz w:val="18"/>
          <w:szCs w:val="18"/>
        </w:rPr>
      </w:pPr>
      <w:r w:rsidRPr="00ED6942">
        <w:rPr>
          <w:rFonts w:ascii="Verdana" w:hAnsi="Verdana"/>
          <w:bCs/>
          <w:sz w:val="18"/>
          <w:szCs w:val="18"/>
        </w:rPr>
        <w:t>De mededeling kent geen directe gevolgen voor de</w:t>
      </w:r>
      <w:r>
        <w:rPr>
          <w:rFonts w:ascii="Verdana" w:hAnsi="Verdana"/>
          <w:bCs/>
          <w:sz w:val="18"/>
          <w:szCs w:val="18"/>
        </w:rPr>
        <w:t xml:space="preserve"> regeldruk, maar heeft als doel om, met concrete voorstellen in 2027, de</w:t>
      </w:r>
      <w:r w:rsidR="00785A80">
        <w:rPr>
          <w:rFonts w:ascii="Verdana" w:hAnsi="Verdana"/>
          <w:bCs/>
          <w:sz w:val="18"/>
          <w:szCs w:val="18"/>
        </w:rPr>
        <w:t xml:space="preserve"> regelgeving voor banken te versimpelen en onnodige regeldruk weg te nemen, om</w:t>
      </w:r>
      <w:r>
        <w:rPr>
          <w:rFonts w:ascii="Verdana" w:hAnsi="Verdana"/>
          <w:bCs/>
          <w:sz w:val="18"/>
          <w:szCs w:val="18"/>
        </w:rPr>
        <w:t xml:space="preserve"> zodoende de kredietverlening voor burgers en het bedrijfsleven te verbeteren. </w:t>
      </w:r>
      <w:r w:rsidR="00785A80">
        <w:rPr>
          <w:rFonts w:ascii="Verdana" w:hAnsi="Verdana"/>
          <w:bCs/>
          <w:sz w:val="18"/>
          <w:szCs w:val="18"/>
        </w:rPr>
        <w:t xml:space="preserve">Toekomstige voorstellen dragen naar verwachting bij aan de versimpelingsagenda van de EU. De inschatting van de regeldrukeffecten van de concrete voorstellen die volgen uit deze mededeling, worden in toekomstige BNC-fiches behandeld. Uitgangspunt van het kabinet bij de beoordeling van deze voorstellen is dat deze zo lastenluw mogelijk dienen te worden vormgegeven. </w:t>
      </w:r>
      <w:r w:rsidR="00B01822">
        <w:rPr>
          <w:rFonts w:ascii="Verdana" w:hAnsi="Verdana"/>
          <w:bCs/>
          <w:sz w:val="18"/>
          <w:szCs w:val="18"/>
        </w:rPr>
        <w:t xml:space="preserve">De voorstellen voor verbetering van de concurrentiepositie van de bankensector dragen met de andere onderdelen van de strategie voor de spaar- en investeringsunie bij aan een concurrerende en geopolitiek weerbare EU. Een concurrerende en geïntegreerde bankensector kan ook bijdragen aan het mobiliseren van financiering voor investeringen die het concurrentievermogen en de strategische autonomie van de EU versterken of bijdragen aan andere prioriteiten van EU-beleid. Dat vereist wel ambitieuze voorstellen t.b.v. verdere integratie in de bankensector en voldoende aandacht voor het belang van een goede kapitaal- en liquiditeitspositie van banken voor de financiële stabiliteit.  </w:t>
      </w:r>
    </w:p>
    <w:bookmarkEnd w:id="0"/>
    <w:bookmarkEnd w:id="1"/>
    <w:p w:rsidRPr="00DA19A2" w:rsidR="009A3B1D" w:rsidP="00DA19A2" w:rsidRDefault="009A3B1D" w14:paraId="6B379056" w14:textId="77777777">
      <w:pPr>
        <w:spacing w:line="360" w:lineRule="auto"/>
        <w:rPr>
          <w:rFonts w:ascii="Verdana" w:hAnsi="Verdana"/>
          <w:sz w:val="18"/>
          <w:szCs w:val="18"/>
        </w:rPr>
      </w:pPr>
    </w:p>
    <w:sectPr w:rsidRPr="00DA19A2" w:rsidR="009A3B1D" w:rsidSect="00ED6942">
      <w:footerReference w:type="even" r:id="rId14"/>
      <w:footerReference w:type="default" r:id="rId15"/>
      <w:footerReference w:type="first" r:id="rId16"/>
      <w:type w:val="continuous"/>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5D00E" w14:textId="77777777" w:rsidR="00100402" w:rsidRDefault="00100402">
      <w:r>
        <w:separator/>
      </w:r>
    </w:p>
  </w:endnote>
  <w:endnote w:type="continuationSeparator" w:id="0">
    <w:p w14:paraId="05053174" w14:textId="77777777" w:rsidR="00100402" w:rsidRDefault="00100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A15E" w14:textId="44AA0000" w:rsidR="0037596E" w:rsidRDefault="00D87BF8">
    <w:pPr>
      <w:pStyle w:val="Footer"/>
      <w:framePr w:wrap="around" w:vAnchor="text" w:hAnchor="margin" w:xAlign="right" w:y="1"/>
      <w:rPr>
        <w:rStyle w:val="PageNumber"/>
      </w:rPr>
    </w:pPr>
    <w:r>
      <w:rPr>
        <w:noProof/>
      </w:rPr>
      <mc:AlternateContent>
        <mc:Choice Requires="wps">
          <w:drawing>
            <wp:anchor distT="0" distB="0" distL="0" distR="0" simplePos="0" relativeHeight="251659264" behindDoc="0" locked="0" layoutInCell="1" allowOverlap="1" wp14:anchorId="48CED8A4" wp14:editId="27B42913">
              <wp:simplePos x="635" y="635"/>
              <wp:positionH relativeFrom="page">
                <wp:align>left</wp:align>
              </wp:positionH>
              <wp:positionV relativeFrom="page">
                <wp:align>bottom</wp:align>
              </wp:positionV>
              <wp:extent cx="1009015" cy="368300"/>
              <wp:effectExtent l="0" t="0" r="635" b="0"/>
              <wp:wrapNone/>
              <wp:docPr id="589602683"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47D7718E" w14:textId="2F2C3253" w:rsidR="00D87BF8" w:rsidRPr="00D87BF8" w:rsidRDefault="00D87BF8" w:rsidP="00D87BF8">
                          <w:pPr>
                            <w:rPr>
                              <w:rFonts w:ascii="Aptos" w:eastAsia="Aptos" w:hAnsi="Aptos" w:cs="Aptos"/>
                              <w:noProof/>
                              <w:color w:val="000000"/>
                              <w:sz w:val="20"/>
                            </w:rPr>
                          </w:pPr>
                          <w:r w:rsidRPr="00D87BF8">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CED8A4" id="_x0000_t202" coordsize="21600,21600" o:spt="202" path="m,l,21600r21600,l21600,xe">
              <v:stroke joinstyle="miter"/>
              <v:path gradientshapeok="t" o:connecttype="rect"/>
            </v:shapetype>
            <v:shape id="Tekstvak 2" o:spid="_x0000_s1026" type="#_x0000_t202" alt="Intern gebruik" style="position:absolute;margin-left:0;margin-top:0;width:79.45pt;height:29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47D7718E" w14:textId="2F2C3253" w:rsidR="00D87BF8" w:rsidRPr="00D87BF8" w:rsidRDefault="00D87BF8" w:rsidP="00D87BF8">
                    <w:pPr>
                      <w:rPr>
                        <w:rFonts w:ascii="Aptos" w:eastAsia="Aptos" w:hAnsi="Aptos" w:cs="Aptos"/>
                        <w:noProof/>
                        <w:color w:val="000000"/>
                        <w:sz w:val="20"/>
                      </w:rPr>
                    </w:pPr>
                    <w:r w:rsidRPr="00D87BF8">
                      <w:rPr>
                        <w:rFonts w:ascii="Aptos" w:eastAsia="Aptos" w:hAnsi="Aptos" w:cs="Aptos"/>
                        <w:noProof/>
                        <w:color w:val="000000"/>
                        <w:sz w:val="20"/>
                      </w:rPr>
                      <w:t>Intern gebruik</w:t>
                    </w:r>
                  </w:p>
                </w:txbxContent>
              </v:textbox>
              <w10:wrap anchorx="page" anchory="page"/>
            </v:shape>
          </w:pict>
        </mc:Fallback>
      </mc:AlternateContent>
    </w:r>
    <w:r w:rsidR="0037596E">
      <w:rPr>
        <w:rStyle w:val="PageNumber"/>
      </w:rPr>
      <w:fldChar w:fldCharType="begin"/>
    </w:r>
    <w:r w:rsidR="0037596E">
      <w:rPr>
        <w:rStyle w:val="PageNumber"/>
      </w:rPr>
      <w:instrText xml:space="preserve">PAGE  </w:instrText>
    </w:r>
    <w:r w:rsidR="0037596E">
      <w:rPr>
        <w:rStyle w:val="PageNumber"/>
      </w:rPr>
      <w:fldChar w:fldCharType="separate"/>
    </w:r>
    <w:r w:rsidR="00E3509E">
      <w:rPr>
        <w:rStyle w:val="PageNumber"/>
        <w:noProof/>
      </w:rPr>
      <w:t>2</w:t>
    </w:r>
    <w:r w:rsidR="0037596E">
      <w:rPr>
        <w:rStyle w:val="PageNumber"/>
      </w:rPr>
      <w:fldChar w:fldCharType="end"/>
    </w:r>
  </w:p>
  <w:p w14:paraId="3BBF4F64" w14:textId="77777777" w:rsidR="0037596E" w:rsidRDefault="003759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85B5" w14:textId="0653501E" w:rsidR="0037596E" w:rsidRDefault="00D87BF8">
    <w:pPr>
      <w:pStyle w:val="Footer"/>
      <w:framePr w:wrap="around" w:vAnchor="text" w:hAnchor="margin" w:xAlign="right" w:y="1"/>
      <w:rPr>
        <w:rStyle w:val="PageNumber"/>
      </w:rPr>
    </w:pPr>
    <w:r>
      <w:rPr>
        <w:noProof/>
      </w:rPr>
      <mc:AlternateContent>
        <mc:Choice Requires="wps">
          <w:drawing>
            <wp:anchor distT="0" distB="0" distL="0" distR="0" simplePos="0" relativeHeight="251660288" behindDoc="0" locked="0" layoutInCell="1" allowOverlap="1" wp14:anchorId="45354AEA" wp14:editId="108AE180">
              <wp:simplePos x="635" y="635"/>
              <wp:positionH relativeFrom="page">
                <wp:align>left</wp:align>
              </wp:positionH>
              <wp:positionV relativeFrom="page">
                <wp:align>bottom</wp:align>
              </wp:positionV>
              <wp:extent cx="1009015" cy="368300"/>
              <wp:effectExtent l="0" t="0" r="635" b="0"/>
              <wp:wrapNone/>
              <wp:docPr id="1971984464"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792E3E96" w14:textId="7E240749" w:rsidR="00D87BF8" w:rsidRPr="00D87BF8" w:rsidRDefault="00D87BF8" w:rsidP="00D87BF8">
                          <w:pPr>
                            <w:rPr>
                              <w:rFonts w:ascii="Aptos" w:eastAsia="Aptos" w:hAnsi="Aptos" w:cs="Aptos"/>
                              <w:noProof/>
                              <w:color w:val="000000"/>
                              <w:sz w:val="20"/>
                            </w:rPr>
                          </w:pPr>
                          <w:r w:rsidRPr="00D87BF8">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5354AEA" id="_x0000_t202" coordsize="21600,21600" o:spt="202" path="m,l,21600r21600,l21600,xe">
              <v:stroke joinstyle="miter"/>
              <v:path gradientshapeok="t" o:connecttype="rect"/>
            </v:shapetype>
            <v:shape id="Tekstvak 3" o:spid="_x0000_s1027" type="#_x0000_t202" alt="Intern gebruik" style="position:absolute;margin-left:0;margin-top:0;width:79.45pt;height:29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792E3E96" w14:textId="7E240749" w:rsidR="00D87BF8" w:rsidRPr="00D87BF8" w:rsidRDefault="00D87BF8" w:rsidP="00D87BF8">
                    <w:pPr>
                      <w:rPr>
                        <w:rFonts w:ascii="Aptos" w:eastAsia="Aptos" w:hAnsi="Aptos" w:cs="Aptos"/>
                        <w:noProof/>
                        <w:color w:val="000000"/>
                        <w:sz w:val="20"/>
                      </w:rPr>
                    </w:pPr>
                    <w:r w:rsidRPr="00D87BF8">
                      <w:rPr>
                        <w:rFonts w:ascii="Aptos" w:eastAsia="Aptos" w:hAnsi="Aptos" w:cs="Aptos"/>
                        <w:noProof/>
                        <w:color w:val="000000"/>
                        <w:sz w:val="20"/>
                      </w:rPr>
                      <w:t>Intern gebruik</w:t>
                    </w:r>
                  </w:p>
                </w:txbxContent>
              </v:textbox>
              <w10:wrap anchorx="page" anchory="page"/>
            </v:shape>
          </w:pict>
        </mc:Fallback>
      </mc:AlternateContent>
    </w:r>
    <w:r w:rsidR="0037596E">
      <w:rPr>
        <w:rStyle w:val="PageNumber"/>
      </w:rPr>
      <w:fldChar w:fldCharType="begin"/>
    </w:r>
    <w:r w:rsidR="0037596E">
      <w:rPr>
        <w:rStyle w:val="PageNumber"/>
      </w:rPr>
      <w:instrText xml:space="preserve">PAGE  </w:instrText>
    </w:r>
    <w:r w:rsidR="0037596E">
      <w:rPr>
        <w:rStyle w:val="PageNumber"/>
      </w:rPr>
      <w:fldChar w:fldCharType="separate"/>
    </w:r>
    <w:r w:rsidR="00CE72F7">
      <w:rPr>
        <w:rStyle w:val="PageNumber"/>
        <w:noProof/>
      </w:rPr>
      <w:t>2</w:t>
    </w:r>
    <w:r w:rsidR="0037596E">
      <w:rPr>
        <w:rStyle w:val="PageNumber"/>
      </w:rPr>
      <w:fldChar w:fldCharType="end"/>
    </w:r>
  </w:p>
  <w:p w14:paraId="27D74473" w14:textId="77777777" w:rsidR="0037596E" w:rsidRDefault="0037596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A2A3" w14:textId="2A4ED377" w:rsidR="00D87BF8" w:rsidRDefault="00D87BF8">
    <w:pPr>
      <w:pStyle w:val="Footer"/>
    </w:pPr>
    <w:r>
      <w:rPr>
        <w:noProof/>
      </w:rPr>
      <mc:AlternateContent>
        <mc:Choice Requires="wps">
          <w:drawing>
            <wp:anchor distT="0" distB="0" distL="0" distR="0" simplePos="0" relativeHeight="251658240" behindDoc="0" locked="0" layoutInCell="1" allowOverlap="1" wp14:anchorId="2D13394C" wp14:editId="5FEF2BDC">
              <wp:simplePos x="635" y="635"/>
              <wp:positionH relativeFrom="page">
                <wp:align>left</wp:align>
              </wp:positionH>
              <wp:positionV relativeFrom="page">
                <wp:align>bottom</wp:align>
              </wp:positionV>
              <wp:extent cx="1009015" cy="368300"/>
              <wp:effectExtent l="0" t="0" r="635" b="0"/>
              <wp:wrapNone/>
              <wp:docPr id="592770402"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2929AC17" w14:textId="3EBBC3B3" w:rsidR="00D87BF8" w:rsidRPr="00D87BF8" w:rsidRDefault="00D87BF8" w:rsidP="00D87BF8">
                          <w:pPr>
                            <w:rPr>
                              <w:rFonts w:ascii="Aptos" w:eastAsia="Aptos" w:hAnsi="Aptos" w:cs="Aptos"/>
                              <w:noProof/>
                              <w:color w:val="000000"/>
                              <w:sz w:val="20"/>
                            </w:rPr>
                          </w:pPr>
                          <w:r w:rsidRPr="00D87BF8">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13394C" id="_x0000_t202" coordsize="21600,21600" o:spt="202" path="m,l,21600r21600,l21600,xe">
              <v:stroke joinstyle="miter"/>
              <v:path gradientshapeok="t" o:connecttype="rect"/>
            </v:shapetype>
            <v:shape id="Tekstvak 1" o:spid="_x0000_s1028" type="#_x0000_t202" alt="Intern gebruik" style="position:absolute;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" filled="f" stroked="f">
              <v:textbox style="mso-fit-shape-to-text:t" inset="20pt,0,0,15pt">
                <w:txbxContent>
                  <w:p w14:paraId="2929AC17" w14:textId="3EBBC3B3" w:rsidR="00D87BF8" w:rsidRPr="00D87BF8" w:rsidRDefault="00D87BF8" w:rsidP="00D87BF8">
                    <w:pPr>
                      <w:rPr>
                        <w:rFonts w:ascii="Aptos" w:eastAsia="Aptos" w:hAnsi="Aptos" w:cs="Aptos"/>
                        <w:noProof/>
                        <w:color w:val="000000"/>
                        <w:sz w:val="20"/>
                      </w:rPr>
                    </w:pPr>
                    <w:r w:rsidRPr="00D87BF8">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FAAB1" w14:textId="77777777" w:rsidR="00100402" w:rsidRDefault="00100402">
      <w:r>
        <w:separator/>
      </w:r>
    </w:p>
  </w:footnote>
  <w:footnote w:type="continuationSeparator" w:id="0">
    <w:p w14:paraId="0D9BA054" w14:textId="77777777" w:rsidR="00100402" w:rsidRDefault="00100402">
      <w:r>
        <w:continuationSeparator/>
      </w:r>
    </w:p>
  </w:footnote>
  <w:footnote w:id="1">
    <w:p w14:paraId="660165C4" w14:textId="7AF17AF8" w:rsidR="000835B9" w:rsidRPr="000835B9" w:rsidRDefault="000835B9" w:rsidP="002677A8">
      <w:pPr>
        <w:pStyle w:val="FootnoteText"/>
        <w:ind w:left="0" w:firstLine="0"/>
        <w:rPr>
          <w:rFonts w:ascii="Verdana" w:hAnsi="Verdana"/>
        </w:rPr>
      </w:pPr>
      <w:r w:rsidRPr="000835B9">
        <w:rPr>
          <w:rStyle w:val="FootnoteReference"/>
          <w:rFonts w:ascii="Verdana" w:hAnsi="Verdana"/>
        </w:rPr>
        <w:footnoteRef/>
      </w:r>
      <w:r w:rsidRPr="000835B9">
        <w:rPr>
          <w:rFonts w:ascii="Verdana" w:hAnsi="Verdana"/>
        </w:rPr>
        <w:t xml:space="preserve"> In Q1 2027 </w:t>
      </w:r>
      <w:r w:rsidR="006D648E">
        <w:rPr>
          <w:rFonts w:ascii="Verdana" w:hAnsi="Verdana"/>
        </w:rPr>
        <w:t>wil</w:t>
      </w:r>
      <w:r w:rsidR="006D648E" w:rsidRPr="000835B9">
        <w:rPr>
          <w:rFonts w:ascii="Verdana" w:hAnsi="Verdana"/>
        </w:rPr>
        <w:t xml:space="preserve"> </w:t>
      </w:r>
      <w:r w:rsidRPr="000835B9">
        <w:rPr>
          <w:rFonts w:ascii="Verdana" w:hAnsi="Verdana"/>
        </w:rPr>
        <w:t xml:space="preserve">de Europese Commissie </w:t>
      </w:r>
      <w:r w:rsidR="006D648E">
        <w:rPr>
          <w:rFonts w:ascii="Verdana" w:hAnsi="Verdana"/>
        </w:rPr>
        <w:t>wetsvoorstellen publiceren</w:t>
      </w:r>
      <w:r w:rsidRPr="000835B9">
        <w:rPr>
          <w:rFonts w:ascii="Verdana" w:hAnsi="Verdana"/>
        </w:rPr>
        <w:t>. Naar verwachting volgt dan ook een</w:t>
      </w:r>
      <w:r>
        <w:rPr>
          <w:rFonts w:ascii="Verdana" w:hAnsi="Verdana"/>
        </w:rPr>
        <w:t xml:space="preserve"> </w:t>
      </w:r>
      <w:r w:rsidRPr="000835B9">
        <w:rPr>
          <w:rFonts w:ascii="Verdana" w:hAnsi="Verdana"/>
        </w:rPr>
        <w:t>impact assessment.</w:t>
      </w:r>
    </w:p>
  </w:footnote>
  <w:footnote w:id="2">
    <w:p w14:paraId="1F90E319" w14:textId="77777777" w:rsidR="0059044A" w:rsidRPr="00F1152E" w:rsidRDefault="0059044A" w:rsidP="0059044A">
      <w:pPr>
        <w:pStyle w:val="FootnoteText"/>
        <w:rPr>
          <w:rFonts w:ascii="Verdana" w:hAnsi="Verdana"/>
          <w:szCs w:val="16"/>
        </w:rPr>
      </w:pPr>
      <w:r w:rsidRPr="00F1152E">
        <w:rPr>
          <w:rStyle w:val="FootnoteReference"/>
          <w:rFonts w:ascii="Verdana" w:hAnsi="Verdana"/>
          <w:szCs w:val="16"/>
        </w:rPr>
        <w:footnoteRef/>
      </w:r>
      <w:r w:rsidRPr="00F1152E">
        <w:rPr>
          <w:rFonts w:ascii="Verdana" w:hAnsi="Verdana"/>
          <w:szCs w:val="16"/>
        </w:rPr>
        <w:t xml:space="preserve"> COM (2025) 124. </w:t>
      </w:r>
    </w:p>
  </w:footnote>
  <w:footnote w:id="3">
    <w:p w14:paraId="6924FD7D" w14:textId="77777777" w:rsidR="00B1491D" w:rsidRPr="00B819C2" w:rsidRDefault="00B1491D" w:rsidP="00B1491D">
      <w:pPr>
        <w:pStyle w:val="FootnoteText"/>
        <w:ind w:left="0" w:firstLine="0"/>
        <w:rPr>
          <w:rFonts w:ascii="Verdana" w:hAnsi="Verdana"/>
          <w:szCs w:val="16"/>
          <w:highlight w:val="yellow"/>
        </w:rPr>
      </w:pPr>
      <w:r w:rsidRPr="007523C4">
        <w:rPr>
          <w:rStyle w:val="FootnoteReference"/>
          <w:rFonts w:ascii="Verdana" w:hAnsi="Verdana"/>
          <w:szCs w:val="16"/>
        </w:rPr>
        <w:footnoteRef/>
      </w:r>
      <w:r w:rsidRPr="007523C4">
        <w:rPr>
          <w:rFonts w:ascii="Verdana" w:hAnsi="Verdana"/>
          <w:szCs w:val="16"/>
        </w:rPr>
        <w:t xml:space="preserve"> De Bazel-standaarden zijn internationale afspraken over bankregelgeving en toezicht voor internationaal actieve banken. </w:t>
      </w:r>
    </w:p>
  </w:footnote>
  <w:footnote w:id="4">
    <w:p w14:paraId="47E62862" w14:textId="06A74F1F" w:rsidR="00B819C2" w:rsidRPr="00B819C2" w:rsidRDefault="00B819C2" w:rsidP="002344B9">
      <w:pPr>
        <w:pStyle w:val="FootnoteText"/>
        <w:ind w:left="0" w:firstLine="0"/>
        <w:rPr>
          <w:rFonts w:ascii="Verdana" w:hAnsi="Verdana"/>
          <w:szCs w:val="16"/>
          <w:highlight w:val="yellow"/>
        </w:rPr>
      </w:pPr>
      <w:r w:rsidRPr="00EE3230">
        <w:rPr>
          <w:rStyle w:val="FootnoteReference"/>
          <w:rFonts w:ascii="Verdana" w:hAnsi="Verdana"/>
          <w:szCs w:val="16"/>
        </w:rPr>
        <w:footnoteRef/>
      </w:r>
      <w:r w:rsidRPr="00EE3230">
        <w:rPr>
          <w:rFonts w:ascii="Verdana" w:hAnsi="Verdana"/>
          <w:szCs w:val="16"/>
        </w:rPr>
        <w:t xml:space="preserve"> </w:t>
      </w:r>
      <w:r w:rsidR="002344B9" w:rsidRPr="00EE3230">
        <w:rPr>
          <w:rFonts w:ascii="Verdana" w:hAnsi="Verdana"/>
          <w:szCs w:val="16"/>
        </w:rPr>
        <w:t>De outputvloer begrenst de mate waarin banken hun kapitaaleisen kunnen verlagen met interne risicomodellen</w:t>
      </w:r>
      <w:r w:rsidR="00EE3230" w:rsidRPr="00EE3230">
        <w:rPr>
          <w:rFonts w:ascii="Verdana" w:hAnsi="Verdana"/>
          <w:szCs w:val="16"/>
        </w:rPr>
        <w:t xml:space="preserve">, </w:t>
      </w:r>
      <w:r w:rsidR="000109B3">
        <w:rPr>
          <w:rFonts w:ascii="Verdana" w:hAnsi="Verdana"/>
          <w:szCs w:val="16"/>
        </w:rPr>
        <w:t xml:space="preserve">in vergelijking met de eisen bij het gebruik </w:t>
      </w:r>
      <w:r w:rsidR="00EE3230" w:rsidRPr="00EE3230">
        <w:rPr>
          <w:rFonts w:ascii="Verdana" w:hAnsi="Verdana"/>
          <w:szCs w:val="16"/>
        </w:rPr>
        <w:t>van</w:t>
      </w:r>
      <w:r w:rsidR="002344B9" w:rsidRPr="00EE3230">
        <w:rPr>
          <w:rFonts w:ascii="Verdana" w:hAnsi="Verdana"/>
          <w:szCs w:val="16"/>
        </w:rPr>
        <w:t xml:space="preserve"> standaardmodellen. </w:t>
      </w:r>
      <w:r w:rsidR="009D6C1E">
        <w:rPr>
          <w:rFonts w:ascii="Verdana" w:hAnsi="Verdana"/>
          <w:szCs w:val="16"/>
        </w:rPr>
        <w:t xml:space="preserve">De outputvloer bepaalt </w:t>
      </w:r>
      <w:r w:rsidR="00D723B7">
        <w:rPr>
          <w:rFonts w:ascii="Verdana" w:hAnsi="Verdana"/>
          <w:szCs w:val="16"/>
        </w:rPr>
        <w:t xml:space="preserve">namelijk </w:t>
      </w:r>
      <w:r w:rsidR="009D6C1E">
        <w:rPr>
          <w:rFonts w:ascii="Verdana" w:hAnsi="Verdana"/>
          <w:szCs w:val="16"/>
        </w:rPr>
        <w:t xml:space="preserve">dat de risicoblootstelling die een bank met interne modellen berekent niet </w:t>
      </w:r>
      <w:r w:rsidR="000109B3">
        <w:rPr>
          <w:rFonts w:ascii="Verdana" w:hAnsi="Verdana"/>
          <w:szCs w:val="16"/>
        </w:rPr>
        <w:t xml:space="preserve">lager mag zijn dan 72,5% </w:t>
      </w:r>
      <w:r w:rsidR="009D6C1E">
        <w:rPr>
          <w:rFonts w:ascii="Verdana" w:hAnsi="Verdana"/>
          <w:szCs w:val="16"/>
        </w:rPr>
        <w:t>van de risicoblootstelling die volgt uit standaardmodellen.</w:t>
      </w:r>
    </w:p>
  </w:footnote>
  <w:footnote w:id="5">
    <w:p w14:paraId="7F94F1B1" w14:textId="3C0E8B98" w:rsidR="00125A1D" w:rsidRPr="007E64D7" w:rsidRDefault="00125A1D" w:rsidP="00125A1D">
      <w:pPr>
        <w:pStyle w:val="FootnoteText"/>
        <w:ind w:left="0" w:hanging="22"/>
        <w:rPr>
          <w:rFonts w:ascii="Verdana" w:hAnsi="Verdana"/>
        </w:rPr>
      </w:pPr>
      <w:r w:rsidRPr="007E64D7">
        <w:rPr>
          <w:rStyle w:val="FootnoteReference"/>
          <w:rFonts w:ascii="Verdana" w:hAnsi="Verdana"/>
        </w:rPr>
        <w:footnoteRef/>
      </w:r>
      <w:r w:rsidRPr="007E64D7">
        <w:rPr>
          <w:rFonts w:ascii="Verdana" w:hAnsi="Verdana"/>
        </w:rPr>
        <w:t xml:space="preserve"> Zo kan er overlap zijn tussen pillar-2 buffers en macroprudentiële buffers, al worden de interacties tussen deze buffers erkend in relevante richtsnoeren en methodologieën, zodat toezichthouders met mogelijke overlap rekening kunnen houden. </w:t>
      </w:r>
    </w:p>
  </w:footnote>
  <w:footnote w:id="6">
    <w:p w14:paraId="206F0DA4" w14:textId="23E83E0A" w:rsidR="007E1134" w:rsidRPr="00B42D5E" w:rsidRDefault="007E1134" w:rsidP="00665860">
      <w:pPr>
        <w:pStyle w:val="FootnoteText"/>
        <w:ind w:left="0" w:firstLine="0"/>
        <w:rPr>
          <w:rFonts w:ascii="Verdana" w:hAnsi="Verdana"/>
        </w:rPr>
      </w:pPr>
      <w:r w:rsidRPr="00795DA7">
        <w:rPr>
          <w:rStyle w:val="FootnoteReference"/>
          <w:rFonts w:ascii="Verdana" w:hAnsi="Verdana"/>
        </w:rPr>
        <w:footnoteRef/>
      </w:r>
      <w:r w:rsidRPr="00795DA7">
        <w:rPr>
          <w:rFonts w:ascii="Verdana" w:hAnsi="Verdana"/>
        </w:rPr>
        <w:t xml:space="preserve"> </w:t>
      </w:r>
      <w:r w:rsidR="00795DA7">
        <w:rPr>
          <w:rFonts w:ascii="Verdana" w:hAnsi="Verdana"/>
        </w:rPr>
        <w:t xml:space="preserve">De leverage ratio </w:t>
      </w:r>
      <w:r w:rsidR="00665860">
        <w:rPr>
          <w:rFonts w:ascii="Verdana" w:hAnsi="Verdana"/>
        </w:rPr>
        <w:t>meet</w:t>
      </w:r>
      <w:r w:rsidR="00795DA7">
        <w:rPr>
          <w:rFonts w:ascii="Verdana" w:hAnsi="Verdana"/>
        </w:rPr>
        <w:t xml:space="preserve"> </w:t>
      </w:r>
      <w:r w:rsidR="00665860">
        <w:rPr>
          <w:rFonts w:ascii="Verdana" w:hAnsi="Verdana"/>
        </w:rPr>
        <w:t>het</w:t>
      </w:r>
      <w:r w:rsidR="00795DA7">
        <w:rPr>
          <w:rFonts w:ascii="Verdana" w:hAnsi="Verdana"/>
        </w:rPr>
        <w:t xml:space="preserve"> eigen vermogen</w:t>
      </w:r>
      <w:r w:rsidR="009352DE">
        <w:rPr>
          <w:rFonts w:ascii="Verdana" w:hAnsi="Verdana"/>
        </w:rPr>
        <w:t xml:space="preserve"> dat</w:t>
      </w:r>
      <w:r w:rsidR="00795DA7">
        <w:rPr>
          <w:rFonts w:ascii="Verdana" w:hAnsi="Verdana"/>
        </w:rPr>
        <w:t xml:space="preserve"> een bank bezit ten opzichte van haar totale </w:t>
      </w:r>
      <w:r w:rsidR="00665860">
        <w:rPr>
          <w:rFonts w:ascii="Verdana" w:hAnsi="Verdana"/>
        </w:rPr>
        <w:t>blootstellingen</w:t>
      </w:r>
      <w:r w:rsidR="00795DA7">
        <w:rPr>
          <w:rFonts w:ascii="Verdana" w:hAnsi="Verdana"/>
        </w:rPr>
        <w:t xml:space="preserve">. </w:t>
      </w:r>
      <w:r w:rsidR="00665860">
        <w:rPr>
          <w:rFonts w:ascii="Verdana" w:hAnsi="Verdana"/>
        </w:rPr>
        <w:t xml:space="preserve">Deze ratio is niet </w:t>
      </w:r>
      <w:proofErr w:type="spellStart"/>
      <w:r w:rsidR="00665860">
        <w:rPr>
          <w:rFonts w:ascii="Verdana" w:hAnsi="Verdana"/>
        </w:rPr>
        <w:t>risicogewogen</w:t>
      </w:r>
      <w:proofErr w:type="spellEnd"/>
      <w:r w:rsidR="00665860">
        <w:rPr>
          <w:rFonts w:ascii="Verdana" w:hAnsi="Verdana"/>
        </w:rPr>
        <w:t xml:space="preserve"> en begrenst het </w:t>
      </w:r>
      <w:r w:rsidR="00665860" w:rsidRPr="00B42D5E">
        <w:rPr>
          <w:rFonts w:ascii="Verdana" w:hAnsi="Verdana"/>
        </w:rPr>
        <w:t xml:space="preserve">vreemd vermogen ten opzichte van het eigen vermogen. </w:t>
      </w:r>
    </w:p>
  </w:footnote>
  <w:footnote w:id="7">
    <w:p w14:paraId="1450422D" w14:textId="32D5441D" w:rsidR="00B42D5E" w:rsidRPr="00B42D5E" w:rsidRDefault="00B42D5E" w:rsidP="006E69AE">
      <w:pPr>
        <w:pStyle w:val="FootnoteText"/>
        <w:ind w:left="0" w:firstLine="0"/>
        <w:rPr>
          <w:rFonts w:ascii="Verdana" w:hAnsi="Verdana"/>
        </w:rPr>
      </w:pPr>
      <w:r w:rsidRPr="00B42D5E">
        <w:rPr>
          <w:rStyle w:val="FootnoteReference"/>
          <w:rFonts w:ascii="Verdana" w:hAnsi="Verdana"/>
        </w:rPr>
        <w:footnoteRef/>
      </w:r>
      <w:r w:rsidRPr="006E69AE">
        <w:rPr>
          <w:rFonts w:ascii="Verdana" w:hAnsi="Verdana"/>
        </w:rPr>
        <w:t xml:space="preserve"> </w:t>
      </w:r>
      <w:r w:rsidRPr="00B42D5E">
        <w:rPr>
          <w:rFonts w:ascii="Verdana" w:hAnsi="Verdana"/>
        </w:rPr>
        <w:t xml:space="preserve">De MREL-eis </w:t>
      </w:r>
      <w:r w:rsidR="00806A36">
        <w:rPr>
          <w:rFonts w:ascii="Verdana" w:hAnsi="Verdana"/>
        </w:rPr>
        <w:t xml:space="preserve">bepaalt het minimale hoeveelheid eigen vermogen en </w:t>
      </w:r>
      <w:proofErr w:type="spellStart"/>
      <w:r w:rsidR="00806A36">
        <w:rPr>
          <w:rFonts w:ascii="Verdana" w:hAnsi="Verdana"/>
        </w:rPr>
        <w:t>bail</w:t>
      </w:r>
      <w:proofErr w:type="spellEnd"/>
      <w:r w:rsidR="00806A36">
        <w:rPr>
          <w:rFonts w:ascii="Verdana" w:hAnsi="Verdana"/>
        </w:rPr>
        <w:t xml:space="preserve">-inbare schulden </w:t>
      </w:r>
      <w:r w:rsidR="00661C47">
        <w:rPr>
          <w:rFonts w:ascii="Verdana" w:hAnsi="Verdana"/>
        </w:rPr>
        <w:t>(</w:t>
      </w:r>
      <w:proofErr w:type="spellStart"/>
      <w:r w:rsidR="00661C47">
        <w:rPr>
          <w:rFonts w:ascii="Verdana" w:hAnsi="Verdana"/>
        </w:rPr>
        <w:t>verliesabsorberend</w:t>
      </w:r>
      <w:proofErr w:type="spellEnd"/>
      <w:r w:rsidR="00661C47">
        <w:rPr>
          <w:rFonts w:ascii="Verdana" w:hAnsi="Verdana"/>
        </w:rPr>
        <w:t xml:space="preserve"> vermogen) </w:t>
      </w:r>
      <w:r w:rsidR="00806A36">
        <w:rPr>
          <w:rFonts w:ascii="Verdana" w:hAnsi="Verdana"/>
        </w:rPr>
        <w:t>die een bank moet aanhouden om tijdens resolutie verliezen te kunnen absorberen en zich te kunnen herkapitaliseren.</w:t>
      </w:r>
    </w:p>
  </w:footnote>
  <w:footnote w:id="8">
    <w:p w14:paraId="40CEF304" w14:textId="09677B55" w:rsidR="004D4D5C" w:rsidRPr="006E69AE" w:rsidRDefault="004D4D5C" w:rsidP="006E69AE">
      <w:pPr>
        <w:pStyle w:val="FootnoteText"/>
        <w:ind w:left="0" w:firstLine="0"/>
        <w:rPr>
          <w:rFonts w:ascii="Verdana" w:hAnsi="Verdana"/>
        </w:rPr>
      </w:pPr>
      <w:r w:rsidRPr="006E69AE">
        <w:rPr>
          <w:rStyle w:val="FootnoteReference"/>
          <w:rFonts w:ascii="Verdana" w:hAnsi="Verdana"/>
        </w:rPr>
        <w:footnoteRef/>
      </w:r>
      <w:r w:rsidRPr="006E69AE">
        <w:rPr>
          <w:rFonts w:ascii="Verdana" w:hAnsi="Verdana"/>
        </w:rPr>
        <w:t xml:space="preserve"> Het macroprudentiële raamwerk bevat regels voor banken die het financiële systeem als geheel stabieler moeten maken en moet voorkomen dat problemen bij individuele banken of in de economie leiden tot problemen voor de gehele bankensector.</w:t>
      </w:r>
    </w:p>
  </w:footnote>
  <w:footnote w:id="9">
    <w:p w14:paraId="5F147E34" w14:textId="77777777" w:rsidR="001436E3" w:rsidRPr="00B42D5E" w:rsidRDefault="001436E3" w:rsidP="001436E3">
      <w:pPr>
        <w:pStyle w:val="FootnoteText"/>
        <w:rPr>
          <w:rFonts w:ascii="Verdana" w:hAnsi="Verdana"/>
        </w:rPr>
      </w:pPr>
      <w:r w:rsidRPr="00B42D5E">
        <w:rPr>
          <w:rStyle w:val="FootnoteReference"/>
          <w:rFonts w:ascii="Verdana" w:hAnsi="Verdana"/>
        </w:rPr>
        <w:footnoteRef/>
      </w:r>
      <w:r w:rsidRPr="00B42D5E">
        <w:rPr>
          <w:rFonts w:ascii="Verdana" w:hAnsi="Verdana"/>
        </w:rPr>
        <w:t xml:space="preserve"> Kamerstukken II, 2024-2025, 32 013, nr. 302. </w:t>
      </w:r>
    </w:p>
  </w:footnote>
  <w:footnote w:id="10">
    <w:p w14:paraId="76FC4721" w14:textId="795A8DC4" w:rsidR="00C0005D" w:rsidRPr="00C0005D" w:rsidRDefault="00C0005D">
      <w:pPr>
        <w:pStyle w:val="FootnoteText"/>
        <w:rPr>
          <w:rFonts w:ascii="Verdana" w:hAnsi="Verdana"/>
        </w:rPr>
      </w:pPr>
      <w:r w:rsidRPr="00C0005D">
        <w:rPr>
          <w:rStyle w:val="FootnoteReference"/>
          <w:rFonts w:ascii="Verdana" w:hAnsi="Verdana"/>
        </w:rPr>
        <w:footnoteRef/>
      </w:r>
      <w:r w:rsidRPr="00C0005D">
        <w:rPr>
          <w:rFonts w:ascii="Verdana" w:hAnsi="Verdana"/>
        </w:rPr>
        <w:t xml:space="preserve"> </w:t>
      </w:r>
      <w:r w:rsidRPr="00C0005D">
        <w:rPr>
          <w:rFonts w:ascii="Verdana" w:hAnsi="Verdana"/>
          <w:szCs w:val="16"/>
        </w:rPr>
        <w:t>Kamerstukken II, 2025-2026, 21 507, nr. 2180.</w:t>
      </w:r>
    </w:p>
  </w:footnote>
  <w:footnote w:id="11">
    <w:p w14:paraId="098F9E5B" w14:textId="1535FB7C" w:rsidR="00D737DB" w:rsidRPr="007E64D7" w:rsidRDefault="00D737DB" w:rsidP="007E64D7">
      <w:pPr>
        <w:pStyle w:val="FootnoteText"/>
        <w:ind w:left="0" w:firstLine="0"/>
        <w:rPr>
          <w:rFonts w:ascii="Verdana" w:hAnsi="Verdana"/>
        </w:rPr>
      </w:pPr>
      <w:r w:rsidRPr="007E64D7">
        <w:rPr>
          <w:rStyle w:val="FootnoteReference"/>
          <w:rFonts w:ascii="Verdana" w:hAnsi="Verdana"/>
        </w:rPr>
        <w:footnoteRef/>
      </w:r>
      <w:r w:rsidRPr="007E64D7">
        <w:rPr>
          <w:rFonts w:ascii="Verdana" w:hAnsi="Verdana"/>
        </w:rPr>
        <w:t xml:space="preserve"> De Europese Commissie heeft zeven prioriteiten vastgesteld voor 2024-2029, waaronder concurrentievermogen, defensie en veiligheid en voedselzekerheid, water en natuur.</w:t>
      </w:r>
    </w:p>
  </w:footnote>
  <w:footnote w:id="12">
    <w:p w14:paraId="6C5938C8" w14:textId="421399A4" w:rsidR="00C0005D" w:rsidRPr="007F0621" w:rsidRDefault="00C0005D" w:rsidP="00C0005D">
      <w:pPr>
        <w:pStyle w:val="FootnoteText"/>
        <w:rPr>
          <w:rFonts w:ascii="Verdana" w:hAnsi="Verdana"/>
          <w:szCs w:val="16"/>
        </w:rPr>
      </w:pPr>
      <w:r w:rsidRPr="00C0005D">
        <w:rPr>
          <w:rStyle w:val="FootnoteReference"/>
          <w:rFonts w:ascii="Verdana" w:hAnsi="Verdana"/>
          <w:szCs w:val="16"/>
        </w:rPr>
        <w:footnoteRef/>
      </w:r>
      <w:r w:rsidRPr="00C0005D">
        <w:rPr>
          <w:rFonts w:ascii="Verdana" w:hAnsi="Verdana"/>
          <w:szCs w:val="16"/>
        </w:rPr>
        <w:t xml:space="preserve"> Kamerstukken II, 2024-2025, 21 507, nr. 2099. </w:t>
      </w:r>
      <w:r w:rsidRPr="007F0621">
        <w:rPr>
          <w:rFonts w:ascii="Verdana" w:hAnsi="Verdana"/>
          <w:szCs w:val="16"/>
        </w:rPr>
        <w:t xml:space="preserve"> </w:t>
      </w:r>
    </w:p>
  </w:footnote>
  <w:footnote w:id="13">
    <w:p w14:paraId="70E91833" w14:textId="3A4A6863" w:rsidR="008E04FA" w:rsidRDefault="008E04FA">
      <w:pPr>
        <w:pStyle w:val="FootnoteText"/>
      </w:pPr>
      <w:r>
        <w:rPr>
          <w:rStyle w:val="FootnoteReference"/>
        </w:rPr>
        <w:footnoteRef/>
      </w:r>
      <w:r>
        <w:t xml:space="preserve"> </w:t>
      </w:r>
      <w:r w:rsidRPr="00C0005D">
        <w:rPr>
          <w:rFonts w:ascii="Verdana" w:hAnsi="Verdana"/>
          <w:szCs w:val="16"/>
        </w:rPr>
        <w:t>Kamerstukken II, 2025-2026, 21 507, nr. 2180.</w:t>
      </w:r>
    </w:p>
  </w:footnote>
  <w:footnote w:id="14">
    <w:p w14:paraId="7549DF2A" w14:textId="77777777" w:rsidR="00B01822" w:rsidRPr="00A20459" w:rsidRDefault="00B01822" w:rsidP="00B01822">
      <w:pPr>
        <w:pStyle w:val="FootnoteText"/>
        <w:rPr>
          <w:rFonts w:ascii="Verdana" w:hAnsi="Verdana"/>
        </w:rPr>
      </w:pPr>
      <w:r w:rsidRPr="00A20459">
        <w:rPr>
          <w:rStyle w:val="FootnoteReference"/>
          <w:rFonts w:ascii="Verdana" w:hAnsi="Verdana"/>
        </w:rPr>
        <w:footnoteRef/>
      </w:r>
      <w:r w:rsidRPr="00A20459">
        <w:rPr>
          <w:rFonts w:ascii="Verdana" w:hAnsi="Verdana"/>
        </w:rPr>
        <w:t xml:space="preserve"> Aan de slag – Coalitieakkoord 2026 – 2030. </w:t>
      </w:r>
    </w:p>
  </w:footnote>
  <w:footnote w:id="15">
    <w:p w14:paraId="68D476AA" w14:textId="4859C397" w:rsidR="00FB1D33" w:rsidRPr="009C26F0" w:rsidRDefault="00FB1D33">
      <w:pPr>
        <w:pStyle w:val="FootnoteText"/>
        <w:rPr>
          <w:rFonts w:ascii="Verdana" w:hAnsi="Verdana"/>
          <w:szCs w:val="16"/>
        </w:rPr>
      </w:pPr>
      <w:r w:rsidRPr="00F13387">
        <w:rPr>
          <w:rStyle w:val="FootnoteReference"/>
          <w:rFonts w:ascii="Verdana" w:hAnsi="Verdana"/>
          <w:szCs w:val="16"/>
        </w:rPr>
        <w:footnoteRef/>
      </w:r>
      <w:r w:rsidRPr="009C26F0">
        <w:rPr>
          <w:rFonts w:ascii="Verdana" w:hAnsi="Verdana"/>
          <w:szCs w:val="16"/>
        </w:rPr>
        <w:t xml:space="preserve"> COM(2026) 615. </w:t>
      </w:r>
      <w:proofErr w:type="spellStart"/>
      <w:r w:rsidRPr="009C26F0">
        <w:rPr>
          <w:rFonts w:ascii="Verdana" w:hAnsi="Verdana"/>
          <w:szCs w:val="16"/>
        </w:rPr>
        <w:t>Commission</w:t>
      </w:r>
      <w:proofErr w:type="spellEnd"/>
      <w:r w:rsidRPr="009C26F0">
        <w:rPr>
          <w:rFonts w:ascii="Verdana" w:hAnsi="Verdana"/>
          <w:szCs w:val="16"/>
        </w:rPr>
        <w:t xml:space="preserve"> </w:t>
      </w:r>
      <w:proofErr w:type="spellStart"/>
      <w:r w:rsidRPr="009C26F0">
        <w:rPr>
          <w:rFonts w:ascii="Verdana" w:hAnsi="Verdana"/>
          <w:szCs w:val="16"/>
        </w:rPr>
        <w:t>Staff</w:t>
      </w:r>
      <w:proofErr w:type="spellEnd"/>
      <w:r w:rsidRPr="009C26F0">
        <w:rPr>
          <w:rFonts w:ascii="Verdana" w:hAnsi="Verdana"/>
          <w:szCs w:val="16"/>
        </w:rPr>
        <w:t xml:space="preserve"> </w:t>
      </w:r>
      <w:proofErr w:type="spellStart"/>
      <w:r w:rsidRPr="009C26F0">
        <w:rPr>
          <w:rFonts w:ascii="Verdana" w:hAnsi="Verdana"/>
          <w:szCs w:val="16"/>
        </w:rPr>
        <w:t>Working</w:t>
      </w:r>
      <w:proofErr w:type="spellEnd"/>
      <w:r w:rsidRPr="009C26F0">
        <w:rPr>
          <w:rFonts w:ascii="Verdana" w:hAnsi="Verdana"/>
          <w:szCs w:val="16"/>
        </w:rPr>
        <w:t xml:space="preserve"> Document.  </w:t>
      </w:r>
    </w:p>
  </w:footnote>
  <w:footnote w:id="16">
    <w:p w14:paraId="1D74821F" w14:textId="77777777" w:rsidR="00B01822" w:rsidRPr="00A20459" w:rsidRDefault="00B01822" w:rsidP="00B01822">
      <w:pPr>
        <w:pStyle w:val="FootnoteText"/>
        <w:rPr>
          <w:rFonts w:ascii="Verdana" w:hAnsi="Verdana"/>
        </w:rPr>
      </w:pPr>
      <w:r w:rsidRPr="00A20459">
        <w:rPr>
          <w:rStyle w:val="FootnoteReference"/>
          <w:rFonts w:ascii="Verdana" w:hAnsi="Verdana"/>
        </w:rPr>
        <w:footnoteRef/>
      </w:r>
      <w:r w:rsidRPr="00A20459">
        <w:rPr>
          <w:rFonts w:ascii="Verdana" w:hAnsi="Verdana"/>
        </w:rPr>
        <w:t xml:space="preserve"> Aan de slag – Coalitieakkoord 2026 – 2030. </w:t>
      </w:r>
    </w:p>
  </w:footnote>
  <w:footnote w:id="17">
    <w:p w14:paraId="4533B5C0" w14:textId="3EDB593C" w:rsidR="00DF2455" w:rsidRPr="0024244D" w:rsidRDefault="00DF2455">
      <w:pPr>
        <w:pStyle w:val="FootnoteText"/>
        <w:rPr>
          <w:rFonts w:ascii="Verdana" w:hAnsi="Verdana"/>
          <w:lang w:val="en-US"/>
        </w:rPr>
      </w:pPr>
      <w:r w:rsidRPr="0024244D">
        <w:rPr>
          <w:rStyle w:val="FootnoteReference"/>
          <w:rFonts w:ascii="Verdana" w:hAnsi="Verdana"/>
        </w:rPr>
        <w:footnoteRef/>
      </w:r>
      <w:r w:rsidRPr="00013F95">
        <w:rPr>
          <w:rFonts w:ascii="Verdana" w:hAnsi="Verdana"/>
          <w:lang w:val="en-US"/>
        </w:rPr>
        <w:t xml:space="preserve"> </w:t>
      </w:r>
      <w:r w:rsidR="00A75218" w:rsidRPr="00013F95">
        <w:rPr>
          <w:rFonts w:ascii="Verdana" w:hAnsi="Verdana"/>
          <w:lang w:val="en-US"/>
        </w:rPr>
        <w:t xml:space="preserve">DNB (2026). </w:t>
      </w:r>
      <w:r w:rsidR="00A75218" w:rsidRPr="0024244D">
        <w:rPr>
          <w:rFonts w:ascii="Verdana" w:hAnsi="Verdana"/>
          <w:lang w:val="en-US"/>
        </w:rPr>
        <w:t xml:space="preserve">Can banks finance the EU’s strategic priorities? </w:t>
      </w:r>
    </w:p>
  </w:footnote>
  <w:footnote w:id="18">
    <w:p w14:paraId="6B0B8F6E" w14:textId="2AB4A41A" w:rsidR="00433E5F" w:rsidRPr="00BE3CA0" w:rsidRDefault="00433E5F" w:rsidP="007D2F8F">
      <w:pPr>
        <w:pStyle w:val="FootnoteText"/>
        <w:ind w:left="0" w:firstLine="0"/>
        <w:rPr>
          <w:rFonts w:ascii="Verdana" w:hAnsi="Verdana"/>
        </w:rPr>
      </w:pPr>
      <w:r w:rsidRPr="00BE3CA0">
        <w:rPr>
          <w:rStyle w:val="FootnoteReference"/>
          <w:rFonts w:ascii="Verdana" w:hAnsi="Verdana"/>
        </w:rPr>
        <w:footnoteRef/>
      </w:r>
      <w:r w:rsidRPr="00BE3CA0">
        <w:rPr>
          <w:rFonts w:ascii="Verdana" w:hAnsi="Verdana"/>
        </w:rPr>
        <w:t xml:space="preserve"> Uit een eerste </w:t>
      </w:r>
      <w:r w:rsidR="00C74B33" w:rsidRPr="00BE3CA0">
        <w:rPr>
          <w:rFonts w:ascii="Verdana" w:hAnsi="Verdana"/>
        </w:rPr>
        <w:t xml:space="preserve">grove </w:t>
      </w:r>
      <w:r w:rsidRPr="00BE3CA0">
        <w:rPr>
          <w:rFonts w:ascii="Verdana" w:hAnsi="Verdana"/>
        </w:rPr>
        <w:t xml:space="preserve">ambtelijke </w:t>
      </w:r>
      <w:r w:rsidR="00C74B33" w:rsidRPr="00BE3CA0">
        <w:rPr>
          <w:rFonts w:ascii="Verdana" w:hAnsi="Verdana"/>
        </w:rPr>
        <w:t>schatting</w:t>
      </w:r>
      <w:r w:rsidRPr="00BE3CA0">
        <w:rPr>
          <w:rFonts w:ascii="Verdana" w:hAnsi="Verdana"/>
        </w:rPr>
        <w:t xml:space="preserve"> blijkt dat de rentelasten voor bedrijven zonder externe kredietbeoordeling met enkele tientallen basispunten </w:t>
      </w:r>
      <w:r w:rsidR="00C74B33" w:rsidRPr="00BE3CA0">
        <w:rPr>
          <w:rFonts w:ascii="Verdana" w:hAnsi="Verdana"/>
        </w:rPr>
        <w:t xml:space="preserve">zouden </w:t>
      </w:r>
      <w:r w:rsidRPr="00BE3CA0">
        <w:rPr>
          <w:rFonts w:ascii="Verdana" w:hAnsi="Verdana"/>
        </w:rPr>
        <w:t>kunnen stijgen wanneer de</w:t>
      </w:r>
      <w:r w:rsidR="00E03B5F" w:rsidRPr="00BE3CA0">
        <w:rPr>
          <w:rFonts w:ascii="Verdana" w:hAnsi="Verdana"/>
        </w:rPr>
        <w:t>ze</w:t>
      </w:r>
      <w:r w:rsidRPr="00BE3CA0">
        <w:rPr>
          <w:rFonts w:ascii="Verdana" w:hAnsi="Verdana"/>
        </w:rPr>
        <w:t xml:space="preserve"> transitiemaatregel afloopt. </w:t>
      </w:r>
      <w:r w:rsidR="00BE3CA0">
        <w:rPr>
          <w:rFonts w:ascii="Verdana" w:hAnsi="Verdana"/>
        </w:rPr>
        <w:t xml:space="preserve">Het is wenselijk dat de Commissie voor deze maatregel een meer gedetailleerde analyse doet. </w:t>
      </w:r>
    </w:p>
  </w:footnote>
  <w:footnote w:id="19">
    <w:p w14:paraId="0A267B92" w14:textId="6F0841F9" w:rsidR="00BE3CA0" w:rsidRPr="00BE3CA0" w:rsidRDefault="00BE3CA0" w:rsidP="00BE3CA0">
      <w:pPr>
        <w:pStyle w:val="FootnoteText"/>
        <w:ind w:left="0" w:firstLine="0"/>
        <w:rPr>
          <w:rFonts w:ascii="Verdana" w:hAnsi="Verdana"/>
        </w:rPr>
      </w:pPr>
      <w:r w:rsidRPr="00BE3CA0">
        <w:rPr>
          <w:rStyle w:val="FootnoteReference"/>
          <w:rFonts w:ascii="Verdana" w:hAnsi="Verdana"/>
        </w:rPr>
        <w:footnoteRef/>
      </w:r>
      <w:r w:rsidRPr="00BE3CA0">
        <w:rPr>
          <w:rFonts w:ascii="Verdana" w:hAnsi="Verdana"/>
        </w:rPr>
        <w:t xml:space="preserve"> Voor de transitiemaatregel voor laagrisicohypotheken is vooralsnog geen inschatting van de impact op rentelasten beschikbaar, maar op basis van vroegere berekeningen lijkt dit beperkt. Het is wenselijk </w:t>
      </w:r>
      <w:r>
        <w:rPr>
          <w:rFonts w:ascii="Verdana" w:hAnsi="Verdana"/>
        </w:rPr>
        <w:t>dat</w:t>
      </w:r>
      <w:r w:rsidRPr="00BE3CA0">
        <w:rPr>
          <w:rFonts w:ascii="Verdana" w:hAnsi="Verdana"/>
        </w:rPr>
        <w:t xml:space="preserve"> de Commissie voor </w:t>
      </w:r>
      <w:r>
        <w:rPr>
          <w:rFonts w:ascii="Verdana" w:hAnsi="Verdana"/>
        </w:rPr>
        <w:t>deze</w:t>
      </w:r>
      <w:r w:rsidRPr="00BE3CA0">
        <w:rPr>
          <w:rFonts w:ascii="Verdana" w:hAnsi="Verdana"/>
        </w:rPr>
        <w:t xml:space="preserve"> maatregel een meer gedetailleerde analyse doet.</w:t>
      </w:r>
    </w:p>
  </w:footnote>
  <w:footnote w:id="20">
    <w:p w14:paraId="401F8D88" w14:textId="3FF5DA2F" w:rsidR="00A10600" w:rsidRPr="00344D7F" w:rsidRDefault="00A10600" w:rsidP="0074124B">
      <w:pPr>
        <w:pStyle w:val="FootnoteText"/>
        <w:ind w:left="0" w:firstLine="0"/>
        <w:rPr>
          <w:rFonts w:ascii="Verdana" w:hAnsi="Verdana"/>
        </w:rPr>
      </w:pPr>
      <w:r w:rsidRPr="00344D7F">
        <w:rPr>
          <w:rStyle w:val="FootnoteReference"/>
          <w:rFonts w:ascii="Verdana" w:hAnsi="Verdana"/>
        </w:rPr>
        <w:footnoteRef/>
      </w:r>
      <w:r w:rsidRPr="00344D7F">
        <w:rPr>
          <w:rFonts w:ascii="Verdana" w:hAnsi="Verdana"/>
        </w:rPr>
        <w:t xml:space="preserve"> Kamerstukken II, 2023-2024, 21501-07, nr. 2058. </w:t>
      </w:r>
      <w:r w:rsidR="00953EBA" w:rsidRPr="00953EBA">
        <w:rPr>
          <w:rFonts w:ascii="Verdana" w:hAnsi="Verdana"/>
        </w:rPr>
        <w:t xml:space="preserve">Dit veroorzaakt </w:t>
      </w:r>
      <w:r w:rsidR="009D1806">
        <w:rPr>
          <w:rFonts w:ascii="Verdana" w:hAnsi="Verdana"/>
        </w:rPr>
        <w:t xml:space="preserve">op verschillende manieren </w:t>
      </w:r>
      <w:r w:rsidR="00953EBA" w:rsidRPr="00953EBA">
        <w:rPr>
          <w:rFonts w:ascii="Verdana" w:hAnsi="Verdana"/>
        </w:rPr>
        <w:t>regeldrukvermindering</w:t>
      </w:r>
      <w:r w:rsidR="009D1806">
        <w:rPr>
          <w:rFonts w:ascii="Verdana" w:hAnsi="Verdana"/>
        </w:rPr>
        <w:t xml:space="preserve">, bijvoorbeeld doordat grote ondernemingen verder kunnen groeien zonder als bank te kwalificeren, of doordat kleine beleggingsondernemingen </w:t>
      </w:r>
      <w:r w:rsidR="00953EBA" w:rsidRPr="00953EBA">
        <w:rPr>
          <w:rFonts w:ascii="Verdana" w:hAnsi="Verdana"/>
        </w:rPr>
        <w:t xml:space="preserve">aan minder </w:t>
      </w:r>
      <w:r w:rsidR="009D1806">
        <w:rPr>
          <w:rFonts w:ascii="Verdana" w:hAnsi="Verdana"/>
          <w:i/>
          <w:iCs/>
        </w:rPr>
        <w:t xml:space="preserve">governance </w:t>
      </w:r>
      <w:r w:rsidR="00953EBA" w:rsidRPr="00953EBA">
        <w:rPr>
          <w:rFonts w:ascii="Verdana" w:hAnsi="Verdana"/>
        </w:rPr>
        <w:t>vereisten en informatieverplichtingen hoeven te voldoen.</w:t>
      </w:r>
    </w:p>
  </w:footnote>
  <w:footnote w:id="21">
    <w:p w14:paraId="34F14FE9" w14:textId="5EC3DB59" w:rsidR="0043314C" w:rsidRDefault="0043314C" w:rsidP="0043314C">
      <w:pPr>
        <w:pStyle w:val="FootnoteText"/>
        <w:ind w:left="0" w:firstLine="0"/>
      </w:pPr>
      <w:r>
        <w:rPr>
          <w:rStyle w:val="FootnoteReference"/>
        </w:rPr>
        <w:footnoteRef/>
      </w:r>
      <w:r>
        <w:t xml:space="preserve"> </w:t>
      </w:r>
      <w:r>
        <w:rPr>
          <w:rFonts w:ascii="Verdana" w:hAnsi="Verdana"/>
        </w:rPr>
        <w:t>M</w:t>
      </w:r>
      <w:r w:rsidRPr="000B7FAC">
        <w:rPr>
          <w:rFonts w:ascii="Verdana" w:hAnsi="Verdana"/>
        </w:rPr>
        <w:t xml:space="preserve">icroprudentiële eisen zijn bedoeld om risico’s die banken vanuit individueel perspectief lopen te adresseren. Macroprudentiële buffers komen </w:t>
      </w:r>
      <w:r w:rsidR="007E64D7" w:rsidRPr="000B7FAC">
        <w:rPr>
          <w:rFonts w:ascii="Verdana" w:hAnsi="Verdana"/>
        </w:rPr>
        <w:t>boven op</w:t>
      </w:r>
      <w:r w:rsidRPr="000B7FAC">
        <w:rPr>
          <w:rFonts w:ascii="Verdana" w:hAnsi="Verdana"/>
        </w:rPr>
        <w:t xml:space="preserve"> de microprudentiële eisen en adresseren systeemrisico’s.</w:t>
      </w:r>
    </w:p>
  </w:footnote>
  <w:footnote w:id="22">
    <w:p w14:paraId="1EECA8C0" w14:textId="77777777" w:rsidR="00AC273D" w:rsidRPr="00C960D6" w:rsidRDefault="00AC273D" w:rsidP="00AC273D">
      <w:pPr>
        <w:pStyle w:val="FootnoteText"/>
        <w:ind w:left="0" w:firstLine="0"/>
        <w:rPr>
          <w:rFonts w:ascii="Verdana" w:hAnsi="Verdana"/>
        </w:rPr>
      </w:pPr>
      <w:r w:rsidRPr="000B7FAC">
        <w:rPr>
          <w:rStyle w:val="FootnoteReference"/>
          <w:rFonts w:ascii="Verdana" w:hAnsi="Verdana"/>
        </w:rPr>
        <w:footnoteRef/>
      </w:r>
      <w:r w:rsidRPr="000B7FAC">
        <w:rPr>
          <w:rFonts w:ascii="Verdana" w:hAnsi="Verdana"/>
        </w:rPr>
        <w:t xml:space="preserve"> Dit is een</w:t>
      </w:r>
      <w:r w:rsidRPr="00C960D6">
        <w:rPr>
          <w:rFonts w:ascii="Verdana" w:hAnsi="Verdana"/>
        </w:rPr>
        <w:t xml:space="preserve"> internationale FSB-standaard ten aanzien van de opbouw van verliesaborberend vermogen voor mondiale systeemrelevante banken. </w:t>
      </w:r>
    </w:p>
  </w:footnote>
  <w:footnote w:id="23">
    <w:p w14:paraId="3E8C89B0" w14:textId="356ADA92" w:rsidR="00AC273D" w:rsidRPr="0075428A" w:rsidRDefault="00AC273D" w:rsidP="00AC273D">
      <w:pPr>
        <w:pStyle w:val="FootnoteText"/>
      </w:pPr>
      <w:r w:rsidRPr="00C960D6">
        <w:rPr>
          <w:rStyle w:val="FootnoteReference"/>
          <w:rFonts w:ascii="Verdana" w:hAnsi="Verdana"/>
        </w:rPr>
        <w:footnoteRef/>
      </w:r>
      <w:r w:rsidRPr="0075428A">
        <w:rPr>
          <w:rFonts w:ascii="Verdana" w:hAnsi="Verdana"/>
        </w:rPr>
        <w:t xml:space="preserve"> MREL is de Europese implementatie van de internationale FSB TLAC </w:t>
      </w:r>
      <w:r w:rsidR="00344D7F" w:rsidRPr="0075428A">
        <w:rPr>
          <w:rFonts w:ascii="Verdana" w:hAnsi="Verdana"/>
        </w:rPr>
        <w:t>standard.</w:t>
      </w:r>
    </w:p>
  </w:footnote>
  <w:footnote w:id="24">
    <w:p w14:paraId="243E8E63" w14:textId="2F6A39C2" w:rsidR="006D648E" w:rsidRPr="0043314C" w:rsidRDefault="006D648E" w:rsidP="0043314C">
      <w:pPr>
        <w:pStyle w:val="FootnoteText"/>
        <w:ind w:left="0" w:firstLine="0"/>
        <w:rPr>
          <w:rFonts w:ascii="Verdana" w:hAnsi="Verdana"/>
          <w:szCs w:val="16"/>
        </w:rPr>
      </w:pPr>
      <w:r w:rsidRPr="0043314C">
        <w:rPr>
          <w:rStyle w:val="FootnoteReference"/>
          <w:rFonts w:ascii="Verdana" w:hAnsi="Verdana"/>
          <w:szCs w:val="16"/>
        </w:rPr>
        <w:footnoteRef/>
      </w:r>
      <w:r w:rsidRPr="0043314C">
        <w:rPr>
          <w:rFonts w:ascii="Verdana" w:hAnsi="Verdana"/>
          <w:szCs w:val="16"/>
        </w:rPr>
        <w:t xml:space="preserve"> </w:t>
      </w:r>
      <w:r w:rsidR="008F63A0">
        <w:rPr>
          <w:rFonts w:ascii="Verdana" w:hAnsi="Verdana"/>
          <w:szCs w:val="16"/>
        </w:rPr>
        <w:t>Zo</w:t>
      </w:r>
      <w:r w:rsidRPr="0043314C">
        <w:rPr>
          <w:rFonts w:ascii="Verdana" w:hAnsi="Verdana"/>
          <w:szCs w:val="16"/>
        </w:rPr>
        <w:t xml:space="preserve"> overweegt de Europese Commissie de systeemrisicobuffer (SyRB) en de contracyclische kapitaalbuffer (CCyB) samen te voegen tot één macroprudentiële buffer. </w:t>
      </w:r>
    </w:p>
  </w:footnote>
  <w:footnote w:id="25">
    <w:p w14:paraId="21506B8A" w14:textId="748A55B1" w:rsidR="00B66A52" w:rsidRPr="0043314C" w:rsidRDefault="00B66A52" w:rsidP="000B7FAC">
      <w:pPr>
        <w:pStyle w:val="FootnoteText"/>
        <w:ind w:left="0" w:firstLine="0"/>
        <w:rPr>
          <w:rFonts w:ascii="Verdana" w:hAnsi="Verdana"/>
          <w:lang w:val="en-US"/>
        </w:rPr>
      </w:pPr>
      <w:r w:rsidRPr="000B7FAC">
        <w:rPr>
          <w:rStyle w:val="FootnoteReference"/>
          <w:rFonts w:ascii="Verdana" w:hAnsi="Verdana"/>
        </w:rPr>
        <w:footnoteRef/>
      </w:r>
      <w:r w:rsidRPr="000B7FAC">
        <w:rPr>
          <w:rFonts w:ascii="Verdana" w:hAnsi="Verdana"/>
        </w:rPr>
        <w:t xml:space="preserve"> </w:t>
      </w:r>
      <w:r w:rsidR="00A11999" w:rsidRPr="000B7FAC">
        <w:rPr>
          <w:rFonts w:ascii="Verdana" w:hAnsi="Verdana"/>
          <w:szCs w:val="16"/>
        </w:rPr>
        <w:t>Dit is een specifiek soort obligaties die kunnen worden omgezet in aandelen of worden afgeschreven als een bank in de problemen komt.</w:t>
      </w:r>
      <w:r w:rsidR="00A11999">
        <w:rPr>
          <w:rFonts w:ascii="Verdana" w:hAnsi="Verdana"/>
          <w:szCs w:val="16"/>
        </w:rPr>
        <w:t xml:space="preserve"> </w:t>
      </w:r>
      <w:r w:rsidR="00A11999" w:rsidRPr="0043314C">
        <w:rPr>
          <w:rFonts w:ascii="Verdana" w:hAnsi="Verdana"/>
          <w:szCs w:val="16"/>
          <w:lang w:val="en-US"/>
        </w:rPr>
        <w:t>Deze hybride kapitaalinstrumenten kwalificeren als aanvullend tier 1-kapitaal.</w:t>
      </w:r>
    </w:p>
  </w:footnote>
  <w:footnote w:id="26">
    <w:p w14:paraId="00AD321C" w14:textId="21BAC46D" w:rsidR="00704D44" w:rsidRPr="00194A38" w:rsidRDefault="00704D44">
      <w:pPr>
        <w:pStyle w:val="FootnoteText"/>
        <w:rPr>
          <w:rFonts w:ascii="Verdana" w:hAnsi="Verdana"/>
          <w:szCs w:val="16"/>
          <w:lang w:val="en-US"/>
        </w:rPr>
      </w:pPr>
      <w:r w:rsidRPr="00194A38">
        <w:rPr>
          <w:rStyle w:val="FootnoteReference"/>
          <w:rFonts w:ascii="Verdana" w:hAnsi="Verdana"/>
          <w:szCs w:val="16"/>
        </w:rPr>
        <w:footnoteRef/>
      </w:r>
      <w:r w:rsidRPr="00194A38">
        <w:rPr>
          <w:rFonts w:ascii="Verdana" w:hAnsi="Verdana"/>
          <w:szCs w:val="16"/>
          <w:lang w:val="en-US"/>
        </w:rPr>
        <w:t xml:space="preserve"> Eurogroup statement on the future of the Banking Union of 16 June 2022. </w:t>
      </w:r>
    </w:p>
  </w:footnote>
  <w:footnote w:id="27">
    <w:p w14:paraId="30806595" w14:textId="3BC27171" w:rsidR="00194A38" w:rsidRPr="00111B4E" w:rsidRDefault="00194A38">
      <w:pPr>
        <w:pStyle w:val="FootnoteText"/>
        <w:rPr>
          <w:lang w:val="en-US"/>
        </w:rPr>
      </w:pPr>
      <w:r w:rsidRPr="00111B4E">
        <w:rPr>
          <w:rStyle w:val="FootnoteReference"/>
          <w:rFonts w:ascii="Verdana" w:hAnsi="Verdana"/>
        </w:rPr>
        <w:footnoteRef/>
      </w:r>
      <w:r w:rsidRPr="00111B4E">
        <w:rPr>
          <w:rFonts w:ascii="Verdana" w:hAnsi="Verdana"/>
          <w:lang w:val="en-US"/>
        </w:rPr>
        <w:t xml:space="preserve"> European Council Conclusions, 20 </w:t>
      </w:r>
      <w:r w:rsidR="007E64D7" w:rsidRPr="00111B4E">
        <w:rPr>
          <w:rFonts w:ascii="Verdana" w:hAnsi="Verdana"/>
          <w:lang w:val="en-US"/>
        </w:rPr>
        <w:t>March</w:t>
      </w:r>
      <w:r w:rsidRPr="00111B4E">
        <w:rPr>
          <w:rFonts w:ascii="Verdana" w:hAnsi="Verdana"/>
          <w:lang w:val="en-US"/>
        </w:rPr>
        <w:t xml:space="preserv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E50A2"/>
    <w:multiLevelType w:val="hybridMultilevel"/>
    <w:tmpl w:val="600E675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B6445D7"/>
    <w:multiLevelType w:val="hybridMultilevel"/>
    <w:tmpl w:val="1BA2856A"/>
    <w:lvl w:ilvl="0" w:tplc="9FB43B66">
      <w:start w:val="1"/>
      <w:numFmt w:val="bullet"/>
      <w:lvlText w:val=""/>
      <w:lvlJc w:val="left"/>
      <w:pPr>
        <w:ind w:left="720" w:hanging="360"/>
      </w:pPr>
      <w:rPr>
        <w:rFonts w:ascii="Symbol" w:hAnsi="Symbol"/>
      </w:rPr>
    </w:lvl>
    <w:lvl w:ilvl="1" w:tplc="3F2E3B54">
      <w:start w:val="1"/>
      <w:numFmt w:val="bullet"/>
      <w:lvlText w:val=""/>
      <w:lvlJc w:val="left"/>
      <w:pPr>
        <w:ind w:left="720" w:hanging="360"/>
      </w:pPr>
      <w:rPr>
        <w:rFonts w:ascii="Symbol" w:hAnsi="Symbol"/>
      </w:rPr>
    </w:lvl>
    <w:lvl w:ilvl="2" w:tplc="66508760">
      <w:start w:val="1"/>
      <w:numFmt w:val="bullet"/>
      <w:lvlText w:val=""/>
      <w:lvlJc w:val="left"/>
      <w:pPr>
        <w:ind w:left="720" w:hanging="360"/>
      </w:pPr>
      <w:rPr>
        <w:rFonts w:ascii="Symbol" w:hAnsi="Symbol"/>
      </w:rPr>
    </w:lvl>
    <w:lvl w:ilvl="3" w:tplc="E4B8F420">
      <w:start w:val="1"/>
      <w:numFmt w:val="bullet"/>
      <w:lvlText w:val=""/>
      <w:lvlJc w:val="left"/>
      <w:pPr>
        <w:ind w:left="720" w:hanging="360"/>
      </w:pPr>
      <w:rPr>
        <w:rFonts w:ascii="Symbol" w:hAnsi="Symbol"/>
      </w:rPr>
    </w:lvl>
    <w:lvl w:ilvl="4" w:tplc="153AD2D2">
      <w:start w:val="1"/>
      <w:numFmt w:val="bullet"/>
      <w:lvlText w:val=""/>
      <w:lvlJc w:val="left"/>
      <w:pPr>
        <w:ind w:left="720" w:hanging="360"/>
      </w:pPr>
      <w:rPr>
        <w:rFonts w:ascii="Symbol" w:hAnsi="Symbol"/>
      </w:rPr>
    </w:lvl>
    <w:lvl w:ilvl="5" w:tplc="5A7CB848">
      <w:start w:val="1"/>
      <w:numFmt w:val="bullet"/>
      <w:lvlText w:val=""/>
      <w:lvlJc w:val="left"/>
      <w:pPr>
        <w:ind w:left="720" w:hanging="360"/>
      </w:pPr>
      <w:rPr>
        <w:rFonts w:ascii="Symbol" w:hAnsi="Symbol"/>
      </w:rPr>
    </w:lvl>
    <w:lvl w:ilvl="6" w:tplc="4FF60890">
      <w:start w:val="1"/>
      <w:numFmt w:val="bullet"/>
      <w:lvlText w:val=""/>
      <w:lvlJc w:val="left"/>
      <w:pPr>
        <w:ind w:left="720" w:hanging="360"/>
      </w:pPr>
      <w:rPr>
        <w:rFonts w:ascii="Symbol" w:hAnsi="Symbol"/>
      </w:rPr>
    </w:lvl>
    <w:lvl w:ilvl="7" w:tplc="B64E6C60">
      <w:start w:val="1"/>
      <w:numFmt w:val="bullet"/>
      <w:lvlText w:val=""/>
      <w:lvlJc w:val="left"/>
      <w:pPr>
        <w:ind w:left="720" w:hanging="360"/>
      </w:pPr>
      <w:rPr>
        <w:rFonts w:ascii="Symbol" w:hAnsi="Symbol"/>
      </w:rPr>
    </w:lvl>
    <w:lvl w:ilvl="8" w:tplc="29AC0D00">
      <w:start w:val="1"/>
      <w:numFmt w:val="bullet"/>
      <w:lvlText w:val=""/>
      <w:lvlJc w:val="left"/>
      <w:pPr>
        <w:ind w:left="720" w:hanging="360"/>
      </w:pPr>
      <w:rPr>
        <w:rFonts w:ascii="Symbol" w:hAnsi="Symbol"/>
      </w:rPr>
    </w:lvl>
  </w:abstractNum>
  <w:abstractNum w:abstractNumId="3"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494E04F2"/>
    <w:multiLevelType w:val="multilevel"/>
    <w:tmpl w:val="570CC336"/>
    <w:lvl w:ilvl="0">
      <w:start w:val="1"/>
      <w:numFmt w:val="decimal"/>
      <w:pStyle w:val="Heading1"/>
      <w:lvlText w:val="%1"/>
      <w:lvlJc w:val="left"/>
      <w:pPr>
        <w:tabs>
          <w:tab w:val="num" w:pos="454"/>
        </w:tabs>
        <w:ind w:left="454" w:hanging="454"/>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upperRoman"/>
      <w:lvlText w:val="%9"/>
      <w:lvlJc w:val="left"/>
      <w:pPr>
        <w:tabs>
          <w:tab w:val="num" w:pos="1584"/>
        </w:tabs>
        <w:ind w:left="1584" w:hanging="1584"/>
      </w:pPr>
    </w:lvl>
  </w:abstractNum>
  <w:abstractNum w:abstractNumId="7" w15:restartNumberingAfterBreak="0">
    <w:nsid w:val="4A294B46"/>
    <w:multiLevelType w:val="hybridMultilevel"/>
    <w:tmpl w:val="E4F63D3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FE364F6"/>
    <w:multiLevelType w:val="hybridMultilevel"/>
    <w:tmpl w:val="DFD46E2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6051B76"/>
    <w:multiLevelType w:val="hybridMultilevel"/>
    <w:tmpl w:val="92F43CEE"/>
    <w:lvl w:ilvl="0" w:tplc="C4CEC464">
      <w:start w:val="1"/>
      <w:numFmt w:val="lowerLetter"/>
      <w:lvlText w:val="%1)"/>
      <w:lvlJc w:val="left"/>
      <w:pPr>
        <w:ind w:left="360" w:hanging="360"/>
      </w:pPr>
      <w:rPr>
        <w:i/>
        <w:i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682658395">
    <w:abstractNumId w:val="6"/>
  </w:num>
  <w:num w:numId="2" w16cid:durableId="1041587516">
    <w:abstractNumId w:val="1"/>
  </w:num>
  <w:num w:numId="3" w16cid:durableId="49966966">
    <w:abstractNumId w:val="10"/>
  </w:num>
  <w:num w:numId="4" w16cid:durableId="1011302627">
    <w:abstractNumId w:val="7"/>
  </w:num>
  <w:num w:numId="5" w16cid:durableId="2012685314">
    <w:abstractNumId w:val="4"/>
  </w:num>
  <w:num w:numId="6" w16cid:durableId="727192086">
    <w:abstractNumId w:val="3"/>
  </w:num>
  <w:num w:numId="7" w16cid:durableId="1346440842">
    <w:abstractNumId w:val="9"/>
  </w:num>
  <w:num w:numId="8" w16cid:durableId="1387602548">
    <w:abstractNumId w:val="5"/>
  </w:num>
  <w:num w:numId="9" w16cid:durableId="1927423782">
    <w:abstractNumId w:val="0"/>
  </w:num>
  <w:num w:numId="10" w16cid:durableId="240985863">
    <w:abstractNumId w:val="8"/>
  </w:num>
  <w:num w:numId="11" w16cid:durableId="16582686">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2B"/>
    <w:rsid w:val="00002F4B"/>
    <w:rsid w:val="000038CA"/>
    <w:rsid w:val="000038CD"/>
    <w:rsid w:val="00004D0F"/>
    <w:rsid w:val="00007492"/>
    <w:rsid w:val="000109B3"/>
    <w:rsid w:val="000128E9"/>
    <w:rsid w:val="00013F95"/>
    <w:rsid w:val="00014201"/>
    <w:rsid w:val="00016D97"/>
    <w:rsid w:val="00021406"/>
    <w:rsid w:val="000250E9"/>
    <w:rsid w:val="00032D63"/>
    <w:rsid w:val="00041294"/>
    <w:rsid w:val="0005427D"/>
    <w:rsid w:val="00056335"/>
    <w:rsid w:val="00056886"/>
    <w:rsid w:val="0005716C"/>
    <w:rsid w:val="0005795F"/>
    <w:rsid w:val="000613FF"/>
    <w:rsid w:val="00072BDD"/>
    <w:rsid w:val="00074502"/>
    <w:rsid w:val="00076408"/>
    <w:rsid w:val="00076EDE"/>
    <w:rsid w:val="00076FB9"/>
    <w:rsid w:val="00077097"/>
    <w:rsid w:val="0008185E"/>
    <w:rsid w:val="000835B9"/>
    <w:rsid w:val="0008628A"/>
    <w:rsid w:val="00090277"/>
    <w:rsid w:val="0009325D"/>
    <w:rsid w:val="00093526"/>
    <w:rsid w:val="000A1B49"/>
    <w:rsid w:val="000A39A4"/>
    <w:rsid w:val="000B0075"/>
    <w:rsid w:val="000B56BF"/>
    <w:rsid w:val="000B62E6"/>
    <w:rsid w:val="000B76FB"/>
    <w:rsid w:val="000B7FAC"/>
    <w:rsid w:val="000C4244"/>
    <w:rsid w:val="000D2467"/>
    <w:rsid w:val="000D4EC2"/>
    <w:rsid w:val="000D58A3"/>
    <w:rsid w:val="000D755F"/>
    <w:rsid w:val="000E003E"/>
    <w:rsid w:val="000E1F75"/>
    <w:rsid w:val="00100402"/>
    <w:rsid w:val="00101ADE"/>
    <w:rsid w:val="0011189C"/>
    <w:rsid w:val="001118F5"/>
    <w:rsid w:val="00111B4E"/>
    <w:rsid w:val="00122AC0"/>
    <w:rsid w:val="001233C3"/>
    <w:rsid w:val="001234FC"/>
    <w:rsid w:val="00125A1D"/>
    <w:rsid w:val="00125CAB"/>
    <w:rsid w:val="0012741C"/>
    <w:rsid w:val="001408B4"/>
    <w:rsid w:val="001436E3"/>
    <w:rsid w:val="001503C7"/>
    <w:rsid w:val="00157C6B"/>
    <w:rsid w:val="00171B1F"/>
    <w:rsid w:val="00172364"/>
    <w:rsid w:val="00175B16"/>
    <w:rsid w:val="0018227F"/>
    <w:rsid w:val="00182504"/>
    <w:rsid w:val="00185202"/>
    <w:rsid w:val="00187974"/>
    <w:rsid w:val="00194A38"/>
    <w:rsid w:val="001A064A"/>
    <w:rsid w:val="001A1205"/>
    <w:rsid w:val="001B6E02"/>
    <w:rsid w:val="001C1960"/>
    <w:rsid w:val="001D76DE"/>
    <w:rsid w:val="001E223B"/>
    <w:rsid w:val="001E554D"/>
    <w:rsid w:val="001E7161"/>
    <w:rsid w:val="001E727D"/>
    <w:rsid w:val="001F1282"/>
    <w:rsid w:val="001F3235"/>
    <w:rsid w:val="0021370B"/>
    <w:rsid w:val="00214630"/>
    <w:rsid w:val="0021593A"/>
    <w:rsid w:val="0022037D"/>
    <w:rsid w:val="002205B1"/>
    <w:rsid w:val="00221D99"/>
    <w:rsid w:val="00226699"/>
    <w:rsid w:val="00230E56"/>
    <w:rsid w:val="002344B9"/>
    <w:rsid w:val="00237D41"/>
    <w:rsid w:val="0024244D"/>
    <w:rsid w:val="00244C3A"/>
    <w:rsid w:val="0024729B"/>
    <w:rsid w:val="002479B3"/>
    <w:rsid w:val="0025037B"/>
    <w:rsid w:val="00251F90"/>
    <w:rsid w:val="0025363F"/>
    <w:rsid w:val="00257561"/>
    <w:rsid w:val="002576C9"/>
    <w:rsid w:val="002677A8"/>
    <w:rsid w:val="00275424"/>
    <w:rsid w:val="00276601"/>
    <w:rsid w:val="00276824"/>
    <w:rsid w:val="00276A4B"/>
    <w:rsid w:val="0028384B"/>
    <w:rsid w:val="00285E30"/>
    <w:rsid w:val="0028660D"/>
    <w:rsid w:val="00293584"/>
    <w:rsid w:val="002A5CCB"/>
    <w:rsid w:val="002A63BD"/>
    <w:rsid w:val="002B0496"/>
    <w:rsid w:val="002B76EC"/>
    <w:rsid w:val="002B79CE"/>
    <w:rsid w:val="002C3954"/>
    <w:rsid w:val="002C4DA9"/>
    <w:rsid w:val="002C7E3E"/>
    <w:rsid w:val="002D0792"/>
    <w:rsid w:val="002D0844"/>
    <w:rsid w:val="002D1417"/>
    <w:rsid w:val="002D1987"/>
    <w:rsid w:val="002D69A5"/>
    <w:rsid w:val="002D76C4"/>
    <w:rsid w:val="002E2748"/>
    <w:rsid w:val="002E28D1"/>
    <w:rsid w:val="002E5174"/>
    <w:rsid w:val="002F2E18"/>
    <w:rsid w:val="002F38E5"/>
    <w:rsid w:val="002F69BB"/>
    <w:rsid w:val="002F7EE8"/>
    <w:rsid w:val="00301829"/>
    <w:rsid w:val="00307CB8"/>
    <w:rsid w:val="00313255"/>
    <w:rsid w:val="00321DE4"/>
    <w:rsid w:val="00330FE7"/>
    <w:rsid w:val="00331AE3"/>
    <w:rsid w:val="00340F61"/>
    <w:rsid w:val="00343990"/>
    <w:rsid w:val="00344D7F"/>
    <w:rsid w:val="00370F90"/>
    <w:rsid w:val="00371366"/>
    <w:rsid w:val="003724F9"/>
    <w:rsid w:val="0037251D"/>
    <w:rsid w:val="003758FE"/>
    <w:rsid w:val="0037596E"/>
    <w:rsid w:val="00377785"/>
    <w:rsid w:val="00387311"/>
    <w:rsid w:val="0039280C"/>
    <w:rsid w:val="003936BB"/>
    <w:rsid w:val="003B0DD6"/>
    <w:rsid w:val="003C445E"/>
    <w:rsid w:val="003C7901"/>
    <w:rsid w:val="003E246B"/>
    <w:rsid w:val="003E74A0"/>
    <w:rsid w:val="003F0C69"/>
    <w:rsid w:val="003F2CBD"/>
    <w:rsid w:val="003F3576"/>
    <w:rsid w:val="003F5390"/>
    <w:rsid w:val="00422709"/>
    <w:rsid w:val="004244E0"/>
    <w:rsid w:val="0043314C"/>
    <w:rsid w:val="00433E5F"/>
    <w:rsid w:val="00434118"/>
    <w:rsid w:val="0044334A"/>
    <w:rsid w:val="00444DB0"/>
    <w:rsid w:val="00445D5B"/>
    <w:rsid w:val="00447C7A"/>
    <w:rsid w:val="00453CA4"/>
    <w:rsid w:val="00454893"/>
    <w:rsid w:val="004568D9"/>
    <w:rsid w:val="00456A8E"/>
    <w:rsid w:val="004601D9"/>
    <w:rsid w:val="00462906"/>
    <w:rsid w:val="004644C6"/>
    <w:rsid w:val="0047395E"/>
    <w:rsid w:val="00482129"/>
    <w:rsid w:val="00483C06"/>
    <w:rsid w:val="00491CAA"/>
    <w:rsid w:val="00492D2E"/>
    <w:rsid w:val="004A1CF5"/>
    <w:rsid w:val="004A5272"/>
    <w:rsid w:val="004A69DA"/>
    <w:rsid w:val="004B2FC1"/>
    <w:rsid w:val="004B50C4"/>
    <w:rsid w:val="004C14AF"/>
    <w:rsid w:val="004D1E67"/>
    <w:rsid w:val="004D1EEF"/>
    <w:rsid w:val="004D4D5C"/>
    <w:rsid w:val="004D7095"/>
    <w:rsid w:val="004E100F"/>
    <w:rsid w:val="004F2A8C"/>
    <w:rsid w:val="005104C9"/>
    <w:rsid w:val="00514FCE"/>
    <w:rsid w:val="00515EDB"/>
    <w:rsid w:val="005176AB"/>
    <w:rsid w:val="00522003"/>
    <w:rsid w:val="00524229"/>
    <w:rsid w:val="0052497F"/>
    <w:rsid w:val="00524BA9"/>
    <w:rsid w:val="00527EED"/>
    <w:rsid w:val="00527FBD"/>
    <w:rsid w:val="00532830"/>
    <w:rsid w:val="005402FF"/>
    <w:rsid w:val="00543E94"/>
    <w:rsid w:val="00555A9B"/>
    <w:rsid w:val="00557E35"/>
    <w:rsid w:val="00563002"/>
    <w:rsid w:val="00575309"/>
    <w:rsid w:val="005818DA"/>
    <w:rsid w:val="00585BBE"/>
    <w:rsid w:val="00586C3C"/>
    <w:rsid w:val="00586CEF"/>
    <w:rsid w:val="0059044A"/>
    <w:rsid w:val="00592539"/>
    <w:rsid w:val="0059310C"/>
    <w:rsid w:val="0059539B"/>
    <w:rsid w:val="005A3E8A"/>
    <w:rsid w:val="005B0C23"/>
    <w:rsid w:val="005B21E5"/>
    <w:rsid w:val="005C1A74"/>
    <w:rsid w:val="005C6340"/>
    <w:rsid w:val="005C6D16"/>
    <w:rsid w:val="005C78A8"/>
    <w:rsid w:val="005D0890"/>
    <w:rsid w:val="005D3FAC"/>
    <w:rsid w:val="005D4191"/>
    <w:rsid w:val="005D4DB0"/>
    <w:rsid w:val="005E260E"/>
    <w:rsid w:val="005E3C82"/>
    <w:rsid w:val="005E3CCE"/>
    <w:rsid w:val="006012D0"/>
    <w:rsid w:val="006020F0"/>
    <w:rsid w:val="0060290D"/>
    <w:rsid w:val="00604C95"/>
    <w:rsid w:val="0061280E"/>
    <w:rsid w:val="00641260"/>
    <w:rsid w:val="00644F2F"/>
    <w:rsid w:val="0064605B"/>
    <w:rsid w:val="00655089"/>
    <w:rsid w:val="00661C47"/>
    <w:rsid w:val="00665860"/>
    <w:rsid w:val="00671A44"/>
    <w:rsid w:val="006750DC"/>
    <w:rsid w:val="006819A2"/>
    <w:rsid w:val="00690430"/>
    <w:rsid w:val="00692037"/>
    <w:rsid w:val="0069632E"/>
    <w:rsid w:val="0069641C"/>
    <w:rsid w:val="006A33D9"/>
    <w:rsid w:val="006A39A8"/>
    <w:rsid w:val="006B1088"/>
    <w:rsid w:val="006B26E5"/>
    <w:rsid w:val="006C185D"/>
    <w:rsid w:val="006C4AA5"/>
    <w:rsid w:val="006C6384"/>
    <w:rsid w:val="006C7009"/>
    <w:rsid w:val="006C79F1"/>
    <w:rsid w:val="006D4ECA"/>
    <w:rsid w:val="006D62AE"/>
    <w:rsid w:val="006D648E"/>
    <w:rsid w:val="006E0ABC"/>
    <w:rsid w:val="006E27F2"/>
    <w:rsid w:val="006E5138"/>
    <w:rsid w:val="006E69AE"/>
    <w:rsid w:val="006E6E7D"/>
    <w:rsid w:val="006E789C"/>
    <w:rsid w:val="00704D44"/>
    <w:rsid w:val="00706E7B"/>
    <w:rsid w:val="00707C49"/>
    <w:rsid w:val="0071092B"/>
    <w:rsid w:val="007143B5"/>
    <w:rsid w:val="00735FCC"/>
    <w:rsid w:val="0074124B"/>
    <w:rsid w:val="00743F51"/>
    <w:rsid w:val="007441B5"/>
    <w:rsid w:val="00750D1F"/>
    <w:rsid w:val="007523C4"/>
    <w:rsid w:val="0075428A"/>
    <w:rsid w:val="00772226"/>
    <w:rsid w:val="00774FCF"/>
    <w:rsid w:val="00782285"/>
    <w:rsid w:val="00783FAD"/>
    <w:rsid w:val="00785680"/>
    <w:rsid w:val="00785A80"/>
    <w:rsid w:val="00795DA7"/>
    <w:rsid w:val="00796FD8"/>
    <w:rsid w:val="007A0D66"/>
    <w:rsid w:val="007A0FD9"/>
    <w:rsid w:val="007B1218"/>
    <w:rsid w:val="007B2118"/>
    <w:rsid w:val="007B55BE"/>
    <w:rsid w:val="007B58B6"/>
    <w:rsid w:val="007B66D0"/>
    <w:rsid w:val="007B7D36"/>
    <w:rsid w:val="007C2C46"/>
    <w:rsid w:val="007D269A"/>
    <w:rsid w:val="007D2F8F"/>
    <w:rsid w:val="007D3746"/>
    <w:rsid w:val="007D6EDE"/>
    <w:rsid w:val="007E0CD8"/>
    <w:rsid w:val="007E1134"/>
    <w:rsid w:val="007E3B33"/>
    <w:rsid w:val="007E64D7"/>
    <w:rsid w:val="007E7982"/>
    <w:rsid w:val="007F0621"/>
    <w:rsid w:val="007F2D80"/>
    <w:rsid w:val="007F6038"/>
    <w:rsid w:val="0080060F"/>
    <w:rsid w:val="00803CEF"/>
    <w:rsid w:val="00806A36"/>
    <w:rsid w:val="00814D40"/>
    <w:rsid w:val="00823234"/>
    <w:rsid w:val="00825BE4"/>
    <w:rsid w:val="00831100"/>
    <w:rsid w:val="00833E75"/>
    <w:rsid w:val="00837372"/>
    <w:rsid w:val="008471EB"/>
    <w:rsid w:val="0085004D"/>
    <w:rsid w:val="00851006"/>
    <w:rsid w:val="0085361E"/>
    <w:rsid w:val="00857CA6"/>
    <w:rsid w:val="00863A33"/>
    <w:rsid w:val="00872DFB"/>
    <w:rsid w:val="00880CBF"/>
    <w:rsid w:val="0088205C"/>
    <w:rsid w:val="008860BB"/>
    <w:rsid w:val="008902B2"/>
    <w:rsid w:val="00894854"/>
    <w:rsid w:val="00897D7E"/>
    <w:rsid w:val="008A7F7D"/>
    <w:rsid w:val="008C0BCF"/>
    <w:rsid w:val="008C1E1C"/>
    <w:rsid w:val="008D1D50"/>
    <w:rsid w:val="008E04FA"/>
    <w:rsid w:val="008E1384"/>
    <w:rsid w:val="008E166C"/>
    <w:rsid w:val="008E2FC7"/>
    <w:rsid w:val="008E6C43"/>
    <w:rsid w:val="008F63A0"/>
    <w:rsid w:val="009028BB"/>
    <w:rsid w:val="0090415B"/>
    <w:rsid w:val="00914F70"/>
    <w:rsid w:val="0093315A"/>
    <w:rsid w:val="009352DE"/>
    <w:rsid w:val="00945A6A"/>
    <w:rsid w:val="009502E1"/>
    <w:rsid w:val="00952489"/>
    <w:rsid w:val="00953EBA"/>
    <w:rsid w:val="00960AB1"/>
    <w:rsid w:val="00960AEF"/>
    <w:rsid w:val="00960DF6"/>
    <w:rsid w:val="00961F72"/>
    <w:rsid w:val="009628DD"/>
    <w:rsid w:val="00962EB3"/>
    <w:rsid w:val="00967180"/>
    <w:rsid w:val="0097520B"/>
    <w:rsid w:val="00983188"/>
    <w:rsid w:val="00983490"/>
    <w:rsid w:val="00984C9D"/>
    <w:rsid w:val="00992F8E"/>
    <w:rsid w:val="00993A0D"/>
    <w:rsid w:val="009A3B1D"/>
    <w:rsid w:val="009B2A6B"/>
    <w:rsid w:val="009B4D0D"/>
    <w:rsid w:val="009C26F0"/>
    <w:rsid w:val="009C3908"/>
    <w:rsid w:val="009C6827"/>
    <w:rsid w:val="009D1806"/>
    <w:rsid w:val="009D562D"/>
    <w:rsid w:val="009D5AB9"/>
    <w:rsid w:val="009D6C1E"/>
    <w:rsid w:val="009E01DC"/>
    <w:rsid w:val="009E47E4"/>
    <w:rsid w:val="00A02154"/>
    <w:rsid w:val="00A03A16"/>
    <w:rsid w:val="00A10600"/>
    <w:rsid w:val="00A11999"/>
    <w:rsid w:val="00A15B58"/>
    <w:rsid w:val="00A170AB"/>
    <w:rsid w:val="00A20459"/>
    <w:rsid w:val="00A211EA"/>
    <w:rsid w:val="00A2190C"/>
    <w:rsid w:val="00A26F58"/>
    <w:rsid w:val="00A27557"/>
    <w:rsid w:val="00A27B31"/>
    <w:rsid w:val="00A36D28"/>
    <w:rsid w:val="00A37EF9"/>
    <w:rsid w:val="00A4016E"/>
    <w:rsid w:val="00A417A0"/>
    <w:rsid w:val="00A42AE2"/>
    <w:rsid w:val="00A45391"/>
    <w:rsid w:val="00A46EDB"/>
    <w:rsid w:val="00A62667"/>
    <w:rsid w:val="00A63004"/>
    <w:rsid w:val="00A67263"/>
    <w:rsid w:val="00A675E9"/>
    <w:rsid w:val="00A713FD"/>
    <w:rsid w:val="00A75218"/>
    <w:rsid w:val="00A7673F"/>
    <w:rsid w:val="00A76A6F"/>
    <w:rsid w:val="00A82AA0"/>
    <w:rsid w:val="00A84AE4"/>
    <w:rsid w:val="00A878D2"/>
    <w:rsid w:val="00A93EAD"/>
    <w:rsid w:val="00AA34A7"/>
    <w:rsid w:val="00AB0595"/>
    <w:rsid w:val="00AB2C64"/>
    <w:rsid w:val="00AB496D"/>
    <w:rsid w:val="00AB6C5D"/>
    <w:rsid w:val="00AC1283"/>
    <w:rsid w:val="00AC273D"/>
    <w:rsid w:val="00AC2A96"/>
    <w:rsid w:val="00AC78E7"/>
    <w:rsid w:val="00AD16B4"/>
    <w:rsid w:val="00AD1CD7"/>
    <w:rsid w:val="00AD6418"/>
    <w:rsid w:val="00AE23FF"/>
    <w:rsid w:val="00AE59A9"/>
    <w:rsid w:val="00AE63EB"/>
    <w:rsid w:val="00AE735B"/>
    <w:rsid w:val="00AF24A7"/>
    <w:rsid w:val="00AF331D"/>
    <w:rsid w:val="00B0101C"/>
    <w:rsid w:val="00B01822"/>
    <w:rsid w:val="00B0416C"/>
    <w:rsid w:val="00B0475A"/>
    <w:rsid w:val="00B07270"/>
    <w:rsid w:val="00B1491D"/>
    <w:rsid w:val="00B14D7A"/>
    <w:rsid w:val="00B202B0"/>
    <w:rsid w:val="00B24990"/>
    <w:rsid w:val="00B26CFD"/>
    <w:rsid w:val="00B27A3E"/>
    <w:rsid w:val="00B328F3"/>
    <w:rsid w:val="00B33886"/>
    <w:rsid w:val="00B42D5E"/>
    <w:rsid w:val="00B46638"/>
    <w:rsid w:val="00B538E7"/>
    <w:rsid w:val="00B563F5"/>
    <w:rsid w:val="00B65998"/>
    <w:rsid w:val="00B66A52"/>
    <w:rsid w:val="00B819C2"/>
    <w:rsid w:val="00B879A4"/>
    <w:rsid w:val="00B91185"/>
    <w:rsid w:val="00B9558C"/>
    <w:rsid w:val="00BA46AB"/>
    <w:rsid w:val="00BA4A3D"/>
    <w:rsid w:val="00BA5079"/>
    <w:rsid w:val="00BB0A9D"/>
    <w:rsid w:val="00BB190B"/>
    <w:rsid w:val="00BB709E"/>
    <w:rsid w:val="00BC20A7"/>
    <w:rsid w:val="00BC2368"/>
    <w:rsid w:val="00BC3894"/>
    <w:rsid w:val="00BC3BA9"/>
    <w:rsid w:val="00BD6446"/>
    <w:rsid w:val="00BE1B43"/>
    <w:rsid w:val="00BE276D"/>
    <w:rsid w:val="00BE290B"/>
    <w:rsid w:val="00BE3CA0"/>
    <w:rsid w:val="00BF4C60"/>
    <w:rsid w:val="00BF6838"/>
    <w:rsid w:val="00C0005D"/>
    <w:rsid w:val="00C07BA4"/>
    <w:rsid w:val="00C222CC"/>
    <w:rsid w:val="00C25A0E"/>
    <w:rsid w:val="00C31DFE"/>
    <w:rsid w:val="00C32971"/>
    <w:rsid w:val="00C32E3C"/>
    <w:rsid w:val="00C3361E"/>
    <w:rsid w:val="00C33984"/>
    <w:rsid w:val="00C36F40"/>
    <w:rsid w:val="00C37BEA"/>
    <w:rsid w:val="00C41EE1"/>
    <w:rsid w:val="00C47BAF"/>
    <w:rsid w:val="00C55341"/>
    <w:rsid w:val="00C56474"/>
    <w:rsid w:val="00C61B4D"/>
    <w:rsid w:val="00C629C3"/>
    <w:rsid w:val="00C6475F"/>
    <w:rsid w:val="00C66BFF"/>
    <w:rsid w:val="00C67988"/>
    <w:rsid w:val="00C7472E"/>
    <w:rsid w:val="00C74B33"/>
    <w:rsid w:val="00C81731"/>
    <w:rsid w:val="00C81ECA"/>
    <w:rsid w:val="00C82C7F"/>
    <w:rsid w:val="00C83A06"/>
    <w:rsid w:val="00C8473B"/>
    <w:rsid w:val="00C85F76"/>
    <w:rsid w:val="00C95B91"/>
    <w:rsid w:val="00CA5AF2"/>
    <w:rsid w:val="00CA624D"/>
    <w:rsid w:val="00CB1315"/>
    <w:rsid w:val="00CB42BA"/>
    <w:rsid w:val="00CB7FF8"/>
    <w:rsid w:val="00CC05D6"/>
    <w:rsid w:val="00CC105B"/>
    <w:rsid w:val="00CC4E31"/>
    <w:rsid w:val="00CC6BB5"/>
    <w:rsid w:val="00CD2544"/>
    <w:rsid w:val="00CD625D"/>
    <w:rsid w:val="00CE0151"/>
    <w:rsid w:val="00CE72F7"/>
    <w:rsid w:val="00CF0AD5"/>
    <w:rsid w:val="00CF196C"/>
    <w:rsid w:val="00CF1C49"/>
    <w:rsid w:val="00CF4814"/>
    <w:rsid w:val="00CF5BEC"/>
    <w:rsid w:val="00D01B08"/>
    <w:rsid w:val="00D11738"/>
    <w:rsid w:val="00D212B0"/>
    <w:rsid w:val="00D40002"/>
    <w:rsid w:val="00D47904"/>
    <w:rsid w:val="00D50183"/>
    <w:rsid w:val="00D57297"/>
    <w:rsid w:val="00D649F1"/>
    <w:rsid w:val="00D723B7"/>
    <w:rsid w:val="00D737DB"/>
    <w:rsid w:val="00D7580E"/>
    <w:rsid w:val="00D85808"/>
    <w:rsid w:val="00D867A7"/>
    <w:rsid w:val="00D87BF8"/>
    <w:rsid w:val="00D92EB5"/>
    <w:rsid w:val="00D97CA9"/>
    <w:rsid w:val="00DA1708"/>
    <w:rsid w:val="00DA19A2"/>
    <w:rsid w:val="00DA40A6"/>
    <w:rsid w:val="00DB0142"/>
    <w:rsid w:val="00DD096F"/>
    <w:rsid w:val="00DD2E8E"/>
    <w:rsid w:val="00DD2F16"/>
    <w:rsid w:val="00DD3D46"/>
    <w:rsid w:val="00DE2E42"/>
    <w:rsid w:val="00DE5802"/>
    <w:rsid w:val="00DE60C8"/>
    <w:rsid w:val="00DE649F"/>
    <w:rsid w:val="00DE7049"/>
    <w:rsid w:val="00DF2455"/>
    <w:rsid w:val="00DF389E"/>
    <w:rsid w:val="00DF4FD8"/>
    <w:rsid w:val="00DF6A93"/>
    <w:rsid w:val="00E03B5F"/>
    <w:rsid w:val="00E101FB"/>
    <w:rsid w:val="00E10DE6"/>
    <w:rsid w:val="00E14189"/>
    <w:rsid w:val="00E155E8"/>
    <w:rsid w:val="00E17D6F"/>
    <w:rsid w:val="00E23233"/>
    <w:rsid w:val="00E23C3A"/>
    <w:rsid w:val="00E24AD5"/>
    <w:rsid w:val="00E26089"/>
    <w:rsid w:val="00E263D5"/>
    <w:rsid w:val="00E3509E"/>
    <w:rsid w:val="00E35C52"/>
    <w:rsid w:val="00E36C8E"/>
    <w:rsid w:val="00E37048"/>
    <w:rsid w:val="00E40E97"/>
    <w:rsid w:val="00E4222D"/>
    <w:rsid w:val="00E50A49"/>
    <w:rsid w:val="00E539A8"/>
    <w:rsid w:val="00E56199"/>
    <w:rsid w:val="00E614B5"/>
    <w:rsid w:val="00E63A56"/>
    <w:rsid w:val="00E67E8B"/>
    <w:rsid w:val="00E7417D"/>
    <w:rsid w:val="00E83E15"/>
    <w:rsid w:val="00E87717"/>
    <w:rsid w:val="00E91D47"/>
    <w:rsid w:val="00E93959"/>
    <w:rsid w:val="00E95688"/>
    <w:rsid w:val="00E97C85"/>
    <w:rsid w:val="00EA6FCE"/>
    <w:rsid w:val="00EB6AFC"/>
    <w:rsid w:val="00EB6FD3"/>
    <w:rsid w:val="00EB777D"/>
    <w:rsid w:val="00EC54F7"/>
    <w:rsid w:val="00EC7C26"/>
    <w:rsid w:val="00ED1DD8"/>
    <w:rsid w:val="00ED574F"/>
    <w:rsid w:val="00ED5BAE"/>
    <w:rsid w:val="00ED6942"/>
    <w:rsid w:val="00ED7925"/>
    <w:rsid w:val="00ED7D8D"/>
    <w:rsid w:val="00ED7E61"/>
    <w:rsid w:val="00EE300E"/>
    <w:rsid w:val="00EE3230"/>
    <w:rsid w:val="00EE7993"/>
    <w:rsid w:val="00EF2981"/>
    <w:rsid w:val="00F00095"/>
    <w:rsid w:val="00F04554"/>
    <w:rsid w:val="00F05501"/>
    <w:rsid w:val="00F058F5"/>
    <w:rsid w:val="00F06A24"/>
    <w:rsid w:val="00F1152E"/>
    <w:rsid w:val="00F13387"/>
    <w:rsid w:val="00F14EF5"/>
    <w:rsid w:val="00F162BE"/>
    <w:rsid w:val="00F30C33"/>
    <w:rsid w:val="00F30EC7"/>
    <w:rsid w:val="00F33C1F"/>
    <w:rsid w:val="00F36F08"/>
    <w:rsid w:val="00F431C3"/>
    <w:rsid w:val="00F52E8E"/>
    <w:rsid w:val="00F54064"/>
    <w:rsid w:val="00F55A1B"/>
    <w:rsid w:val="00F57642"/>
    <w:rsid w:val="00F61DC7"/>
    <w:rsid w:val="00F64E57"/>
    <w:rsid w:val="00F723E4"/>
    <w:rsid w:val="00F741C4"/>
    <w:rsid w:val="00F74E07"/>
    <w:rsid w:val="00F802BB"/>
    <w:rsid w:val="00F85D29"/>
    <w:rsid w:val="00F878CF"/>
    <w:rsid w:val="00F936B2"/>
    <w:rsid w:val="00F970DE"/>
    <w:rsid w:val="00FA33FB"/>
    <w:rsid w:val="00FA45D7"/>
    <w:rsid w:val="00FA5B14"/>
    <w:rsid w:val="00FA65F2"/>
    <w:rsid w:val="00FA6CA4"/>
    <w:rsid w:val="00FB1A9E"/>
    <w:rsid w:val="00FB1D33"/>
    <w:rsid w:val="00FB329C"/>
    <w:rsid w:val="00FB58EA"/>
    <w:rsid w:val="00FC0848"/>
    <w:rsid w:val="00FC22C4"/>
    <w:rsid w:val="00FC32AC"/>
    <w:rsid w:val="00FD3491"/>
    <w:rsid w:val="00FE1E1F"/>
    <w:rsid w:val="00FE3530"/>
    <w:rsid w:val="00FE404B"/>
    <w:rsid w:val="00FE451D"/>
    <w:rsid w:val="00FF004B"/>
    <w:rsid w:val="00FF39D4"/>
    <w:rsid w:val="00FF680E"/>
    <w:rsid w:val="58E3DB70"/>
    <w:rsid w:val="7A0974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A328B"/>
  <w15:chartTrackingRefBased/>
  <w15:docId w15:val="{FBAB849C-F450-44DF-AE48-1C9740AC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lang w:eastAsia="zh-CN"/>
    </w:rPr>
  </w:style>
  <w:style w:type="paragraph" w:styleId="Heading1">
    <w:name w:val="heading 1"/>
    <w:basedOn w:val="Normal"/>
    <w:next w:val="Normal"/>
    <w:qFormat/>
    <w:pPr>
      <w:keepNext/>
      <w:numPr>
        <w:numId w:val="1"/>
      </w:numPr>
      <w:tabs>
        <w:tab w:val="left" w:pos="0"/>
      </w:tabs>
      <w:spacing w:before="240" w:after="60"/>
      <w:outlineLvl w:val="0"/>
    </w:pPr>
    <w:rPr>
      <w:b/>
      <w:kern w:val="28"/>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reekpunten">
    <w:name w:val="Spreekpunten"/>
    <w:basedOn w:val="Normal"/>
    <w:pPr>
      <w:numPr>
        <w:numId w:val="2"/>
      </w:numPr>
      <w:spacing w:line="360" w:lineRule="auto"/>
    </w:pPr>
    <w:rPr>
      <w:bCs/>
      <w:sz w:val="28"/>
      <w:lang w:val="en-GB" w:eastAsia="nl-NL"/>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nl-NL" w:eastAsia="zh-CN" w:bidi="ar-SA"/>
    </w:rPr>
  </w:style>
  <w:style w:type="paragraph" w:styleId="FootnoteText">
    <w:name w:val="footnote text"/>
    <w:basedOn w:val="Normal"/>
    <w:link w:val="FootnoteTextChar"/>
    <w:uiPriority w:val="99"/>
    <w:semiHidden/>
    <w:pPr>
      <w:spacing w:line="240" w:lineRule="atLeast"/>
      <w:ind w:left="1298" w:hanging="1298"/>
    </w:pPr>
    <w:rPr>
      <w:sz w:val="16"/>
    </w:rPr>
  </w:style>
  <w:style w:type="character" w:styleId="FootnoteReference">
    <w:name w:val="footnote reference"/>
    <w:uiPriority w:val="99"/>
    <w:semiHidden/>
    <w:rPr>
      <w:vertAlign w:val="superscript"/>
    </w:rPr>
  </w:style>
  <w:style w:type="paragraph" w:styleId="BodyText">
    <w:name w:val="Body Text"/>
    <w:basedOn w:val="Normal"/>
    <w:pPr>
      <w:spacing w:line="280" w:lineRule="exact"/>
      <w:jc w:val="both"/>
    </w:pPr>
    <w:rPr>
      <w:snapToGrid w:val="0"/>
      <w:lang w:val="en-US" w:eastAsia="en-US"/>
    </w:rPr>
  </w:style>
  <w:style w:type="paragraph" w:styleId="BodyText2">
    <w:name w:val="Body Text 2"/>
    <w:basedOn w:val="Normal"/>
    <w:pPr>
      <w:spacing w:line="240" w:lineRule="auto"/>
      <w:jc w:val="both"/>
    </w:pPr>
    <w:rPr>
      <w:snapToGrid w:val="0"/>
      <w:color w:val="000000"/>
      <w:sz w:val="24"/>
      <w:lang w:eastAsia="nl-NL"/>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536"/>
        <w:tab w:val="right" w:pos="9072"/>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character" w:styleId="Strong">
    <w:name w:val="Strong"/>
    <w:qFormat/>
    <w:rPr>
      <w:b/>
      <w:bCs/>
    </w:rPr>
  </w:style>
  <w:style w:type="paragraph" w:styleId="DocumentMap">
    <w:name w:val="Document Map"/>
    <w:basedOn w:val="Normal"/>
    <w:semiHidden/>
    <w:pPr>
      <w:shd w:val="clear" w:color="auto" w:fill="000080"/>
    </w:pPr>
    <w:rPr>
      <w:rFonts w:ascii="Tahoma" w:hAnsi="Tahoma" w:cs="Tahoma"/>
      <w:sz w:val="20"/>
    </w:rPr>
  </w:style>
  <w:style w:type="character" w:styleId="FollowedHyperlink">
    <w:name w:val="FollowedHyperlink"/>
    <w:rPr>
      <w:color w:val="800080"/>
      <w:u w:val="single"/>
    </w:rPr>
  </w:style>
  <w:style w:type="paragraph" w:styleId="ListParagraph">
    <w:name w:val="List Paragraph"/>
    <w:basedOn w:val="Normal"/>
    <w:uiPriority w:val="34"/>
    <w:qFormat/>
    <w:rsid w:val="00F74E07"/>
    <w:pPr>
      <w:ind w:left="720"/>
    </w:pPr>
  </w:style>
  <w:style w:type="character" w:styleId="UnresolvedMention">
    <w:name w:val="Unresolved Mention"/>
    <w:basedOn w:val="DefaultParagraphFont"/>
    <w:uiPriority w:val="99"/>
    <w:semiHidden/>
    <w:unhideWhenUsed/>
    <w:rsid w:val="00BB0A9D"/>
    <w:rPr>
      <w:color w:val="605E5C"/>
      <w:shd w:val="clear" w:color="auto" w:fill="E1DFDD"/>
    </w:rPr>
  </w:style>
  <w:style w:type="character" w:customStyle="1" w:styleId="FootnoteTextChar">
    <w:name w:val="Footnote Text Char"/>
    <w:basedOn w:val="DefaultParagraphFont"/>
    <w:link w:val="FootnoteText"/>
    <w:uiPriority w:val="99"/>
    <w:semiHidden/>
    <w:rsid w:val="00C33984"/>
    <w:rPr>
      <w:sz w:val="16"/>
      <w:lang w:eastAsia="zh-CN"/>
    </w:rPr>
  </w:style>
  <w:style w:type="paragraph" w:styleId="Revision">
    <w:name w:val="Revision"/>
    <w:hidden/>
    <w:uiPriority w:val="99"/>
    <w:semiHidden/>
    <w:rsid w:val="00C07BA4"/>
    <w:rPr>
      <w:sz w:val="22"/>
      <w:lang w:eastAsia="zh-CN"/>
    </w:rPr>
  </w:style>
  <w:style w:type="paragraph" w:styleId="NormalWeb">
    <w:name w:val="Normal (Web)"/>
    <w:basedOn w:val="Normal"/>
    <w:rsid w:val="007143B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715760">
      <w:bodyDiv w:val="1"/>
      <w:marLeft w:val="0"/>
      <w:marRight w:val="0"/>
      <w:marTop w:val="0"/>
      <w:marBottom w:val="0"/>
      <w:divBdr>
        <w:top w:val="none" w:sz="0" w:space="0" w:color="auto"/>
        <w:left w:val="none" w:sz="0" w:space="0" w:color="auto"/>
        <w:bottom w:val="none" w:sz="0" w:space="0" w:color="auto"/>
        <w:right w:val="none" w:sz="0" w:space="0" w:color="auto"/>
      </w:divBdr>
    </w:div>
    <w:div w:id="456800231">
      <w:bodyDiv w:val="1"/>
      <w:marLeft w:val="0"/>
      <w:marRight w:val="0"/>
      <w:marTop w:val="0"/>
      <w:marBottom w:val="0"/>
      <w:divBdr>
        <w:top w:val="none" w:sz="0" w:space="0" w:color="auto"/>
        <w:left w:val="none" w:sz="0" w:space="0" w:color="auto"/>
        <w:bottom w:val="none" w:sz="0" w:space="0" w:color="auto"/>
        <w:right w:val="none" w:sz="0" w:space="0" w:color="auto"/>
      </w:divBdr>
    </w:div>
    <w:div w:id="563224484">
      <w:bodyDiv w:val="1"/>
      <w:marLeft w:val="0"/>
      <w:marRight w:val="0"/>
      <w:marTop w:val="0"/>
      <w:marBottom w:val="0"/>
      <w:divBdr>
        <w:top w:val="none" w:sz="0" w:space="0" w:color="auto"/>
        <w:left w:val="none" w:sz="0" w:space="0" w:color="auto"/>
        <w:bottom w:val="none" w:sz="0" w:space="0" w:color="auto"/>
        <w:right w:val="none" w:sz="0" w:space="0" w:color="auto"/>
      </w:divBdr>
    </w:div>
    <w:div w:id="682165757">
      <w:bodyDiv w:val="1"/>
      <w:marLeft w:val="0"/>
      <w:marRight w:val="0"/>
      <w:marTop w:val="0"/>
      <w:marBottom w:val="0"/>
      <w:divBdr>
        <w:top w:val="none" w:sz="0" w:space="0" w:color="auto"/>
        <w:left w:val="none" w:sz="0" w:space="0" w:color="auto"/>
        <w:bottom w:val="none" w:sz="0" w:space="0" w:color="auto"/>
        <w:right w:val="none" w:sz="0" w:space="0" w:color="auto"/>
      </w:divBdr>
    </w:div>
    <w:div w:id="786239313">
      <w:bodyDiv w:val="1"/>
      <w:marLeft w:val="0"/>
      <w:marRight w:val="0"/>
      <w:marTop w:val="0"/>
      <w:marBottom w:val="0"/>
      <w:divBdr>
        <w:top w:val="none" w:sz="0" w:space="0" w:color="auto"/>
        <w:left w:val="none" w:sz="0" w:space="0" w:color="auto"/>
        <w:bottom w:val="none" w:sz="0" w:space="0" w:color="auto"/>
        <w:right w:val="none" w:sz="0" w:space="0" w:color="auto"/>
      </w:divBdr>
    </w:div>
    <w:div w:id="908080223">
      <w:bodyDiv w:val="1"/>
      <w:marLeft w:val="0"/>
      <w:marRight w:val="0"/>
      <w:marTop w:val="0"/>
      <w:marBottom w:val="0"/>
      <w:divBdr>
        <w:top w:val="none" w:sz="0" w:space="0" w:color="auto"/>
        <w:left w:val="none" w:sz="0" w:space="0" w:color="auto"/>
        <w:bottom w:val="none" w:sz="0" w:space="0" w:color="auto"/>
        <w:right w:val="none" w:sz="0" w:space="0" w:color="auto"/>
      </w:divBdr>
    </w:div>
    <w:div w:id="925530736">
      <w:bodyDiv w:val="1"/>
      <w:marLeft w:val="0"/>
      <w:marRight w:val="0"/>
      <w:marTop w:val="0"/>
      <w:marBottom w:val="0"/>
      <w:divBdr>
        <w:top w:val="none" w:sz="0" w:space="0" w:color="auto"/>
        <w:left w:val="none" w:sz="0" w:space="0" w:color="auto"/>
        <w:bottom w:val="none" w:sz="0" w:space="0" w:color="auto"/>
        <w:right w:val="none" w:sz="0" w:space="0" w:color="auto"/>
      </w:divBdr>
    </w:div>
    <w:div w:id="1135831837">
      <w:bodyDiv w:val="1"/>
      <w:marLeft w:val="0"/>
      <w:marRight w:val="0"/>
      <w:marTop w:val="0"/>
      <w:marBottom w:val="0"/>
      <w:divBdr>
        <w:top w:val="none" w:sz="0" w:space="0" w:color="auto"/>
        <w:left w:val="none" w:sz="0" w:space="0" w:color="auto"/>
        <w:bottom w:val="none" w:sz="0" w:space="0" w:color="auto"/>
        <w:right w:val="none" w:sz="0" w:space="0" w:color="auto"/>
      </w:divBdr>
    </w:div>
    <w:div w:id="1139883893">
      <w:bodyDiv w:val="1"/>
      <w:marLeft w:val="0"/>
      <w:marRight w:val="0"/>
      <w:marTop w:val="0"/>
      <w:marBottom w:val="0"/>
      <w:divBdr>
        <w:top w:val="none" w:sz="0" w:space="0" w:color="auto"/>
        <w:left w:val="none" w:sz="0" w:space="0" w:color="auto"/>
        <w:bottom w:val="none" w:sz="0" w:space="0" w:color="auto"/>
        <w:right w:val="none" w:sz="0" w:space="0" w:color="auto"/>
      </w:divBdr>
    </w:div>
    <w:div w:id="1332950764">
      <w:bodyDiv w:val="1"/>
      <w:marLeft w:val="0"/>
      <w:marRight w:val="0"/>
      <w:marTop w:val="0"/>
      <w:marBottom w:val="0"/>
      <w:divBdr>
        <w:top w:val="none" w:sz="0" w:space="0" w:color="auto"/>
        <w:left w:val="none" w:sz="0" w:space="0" w:color="auto"/>
        <w:bottom w:val="none" w:sz="0" w:space="0" w:color="auto"/>
        <w:right w:val="none" w:sz="0" w:space="0" w:color="auto"/>
      </w:divBdr>
    </w:div>
    <w:div w:id="1411463732">
      <w:bodyDiv w:val="1"/>
      <w:marLeft w:val="0"/>
      <w:marRight w:val="0"/>
      <w:marTop w:val="0"/>
      <w:marBottom w:val="0"/>
      <w:divBdr>
        <w:top w:val="none" w:sz="0" w:space="0" w:color="auto"/>
        <w:left w:val="none" w:sz="0" w:space="0" w:color="auto"/>
        <w:bottom w:val="none" w:sz="0" w:space="0" w:color="auto"/>
        <w:right w:val="none" w:sz="0" w:space="0" w:color="auto"/>
      </w:divBdr>
    </w:div>
    <w:div w:id="1446730599">
      <w:bodyDiv w:val="1"/>
      <w:marLeft w:val="0"/>
      <w:marRight w:val="0"/>
      <w:marTop w:val="0"/>
      <w:marBottom w:val="0"/>
      <w:divBdr>
        <w:top w:val="none" w:sz="0" w:space="0" w:color="auto"/>
        <w:left w:val="none" w:sz="0" w:space="0" w:color="auto"/>
        <w:bottom w:val="none" w:sz="0" w:space="0" w:color="auto"/>
        <w:right w:val="none" w:sz="0" w:space="0" w:color="auto"/>
      </w:divBdr>
    </w:div>
    <w:div w:id="1451781135">
      <w:bodyDiv w:val="1"/>
      <w:marLeft w:val="0"/>
      <w:marRight w:val="0"/>
      <w:marTop w:val="0"/>
      <w:marBottom w:val="0"/>
      <w:divBdr>
        <w:top w:val="none" w:sz="0" w:space="0" w:color="auto"/>
        <w:left w:val="none" w:sz="0" w:space="0" w:color="auto"/>
        <w:bottom w:val="none" w:sz="0" w:space="0" w:color="auto"/>
        <w:right w:val="none" w:sz="0" w:space="0" w:color="auto"/>
      </w:divBdr>
    </w:div>
    <w:div w:id="1724984365">
      <w:bodyDiv w:val="1"/>
      <w:marLeft w:val="0"/>
      <w:marRight w:val="0"/>
      <w:marTop w:val="0"/>
      <w:marBottom w:val="0"/>
      <w:divBdr>
        <w:top w:val="none" w:sz="0" w:space="0" w:color="auto"/>
        <w:left w:val="none" w:sz="0" w:space="0" w:color="auto"/>
        <w:bottom w:val="none" w:sz="0" w:space="0" w:color="auto"/>
        <w:right w:val="none" w:sz="0" w:space="0" w:color="auto"/>
      </w:divBdr>
    </w:div>
    <w:div w:id="1902862545">
      <w:bodyDiv w:val="1"/>
      <w:marLeft w:val="0"/>
      <w:marRight w:val="0"/>
      <w:marTop w:val="0"/>
      <w:marBottom w:val="0"/>
      <w:divBdr>
        <w:top w:val="none" w:sz="0" w:space="0" w:color="auto"/>
        <w:left w:val="none" w:sz="0" w:space="0" w:color="auto"/>
        <w:bottom w:val="none" w:sz="0" w:space="0" w:color="auto"/>
        <w:right w:val="none" w:sz="0" w:space="0" w:color="auto"/>
      </w:divBdr>
    </w:div>
    <w:div w:id="203176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eur-lex.europa.eu/legal-content/NL/TXT/HTML/?uri=CELEX:52026DC0615" TargetMode="External" Id="rId13" /><Relationship Type="http://schemas.openxmlformats.org/officeDocument/2006/relationships/theme" Target="theme/theme1.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footnotes" Target="footnotes.xml" Id="rId11" /><Relationship Type="http://schemas.openxmlformats.org/officeDocument/2006/relationships/footer" Target="footer2.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13</ap:Pages>
  <ap:Words>6100</ap:Words>
  <ap:Characters>33550</ap:Characters>
  <ap:DocSecurity>0</ap:DocSecurity>
  <ap:Lines>279</ap:Lines>
  <ap:Paragraphs>79</ap:Paragraphs>
  <ap:ScaleCrop>false</ap:ScaleCrop>
  <ap:HeadingPairs>
    <vt:vector baseType="variant" size="2">
      <vt:variant>
        <vt:lpstr>Titel</vt:lpstr>
      </vt:variant>
      <vt:variant>
        <vt:i4>1</vt:i4>
      </vt:variant>
    </vt:vector>
  </ap:HeadingPairs>
  <ap:TitlesOfParts>
    <vt:vector baseType="lpstr" size="1">
      <vt:lpstr>Toelichting invullen fiche mededeling</vt:lpstr>
    </vt:vector>
  </ap:TitlesOfParts>
  <ap:LinksUpToDate>false</ap:LinksUpToDate>
  <ap:CharactersWithSpaces>39571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2026-09-23T10:41:00.0000000Z</lastPrinted>
  <dcterms:created xsi:type="dcterms:W3CDTF">2026-09-25T13:30:00.0000000Z</dcterms:created>
  <dcterms:modified xsi:type="dcterms:W3CDTF">2026-09-25T13:30:00.0000000Z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BZ_Forum">
    <vt:lpwstr>3;#EU|4d8f9873-61b3-4ee5-b6f7-0bb00c6df5e8</vt:lpwstr>
  </property>
  <property fmtid="{D5CDD505-2E9C-101B-9397-08002B2CF9AE}" pid="4" name="BZ_Classification">
    <vt:lpwstr>4;#UNCLASSIFIED|d92c6340-bc14-4cb2-a9a6-6deda93c493b</vt:lpwstr>
  </property>
  <property fmtid="{D5CDD505-2E9C-101B-9397-08002B2CF9AE}" pid="5" name="BZ_Country">
    <vt:lpwstr>2;#Not applicable|ec01d90b-9d0f-4785-8785-e1ea615196bf</vt:lpwstr>
  </property>
  <property fmtid="{D5CDD505-2E9C-101B-9397-08002B2CF9AE}" pid="6" name="BZ_Theme">
    <vt:lpwstr>1;#European cooperation (non-EU) general|32cb20cb-36c6-4655-9372-780089c6b4ef</vt:lpwstr>
  </property>
  <property fmtid="{D5CDD505-2E9C-101B-9397-08002B2CF9AE}" pid="7" name="ContentTypeId">
    <vt:lpwstr>0x0101009C7CE436063D44E9BE7DC0259EF7C32F006EB9F9836A634AE58B6169785FD3936F0012FC17C079894349A4552CAF1BAA717E</vt:lpwstr>
  </property>
  <property fmtid="{D5CDD505-2E9C-101B-9397-08002B2CF9AE}" pid="8" name="MSIP_Label_6800fede-0e59-47ad-af95-4e63bbdb932d_Enabled">
    <vt:lpwstr>true</vt:lpwstr>
  </property>
  <property fmtid="{D5CDD505-2E9C-101B-9397-08002B2CF9AE}" pid="9" name="MSIP_Label_6800fede-0e59-47ad-af95-4e63bbdb932d_SetDate">
    <vt:lpwstr>2026-07-20T12:31:03Z</vt:lpwstr>
  </property>
  <property fmtid="{D5CDD505-2E9C-101B-9397-08002B2CF9AE}" pid="10" name="MSIP_Label_6800fede-0e59-47ad-af95-4e63bbdb932d_Method">
    <vt:lpwstr>Standard</vt:lpwstr>
  </property>
  <property fmtid="{D5CDD505-2E9C-101B-9397-08002B2CF9AE}" pid="11" name="MSIP_Label_6800fede-0e59-47ad-af95-4e63bbdb932d_Name">
    <vt:lpwstr>FIN-DGGT-Rijksoverheid</vt:lpwstr>
  </property>
  <property fmtid="{D5CDD505-2E9C-101B-9397-08002B2CF9AE}" pid="12" name="MSIP_Label_6800fede-0e59-47ad-af95-4e63bbdb932d_SiteId">
    <vt:lpwstr>84712536-f524-40a0-913b-5d25ba502732</vt:lpwstr>
  </property>
  <property fmtid="{D5CDD505-2E9C-101B-9397-08002B2CF9AE}" pid="13" name="MSIP_Label_6800fede-0e59-47ad-af95-4e63bbdb932d_ActionId">
    <vt:lpwstr>31efda31-d617-44e7-ac8a-d45f05c42a40</vt:lpwstr>
  </property>
  <property fmtid="{D5CDD505-2E9C-101B-9397-08002B2CF9AE}" pid="14" name="MSIP_Label_6800fede-0e59-47ad-af95-4e63bbdb932d_ContentBits">
    <vt:lpwstr>0</vt:lpwstr>
  </property>
  <property fmtid="{D5CDD505-2E9C-101B-9397-08002B2CF9AE}" pid="15" name="MSIP_Label_6800fede-0e59-47ad-af95-4e63bbdb932d_Tag">
    <vt:lpwstr>10, 3, 0, 1</vt:lpwstr>
  </property>
  <property fmtid="{D5CDD505-2E9C-101B-9397-08002B2CF9AE}" pid="16" name="ClassificationContentMarkingFooterShapeIds">
    <vt:lpwstr>2354f562,23249f7b,758a1850</vt:lpwstr>
  </property>
  <property fmtid="{D5CDD505-2E9C-101B-9397-08002B2CF9AE}" pid="17" name="ClassificationContentMarkingFooterFontProps">
    <vt:lpwstr>#000000,10,Aptos</vt:lpwstr>
  </property>
  <property fmtid="{D5CDD505-2E9C-101B-9397-08002B2CF9AE}" pid="18" name="ClassificationContentMarkingFooterText">
    <vt:lpwstr>Intern gebruik</vt:lpwstr>
  </property>
  <property fmtid="{D5CDD505-2E9C-101B-9397-08002B2CF9AE}" pid="19" name="gc2efd3bfea04f7f8169be07009f5536">
    <vt:lpwstr/>
  </property>
  <property fmtid="{D5CDD505-2E9C-101B-9397-08002B2CF9AE}" pid="20" name="BZForumOrganisation">
    <vt:lpwstr>2;#Not applicable|0049e722-bfb1-4a3f-9d08-af7366a9af40</vt:lpwstr>
  </property>
  <property fmtid="{D5CDD505-2E9C-101B-9397-08002B2CF9AE}" pid="21" name="BZTheme">
    <vt:lpwstr>1;#Informatie voorziening|8edfc6d5-9fe4-8b19-f842-4a06399853cd</vt:lpwstr>
  </property>
  <property fmtid="{D5CDD505-2E9C-101B-9397-08002B2CF9AE}" pid="22" name="BZDossierResponsibleDepartment">
    <vt:lpwstr/>
  </property>
  <property fmtid="{D5CDD505-2E9C-101B-9397-08002B2CF9AE}" pid="23" name="BZCountryState">
    <vt:lpwstr>3;#The Netherlands|7f69a7bb-478c-499d-a6cf-5869916dfee4</vt:lpwstr>
  </property>
  <property fmtid="{D5CDD505-2E9C-101B-9397-08002B2CF9AE}" pid="24" name="BZDossierGovernmentOfficial">
    <vt:lpwstr/>
  </property>
  <property fmtid="{D5CDD505-2E9C-101B-9397-08002B2CF9AE}" pid="25" name="BZDossierProcessLocation">
    <vt:lpwstr/>
  </property>
  <property fmtid="{D5CDD505-2E9C-101B-9397-08002B2CF9AE}" pid="26" name="i42ef48d5fa942a0ad0d60e44f201751">
    <vt:lpwstr/>
  </property>
  <property fmtid="{D5CDD505-2E9C-101B-9397-08002B2CF9AE}" pid="27" name="BZDossierPublishingWOOCategory">
    <vt:lpwstr/>
  </property>
  <property fmtid="{D5CDD505-2E9C-101B-9397-08002B2CF9AE}" pid="28" name="f2fb2a8e39404f1ab554e4e4a49d2918">
    <vt:lpwstr/>
  </property>
  <property fmtid="{D5CDD505-2E9C-101B-9397-08002B2CF9AE}" pid="29" name="BZMarking">
    <vt:lpwstr>5;#NO MARKING|0a4eb9ae-69eb-4d9e-b573-43ab99ef8592</vt:lpwstr>
  </property>
  <property fmtid="{D5CDD505-2E9C-101B-9397-08002B2CF9AE}" pid="30" name="_dlc_DocIdItemGuid">
    <vt:lpwstr>0edea389-fb5d-4226-ae47-fd456e7fd66e</vt:lpwstr>
  </property>
  <property fmtid="{D5CDD505-2E9C-101B-9397-08002B2CF9AE}" pid="31" name="f8e003236e1c4ac2ab9051d5d8789bbb">
    <vt:lpwstr/>
  </property>
  <property fmtid="{D5CDD505-2E9C-101B-9397-08002B2CF9AE}" pid="32" name="BZClassification">
    <vt:lpwstr>4;#UNCLASSIFIED (U)|284e6a62-15ab-4017-be27-a1e965f4e940</vt:lpwstr>
  </property>
  <property fmtid="{D5CDD505-2E9C-101B-9397-08002B2CF9AE}" pid="33" name="p29721a54a5c4bbe9786e930fc91e270">
    <vt:lpwstr/>
  </property>
  <property fmtid="{D5CDD505-2E9C-101B-9397-08002B2CF9AE}" pid="34" name="BZDossierTemplate">
    <vt:lpwstr>ReguliereKamerbrief</vt:lpwstr>
  </property>
  <property fmtid="{D5CDD505-2E9C-101B-9397-08002B2CF9AE}" pid="35" name="e256f556a7b748329ab47889947c7d40">
    <vt:lpwstr/>
  </property>
  <property fmtid="{D5CDD505-2E9C-101B-9397-08002B2CF9AE}" pid="36" name="ed9282a3f18446ec8c17c7829edf82dd">
    <vt:lpwstr/>
  </property>
  <property fmtid="{D5CDD505-2E9C-101B-9397-08002B2CF9AE}" pid="37" name="BZDossierProcessType">
    <vt:lpwstr/>
  </property>
  <property fmtid="{D5CDD505-2E9C-101B-9397-08002B2CF9AE}" pid="38" name="URL">
    <vt:lpwstr>https://247.plaza.buzaservices.nl/subject/PV-RK2026082026/BZ2632223/Fiche%201%20-%20Mededeling%20concurrentievermogen%20bankensector.docx, </vt:lpwstr>
  </property>
  <property fmtid="{D5CDD505-2E9C-101B-9397-08002B2CF9AE}" pid="39" name="BZDossierBudgetManager">
    <vt:lpwstr/>
  </property>
  <property fmtid="{D5CDD505-2E9C-101B-9397-08002B2CF9AE}" pid="40" name="BZDossierSendTo">
    <vt:lpwstr/>
  </property>
  <property fmtid="{D5CDD505-2E9C-101B-9397-08002B2CF9AE}" pid="41" name="_docset_NoMedatataSyncRequired">
    <vt:lpwstr>False</vt:lpwstr>
  </property>
</Properties>
</file>