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5E2" w:rsidP="00D565E2" w:rsidRDefault="00D565E2" w14:paraId="30E3A863" w14:textId="77777777">
      <w:pPr>
        <w:pStyle w:val="StandaardRapportTitel"/>
        <w:ind w:left="1276"/>
        <w:rPr>
          <w:bCs/>
          <w:color w:val="auto"/>
          <w:sz w:val="28"/>
          <w:szCs w:val="28"/>
        </w:rPr>
      </w:pPr>
      <w:bookmarkStart w:name="_Hlk240451960" w:id="0"/>
      <w:bookmarkStart w:name="_GoBack" w:id="1"/>
      <w:bookmarkEnd w:id="1"/>
    </w:p>
    <w:p w:rsidR="00D565E2" w:rsidP="00D565E2" w:rsidRDefault="00D565E2" w14:paraId="5BEA434D" w14:textId="77777777">
      <w:pPr>
        <w:rPr>
          <w:lang w:eastAsia="nl-NL"/>
        </w:rPr>
      </w:pPr>
    </w:p>
    <w:p w:rsidRPr="00D565E2" w:rsidR="00D565E2" w:rsidP="00D565E2" w:rsidRDefault="00D565E2" w14:paraId="14584FEF" w14:textId="77777777">
      <w:pPr>
        <w:rPr>
          <w:lang w:eastAsia="nl-NL"/>
        </w:rPr>
      </w:pPr>
    </w:p>
    <w:p w:rsidRPr="00D565E2" w:rsidR="00D565E2" w:rsidP="00D565E2" w:rsidRDefault="00D565E2" w14:paraId="7A0B916F" w14:textId="76A4F1F8">
      <w:pPr>
        <w:pStyle w:val="StandaardRapportTitel"/>
        <w:spacing w:line="240" w:lineRule="auto"/>
        <w:ind w:left="1276"/>
        <w:rPr>
          <w:sz w:val="28"/>
          <w:szCs w:val="28"/>
        </w:rPr>
      </w:pPr>
      <w:r w:rsidRPr="00D565E2">
        <w:rPr>
          <w:bCs/>
          <w:color w:val="auto"/>
          <w:sz w:val="28"/>
          <w:szCs w:val="28"/>
        </w:rPr>
        <w:t>Reactienota</w:t>
      </w:r>
      <w:r w:rsidRPr="00D565E2">
        <w:rPr>
          <w:b w:val="0"/>
          <w:sz w:val="28"/>
          <w:szCs w:val="28"/>
        </w:rPr>
        <w:t xml:space="preserve"> </w:t>
      </w:r>
      <w:r w:rsidRPr="00D565E2">
        <w:rPr>
          <w:sz w:val="28"/>
          <w:szCs w:val="28"/>
        </w:rPr>
        <w:t xml:space="preserve">advies Commissie voor de milieueffectrapportage </w:t>
      </w:r>
    </w:p>
    <w:p w:rsidR="00D565E2" w:rsidP="00D565E2" w:rsidRDefault="00D565E2" w14:paraId="4B553C55" w14:textId="08555F7C">
      <w:pPr>
        <w:autoSpaceDN w:val="0"/>
        <w:spacing w:line="240" w:lineRule="auto"/>
        <w:ind w:left="1276"/>
        <w:textAlignment w:val="baseline"/>
        <w:rPr>
          <w:rFonts w:ascii="Verdana" w:hAnsi="Verdana" w:eastAsia="DejaVu Sans" w:cs="Lohit Hindi"/>
          <w:bCs/>
          <w:color w:val="000000"/>
          <w:sz w:val="28"/>
          <w:szCs w:val="28"/>
          <w:lang w:eastAsia="nl-NL"/>
        </w:rPr>
      </w:pPr>
      <w:r>
        <w:rPr>
          <w:rFonts w:ascii="Verdana" w:hAnsi="Verdana" w:eastAsia="DejaVu Sans" w:cs="Lohit Hindi"/>
          <w:bCs/>
          <w:color w:val="000000"/>
          <w:sz w:val="28"/>
          <w:szCs w:val="28"/>
          <w:lang w:eastAsia="nl-NL"/>
        </w:rPr>
        <w:t>o</w:t>
      </w:r>
      <w:r w:rsidRPr="00D565E2" w:rsidR="000D1629">
        <w:rPr>
          <w:rFonts w:ascii="Verdana" w:hAnsi="Verdana" w:eastAsia="DejaVu Sans" w:cs="Lohit Hindi"/>
          <w:bCs/>
          <w:color w:val="000000"/>
          <w:sz w:val="28"/>
          <w:szCs w:val="28"/>
          <w:lang w:eastAsia="nl-NL"/>
        </w:rPr>
        <w:t>p</w:t>
      </w:r>
      <w:r w:rsidRPr="00D565E2" w:rsidR="000703F7">
        <w:rPr>
          <w:rFonts w:ascii="Verdana" w:hAnsi="Verdana" w:eastAsia="DejaVu Sans" w:cs="Lohit Hindi"/>
          <w:bCs/>
          <w:color w:val="000000"/>
          <w:sz w:val="28"/>
          <w:szCs w:val="28"/>
          <w:lang w:eastAsia="nl-NL"/>
        </w:rPr>
        <w:t xml:space="preserve"> </w:t>
      </w:r>
      <w:r>
        <w:rPr>
          <w:rFonts w:ascii="Verdana" w:hAnsi="Verdana" w:eastAsia="DejaVu Sans" w:cs="Lohit Hindi"/>
          <w:bCs/>
          <w:color w:val="000000"/>
          <w:sz w:val="28"/>
          <w:szCs w:val="28"/>
          <w:lang w:eastAsia="nl-NL"/>
        </w:rPr>
        <w:t>h</w:t>
      </w:r>
      <w:r w:rsidRPr="00D565E2" w:rsidR="000D1629">
        <w:rPr>
          <w:rFonts w:ascii="Verdana" w:hAnsi="Verdana" w:eastAsia="DejaVu Sans" w:cs="Lohit Hindi"/>
          <w:bCs/>
          <w:color w:val="000000"/>
          <w:sz w:val="28"/>
          <w:szCs w:val="28"/>
          <w:lang w:eastAsia="nl-NL"/>
        </w:rPr>
        <w:t>et</w:t>
      </w:r>
      <w:r w:rsidRPr="00D565E2" w:rsidR="000703F7">
        <w:rPr>
          <w:rFonts w:ascii="Verdana" w:hAnsi="Verdana" w:eastAsia="DejaVu Sans" w:cs="Lohit Hindi"/>
          <w:bCs/>
          <w:color w:val="000000"/>
          <w:sz w:val="28"/>
          <w:szCs w:val="28"/>
          <w:lang w:eastAsia="nl-NL"/>
        </w:rPr>
        <w:t xml:space="preserve"> </w:t>
      </w:r>
      <w:r w:rsidRPr="00D565E2">
        <w:rPr>
          <w:rFonts w:ascii="Verdana" w:hAnsi="Verdana" w:eastAsia="DejaVu Sans" w:cs="Lohit Hindi"/>
          <w:bCs/>
          <w:color w:val="000000"/>
          <w:sz w:val="28"/>
          <w:szCs w:val="28"/>
          <w:lang w:eastAsia="nl-NL"/>
        </w:rPr>
        <w:t>M</w:t>
      </w:r>
      <w:r w:rsidRPr="00D565E2" w:rsidR="000703F7">
        <w:rPr>
          <w:rFonts w:ascii="Verdana" w:hAnsi="Verdana" w:eastAsia="DejaVu Sans" w:cs="Lohit Hindi"/>
          <w:bCs/>
          <w:color w:val="000000"/>
          <w:sz w:val="28"/>
          <w:szCs w:val="28"/>
          <w:lang w:eastAsia="nl-NL"/>
        </w:rPr>
        <w:t xml:space="preserve">ilieueffectrapport </w:t>
      </w:r>
      <w:r w:rsidRPr="00D565E2" w:rsidR="003F23B4">
        <w:rPr>
          <w:rFonts w:ascii="Verdana" w:hAnsi="Verdana" w:eastAsia="DejaVu Sans" w:cs="Lohit Hindi"/>
          <w:bCs/>
          <w:color w:val="000000"/>
          <w:sz w:val="28"/>
          <w:szCs w:val="28"/>
          <w:lang w:eastAsia="nl-NL"/>
        </w:rPr>
        <w:t>Luchthavenbesluit</w:t>
      </w:r>
      <w:r w:rsidRPr="00D565E2" w:rsidR="000703F7">
        <w:rPr>
          <w:rFonts w:ascii="Verdana" w:hAnsi="Verdana" w:eastAsia="DejaVu Sans" w:cs="Lohit Hindi"/>
          <w:bCs/>
          <w:color w:val="000000"/>
          <w:sz w:val="28"/>
          <w:szCs w:val="28"/>
          <w:lang w:eastAsia="nl-NL"/>
        </w:rPr>
        <w:t xml:space="preserve"> </w:t>
      </w:r>
      <w:r w:rsidRPr="00D565E2" w:rsidR="003F23B4">
        <w:rPr>
          <w:rFonts w:ascii="Verdana" w:hAnsi="Verdana" w:eastAsia="DejaVu Sans" w:cs="Lohit Hindi"/>
          <w:bCs/>
          <w:color w:val="000000"/>
          <w:sz w:val="28"/>
          <w:szCs w:val="28"/>
          <w:lang w:eastAsia="nl-NL"/>
        </w:rPr>
        <w:t>Rotterdam</w:t>
      </w:r>
      <w:r w:rsidRPr="00D565E2">
        <w:rPr>
          <w:rFonts w:ascii="Verdana" w:hAnsi="Verdana" w:eastAsia="DejaVu Sans" w:cs="Lohit Hindi"/>
          <w:bCs/>
          <w:color w:val="000000"/>
          <w:sz w:val="28"/>
          <w:szCs w:val="28"/>
          <w:lang w:eastAsia="nl-NL"/>
        </w:rPr>
        <w:t xml:space="preserve"> </w:t>
      </w:r>
    </w:p>
    <w:p w:rsidR="00D565E2" w:rsidP="00D565E2" w:rsidRDefault="00D565E2" w14:paraId="1599EDE9" w14:textId="77777777">
      <w:pPr>
        <w:autoSpaceDN w:val="0"/>
        <w:spacing w:line="240" w:lineRule="auto"/>
        <w:ind w:left="1276"/>
        <w:textAlignment w:val="baseline"/>
        <w:rPr>
          <w:rFonts w:ascii="Verdana" w:hAnsi="Verdana" w:eastAsia="DejaVu Sans" w:cs="Lohit Hindi"/>
          <w:bCs/>
          <w:color w:val="000000"/>
          <w:sz w:val="28"/>
          <w:szCs w:val="28"/>
          <w:lang w:eastAsia="nl-NL"/>
        </w:rPr>
      </w:pPr>
    </w:p>
    <w:p w:rsidR="007C4DBE" w:rsidP="007C4DBE" w:rsidRDefault="007C4DBE" w14:paraId="7CBFF23D" w14:textId="77777777">
      <w:pPr>
        <w:autoSpaceDN w:val="0"/>
        <w:spacing w:before="240" w:after="360" w:line="240" w:lineRule="exact"/>
        <w:textAlignment w:val="baseline"/>
        <w:rPr>
          <w:rFonts w:ascii="Verdana" w:hAnsi="Verdana" w:eastAsia="DejaVu Sans" w:cs="Lohit Hindi"/>
          <w:bCs/>
          <w:color w:val="000000"/>
          <w:sz w:val="28"/>
          <w:szCs w:val="28"/>
          <w:lang w:eastAsia="nl-NL"/>
        </w:rPr>
      </w:pPr>
    </w:p>
    <w:p w:rsidRPr="00FA3B4B" w:rsidR="00073960" w:rsidP="007C4DBE" w:rsidRDefault="00073960" w14:paraId="66559F55" w14:textId="77777777">
      <w:pPr>
        <w:autoSpaceDN w:val="0"/>
        <w:spacing w:before="240" w:after="360" w:line="240" w:lineRule="exact"/>
        <w:textAlignment w:val="baseline"/>
        <w:rPr>
          <w:rFonts w:ascii="Verdana" w:hAnsi="Verdana" w:eastAsia="DejaVu Sans" w:cs="Lohit Hindi"/>
          <w:color w:val="000000"/>
          <w:lang w:eastAsia="nl-NL"/>
        </w:rPr>
      </w:pPr>
    </w:p>
    <w:p w:rsidRPr="00FA3B4B" w:rsidR="007C4DBE" w:rsidP="007C4DBE" w:rsidRDefault="007C4DBE" w14:paraId="6ABD01EC" w14:textId="77777777">
      <w:pPr>
        <w:autoSpaceDN w:val="0"/>
        <w:spacing w:before="240" w:after="360" w:line="240" w:lineRule="exact"/>
        <w:textAlignment w:val="baseline"/>
        <w:rPr>
          <w:rFonts w:ascii="Verdana" w:hAnsi="Verdana" w:eastAsia="DejaVu Sans" w:cs="Lohit Hindi"/>
          <w:color w:val="000000"/>
          <w:lang w:eastAsia="nl-NL"/>
        </w:rPr>
      </w:pPr>
    </w:p>
    <w:p w:rsidRPr="00FA3B4B" w:rsidR="007C4DBE" w:rsidP="007C4DBE" w:rsidRDefault="007C4DBE" w14:paraId="6FFFACFF" w14:textId="77777777">
      <w:pPr>
        <w:autoSpaceDN w:val="0"/>
        <w:spacing w:line="240" w:lineRule="atLeast"/>
        <w:textAlignment w:val="baseline"/>
        <w:rPr>
          <w:rFonts w:ascii="Verdana" w:hAnsi="Verdana" w:eastAsia="DejaVu Sans" w:cs="Lohit Hindi"/>
          <w:color w:val="000000"/>
          <w:sz w:val="18"/>
          <w:szCs w:val="18"/>
          <w:lang w:eastAsia="nl-NL"/>
        </w:rPr>
      </w:pPr>
    </w:p>
    <w:tbl>
      <w:tblPr>
        <w:tblStyle w:val="ILTRapport16aTabelstijl"/>
        <w:tblW w:w="7711" w:type="dxa"/>
        <w:tblInd w:w="1276" w:type="dxa"/>
        <w:tblLayout w:type="fixed"/>
        <w:tblLook w:val="07E0" w:firstRow="1" w:lastRow="1" w:firstColumn="1" w:lastColumn="1" w:noHBand="1" w:noVBand="1"/>
      </w:tblPr>
      <w:tblGrid>
        <w:gridCol w:w="1774"/>
        <w:gridCol w:w="5937"/>
      </w:tblGrid>
      <w:tr w:rsidRPr="00FA3B4B" w:rsidR="007C4DBE" w:rsidTr="007C4DBE" w14:paraId="3E951C93" w14:textId="77777777">
        <w:tc>
          <w:tcPr>
            <w:tcW w:w="1774" w:type="dxa"/>
          </w:tcPr>
          <w:p w:rsidRPr="00FA3B4B" w:rsidR="007C4DBE" w:rsidP="007C4DBE" w:rsidRDefault="007C4DBE" w14:paraId="3E9CB2EA" w14:textId="77777777">
            <w:pPr>
              <w:spacing w:line="180" w:lineRule="exact"/>
              <w:rPr>
                <w:rFonts w:ascii="Verdana" w:hAnsi="Verdana"/>
                <w:color w:val="000000"/>
              </w:rPr>
            </w:pPr>
            <w:r w:rsidRPr="00FA3B4B">
              <w:rPr>
                <w:rFonts w:ascii="Verdana" w:hAnsi="Verdana"/>
                <w:color w:val="000000"/>
              </w:rPr>
              <w:t> </w:t>
            </w:r>
          </w:p>
        </w:tc>
        <w:tc>
          <w:tcPr>
            <w:tcW w:w="5937" w:type="dxa"/>
          </w:tcPr>
          <w:p w:rsidRPr="00FA3B4B" w:rsidR="007C4DBE" w:rsidP="007C4DBE" w:rsidRDefault="007C4DBE" w14:paraId="1C8893A7" w14:textId="77777777">
            <w:pPr>
              <w:spacing w:line="180" w:lineRule="exact"/>
              <w:rPr>
                <w:rFonts w:ascii="Verdana" w:hAnsi="Verdana"/>
                <w:color w:val="000000"/>
              </w:rPr>
            </w:pPr>
            <w:r w:rsidRPr="00FA3B4B">
              <w:rPr>
                <w:rFonts w:ascii="Verdana" w:hAnsi="Verdana"/>
                <w:color w:val="000000"/>
              </w:rPr>
              <w:t> </w:t>
            </w:r>
          </w:p>
        </w:tc>
      </w:tr>
      <w:tr w:rsidRPr="00FA3B4B" w:rsidR="007C4DBE" w:rsidTr="007C4DBE" w14:paraId="554BACF4" w14:textId="77777777">
        <w:tc>
          <w:tcPr>
            <w:tcW w:w="1774" w:type="dxa"/>
          </w:tcPr>
          <w:p w:rsidRPr="00FA3B4B" w:rsidR="007C4DBE" w:rsidP="007C4DBE" w:rsidRDefault="007C4DBE" w14:paraId="79760200" w14:textId="77777777">
            <w:pPr>
              <w:spacing w:line="180" w:lineRule="exact"/>
              <w:rPr>
                <w:rFonts w:ascii="Verdana" w:hAnsi="Verdana"/>
                <w:color w:val="000000"/>
              </w:rPr>
            </w:pPr>
            <w:r w:rsidRPr="00FA3B4B">
              <w:rPr>
                <w:rFonts w:ascii="Verdana" w:hAnsi="Verdana"/>
                <w:color w:val="000000"/>
              </w:rPr>
              <w:t>Datum</w:t>
            </w:r>
          </w:p>
        </w:tc>
        <w:tc>
          <w:tcPr>
            <w:tcW w:w="5937" w:type="dxa"/>
          </w:tcPr>
          <w:p w:rsidRPr="00FA3B4B" w:rsidR="007C4DBE" w:rsidP="007C4DBE" w:rsidRDefault="000D1629" w14:paraId="3F37A898" w14:textId="3C3D273C">
            <w:pPr>
              <w:spacing w:line="180" w:lineRule="exact"/>
              <w:rPr>
                <w:rFonts w:ascii="Verdana" w:hAnsi="Verdana"/>
                <w:color w:val="000000"/>
              </w:rPr>
            </w:pPr>
            <w:r>
              <w:rPr>
                <w:rFonts w:ascii="Verdana" w:hAnsi="Verdana"/>
                <w:color w:val="000000"/>
              </w:rPr>
              <w:t>2026</w:t>
            </w:r>
          </w:p>
        </w:tc>
      </w:tr>
      <w:tr w:rsidRPr="00FA3B4B" w:rsidR="007C4DBE" w:rsidTr="007C4DBE" w14:paraId="53988B70" w14:textId="77777777">
        <w:tc>
          <w:tcPr>
            <w:tcW w:w="1774" w:type="dxa"/>
          </w:tcPr>
          <w:p w:rsidRPr="00FA3B4B" w:rsidR="007C4DBE" w:rsidP="007C4DBE" w:rsidRDefault="006B5914" w14:paraId="5336EF65" w14:textId="0C5F220B">
            <w:pPr>
              <w:spacing w:line="180" w:lineRule="exact"/>
              <w:rPr>
                <w:rFonts w:ascii="Verdana" w:hAnsi="Verdana"/>
                <w:color w:val="000000"/>
              </w:rPr>
            </w:pPr>
            <w:r w:rsidRPr="00FA3B4B">
              <w:rPr>
                <w:rFonts w:ascii="Verdana" w:hAnsi="Verdana"/>
                <w:color w:val="000000"/>
              </w:rPr>
              <w:t>Kenmerk </w:t>
            </w:r>
          </w:p>
        </w:tc>
        <w:tc>
          <w:tcPr>
            <w:tcW w:w="5937" w:type="dxa"/>
          </w:tcPr>
          <w:p w:rsidRPr="00FA3B4B" w:rsidR="007C4DBE" w:rsidP="007C4DBE" w:rsidRDefault="00B81831" w14:paraId="7D8ADEF6" w14:textId="7498A87F">
            <w:pPr>
              <w:spacing w:line="180" w:lineRule="exact"/>
              <w:rPr>
                <w:rFonts w:ascii="Verdana" w:hAnsi="Verdana"/>
                <w:color w:val="000000"/>
              </w:rPr>
            </w:pPr>
            <w:r>
              <w:rPr>
                <w:rFonts w:ascii="Verdana" w:hAnsi="Verdana"/>
                <w:color w:val="000000"/>
              </w:rPr>
              <w:t>IenW/BSK-2026/</w:t>
            </w:r>
            <w:r w:rsidR="00BB7E2A">
              <w:rPr>
                <w:rFonts w:ascii="Verdana" w:hAnsi="Verdana"/>
                <w:color w:val="000000"/>
              </w:rPr>
              <w:t>183935</w:t>
            </w:r>
          </w:p>
        </w:tc>
      </w:tr>
      <w:tr w:rsidRPr="00FA3B4B" w:rsidR="007C4DBE" w:rsidTr="007C4DBE" w14:paraId="4294C2BE" w14:textId="77777777">
        <w:tc>
          <w:tcPr>
            <w:tcW w:w="1774" w:type="dxa"/>
          </w:tcPr>
          <w:p w:rsidRPr="00FA3B4B" w:rsidR="007C4DBE" w:rsidP="007C4DBE" w:rsidRDefault="006B5914" w14:paraId="1E2A1C22" w14:textId="5532792A">
            <w:pPr>
              <w:spacing w:line="180" w:lineRule="exact"/>
              <w:rPr>
                <w:rFonts w:ascii="Verdana" w:hAnsi="Verdana"/>
                <w:color w:val="000000"/>
              </w:rPr>
            </w:pPr>
            <w:r w:rsidRPr="00FA3B4B">
              <w:rPr>
                <w:rFonts w:ascii="Verdana" w:hAnsi="Verdana"/>
                <w:color w:val="000000"/>
              </w:rPr>
              <w:t xml:space="preserve">Status </w:t>
            </w:r>
          </w:p>
        </w:tc>
        <w:tc>
          <w:tcPr>
            <w:tcW w:w="5937" w:type="dxa"/>
          </w:tcPr>
          <w:p w:rsidRPr="00FA3B4B" w:rsidR="007C4DBE" w:rsidP="007C4DBE" w:rsidRDefault="007C4DBE" w14:paraId="50861307" w14:textId="24095A78">
            <w:pPr>
              <w:spacing w:line="180" w:lineRule="exact"/>
              <w:rPr>
                <w:rFonts w:ascii="Verdana" w:hAnsi="Verdana"/>
                <w:color w:val="000000"/>
              </w:rPr>
            </w:pPr>
          </w:p>
        </w:tc>
      </w:tr>
    </w:tbl>
    <w:p w:rsidRPr="00FA3B4B" w:rsidR="007C4DBE" w:rsidP="007C4DBE" w:rsidRDefault="007C4DBE" w14:paraId="5FFFCCA3" w14:textId="77777777">
      <w:pPr>
        <w:autoSpaceDN w:val="0"/>
        <w:spacing w:line="240" w:lineRule="atLeast"/>
        <w:textAlignment w:val="baseline"/>
        <w:rPr>
          <w:rFonts w:ascii="Verdana" w:hAnsi="Verdana" w:eastAsia="DejaVu Sans" w:cs="Lohit Hindi"/>
          <w:color w:val="000000"/>
          <w:sz w:val="18"/>
          <w:szCs w:val="18"/>
          <w:lang w:eastAsia="nl-NL"/>
        </w:rPr>
      </w:pPr>
      <w:r w:rsidRPr="00FA3B4B">
        <w:rPr>
          <w:rFonts w:ascii="Verdana" w:hAnsi="Verdana" w:eastAsia="DejaVu Sans" w:cs="Lohit Hindi"/>
          <w:color w:val="000000"/>
          <w:sz w:val="18"/>
          <w:szCs w:val="18"/>
          <w:lang w:eastAsia="nl-NL"/>
        </w:rPr>
        <w:t> </w:t>
      </w:r>
    </w:p>
    <w:p w:rsidRPr="00FA3B4B" w:rsidR="007C4DBE" w:rsidP="007C4DBE" w:rsidRDefault="007C4DBE" w14:paraId="735A6C58"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6EFB51B8"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3A7AF375"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19DAB3D6"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3768E18F"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4DA1F26E"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58DE4ABD"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62E61A43"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308A61DE"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47D96035"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794CB3EE"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0E9FBA22"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20B469D1"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444C4AFF"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3DE5EAD5"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386ED12F" w14:textId="77777777">
      <w:pPr>
        <w:autoSpaceDN w:val="0"/>
        <w:spacing w:line="240" w:lineRule="atLeast"/>
        <w:textAlignment w:val="baseline"/>
        <w:rPr>
          <w:rFonts w:ascii="Verdana" w:hAnsi="Verdana" w:eastAsia="DejaVu Sans" w:cs="Lohit Hindi"/>
          <w:color w:val="000000"/>
          <w:sz w:val="18"/>
          <w:szCs w:val="18"/>
          <w:lang w:eastAsia="nl-NL"/>
        </w:rPr>
      </w:pPr>
    </w:p>
    <w:p w:rsidRPr="00FA3B4B" w:rsidR="007C4DBE" w:rsidP="007C4DBE" w:rsidRDefault="007C4DBE" w14:paraId="0E5BCFD2" w14:textId="77777777">
      <w:pPr>
        <w:autoSpaceDN w:val="0"/>
        <w:spacing w:line="240" w:lineRule="atLeast"/>
        <w:ind w:left="1276"/>
        <w:textAlignment w:val="baseline"/>
        <w:rPr>
          <w:rFonts w:ascii="Verdana" w:hAnsi="Verdana" w:eastAsia="DejaVu Sans" w:cs="Lohit Hindi"/>
          <w:color w:val="000000"/>
          <w:sz w:val="18"/>
          <w:szCs w:val="18"/>
          <w:lang w:eastAsia="nl-NL"/>
        </w:rPr>
      </w:pPr>
      <w:r w:rsidRPr="00FA3B4B">
        <w:rPr>
          <w:rFonts w:ascii="Verdana" w:hAnsi="Verdana" w:eastAsia="DejaVu Sans" w:cs="Lohit Hindi"/>
          <w:color w:val="000000"/>
          <w:sz w:val="18"/>
          <w:szCs w:val="18"/>
          <w:lang w:eastAsia="nl-NL"/>
        </w:rPr>
        <w:t>Colofon</w:t>
      </w:r>
    </w:p>
    <w:tbl>
      <w:tblPr>
        <w:tblStyle w:val="ILTRapport16aTabelstijl"/>
        <w:tblW w:w="7711" w:type="dxa"/>
        <w:tblInd w:w="1134" w:type="dxa"/>
        <w:tblLayout w:type="fixed"/>
        <w:tblLook w:val="07E0" w:firstRow="1" w:lastRow="1" w:firstColumn="1" w:lastColumn="1" w:noHBand="1" w:noVBand="1"/>
      </w:tblPr>
      <w:tblGrid>
        <w:gridCol w:w="2366"/>
        <w:gridCol w:w="5345"/>
      </w:tblGrid>
      <w:tr w:rsidRPr="00FA3B4B" w:rsidR="007C4DBE" w:rsidTr="007C4DBE" w14:paraId="797C5F91" w14:textId="77777777">
        <w:tc>
          <w:tcPr>
            <w:tcW w:w="2366" w:type="dxa"/>
          </w:tcPr>
          <w:p w:rsidRPr="00FA3B4B" w:rsidR="007C4DBE" w:rsidP="007C4DBE" w:rsidRDefault="007C4DBE" w14:paraId="7340534C" w14:textId="77777777">
            <w:pPr>
              <w:spacing w:line="180" w:lineRule="exact"/>
              <w:rPr>
                <w:rFonts w:ascii="Verdana" w:hAnsi="Verdana"/>
                <w:color w:val="000000"/>
              </w:rPr>
            </w:pPr>
            <w:r w:rsidRPr="00FA3B4B">
              <w:rPr>
                <w:rFonts w:ascii="Verdana" w:hAnsi="Verdana"/>
                <w:color w:val="000000"/>
              </w:rPr>
              <w:t> </w:t>
            </w:r>
          </w:p>
        </w:tc>
        <w:tc>
          <w:tcPr>
            <w:tcW w:w="5345" w:type="dxa"/>
          </w:tcPr>
          <w:p w:rsidRPr="00FA3B4B" w:rsidR="007C4DBE" w:rsidP="007C4DBE" w:rsidRDefault="007C4DBE" w14:paraId="05C88AAA" w14:textId="77777777">
            <w:pPr>
              <w:spacing w:line="180" w:lineRule="exact"/>
              <w:rPr>
                <w:rFonts w:ascii="Verdana" w:hAnsi="Verdana"/>
                <w:color w:val="000000"/>
              </w:rPr>
            </w:pPr>
            <w:r w:rsidRPr="00FA3B4B">
              <w:rPr>
                <w:rFonts w:ascii="Verdana" w:hAnsi="Verdana"/>
                <w:color w:val="000000"/>
              </w:rPr>
              <w:t>Ministerie van Infrastructuur en Waterstaat</w:t>
            </w:r>
          </w:p>
        </w:tc>
      </w:tr>
      <w:tr w:rsidRPr="00FA3B4B" w:rsidR="007C4DBE" w:rsidTr="007C4DBE" w14:paraId="1D298920" w14:textId="77777777">
        <w:tc>
          <w:tcPr>
            <w:tcW w:w="2366" w:type="dxa"/>
          </w:tcPr>
          <w:p w:rsidRPr="00FA3B4B" w:rsidR="007C4DBE" w:rsidP="007C4DBE" w:rsidRDefault="007C4DBE" w14:paraId="336B2647" w14:textId="77777777">
            <w:pPr>
              <w:spacing w:line="180" w:lineRule="exact"/>
              <w:rPr>
                <w:rFonts w:ascii="Verdana" w:hAnsi="Verdana"/>
                <w:color w:val="000000"/>
              </w:rPr>
            </w:pPr>
            <w:r w:rsidRPr="00FA3B4B">
              <w:rPr>
                <w:rFonts w:ascii="Verdana" w:hAnsi="Verdana"/>
                <w:color w:val="000000"/>
              </w:rPr>
              <w:t> </w:t>
            </w:r>
          </w:p>
        </w:tc>
        <w:tc>
          <w:tcPr>
            <w:tcW w:w="5345" w:type="dxa"/>
          </w:tcPr>
          <w:p w:rsidRPr="00FA3B4B" w:rsidR="007C4DBE" w:rsidP="007C4DBE" w:rsidRDefault="007C4DBE" w14:paraId="30A83B26" w14:textId="77777777">
            <w:pPr>
              <w:spacing w:line="180" w:lineRule="exact"/>
              <w:rPr>
                <w:rFonts w:ascii="Verdana" w:hAnsi="Verdana"/>
                <w:color w:val="000000"/>
              </w:rPr>
            </w:pPr>
            <w:r w:rsidRPr="00FA3B4B">
              <w:rPr>
                <w:rFonts w:ascii="Verdana" w:hAnsi="Verdana"/>
                <w:color w:val="000000"/>
              </w:rPr>
              <w:t>Directoraat-Generaal Milieu en Internationaal</w:t>
            </w:r>
          </w:p>
          <w:p w:rsidRPr="00FA3B4B" w:rsidR="007C4DBE" w:rsidP="007C4DBE" w:rsidRDefault="007C4DBE" w14:paraId="40F1F3FA" w14:textId="77777777">
            <w:pPr>
              <w:spacing w:line="240" w:lineRule="atLeast"/>
              <w:rPr>
                <w:rFonts w:ascii="Verdana" w:hAnsi="Verdana"/>
                <w:color w:val="000000"/>
                <w:sz w:val="18"/>
                <w:szCs w:val="18"/>
              </w:rPr>
            </w:pPr>
          </w:p>
        </w:tc>
      </w:tr>
      <w:tr w:rsidRPr="00FA3B4B" w:rsidR="007C4DBE" w:rsidTr="007C4DBE" w14:paraId="52EF7290" w14:textId="77777777">
        <w:tc>
          <w:tcPr>
            <w:tcW w:w="2366" w:type="dxa"/>
          </w:tcPr>
          <w:p w:rsidRPr="00FA3B4B" w:rsidR="007C4DBE" w:rsidP="007C4DBE" w:rsidRDefault="007C4DBE" w14:paraId="5D7E5927" w14:textId="77777777">
            <w:pPr>
              <w:spacing w:line="180" w:lineRule="exact"/>
              <w:rPr>
                <w:rFonts w:ascii="Verdana" w:hAnsi="Verdana"/>
                <w:color w:val="000000"/>
              </w:rPr>
            </w:pPr>
            <w:r w:rsidRPr="00FA3B4B">
              <w:rPr>
                <w:rFonts w:ascii="Verdana" w:hAnsi="Verdana"/>
                <w:color w:val="000000"/>
              </w:rPr>
              <w:t> </w:t>
            </w:r>
          </w:p>
        </w:tc>
        <w:tc>
          <w:tcPr>
            <w:tcW w:w="5345" w:type="dxa"/>
          </w:tcPr>
          <w:p w:rsidRPr="00FA3B4B" w:rsidR="007C4DBE" w:rsidP="007C4DBE" w:rsidRDefault="007C4DBE" w14:paraId="532F26C7" w14:textId="77777777">
            <w:pPr>
              <w:spacing w:line="180" w:lineRule="exact"/>
              <w:rPr>
                <w:rFonts w:ascii="Verdana" w:hAnsi="Verdana"/>
                <w:color w:val="000000"/>
              </w:rPr>
            </w:pPr>
            <w:r w:rsidRPr="00FA3B4B">
              <w:rPr>
                <w:rFonts w:ascii="Verdana" w:hAnsi="Verdana"/>
                <w:color w:val="000000"/>
              </w:rPr>
              <w:t>Postbus 20904 </w:t>
            </w:r>
          </w:p>
        </w:tc>
      </w:tr>
      <w:tr w:rsidRPr="00FA3B4B" w:rsidR="007C4DBE" w:rsidTr="007C4DBE" w14:paraId="012F89CA" w14:textId="77777777">
        <w:tc>
          <w:tcPr>
            <w:tcW w:w="2366" w:type="dxa"/>
          </w:tcPr>
          <w:p w:rsidRPr="00FA3B4B" w:rsidR="007C4DBE" w:rsidP="007C4DBE" w:rsidRDefault="007C4DBE" w14:paraId="470AE916" w14:textId="77777777">
            <w:pPr>
              <w:spacing w:line="180" w:lineRule="exact"/>
              <w:rPr>
                <w:rFonts w:ascii="Verdana" w:hAnsi="Verdana"/>
                <w:color w:val="000000"/>
              </w:rPr>
            </w:pPr>
            <w:r w:rsidRPr="00FA3B4B">
              <w:rPr>
                <w:rFonts w:ascii="Verdana" w:hAnsi="Verdana"/>
                <w:color w:val="000000"/>
              </w:rPr>
              <w:t> </w:t>
            </w:r>
          </w:p>
        </w:tc>
        <w:tc>
          <w:tcPr>
            <w:tcW w:w="5345" w:type="dxa"/>
          </w:tcPr>
          <w:p w:rsidRPr="00FA3B4B" w:rsidR="007C4DBE" w:rsidP="007C4DBE" w:rsidRDefault="007C4DBE" w14:paraId="089CC49E" w14:textId="77777777">
            <w:pPr>
              <w:spacing w:line="180" w:lineRule="exact"/>
              <w:rPr>
                <w:rFonts w:ascii="Verdana" w:hAnsi="Verdana"/>
                <w:color w:val="000000"/>
              </w:rPr>
            </w:pPr>
            <w:r w:rsidRPr="00FA3B4B">
              <w:rPr>
                <w:rFonts w:ascii="Verdana" w:hAnsi="Verdana"/>
                <w:color w:val="000000"/>
              </w:rPr>
              <w:t>2500 EX Den Haag</w:t>
            </w:r>
          </w:p>
        </w:tc>
      </w:tr>
      <w:tr w:rsidRPr="00FA3B4B" w:rsidR="007C4DBE" w:rsidTr="007C4DBE" w14:paraId="54EBD177" w14:textId="77777777">
        <w:tc>
          <w:tcPr>
            <w:tcW w:w="2366" w:type="dxa"/>
          </w:tcPr>
          <w:p w:rsidRPr="00FA3B4B" w:rsidR="007C4DBE" w:rsidP="007C4DBE" w:rsidRDefault="007C4DBE" w14:paraId="17C5BA31" w14:textId="77777777">
            <w:pPr>
              <w:spacing w:line="180" w:lineRule="exact"/>
              <w:rPr>
                <w:rFonts w:ascii="Verdana" w:hAnsi="Verdana"/>
                <w:color w:val="000000"/>
              </w:rPr>
            </w:pPr>
            <w:r w:rsidRPr="00FA3B4B">
              <w:rPr>
                <w:rFonts w:ascii="Verdana" w:hAnsi="Verdana"/>
                <w:color w:val="000000"/>
              </w:rPr>
              <w:t> </w:t>
            </w:r>
          </w:p>
        </w:tc>
        <w:tc>
          <w:tcPr>
            <w:tcW w:w="5345" w:type="dxa"/>
          </w:tcPr>
          <w:p w:rsidRPr="00FA3B4B" w:rsidR="007C4DBE" w:rsidP="007C4DBE" w:rsidRDefault="007C4DBE" w14:paraId="178498EF" w14:textId="77777777">
            <w:pPr>
              <w:spacing w:line="180" w:lineRule="exact"/>
              <w:rPr>
                <w:rFonts w:ascii="Verdana" w:hAnsi="Verdana"/>
                <w:color w:val="000000"/>
              </w:rPr>
            </w:pPr>
            <w:r w:rsidRPr="00FA3B4B">
              <w:rPr>
                <w:rFonts w:ascii="Verdana" w:hAnsi="Verdana"/>
                <w:color w:val="000000"/>
              </w:rPr>
              <w:t> </w:t>
            </w:r>
          </w:p>
        </w:tc>
      </w:tr>
      <w:tr w:rsidRPr="00FA3B4B" w:rsidR="007C4DBE" w:rsidTr="007C4DBE" w14:paraId="5D130252" w14:textId="77777777">
        <w:tc>
          <w:tcPr>
            <w:tcW w:w="2366" w:type="dxa"/>
          </w:tcPr>
          <w:p w:rsidRPr="00FA3B4B" w:rsidR="007C4DBE" w:rsidP="007C4DBE" w:rsidRDefault="007C4DBE" w14:paraId="75CFB31B" w14:textId="77777777">
            <w:pPr>
              <w:spacing w:line="240" w:lineRule="atLeast"/>
              <w:rPr>
                <w:rFonts w:ascii="Verdana" w:hAnsi="Verdana"/>
                <w:color w:val="000000"/>
                <w:sz w:val="18"/>
                <w:szCs w:val="18"/>
              </w:rPr>
            </w:pPr>
          </w:p>
        </w:tc>
        <w:tc>
          <w:tcPr>
            <w:tcW w:w="5345" w:type="dxa"/>
          </w:tcPr>
          <w:p w:rsidRPr="00FA3B4B" w:rsidR="007C4DBE" w:rsidP="007C4DBE" w:rsidRDefault="007C4DBE" w14:paraId="3C17187B" w14:textId="77777777">
            <w:pPr>
              <w:spacing w:line="240" w:lineRule="atLeast"/>
              <w:rPr>
                <w:rFonts w:ascii="Verdana" w:hAnsi="Verdana"/>
                <w:color w:val="000000"/>
                <w:sz w:val="18"/>
                <w:szCs w:val="18"/>
              </w:rPr>
            </w:pPr>
          </w:p>
        </w:tc>
      </w:tr>
    </w:tbl>
    <w:p w:rsidRPr="00FA3B4B" w:rsidR="003764B2" w:rsidRDefault="003764B2" w14:paraId="03FFE6BA" w14:textId="3D4CE340">
      <w:pPr>
        <w:rPr>
          <w:rFonts w:ascii="Verdana" w:hAnsi="Verdana"/>
          <w:b/>
          <w:bCs/>
          <w:color w:val="auto"/>
        </w:rPr>
      </w:pPr>
    </w:p>
    <w:p w:rsidRPr="00FA3B4B" w:rsidR="007C4DBE" w:rsidP="00920080" w:rsidRDefault="007C4DBE" w14:paraId="1FCB999D" w14:textId="7F037974">
      <w:pPr>
        <w:tabs>
          <w:tab w:val="left" w:pos="2028"/>
        </w:tabs>
        <w:rPr>
          <w:rFonts w:ascii="Verdana" w:hAnsi="Verdana"/>
          <w:color w:val="auto"/>
          <w:sz w:val="18"/>
        </w:rPr>
        <w:sectPr w:rsidRPr="00FA3B4B" w:rsidR="007C4DBE" w:rsidSect="007C4DBE">
          <w:headerReference w:type="even" r:id="rId14"/>
          <w:headerReference w:type="default" r:id="rId15"/>
          <w:footerReference w:type="even" r:id="rId16"/>
          <w:footerReference w:type="default" r:id="rId17"/>
          <w:headerReference w:type="first" r:id="rId18"/>
          <w:footerReference w:type="first" r:id="rId19"/>
          <w:pgSz w:w="11907" w:h="16839" w:code="9"/>
          <w:pgMar w:top="2836" w:right="1247" w:bottom="794" w:left="1247" w:header="454" w:footer="403" w:gutter="0"/>
          <w:pgNumType w:fmt="lowerRoman"/>
          <w:cols w:space="708"/>
          <w:titlePg/>
          <w:docGrid w:linePitch="360"/>
        </w:sectPr>
      </w:pPr>
    </w:p>
    <w:sdt>
      <w:sdtPr>
        <w:rPr>
          <w:rFonts w:ascii="Verdana" w:hAnsi="Verdana"/>
          <w:color w:val="auto"/>
        </w:rPr>
        <w:tag w:val="dlContents"/>
        <w:id w:val="418562"/>
        <w:placeholder>
          <w:docPart w:val="BA94794DEF7F4029AB4FE1A6383FEB6B"/>
        </w:placeholder>
        <w:dataBinding w:xpath="ns0:DataLabels[1]/ns0:dlContents[1]" w:storeItemID="{3B3BAEEE-A0B4-4F2A-9BE9-C33BE9212457}"/>
        <w:text/>
      </w:sdtPr>
      <w:sdtEndPr/>
      <w:sdtContent>
        <w:p w:rsidRPr="00FA3B4B" w:rsidR="00093CF7" w:rsidRDefault="00971541" w14:paraId="2D619834" w14:textId="0E8B263B">
          <w:pPr>
            <w:pStyle w:val="TOCHeading"/>
            <w:rPr>
              <w:rFonts w:ascii="Verdana" w:hAnsi="Verdana"/>
              <w:color w:val="auto"/>
              <w:sz w:val="18"/>
            </w:rPr>
          </w:pPr>
          <w:r w:rsidRPr="00FA3B4B">
            <w:rPr>
              <w:rFonts w:ascii="Verdana" w:hAnsi="Verdana"/>
              <w:color w:val="auto"/>
            </w:rPr>
            <w:t>Inhoud</w:t>
          </w:r>
        </w:p>
      </w:sdtContent>
    </w:sdt>
    <w:p w:rsidR="00BB7E2A" w:rsidRDefault="00F813DF" w14:paraId="25A0AAE5" w14:textId="1194C362">
      <w:pPr>
        <w:pStyle w:val="TOC1"/>
        <w:rPr>
          <w:rFonts w:asciiTheme="minorHAnsi" w:hAnsiTheme="minorHAnsi" w:cstheme="minorBidi"/>
          <w:b w:val="0"/>
          <w:noProof/>
          <w:kern w:val="2"/>
          <w:sz w:val="24"/>
          <w:szCs w:val="24"/>
          <w:lang w:eastAsia="nl-NL"/>
          <w14:ligatures w14:val="standardContextual"/>
        </w:rPr>
      </w:pPr>
      <w:r w:rsidRPr="00FA3B4B">
        <w:rPr>
          <w:b w:val="0"/>
          <w:bCs/>
          <w:noProof/>
          <w:sz w:val="18"/>
          <w:szCs w:val="18"/>
          <w:lang w:val="en-US"/>
        </w:rPr>
        <w:fldChar w:fldCharType="begin"/>
      </w:r>
      <w:r w:rsidRPr="00FA3B4B">
        <w:rPr>
          <w:b w:val="0"/>
          <w:bCs/>
          <w:noProof/>
          <w:sz w:val="18"/>
          <w:szCs w:val="18"/>
          <w:lang w:val="en-US"/>
        </w:rPr>
        <w:instrText xml:space="preserve"> TOC \o "1-2" \h \z \u </w:instrText>
      </w:r>
      <w:r w:rsidRPr="00FA3B4B">
        <w:rPr>
          <w:b w:val="0"/>
          <w:bCs/>
          <w:noProof/>
          <w:sz w:val="18"/>
          <w:szCs w:val="18"/>
          <w:lang w:val="en-US"/>
        </w:rPr>
        <w:fldChar w:fldCharType="separate"/>
      </w:r>
      <w:hyperlink w:history="1" w:anchor="_Toc240548236">
        <w:r w:rsidRPr="00AB3B44" w:rsidR="00BB7E2A">
          <w:rPr>
            <w:rStyle w:val="Hyperlink"/>
            <w:noProof/>
          </w:rPr>
          <w:t>1</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Inleiding</w:t>
        </w:r>
        <w:r w:rsidR="00BB7E2A">
          <w:rPr>
            <w:noProof/>
            <w:webHidden/>
          </w:rPr>
          <w:tab/>
        </w:r>
        <w:r w:rsidR="00BB7E2A">
          <w:rPr>
            <w:noProof/>
            <w:webHidden/>
          </w:rPr>
          <w:fldChar w:fldCharType="begin"/>
        </w:r>
        <w:r w:rsidR="00BB7E2A">
          <w:rPr>
            <w:noProof/>
            <w:webHidden/>
          </w:rPr>
          <w:instrText xml:space="preserve"> PAGEREF _Toc240548236 \h </w:instrText>
        </w:r>
        <w:r w:rsidR="00BB7E2A">
          <w:rPr>
            <w:noProof/>
            <w:webHidden/>
          </w:rPr>
        </w:r>
        <w:r w:rsidR="00BB7E2A">
          <w:rPr>
            <w:noProof/>
            <w:webHidden/>
          </w:rPr>
          <w:fldChar w:fldCharType="separate"/>
        </w:r>
        <w:r w:rsidR="00BB7E2A">
          <w:rPr>
            <w:noProof/>
            <w:webHidden/>
          </w:rPr>
          <w:t>2</w:t>
        </w:r>
        <w:r w:rsidR="00BB7E2A">
          <w:rPr>
            <w:noProof/>
            <w:webHidden/>
          </w:rPr>
          <w:fldChar w:fldCharType="end"/>
        </w:r>
      </w:hyperlink>
    </w:p>
    <w:p w:rsidR="00BB7E2A" w:rsidRDefault="00E54A17" w14:paraId="1FC8E7DD" w14:textId="2741975B">
      <w:pPr>
        <w:pStyle w:val="TOC2"/>
        <w:rPr>
          <w:rFonts w:asciiTheme="minorHAnsi" w:hAnsiTheme="minorHAnsi" w:cstheme="minorBidi"/>
          <w:noProof/>
          <w:kern w:val="2"/>
          <w:sz w:val="24"/>
          <w:szCs w:val="24"/>
          <w:lang w:eastAsia="nl-NL"/>
          <w14:ligatures w14:val="standardContextual"/>
        </w:rPr>
      </w:pPr>
      <w:hyperlink w:history="1" w:anchor="_Toc240548237">
        <w:r w:rsidRPr="00AB3B44" w:rsidR="00BB7E2A">
          <w:rPr>
            <w:rStyle w:val="Hyperlink"/>
            <w:noProof/>
          </w:rPr>
          <w:t>1.1</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Inleiding</w:t>
        </w:r>
        <w:r w:rsidR="00BB7E2A">
          <w:rPr>
            <w:noProof/>
            <w:webHidden/>
          </w:rPr>
          <w:tab/>
        </w:r>
        <w:r w:rsidR="00BB7E2A">
          <w:rPr>
            <w:noProof/>
            <w:webHidden/>
          </w:rPr>
          <w:fldChar w:fldCharType="begin"/>
        </w:r>
        <w:r w:rsidR="00BB7E2A">
          <w:rPr>
            <w:noProof/>
            <w:webHidden/>
          </w:rPr>
          <w:instrText xml:space="preserve"> PAGEREF _Toc240548237 \h </w:instrText>
        </w:r>
        <w:r w:rsidR="00BB7E2A">
          <w:rPr>
            <w:noProof/>
            <w:webHidden/>
          </w:rPr>
        </w:r>
        <w:r w:rsidR="00BB7E2A">
          <w:rPr>
            <w:noProof/>
            <w:webHidden/>
          </w:rPr>
          <w:fldChar w:fldCharType="separate"/>
        </w:r>
        <w:r w:rsidR="00BB7E2A">
          <w:rPr>
            <w:noProof/>
            <w:webHidden/>
          </w:rPr>
          <w:t>2</w:t>
        </w:r>
        <w:r w:rsidR="00BB7E2A">
          <w:rPr>
            <w:noProof/>
            <w:webHidden/>
          </w:rPr>
          <w:fldChar w:fldCharType="end"/>
        </w:r>
      </w:hyperlink>
    </w:p>
    <w:p w:rsidR="00BB7E2A" w:rsidRDefault="00E54A17" w14:paraId="7973D200" w14:textId="48F79253">
      <w:pPr>
        <w:pStyle w:val="TOC2"/>
        <w:rPr>
          <w:rFonts w:asciiTheme="minorHAnsi" w:hAnsiTheme="minorHAnsi" w:cstheme="minorBidi"/>
          <w:noProof/>
          <w:kern w:val="2"/>
          <w:sz w:val="24"/>
          <w:szCs w:val="24"/>
          <w:lang w:eastAsia="nl-NL"/>
          <w14:ligatures w14:val="standardContextual"/>
        </w:rPr>
      </w:pPr>
      <w:hyperlink w:history="1" w:anchor="_Toc240548238">
        <w:r w:rsidRPr="00AB3B44" w:rsidR="00BB7E2A">
          <w:rPr>
            <w:rStyle w:val="Hyperlink"/>
            <w:noProof/>
          </w:rPr>
          <w:t>1.2</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Wettelijke verankering</w:t>
        </w:r>
        <w:r w:rsidR="00BB7E2A">
          <w:rPr>
            <w:noProof/>
            <w:webHidden/>
          </w:rPr>
          <w:tab/>
        </w:r>
        <w:r w:rsidR="00BB7E2A">
          <w:rPr>
            <w:noProof/>
            <w:webHidden/>
          </w:rPr>
          <w:fldChar w:fldCharType="begin"/>
        </w:r>
        <w:r w:rsidR="00BB7E2A">
          <w:rPr>
            <w:noProof/>
            <w:webHidden/>
          </w:rPr>
          <w:instrText xml:space="preserve"> PAGEREF _Toc240548238 \h </w:instrText>
        </w:r>
        <w:r w:rsidR="00BB7E2A">
          <w:rPr>
            <w:noProof/>
            <w:webHidden/>
          </w:rPr>
        </w:r>
        <w:r w:rsidR="00BB7E2A">
          <w:rPr>
            <w:noProof/>
            <w:webHidden/>
          </w:rPr>
          <w:fldChar w:fldCharType="separate"/>
        </w:r>
        <w:r w:rsidR="00BB7E2A">
          <w:rPr>
            <w:noProof/>
            <w:webHidden/>
          </w:rPr>
          <w:t>2</w:t>
        </w:r>
        <w:r w:rsidR="00BB7E2A">
          <w:rPr>
            <w:noProof/>
            <w:webHidden/>
          </w:rPr>
          <w:fldChar w:fldCharType="end"/>
        </w:r>
      </w:hyperlink>
    </w:p>
    <w:p w:rsidR="00BB7E2A" w:rsidRDefault="00E54A17" w14:paraId="6B4C41D8" w14:textId="31A67CFE">
      <w:pPr>
        <w:pStyle w:val="TOC2"/>
        <w:rPr>
          <w:rFonts w:asciiTheme="minorHAnsi" w:hAnsiTheme="minorHAnsi" w:cstheme="minorBidi"/>
          <w:noProof/>
          <w:kern w:val="2"/>
          <w:sz w:val="24"/>
          <w:szCs w:val="24"/>
          <w:lang w:eastAsia="nl-NL"/>
          <w14:ligatures w14:val="standardContextual"/>
        </w:rPr>
      </w:pPr>
      <w:hyperlink w:history="1" w:anchor="_Toc240548239">
        <w:r w:rsidRPr="00AB3B44" w:rsidR="00BB7E2A">
          <w:rPr>
            <w:rStyle w:val="Hyperlink"/>
            <w:noProof/>
          </w:rPr>
          <w:t>1.3</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Leeswijzer</w:t>
        </w:r>
        <w:r w:rsidR="00BB7E2A">
          <w:rPr>
            <w:noProof/>
            <w:webHidden/>
          </w:rPr>
          <w:tab/>
        </w:r>
        <w:r w:rsidR="00BB7E2A">
          <w:rPr>
            <w:noProof/>
            <w:webHidden/>
          </w:rPr>
          <w:fldChar w:fldCharType="begin"/>
        </w:r>
        <w:r w:rsidR="00BB7E2A">
          <w:rPr>
            <w:noProof/>
            <w:webHidden/>
          </w:rPr>
          <w:instrText xml:space="preserve"> PAGEREF _Toc240548239 \h </w:instrText>
        </w:r>
        <w:r w:rsidR="00BB7E2A">
          <w:rPr>
            <w:noProof/>
            <w:webHidden/>
          </w:rPr>
        </w:r>
        <w:r w:rsidR="00BB7E2A">
          <w:rPr>
            <w:noProof/>
            <w:webHidden/>
          </w:rPr>
          <w:fldChar w:fldCharType="separate"/>
        </w:r>
        <w:r w:rsidR="00BB7E2A">
          <w:rPr>
            <w:noProof/>
            <w:webHidden/>
          </w:rPr>
          <w:t>4</w:t>
        </w:r>
        <w:r w:rsidR="00BB7E2A">
          <w:rPr>
            <w:noProof/>
            <w:webHidden/>
          </w:rPr>
          <w:fldChar w:fldCharType="end"/>
        </w:r>
      </w:hyperlink>
    </w:p>
    <w:p w:rsidR="00BB7E2A" w:rsidRDefault="00E54A17" w14:paraId="6786FD05" w14:textId="727BC021">
      <w:pPr>
        <w:pStyle w:val="TOC1"/>
        <w:rPr>
          <w:rFonts w:asciiTheme="minorHAnsi" w:hAnsiTheme="minorHAnsi" w:cstheme="minorBidi"/>
          <w:b w:val="0"/>
          <w:noProof/>
          <w:kern w:val="2"/>
          <w:sz w:val="24"/>
          <w:szCs w:val="24"/>
          <w:lang w:eastAsia="nl-NL"/>
          <w14:ligatures w14:val="standardContextual"/>
        </w:rPr>
      </w:pPr>
      <w:hyperlink w:history="1" w:anchor="_Toc240548240">
        <w:r w:rsidRPr="00AB3B44" w:rsidR="00BB7E2A">
          <w:rPr>
            <w:rStyle w:val="Hyperlink"/>
            <w:noProof/>
          </w:rPr>
          <w:t>2</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Geluid</w:t>
        </w:r>
        <w:r w:rsidR="00BB7E2A">
          <w:rPr>
            <w:noProof/>
            <w:webHidden/>
          </w:rPr>
          <w:tab/>
        </w:r>
        <w:r w:rsidR="00BB7E2A">
          <w:rPr>
            <w:noProof/>
            <w:webHidden/>
          </w:rPr>
          <w:fldChar w:fldCharType="begin"/>
        </w:r>
        <w:r w:rsidR="00BB7E2A">
          <w:rPr>
            <w:noProof/>
            <w:webHidden/>
          </w:rPr>
          <w:instrText xml:space="preserve"> PAGEREF _Toc240548240 \h </w:instrText>
        </w:r>
        <w:r w:rsidR="00BB7E2A">
          <w:rPr>
            <w:noProof/>
            <w:webHidden/>
          </w:rPr>
        </w:r>
        <w:r w:rsidR="00BB7E2A">
          <w:rPr>
            <w:noProof/>
            <w:webHidden/>
          </w:rPr>
          <w:fldChar w:fldCharType="separate"/>
        </w:r>
        <w:r w:rsidR="00BB7E2A">
          <w:rPr>
            <w:noProof/>
            <w:webHidden/>
          </w:rPr>
          <w:t>5</w:t>
        </w:r>
        <w:r w:rsidR="00BB7E2A">
          <w:rPr>
            <w:noProof/>
            <w:webHidden/>
          </w:rPr>
          <w:fldChar w:fldCharType="end"/>
        </w:r>
      </w:hyperlink>
    </w:p>
    <w:p w:rsidR="00BB7E2A" w:rsidRDefault="00E54A17" w14:paraId="40A584E7" w14:textId="19A2BCA8">
      <w:pPr>
        <w:pStyle w:val="TOC2"/>
        <w:rPr>
          <w:rFonts w:asciiTheme="minorHAnsi" w:hAnsiTheme="minorHAnsi" w:cstheme="minorBidi"/>
          <w:noProof/>
          <w:kern w:val="2"/>
          <w:sz w:val="24"/>
          <w:szCs w:val="24"/>
          <w:lang w:eastAsia="nl-NL"/>
          <w14:ligatures w14:val="standardContextual"/>
        </w:rPr>
      </w:pPr>
      <w:hyperlink w:history="1" w:anchor="_Toc240548241">
        <w:r w:rsidRPr="00AB3B44" w:rsidR="00BB7E2A">
          <w:rPr>
            <w:rStyle w:val="Hyperlink"/>
            <w:noProof/>
          </w:rPr>
          <w:t>2.1</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Breng geluid van taxiën in beeld</w:t>
        </w:r>
        <w:r w:rsidR="00BB7E2A">
          <w:rPr>
            <w:noProof/>
            <w:webHidden/>
          </w:rPr>
          <w:tab/>
        </w:r>
        <w:r w:rsidR="00BB7E2A">
          <w:rPr>
            <w:noProof/>
            <w:webHidden/>
          </w:rPr>
          <w:fldChar w:fldCharType="begin"/>
        </w:r>
        <w:r w:rsidR="00BB7E2A">
          <w:rPr>
            <w:noProof/>
            <w:webHidden/>
          </w:rPr>
          <w:instrText xml:space="preserve"> PAGEREF _Toc240548241 \h </w:instrText>
        </w:r>
        <w:r w:rsidR="00BB7E2A">
          <w:rPr>
            <w:noProof/>
            <w:webHidden/>
          </w:rPr>
        </w:r>
        <w:r w:rsidR="00BB7E2A">
          <w:rPr>
            <w:noProof/>
            <w:webHidden/>
          </w:rPr>
          <w:fldChar w:fldCharType="separate"/>
        </w:r>
        <w:r w:rsidR="00BB7E2A">
          <w:rPr>
            <w:noProof/>
            <w:webHidden/>
          </w:rPr>
          <w:t>5</w:t>
        </w:r>
        <w:r w:rsidR="00BB7E2A">
          <w:rPr>
            <w:noProof/>
            <w:webHidden/>
          </w:rPr>
          <w:fldChar w:fldCharType="end"/>
        </w:r>
      </w:hyperlink>
    </w:p>
    <w:p w:rsidR="00BB7E2A" w:rsidRDefault="00E54A17" w14:paraId="28E874D3" w14:textId="243DC02A">
      <w:pPr>
        <w:pStyle w:val="TOC2"/>
        <w:rPr>
          <w:rFonts w:asciiTheme="minorHAnsi" w:hAnsiTheme="minorHAnsi" w:cstheme="minorBidi"/>
          <w:noProof/>
          <w:kern w:val="2"/>
          <w:sz w:val="24"/>
          <w:szCs w:val="24"/>
          <w:lang w:eastAsia="nl-NL"/>
          <w14:ligatures w14:val="standardContextual"/>
        </w:rPr>
      </w:pPr>
      <w:hyperlink w:history="1" w:anchor="_Toc240548242">
        <w:r w:rsidRPr="00AB3B44" w:rsidR="00BB7E2A">
          <w:rPr>
            <w:rStyle w:val="Hyperlink"/>
            <w:noProof/>
          </w:rPr>
          <w:t>2.2</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Bereken cumulatie van geluidniveaus</w:t>
        </w:r>
        <w:r w:rsidR="00BB7E2A">
          <w:rPr>
            <w:noProof/>
            <w:webHidden/>
          </w:rPr>
          <w:tab/>
        </w:r>
        <w:r w:rsidR="00BB7E2A">
          <w:rPr>
            <w:noProof/>
            <w:webHidden/>
          </w:rPr>
          <w:fldChar w:fldCharType="begin"/>
        </w:r>
        <w:r w:rsidR="00BB7E2A">
          <w:rPr>
            <w:noProof/>
            <w:webHidden/>
          </w:rPr>
          <w:instrText xml:space="preserve"> PAGEREF _Toc240548242 \h </w:instrText>
        </w:r>
        <w:r w:rsidR="00BB7E2A">
          <w:rPr>
            <w:noProof/>
            <w:webHidden/>
          </w:rPr>
        </w:r>
        <w:r w:rsidR="00BB7E2A">
          <w:rPr>
            <w:noProof/>
            <w:webHidden/>
          </w:rPr>
          <w:fldChar w:fldCharType="separate"/>
        </w:r>
        <w:r w:rsidR="00BB7E2A">
          <w:rPr>
            <w:noProof/>
            <w:webHidden/>
          </w:rPr>
          <w:t>6</w:t>
        </w:r>
        <w:r w:rsidR="00BB7E2A">
          <w:rPr>
            <w:noProof/>
            <w:webHidden/>
          </w:rPr>
          <w:fldChar w:fldCharType="end"/>
        </w:r>
      </w:hyperlink>
    </w:p>
    <w:p w:rsidR="00BB7E2A" w:rsidRDefault="00E54A17" w14:paraId="78D6937F" w14:textId="0EDC5A04">
      <w:pPr>
        <w:pStyle w:val="TOC2"/>
        <w:rPr>
          <w:rFonts w:asciiTheme="minorHAnsi" w:hAnsiTheme="minorHAnsi" w:cstheme="minorBidi"/>
          <w:noProof/>
          <w:kern w:val="2"/>
          <w:sz w:val="24"/>
          <w:szCs w:val="24"/>
          <w:lang w:eastAsia="nl-NL"/>
          <w14:ligatures w14:val="standardContextual"/>
        </w:rPr>
      </w:pPr>
      <w:hyperlink w:history="1" w:anchor="_Toc240548243">
        <w:r w:rsidRPr="00AB3B44" w:rsidR="00BB7E2A">
          <w:rPr>
            <w:rStyle w:val="Hyperlink"/>
            <w:noProof/>
          </w:rPr>
          <w:t>2.3</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Pas de nieuwste blootstelling-responsrelaties toe</w:t>
        </w:r>
        <w:r w:rsidR="00BB7E2A">
          <w:rPr>
            <w:noProof/>
            <w:webHidden/>
          </w:rPr>
          <w:tab/>
        </w:r>
        <w:r w:rsidR="00BB7E2A">
          <w:rPr>
            <w:noProof/>
            <w:webHidden/>
          </w:rPr>
          <w:fldChar w:fldCharType="begin"/>
        </w:r>
        <w:r w:rsidR="00BB7E2A">
          <w:rPr>
            <w:noProof/>
            <w:webHidden/>
          </w:rPr>
          <w:instrText xml:space="preserve"> PAGEREF _Toc240548243 \h </w:instrText>
        </w:r>
        <w:r w:rsidR="00BB7E2A">
          <w:rPr>
            <w:noProof/>
            <w:webHidden/>
          </w:rPr>
        </w:r>
        <w:r w:rsidR="00BB7E2A">
          <w:rPr>
            <w:noProof/>
            <w:webHidden/>
          </w:rPr>
          <w:fldChar w:fldCharType="separate"/>
        </w:r>
        <w:r w:rsidR="00BB7E2A">
          <w:rPr>
            <w:noProof/>
            <w:webHidden/>
          </w:rPr>
          <w:t>6</w:t>
        </w:r>
        <w:r w:rsidR="00BB7E2A">
          <w:rPr>
            <w:noProof/>
            <w:webHidden/>
          </w:rPr>
          <w:fldChar w:fldCharType="end"/>
        </w:r>
      </w:hyperlink>
    </w:p>
    <w:p w:rsidR="00BB7E2A" w:rsidRDefault="00E54A17" w14:paraId="5AE56EF7" w14:textId="6623D4C1">
      <w:pPr>
        <w:pStyle w:val="TOC2"/>
        <w:rPr>
          <w:rFonts w:asciiTheme="minorHAnsi" w:hAnsiTheme="minorHAnsi" w:cstheme="minorBidi"/>
          <w:noProof/>
          <w:kern w:val="2"/>
          <w:sz w:val="24"/>
          <w:szCs w:val="24"/>
          <w:lang w:eastAsia="nl-NL"/>
          <w14:ligatures w14:val="standardContextual"/>
        </w:rPr>
      </w:pPr>
      <w:hyperlink w:history="1" w:anchor="_Toc240548244">
        <w:r w:rsidRPr="00AB3B44" w:rsidR="00BB7E2A">
          <w:rPr>
            <w:rStyle w:val="Hyperlink"/>
            <w:noProof/>
          </w:rPr>
          <w:t>2.4</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Breng routeafwijkingen Hillegersberg/Schiebroek in beeld</w:t>
        </w:r>
        <w:r w:rsidR="00BB7E2A">
          <w:rPr>
            <w:noProof/>
            <w:webHidden/>
          </w:rPr>
          <w:tab/>
        </w:r>
        <w:r w:rsidR="00BB7E2A">
          <w:rPr>
            <w:noProof/>
            <w:webHidden/>
          </w:rPr>
          <w:fldChar w:fldCharType="begin"/>
        </w:r>
        <w:r w:rsidR="00BB7E2A">
          <w:rPr>
            <w:noProof/>
            <w:webHidden/>
          </w:rPr>
          <w:instrText xml:space="preserve"> PAGEREF _Toc240548244 \h </w:instrText>
        </w:r>
        <w:r w:rsidR="00BB7E2A">
          <w:rPr>
            <w:noProof/>
            <w:webHidden/>
          </w:rPr>
        </w:r>
        <w:r w:rsidR="00BB7E2A">
          <w:rPr>
            <w:noProof/>
            <w:webHidden/>
          </w:rPr>
          <w:fldChar w:fldCharType="separate"/>
        </w:r>
        <w:r w:rsidR="00BB7E2A">
          <w:rPr>
            <w:noProof/>
            <w:webHidden/>
          </w:rPr>
          <w:t>7</w:t>
        </w:r>
        <w:r w:rsidR="00BB7E2A">
          <w:rPr>
            <w:noProof/>
            <w:webHidden/>
          </w:rPr>
          <w:fldChar w:fldCharType="end"/>
        </w:r>
      </w:hyperlink>
    </w:p>
    <w:p w:rsidR="00BB7E2A" w:rsidRDefault="00E54A17" w14:paraId="2EDECF13" w14:textId="00E2090E">
      <w:pPr>
        <w:pStyle w:val="TOC1"/>
        <w:rPr>
          <w:rFonts w:asciiTheme="minorHAnsi" w:hAnsiTheme="minorHAnsi" w:cstheme="minorBidi"/>
          <w:b w:val="0"/>
          <w:noProof/>
          <w:kern w:val="2"/>
          <w:sz w:val="24"/>
          <w:szCs w:val="24"/>
          <w:lang w:eastAsia="nl-NL"/>
          <w14:ligatures w14:val="standardContextual"/>
        </w:rPr>
      </w:pPr>
      <w:hyperlink w:history="1" w:anchor="_Toc240548245">
        <w:r w:rsidRPr="00AB3B44" w:rsidR="00BB7E2A">
          <w:rPr>
            <w:rStyle w:val="Hyperlink"/>
            <w:noProof/>
          </w:rPr>
          <w:t>3</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Veiligheid</w:t>
        </w:r>
        <w:r w:rsidR="00BB7E2A">
          <w:rPr>
            <w:noProof/>
            <w:webHidden/>
          </w:rPr>
          <w:tab/>
        </w:r>
        <w:r w:rsidR="00BB7E2A">
          <w:rPr>
            <w:noProof/>
            <w:webHidden/>
          </w:rPr>
          <w:fldChar w:fldCharType="begin"/>
        </w:r>
        <w:r w:rsidR="00BB7E2A">
          <w:rPr>
            <w:noProof/>
            <w:webHidden/>
          </w:rPr>
          <w:instrText xml:space="preserve"> PAGEREF _Toc240548245 \h </w:instrText>
        </w:r>
        <w:r w:rsidR="00BB7E2A">
          <w:rPr>
            <w:noProof/>
            <w:webHidden/>
          </w:rPr>
        </w:r>
        <w:r w:rsidR="00BB7E2A">
          <w:rPr>
            <w:noProof/>
            <w:webHidden/>
          </w:rPr>
          <w:fldChar w:fldCharType="separate"/>
        </w:r>
        <w:r w:rsidR="00BB7E2A">
          <w:rPr>
            <w:noProof/>
            <w:webHidden/>
          </w:rPr>
          <w:t>9</w:t>
        </w:r>
        <w:r w:rsidR="00BB7E2A">
          <w:rPr>
            <w:noProof/>
            <w:webHidden/>
          </w:rPr>
          <w:fldChar w:fldCharType="end"/>
        </w:r>
      </w:hyperlink>
    </w:p>
    <w:p w:rsidR="00BB7E2A" w:rsidRDefault="00E54A17" w14:paraId="34BAE179" w14:textId="6A0E1CD0">
      <w:pPr>
        <w:pStyle w:val="TOC2"/>
        <w:rPr>
          <w:rFonts w:asciiTheme="minorHAnsi" w:hAnsiTheme="minorHAnsi" w:cstheme="minorBidi"/>
          <w:noProof/>
          <w:kern w:val="2"/>
          <w:sz w:val="24"/>
          <w:szCs w:val="24"/>
          <w:lang w:eastAsia="nl-NL"/>
          <w14:ligatures w14:val="standardContextual"/>
        </w:rPr>
      </w:pPr>
      <w:hyperlink w:history="1" w:anchor="_Toc240548246">
        <w:r w:rsidRPr="00AB3B44" w:rsidR="00BB7E2A">
          <w:rPr>
            <w:rStyle w:val="Hyperlink"/>
            <w:noProof/>
          </w:rPr>
          <w:t>3.1</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Vliegveiligheid</w:t>
        </w:r>
        <w:r w:rsidR="00BB7E2A">
          <w:rPr>
            <w:noProof/>
            <w:webHidden/>
          </w:rPr>
          <w:tab/>
        </w:r>
        <w:r w:rsidR="00BB7E2A">
          <w:rPr>
            <w:noProof/>
            <w:webHidden/>
          </w:rPr>
          <w:fldChar w:fldCharType="begin"/>
        </w:r>
        <w:r w:rsidR="00BB7E2A">
          <w:rPr>
            <w:noProof/>
            <w:webHidden/>
          </w:rPr>
          <w:instrText xml:space="preserve"> PAGEREF _Toc240548246 \h </w:instrText>
        </w:r>
        <w:r w:rsidR="00BB7E2A">
          <w:rPr>
            <w:noProof/>
            <w:webHidden/>
          </w:rPr>
        </w:r>
        <w:r w:rsidR="00BB7E2A">
          <w:rPr>
            <w:noProof/>
            <w:webHidden/>
          </w:rPr>
          <w:fldChar w:fldCharType="separate"/>
        </w:r>
        <w:r w:rsidR="00BB7E2A">
          <w:rPr>
            <w:noProof/>
            <w:webHidden/>
          </w:rPr>
          <w:t>9</w:t>
        </w:r>
        <w:r w:rsidR="00BB7E2A">
          <w:rPr>
            <w:noProof/>
            <w:webHidden/>
          </w:rPr>
          <w:fldChar w:fldCharType="end"/>
        </w:r>
      </w:hyperlink>
    </w:p>
    <w:p w:rsidR="00BB7E2A" w:rsidRDefault="00E54A17" w14:paraId="0068A312" w14:textId="1932F017">
      <w:pPr>
        <w:pStyle w:val="TOC2"/>
        <w:rPr>
          <w:rFonts w:asciiTheme="minorHAnsi" w:hAnsiTheme="minorHAnsi" w:cstheme="minorBidi"/>
          <w:noProof/>
          <w:kern w:val="2"/>
          <w:sz w:val="24"/>
          <w:szCs w:val="24"/>
          <w:lang w:eastAsia="nl-NL"/>
          <w14:ligatures w14:val="standardContextual"/>
        </w:rPr>
      </w:pPr>
      <w:hyperlink w:history="1" w:anchor="_Toc240548247">
        <w:r w:rsidRPr="00AB3B44" w:rsidR="00BB7E2A">
          <w:rPr>
            <w:rStyle w:val="Hyperlink"/>
            <w:noProof/>
          </w:rPr>
          <w:t>3.2</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Externe Veiligheid</w:t>
        </w:r>
        <w:r w:rsidR="00BB7E2A">
          <w:rPr>
            <w:noProof/>
            <w:webHidden/>
          </w:rPr>
          <w:tab/>
        </w:r>
        <w:r w:rsidR="00BB7E2A">
          <w:rPr>
            <w:noProof/>
            <w:webHidden/>
          </w:rPr>
          <w:fldChar w:fldCharType="begin"/>
        </w:r>
        <w:r w:rsidR="00BB7E2A">
          <w:rPr>
            <w:noProof/>
            <w:webHidden/>
          </w:rPr>
          <w:instrText xml:space="preserve"> PAGEREF _Toc240548247 \h </w:instrText>
        </w:r>
        <w:r w:rsidR="00BB7E2A">
          <w:rPr>
            <w:noProof/>
            <w:webHidden/>
          </w:rPr>
        </w:r>
        <w:r w:rsidR="00BB7E2A">
          <w:rPr>
            <w:noProof/>
            <w:webHidden/>
          </w:rPr>
          <w:fldChar w:fldCharType="separate"/>
        </w:r>
        <w:r w:rsidR="00BB7E2A">
          <w:rPr>
            <w:noProof/>
            <w:webHidden/>
          </w:rPr>
          <w:t>10</w:t>
        </w:r>
        <w:r w:rsidR="00BB7E2A">
          <w:rPr>
            <w:noProof/>
            <w:webHidden/>
          </w:rPr>
          <w:fldChar w:fldCharType="end"/>
        </w:r>
      </w:hyperlink>
    </w:p>
    <w:p w:rsidR="00BB7E2A" w:rsidRDefault="00E54A17" w14:paraId="4944A149" w14:textId="4A1859A7">
      <w:pPr>
        <w:pStyle w:val="TOC1"/>
        <w:rPr>
          <w:rFonts w:asciiTheme="minorHAnsi" w:hAnsiTheme="minorHAnsi" w:cstheme="minorBidi"/>
          <w:b w:val="0"/>
          <w:noProof/>
          <w:kern w:val="2"/>
          <w:sz w:val="24"/>
          <w:szCs w:val="24"/>
          <w:lang w:eastAsia="nl-NL"/>
          <w14:ligatures w14:val="standardContextual"/>
        </w:rPr>
      </w:pPr>
      <w:hyperlink w:history="1" w:anchor="_Toc240548248">
        <w:r w:rsidRPr="00AB3B44" w:rsidR="00BB7E2A">
          <w:rPr>
            <w:rStyle w:val="Hyperlink"/>
            <w:noProof/>
          </w:rPr>
          <w:t>4</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Relatie besluit en onderzoek milieueffecten</w:t>
        </w:r>
        <w:r w:rsidR="00BB7E2A">
          <w:rPr>
            <w:noProof/>
            <w:webHidden/>
          </w:rPr>
          <w:tab/>
        </w:r>
        <w:r w:rsidR="00BB7E2A">
          <w:rPr>
            <w:noProof/>
            <w:webHidden/>
          </w:rPr>
          <w:fldChar w:fldCharType="begin"/>
        </w:r>
        <w:r w:rsidR="00BB7E2A">
          <w:rPr>
            <w:noProof/>
            <w:webHidden/>
          </w:rPr>
          <w:instrText xml:space="preserve"> PAGEREF _Toc240548248 \h </w:instrText>
        </w:r>
        <w:r w:rsidR="00BB7E2A">
          <w:rPr>
            <w:noProof/>
            <w:webHidden/>
          </w:rPr>
        </w:r>
        <w:r w:rsidR="00BB7E2A">
          <w:rPr>
            <w:noProof/>
            <w:webHidden/>
          </w:rPr>
          <w:fldChar w:fldCharType="separate"/>
        </w:r>
        <w:r w:rsidR="00BB7E2A">
          <w:rPr>
            <w:noProof/>
            <w:webHidden/>
          </w:rPr>
          <w:t>11</w:t>
        </w:r>
        <w:r w:rsidR="00BB7E2A">
          <w:rPr>
            <w:noProof/>
            <w:webHidden/>
          </w:rPr>
          <w:fldChar w:fldCharType="end"/>
        </w:r>
      </w:hyperlink>
    </w:p>
    <w:p w:rsidR="00BB7E2A" w:rsidRDefault="00E54A17" w14:paraId="68EC4CC1" w14:textId="26E3F7A8">
      <w:pPr>
        <w:pStyle w:val="TOC2"/>
        <w:rPr>
          <w:rFonts w:asciiTheme="minorHAnsi" w:hAnsiTheme="minorHAnsi" w:cstheme="minorBidi"/>
          <w:noProof/>
          <w:kern w:val="2"/>
          <w:sz w:val="24"/>
          <w:szCs w:val="24"/>
          <w:lang w:eastAsia="nl-NL"/>
          <w14:ligatures w14:val="standardContextual"/>
        </w:rPr>
      </w:pPr>
      <w:hyperlink w:history="1" w:anchor="_Toc240548249">
        <w:r w:rsidRPr="00AB3B44" w:rsidR="00BB7E2A">
          <w:rPr>
            <w:rStyle w:val="Hyperlink"/>
            <w:noProof/>
          </w:rPr>
          <w:t>4.1</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Vlootsamenstelling en mogelijke invloed op stikstofdepositie</w:t>
        </w:r>
        <w:r w:rsidR="00BB7E2A">
          <w:rPr>
            <w:noProof/>
            <w:webHidden/>
          </w:rPr>
          <w:tab/>
        </w:r>
        <w:r w:rsidR="00BB7E2A">
          <w:rPr>
            <w:noProof/>
            <w:webHidden/>
          </w:rPr>
          <w:fldChar w:fldCharType="begin"/>
        </w:r>
        <w:r w:rsidR="00BB7E2A">
          <w:rPr>
            <w:noProof/>
            <w:webHidden/>
          </w:rPr>
          <w:instrText xml:space="preserve"> PAGEREF _Toc240548249 \h </w:instrText>
        </w:r>
        <w:r w:rsidR="00BB7E2A">
          <w:rPr>
            <w:noProof/>
            <w:webHidden/>
          </w:rPr>
        </w:r>
        <w:r w:rsidR="00BB7E2A">
          <w:rPr>
            <w:noProof/>
            <w:webHidden/>
          </w:rPr>
          <w:fldChar w:fldCharType="separate"/>
        </w:r>
        <w:r w:rsidR="00BB7E2A">
          <w:rPr>
            <w:noProof/>
            <w:webHidden/>
          </w:rPr>
          <w:t>11</w:t>
        </w:r>
        <w:r w:rsidR="00BB7E2A">
          <w:rPr>
            <w:noProof/>
            <w:webHidden/>
          </w:rPr>
          <w:fldChar w:fldCharType="end"/>
        </w:r>
      </w:hyperlink>
    </w:p>
    <w:p w:rsidR="00BB7E2A" w:rsidRDefault="00E54A17" w14:paraId="4C496B2B" w14:textId="396BBA04">
      <w:pPr>
        <w:pStyle w:val="TOC2"/>
        <w:rPr>
          <w:rFonts w:asciiTheme="minorHAnsi" w:hAnsiTheme="minorHAnsi" w:cstheme="minorBidi"/>
          <w:noProof/>
          <w:kern w:val="2"/>
          <w:sz w:val="24"/>
          <w:szCs w:val="24"/>
          <w:lang w:eastAsia="nl-NL"/>
          <w14:ligatures w14:val="standardContextual"/>
        </w:rPr>
      </w:pPr>
      <w:hyperlink w:history="1" w:anchor="_Toc240548250">
        <w:r w:rsidRPr="00AB3B44" w:rsidR="00BB7E2A">
          <w:rPr>
            <w:rStyle w:val="Hyperlink"/>
            <w:noProof/>
          </w:rPr>
          <w:t>4.2</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Geluidseffecten kleine luchtvaart</w:t>
        </w:r>
        <w:r w:rsidR="00BB7E2A">
          <w:rPr>
            <w:noProof/>
            <w:webHidden/>
          </w:rPr>
          <w:tab/>
        </w:r>
        <w:r w:rsidR="00BB7E2A">
          <w:rPr>
            <w:noProof/>
            <w:webHidden/>
          </w:rPr>
          <w:fldChar w:fldCharType="begin"/>
        </w:r>
        <w:r w:rsidR="00BB7E2A">
          <w:rPr>
            <w:noProof/>
            <w:webHidden/>
          </w:rPr>
          <w:instrText xml:space="preserve"> PAGEREF _Toc240548250 \h </w:instrText>
        </w:r>
        <w:r w:rsidR="00BB7E2A">
          <w:rPr>
            <w:noProof/>
            <w:webHidden/>
          </w:rPr>
        </w:r>
        <w:r w:rsidR="00BB7E2A">
          <w:rPr>
            <w:noProof/>
            <w:webHidden/>
          </w:rPr>
          <w:fldChar w:fldCharType="separate"/>
        </w:r>
        <w:r w:rsidR="00BB7E2A">
          <w:rPr>
            <w:noProof/>
            <w:webHidden/>
          </w:rPr>
          <w:t>12</w:t>
        </w:r>
        <w:r w:rsidR="00BB7E2A">
          <w:rPr>
            <w:noProof/>
            <w:webHidden/>
          </w:rPr>
          <w:fldChar w:fldCharType="end"/>
        </w:r>
      </w:hyperlink>
    </w:p>
    <w:p w:rsidR="00BB7E2A" w:rsidRDefault="00E54A17" w14:paraId="37A12F68" w14:textId="510DEA43">
      <w:pPr>
        <w:pStyle w:val="TOC2"/>
        <w:rPr>
          <w:rFonts w:asciiTheme="minorHAnsi" w:hAnsiTheme="minorHAnsi" w:cstheme="minorBidi"/>
          <w:noProof/>
          <w:kern w:val="2"/>
          <w:sz w:val="24"/>
          <w:szCs w:val="24"/>
          <w:lang w:eastAsia="nl-NL"/>
          <w14:ligatures w14:val="standardContextual"/>
        </w:rPr>
      </w:pPr>
      <w:hyperlink w:history="1" w:anchor="_Toc240548251">
        <w:r w:rsidRPr="00AB3B44" w:rsidR="00BB7E2A">
          <w:rPr>
            <w:rStyle w:val="Hyperlink"/>
            <w:noProof/>
          </w:rPr>
          <w:t>4.3</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Relatie tussen contouren mer en LHB</w:t>
        </w:r>
        <w:r w:rsidR="00BB7E2A">
          <w:rPr>
            <w:noProof/>
            <w:webHidden/>
          </w:rPr>
          <w:tab/>
        </w:r>
        <w:r w:rsidR="00BB7E2A">
          <w:rPr>
            <w:noProof/>
            <w:webHidden/>
          </w:rPr>
          <w:fldChar w:fldCharType="begin"/>
        </w:r>
        <w:r w:rsidR="00BB7E2A">
          <w:rPr>
            <w:noProof/>
            <w:webHidden/>
          </w:rPr>
          <w:instrText xml:space="preserve"> PAGEREF _Toc240548251 \h </w:instrText>
        </w:r>
        <w:r w:rsidR="00BB7E2A">
          <w:rPr>
            <w:noProof/>
            <w:webHidden/>
          </w:rPr>
        </w:r>
        <w:r w:rsidR="00BB7E2A">
          <w:rPr>
            <w:noProof/>
            <w:webHidden/>
          </w:rPr>
          <w:fldChar w:fldCharType="separate"/>
        </w:r>
        <w:r w:rsidR="00BB7E2A">
          <w:rPr>
            <w:noProof/>
            <w:webHidden/>
          </w:rPr>
          <w:t>12</w:t>
        </w:r>
        <w:r w:rsidR="00BB7E2A">
          <w:rPr>
            <w:noProof/>
            <w:webHidden/>
          </w:rPr>
          <w:fldChar w:fldCharType="end"/>
        </w:r>
      </w:hyperlink>
    </w:p>
    <w:p w:rsidR="00BB7E2A" w:rsidRDefault="00E54A17" w14:paraId="3DA47A01" w14:textId="5B499D95">
      <w:pPr>
        <w:pStyle w:val="TOC1"/>
        <w:rPr>
          <w:rFonts w:asciiTheme="minorHAnsi" w:hAnsiTheme="minorHAnsi" w:cstheme="minorBidi"/>
          <w:b w:val="0"/>
          <w:noProof/>
          <w:kern w:val="2"/>
          <w:sz w:val="24"/>
          <w:szCs w:val="24"/>
          <w:lang w:eastAsia="nl-NL"/>
          <w14:ligatures w14:val="standardContextual"/>
        </w:rPr>
      </w:pPr>
      <w:hyperlink w:history="1" w:anchor="_Toc240548252">
        <w:r w:rsidRPr="00AB3B44" w:rsidR="00BB7E2A">
          <w:rPr>
            <w:rStyle w:val="Hyperlink"/>
            <w:noProof/>
          </w:rPr>
          <w:t>5</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Monitoring en evaluatie</w:t>
        </w:r>
        <w:r w:rsidR="00BB7E2A">
          <w:rPr>
            <w:noProof/>
            <w:webHidden/>
          </w:rPr>
          <w:tab/>
        </w:r>
        <w:r w:rsidR="00BB7E2A">
          <w:rPr>
            <w:noProof/>
            <w:webHidden/>
          </w:rPr>
          <w:fldChar w:fldCharType="begin"/>
        </w:r>
        <w:r w:rsidR="00BB7E2A">
          <w:rPr>
            <w:noProof/>
            <w:webHidden/>
          </w:rPr>
          <w:instrText xml:space="preserve"> PAGEREF _Toc240548252 \h </w:instrText>
        </w:r>
        <w:r w:rsidR="00BB7E2A">
          <w:rPr>
            <w:noProof/>
            <w:webHidden/>
          </w:rPr>
        </w:r>
        <w:r w:rsidR="00BB7E2A">
          <w:rPr>
            <w:noProof/>
            <w:webHidden/>
          </w:rPr>
          <w:fldChar w:fldCharType="separate"/>
        </w:r>
        <w:r w:rsidR="00BB7E2A">
          <w:rPr>
            <w:noProof/>
            <w:webHidden/>
          </w:rPr>
          <w:t>14</w:t>
        </w:r>
        <w:r w:rsidR="00BB7E2A">
          <w:rPr>
            <w:noProof/>
            <w:webHidden/>
          </w:rPr>
          <w:fldChar w:fldCharType="end"/>
        </w:r>
      </w:hyperlink>
    </w:p>
    <w:p w:rsidR="00BB7E2A" w:rsidRDefault="00E54A17" w14:paraId="69E94E4E" w14:textId="5CBDA754">
      <w:pPr>
        <w:pStyle w:val="TOC1"/>
        <w:rPr>
          <w:rFonts w:asciiTheme="minorHAnsi" w:hAnsiTheme="minorHAnsi" w:cstheme="minorBidi"/>
          <w:b w:val="0"/>
          <w:noProof/>
          <w:kern w:val="2"/>
          <w:sz w:val="24"/>
          <w:szCs w:val="24"/>
          <w:lang w:eastAsia="nl-NL"/>
          <w14:ligatures w14:val="standardContextual"/>
        </w:rPr>
      </w:pPr>
      <w:hyperlink w:history="1" w:anchor="_Toc240548253">
        <w:r w:rsidRPr="00AB3B44" w:rsidR="00BB7E2A">
          <w:rPr>
            <w:rStyle w:val="Hyperlink"/>
            <w:noProof/>
          </w:rPr>
          <w:t>6</w:t>
        </w:r>
        <w:r w:rsidR="00BB7E2A">
          <w:rPr>
            <w:rFonts w:asciiTheme="minorHAnsi" w:hAnsiTheme="minorHAnsi" w:cstheme="minorBidi"/>
            <w:b w:val="0"/>
            <w:noProof/>
            <w:kern w:val="2"/>
            <w:sz w:val="24"/>
            <w:szCs w:val="24"/>
            <w:lang w:eastAsia="nl-NL"/>
            <w14:ligatures w14:val="standardContextual"/>
          </w:rPr>
          <w:tab/>
        </w:r>
        <w:r w:rsidRPr="00AB3B44" w:rsidR="00BB7E2A">
          <w:rPr>
            <w:rStyle w:val="Hyperlink"/>
            <w:noProof/>
          </w:rPr>
          <w:t>Overige informatie</w:t>
        </w:r>
        <w:r w:rsidR="00BB7E2A">
          <w:rPr>
            <w:noProof/>
            <w:webHidden/>
          </w:rPr>
          <w:tab/>
        </w:r>
        <w:r w:rsidR="00BB7E2A">
          <w:rPr>
            <w:noProof/>
            <w:webHidden/>
          </w:rPr>
          <w:fldChar w:fldCharType="begin"/>
        </w:r>
        <w:r w:rsidR="00BB7E2A">
          <w:rPr>
            <w:noProof/>
            <w:webHidden/>
          </w:rPr>
          <w:instrText xml:space="preserve"> PAGEREF _Toc240548253 \h </w:instrText>
        </w:r>
        <w:r w:rsidR="00BB7E2A">
          <w:rPr>
            <w:noProof/>
            <w:webHidden/>
          </w:rPr>
        </w:r>
        <w:r w:rsidR="00BB7E2A">
          <w:rPr>
            <w:noProof/>
            <w:webHidden/>
          </w:rPr>
          <w:fldChar w:fldCharType="separate"/>
        </w:r>
        <w:r w:rsidR="00BB7E2A">
          <w:rPr>
            <w:noProof/>
            <w:webHidden/>
          </w:rPr>
          <w:t>15</w:t>
        </w:r>
        <w:r w:rsidR="00BB7E2A">
          <w:rPr>
            <w:noProof/>
            <w:webHidden/>
          </w:rPr>
          <w:fldChar w:fldCharType="end"/>
        </w:r>
      </w:hyperlink>
    </w:p>
    <w:p w:rsidR="00BB7E2A" w:rsidRDefault="00E54A17" w14:paraId="366DED4A" w14:textId="28B53D86">
      <w:pPr>
        <w:pStyle w:val="TOC2"/>
        <w:rPr>
          <w:rFonts w:asciiTheme="minorHAnsi" w:hAnsiTheme="minorHAnsi" w:cstheme="minorBidi"/>
          <w:noProof/>
          <w:kern w:val="2"/>
          <w:sz w:val="24"/>
          <w:szCs w:val="24"/>
          <w:lang w:eastAsia="nl-NL"/>
          <w14:ligatures w14:val="standardContextual"/>
        </w:rPr>
      </w:pPr>
      <w:hyperlink w:history="1" w:anchor="_Toc240548254">
        <w:r w:rsidRPr="00AB3B44" w:rsidR="00BB7E2A">
          <w:rPr>
            <w:rStyle w:val="Hyperlink"/>
            <w:noProof/>
          </w:rPr>
          <w:t>6.1</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(Potentieel) Zeer Zorgwekkende Stoffen</w:t>
        </w:r>
        <w:r w:rsidR="00BB7E2A">
          <w:rPr>
            <w:noProof/>
            <w:webHidden/>
          </w:rPr>
          <w:tab/>
        </w:r>
        <w:r w:rsidR="00BB7E2A">
          <w:rPr>
            <w:noProof/>
            <w:webHidden/>
          </w:rPr>
          <w:fldChar w:fldCharType="begin"/>
        </w:r>
        <w:r w:rsidR="00BB7E2A">
          <w:rPr>
            <w:noProof/>
            <w:webHidden/>
          </w:rPr>
          <w:instrText xml:space="preserve"> PAGEREF _Toc240548254 \h </w:instrText>
        </w:r>
        <w:r w:rsidR="00BB7E2A">
          <w:rPr>
            <w:noProof/>
            <w:webHidden/>
          </w:rPr>
        </w:r>
        <w:r w:rsidR="00BB7E2A">
          <w:rPr>
            <w:noProof/>
            <w:webHidden/>
          </w:rPr>
          <w:fldChar w:fldCharType="separate"/>
        </w:r>
        <w:r w:rsidR="00BB7E2A">
          <w:rPr>
            <w:noProof/>
            <w:webHidden/>
          </w:rPr>
          <w:t>15</w:t>
        </w:r>
        <w:r w:rsidR="00BB7E2A">
          <w:rPr>
            <w:noProof/>
            <w:webHidden/>
          </w:rPr>
          <w:fldChar w:fldCharType="end"/>
        </w:r>
      </w:hyperlink>
    </w:p>
    <w:p w:rsidR="00BB7E2A" w:rsidRDefault="00E54A17" w14:paraId="3234F963" w14:textId="1FCFA5DB">
      <w:pPr>
        <w:pStyle w:val="TOC2"/>
        <w:rPr>
          <w:rFonts w:asciiTheme="minorHAnsi" w:hAnsiTheme="minorHAnsi" w:cstheme="minorBidi"/>
          <w:noProof/>
          <w:kern w:val="2"/>
          <w:sz w:val="24"/>
          <w:szCs w:val="24"/>
          <w:lang w:eastAsia="nl-NL"/>
          <w14:ligatures w14:val="standardContextual"/>
        </w:rPr>
      </w:pPr>
      <w:hyperlink w:history="1" w:anchor="_Toc240548255">
        <w:r w:rsidRPr="00AB3B44" w:rsidR="00BB7E2A">
          <w:rPr>
            <w:rStyle w:val="Hyperlink"/>
            <w:noProof/>
          </w:rPr>
          <w:t>6.2</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Stikstofdepositie</w:t>
        </w:r>
        <w:r w:rsidR="00BB7E2A">
          <w:rPr>
            <w:noProof/>
            <w:webHidden/>
          </w:rPr>
          <w:tab/>
        </w:r>
        <w:r w:rsidR="00BB7E2A">
          <w:rPr>
            <w:noProof/>
            <w:webHidden/>
          </w:rPr>
          <w:fldChar w:fldCharType="begin"/>
        </w:r>
        <w:r w:rsidR="00BB7E2A">
          <w:rPr>
            <w:noProof/>
            <w:webHidden/>
          </w:rPr>
          <w:instrText xml:space="preserve"> PAGEREF _Toc240548255 \h </w:instrText>
        </w:r>
        <w:r w:rsidR="00BB7E2A">
          <w:rPr>
            <w:noProof/>
            <w:webHidden/>
          </w:rPr>
        </w:r>
        <w:r w:rsidR="00BB7E2A">
          <w:rPr>
            <w:noProof/>
            <w:webHidden/>
          </w:rPr>
          <w:fldChar w:fldCharType="separate"/>
        </w:r>
        <w:r w:rsidR="00BB7E2A">
          <w:rPr>
            <w:noProof/>
            <w:webHidden/>
          </w:rPr>
          <w:t>15</w:t>
        </w:r>
        <w:r w:rsidR="00BB7E2A">
          <w:rPr>
            <w:noProof/>
            <w:webHidden/>
          </w:rPr>
          <w:fldChar w:fldCharType="end"/>
        </w:r>
      </w:hyperlink>
    </w:p>
    <w:p w:rsidR="00BB7E2A" w:rsidRDefault="00E54A17" w14:paraId="35502C13" w14:textId="1E40482B">
      <w:pPr>
        <w:pStyle w:val="TOC2"/>
        <w:rPr>
          <w:rFonts w:asciiTheme="minorHAnsi" w:hAnsiTheme="minorHAnsi" w:cstheme="minorBidi"/>
          <w:noProof/>
          <w:kern w:val="2"/>
          <w:sz w:val="24"/>
          <w:szCs w:val="24"/>
          <w:lang w:eastAsia="nl-NL"/>
          <w14:ligatures w14:val="standardContextual"/>
        </w:rPr>
      </w:pPr>
      <w:hyperlink w:history="1" w:anchor="_Toc240548256">
        <w:r w:rsidRPr="00AB3B44" w:rsidR="00BB7E2A">
          <w:rPr>
            <w:rStyle w:val="Hyperlink"/>
            <w:noProof/>
          </w:rPr>
          <w:t>6.3</w:t>
        </w:r>
        <w:r w:rsidR="00BB7E2A">
          <w:rPr>
            <w:rFonts w:asciiTheme="minorHAnsi" w:hAnsiTheme="minorHAnsi" w:cstheme="minorBidi"/>
            <w:noProof/>
            <w:kern w:val="2"/>
            <w:sz w:val="24"/>
            <w:szCs w:val="24"/>
            <w:lang w:eastAsia="nl-NL"/>
            <w14:ligatures w14:val="standardContextual"/>
          </w:rPr>
          <w:tab/>
        </w:r>
        <w:r w:rsidRPr="00AB3B44" w:rsidR="00BB7E2A">
          <w:rPr>
            <w:rStyle w:val="Hyperlink"/>
            <w:noProof/>
          </w:rPr>
          <w:t>Vergelijkingskaarten</w:t>
        </w:r>
        <w:r w:rsidR="00BB7E2A">
          <w:rPr>
            <w:noProof/>
            <w:webHidden/>
          </w:rPr>
          <w:tab/>
        </w:r>
        <w:r w:rsidR="00BB7E2A">
          <w:rPr>
            <w:noProof/>
            <w:webHidden/>
          </w:rPr>
          <w:fldChar w:fldCharType="begin"/>
        </w:r>
        <w:r w:rsidR="00BB7E2A">
          <w:rPr>
            <w:noProof/>
            <w:webHidden/>
          </w:rPr>
          <w:instrText xml:space="preserve"> PAGEREF _Toc240548256 \h </w:instrText>
        </w:r>
        <w:r w:rsidR="00BB7E2A">
          <w:rPr>
            <w:noProof/>
            <w:webHidden/>
          </w:rPr>
        </w:r>
        <w:r w:rsidR="00BB7E2A">
          <w:rPr>
            <w:noProof/>
            <w:webHidden/>
          </w:rPr>
          <w:fldChar w:fldCharType="separate"/>
        </w:r>
        <w:r w:rsidR="00BB7E2A">
          <w:rPr>
            <w:noProof/>
            <w:webHidden/>
          </w:rPr>
          <w:t>15</w:t>
        </w:r>
        <w:r w:rsidR="00BB7E2A">
          <w:rPr>
            <w:noProof/>
            <w:webHidden/>
          </w:rPr>
          <w:fldChar w:fldCharType="end"/>
        </w:r>
      </w:hyperlink>
    </w:p>
    <w:p w:rsidRPr="00FA3B4B" w:rsidR="00093CF7" w:rsidP="00601A9B" w:rsidRDefault="00F813DF" w14:paraId="1A3850F6" w14:textId="5FB797F6">
      <w:pPr>
        <w:pStyle w:val="TOC1"/>
        <w:rPr>
          <w:sz w:val="18"/>
        </w:rPr>
      </w:pPr>
      <w:r w:rsidRPr="00FA3B4B">
        <w:rPr>
          <w:b w:val="0"/>
          <w:bCs/>
          <w:noProof/>
          <w:sz w:val="18"/>
          <w:szCs w:val="18"/>
          <w:lang w:val="en-US"/>
        </w:rPr>
        <w:fldChar w:fldCharType="end"/>
      </w:r>
    </w:p>
    <w:p w:rsidRPr="00FA3B4B" w:rsidR="00093CF7" w:rsidRDefault="00093CF7" w14:paraId="7D86BCCA" w14:textId="77777777">
      <w:pPr>
        <w:rPr>
          <w:rFonts w:ascii="Verdana" w:hAnsi="Verdana"/>
          <w:color w:val="auto"/>
          <w:sz w:val="18"/>
        </w:rPr>
        <w:sectPr w:rsidRPr="00FA3B4B" w:rsidR="00093CF7" w:rsidSect="00C5736D">
          <w:footerReference w:type="default" r:id="rId20"/>
          <w:pgSz w:w="11907" w:h="16839" w:code="9"/>
          <w:pgMar w:top="2381" w:right="1247" w:bottom="1247" w:left="1247" w:header="454" w:footer="403" w:gutter="0"/>
          <w:pgNumType w:fmt="lowerRoman"/>
          <w:cols w:space="708"/>
          <w:docGrid w:linePitch="360"/>
        </w:sectPr>
      </w:pPr>
    </w:p>
    <w:p w:rsidRPr="00514229" w:rsidR="00B63036" w:rsidP="00B63036" w:rsidRDefault="00B63036" w14:paraId="679AD457" w14:textId="46CF79F3">
      <w:pPr>
        <w:pStyle w:val="AppendixHeading"/>
        <w:rPr>
          <w:rFonts w:ascii="Verdana" w:hAnsi="Verdana"/>
          <w:color w:val="auto"/>
          <w:sz w:val="28"/>
          <w:szCs w:val="28"/>
          <w:lang w:val="nl-NL"/>
        </w:rPr>
      </w:pPr>
      <w:bookmarkStart w:name="_Toc130551018" w:id="2"/>
      <w:r w:rsidRPr="00514229">
        <w:rPr>
          <w:rFonts w:ascii="Verdana" w:hAnsi="Verdana"/>
          <w:color w:val="auto"/>
          <w:sz w:val="28"/>
          <w:szCs w:val="28"/>
          <w:lang w:val="nl-NL"/>
        </w:rPr>
        <w:t>Samenvatting</w:t>
      </w:r>
      <w:bookmarkEnd w:id="2"/>
    </w:p>
    <w:p w:rsidRPr="009654D8" w:rsidR="00D54E2F" w:rsidP="00D54E2F" w:rsidRDefault="00D54E2F" w14:paraId="60BE4E18" w14:textId="59207FF7">
      <w:pPr>
        <w:rPr>
          <w:rFonts w:ascii="Verdana" w:hAnsi="Verdana"/>
          <w:color w:val="auto"/>
          <w:sz w:val="18"/>
        </w:rPr>
      </w:pPr>
      <w:r w:rsidRPr="009654D8">
        <w:rPr>
          <w:rFonts w:ascii="Verdana" w:hAnsi="Verdana"/>
          <w:color w:val="auto"/>
          <w:sz w:val="18"/>
        </w:rPr>
        <w:t>De luchthaven Rotterdam The Hague Airport (</w:t>
      </w:r>
      <w:r w:rsidRPr="009654D8" w:rsidR="009654D8">
        <w:rPr>
          <w:rFonts w:ascii="Verdana" w:hAnsi="Verdana"/>
          <w:color w:val="auto"/>
          <w:sz w:val="18"/>
        </w:rPr>
        <w:t xml:space="preserve">hierna: </w:t>
      </w:r>
      <w:r w:rsidRPr="009654D8">
        <w:rPr>
          <w:rFonts w:ascii="Verdana" w:hAnsi="Verdana"/>
          <w:color w:val="auto"/>
          <w:sz w:val="18"/>
        </w:rPr>
        <w:t xml:space="preserve">RTHA) heeft op </w:t>
      </w:r>
      <w:r w:rsidR="009953DD">
        <w:rPr>
          <w:rFonts w:ascii="Verdana" w:hAnsi="Verdana"/>
          <w:color w:val="auto"/>
          <w:sz w:val="18"/>
        </w:rPr>
        <w:t>1</w:t>
      </w:r>
      <w:r w:rsidRPr="009654D8">
        <w:rPr>
          <w:rFonts w:ascii="Verdana" w:hAnsi="Verdana"/>
          <w:color w:val="auto"/>
          <w:sz w:val="18"/>
        </w:rPr>
        <w:t xml:space="preserve"> </w:t>
      </w:r>
      <w:r w:rsidR="009953DD">
        <w:rPr>
          <w:rFonts w:ascii="Verdana" w:hAnsi="Verdana"/>
          <w:color w:val="auto"/>
          <w:sz w:val="18"/>
        </w:rPr>
        <w:t>oktober</w:t>
      </w:r>
      <w:r w:rsidRPr="009654D8">
        <w:rPr>
          <w:rFonts w:ascii="Verdana" w:hAnsi="Verdana"/>
          <w:color w:val="auto"/>
          <w:sz w:val="18"/>
        </w:rPr>
        <w:t xml:space="preserve"> 2025 bij het ministerie van Infrastructuur en Waterstaat een aanvraag ingediend voor een luchthavenbesluit. Voor deze aanvraag heeft RTHA, op eigen initiatief, een milieueffectrapport (</w:t>
      </w:r>
      <w:r w:rsidRPr="009654D8" w:rsidR="009654D8">
        <w:rPr>
          <w:rFonts w:ascii="Verdana" w:hAnsi="Verdana"/>
          <w:color w:val="auto"/>
          <w:sz w:val="18"/>
        </w:rPr>
        <w:t xml:space="preserve">hierna: </w:t>
      </w:r>
      <w:r w:rsidRPr="009654D8">
        <w:rPr>
          <w:rFonts w:ascii="Verdana" w:hAnsi="Verdana"/>
          <w:color w:val="auto"/>
          <w:sz w:val="18"/>
        </w:rPr>
        <w:t>MER) opgesteld. De minister heeft de Commissie voor de milieueffectrapportage (hierna: de Commissie) gevraagd hierover advies uit te brengen.</w:t>
      </w:r>
    </w:p>
    <w:p w:rsidRPr="009654D8" w:rsidR="00D54E2F" w:rsidP="00D54E2F" w:rsidRDefault="00D54E2F" w14:paraId="1F152C31" w14:textId="77777777">
      <w:pPr>
        <w:rPr>
          <w:rFonts w:ascii="Verdana" w:hAnsi="Verdana"/>
          <w:color w:val="auto"/>
          <w:sz w:val="18"/>
        </w:rPr>
      </w:pPr>
    </w:p>
    <w:p w:rsidRPr="009654D8" w:rsidR="00D54E2F" w:rsidP="00D54E2F" w:rsidRDefault="00D54E2F" w14:paraId="7FC6E361" w14:textId="6F8BFE54">
      <w:pPr>
        <w:rPr>
          <w:rFonts w:ascii="Verdana" w:hAnsi="Verdana"/>
          <w:color w:val="auto"/>
          <w:sz w:val="18"/>
        </w:rPr>
      </w:pPr>
      <w:r w:rsidRPr="009654D8">
        <w:rPr>
          <w:rFonts w:ascii="Verdana" w:hAnsi="Verdana"/>
          <w:color w:val="auto"/>
          <w:sz w:val="18"/>
        </w:rPr>
        <w:t>Hieronder wordt op hoofdlijnen ingegaan op het advies van de Commissie</w:t>
      </w:r>
      <w:r w:rsidRPr="009654D8" w:rsidR="009654D8">
        <w:rPr>
          <w:rStyle w:val="FootnoteReference"/>
          <w:rFonts w:ascii="Verdana" w:hAnsi="Verdana"/>
          <w:color w:val="auto"/>
          <w:sz w:val="18"/>
        </w:rPr>
        <w:footnoteReference w:id="2"/>
      </w:r>
      <w:r w:rsidRPr="009654D8">
        <w:rPr>
          <w:rFonts w:ascii="Verdana" w:hAnsi="Verdana"/>
          <w:color w:val="auto"/>
          <w:sz w:val="18"/>
        </w:rPr>
        <w:t>. De Commissie concludeert dat het MER vrijwel compleet is en adviseert om het MER op een aantal punten aan te vullen en nader te onderbouwen. Het gaat om de volgende onderwerpen:</w:t>
      </w:r>
    </w:p>
    <w:p w:rsidRPr="009654D8" w:rsidR="00D54E2F" w:rsidP="00D54E2F" w:rsidRDefault="00D54E2F" w14:paraId="16A87052" w14:textId="77777777">
      <w:pPr>
        <w:rPr>
          <w:rFonts w:ascii="Verdana" w:hAnsi="Verdana"/>
          <w:color w:val="auto"/>
          <w:sz w:val="18"/>
        </w:rPr>
      </w:pPr>
    </w:p>
    <w:p w:rsidRPr="009654D8" w:rsidR="00D54E2F" w:rsidP="00B06EF9" w:rsidRDefault="00D54E2F" w14:paraId="0C0DF953" w14:textId="4EB66F23">
      <w:pPr>
        <w:numPr>
          <w:ilvl w:val="0"/>
          <w:numId w:val="13"/>
        </w:numPr>
        <w:rPr>
          <w:rFonts w:ascii="Verdana" w:hAnsi="Verdana"/>
          <w:color w:val="auto"/>
          <w:sz w:val="18"/>
        </w:rPr>
      </w:pPr>
      <w:r w:rsidRPr="009654D8">
        <w:rPr>
          <w:rFonts w:ascii="Verdana" w:hAnsi="Verdana"/>
          <w:b/>
          <w:bCs/>
          <w:color w:val="auto"/>
          <w:sz w:val="18"/>
        </w:rPr>
        <w:t>Geluid:</w:t>
      </w:r>
      <w:r w:rsidRPr="009654D8">
        <w:rPr>
          <w:rFonts w:ascii="Verdana" w:hAnsi="Verdana"/>
          <w:color w:val="auto"/>
          <w:sz w:val="18"/>
        </w:rPr>
        <w:t xml:space="preserve"> aanvulling van de beoordeling van het geluid van taxiënde vliegtuigen, actualisatie van de beoordeling van de cumulatieve geluidbelasting en de blootstelling-responsrelaties, en aanvulling van de beoordeling van routeafwijkingen, in het bijzonder voor Hillegersberg/Schiebroek.</w:t>
      </w:r>
    </w:p>
    <w:p w:rsidRPr="009654D8" w:rsidR="00D54E2F" w:rsidP="00B06EF9" w:rsidRDefault="00D54E2F" w14:paraId="0F22AD03" w14:textId="77777777">
      <w:pPr>
        <w:numPr>
          <w:ilvl w:val="0"/>
          <w:numId w:val="13"/>
        </w:numPr>
        <w:rPr>
          <w:rFonts w:ascii="Verdana" w:hAnsi="Verdana"/>
          <w:color w:val="auto"/>
          <w:sz w:val="18"/>
        </w:rPr>
      </w:pPr>
      <w:r w:rsidRPr="009654D8">
        <w:rPr>
          <w:rFonts w:ascii="Verdana" w:hAnsi="Verdana"/>
          <w:b/>
          <w:bCs/>
          <w:color w:val="auto"/>
          <w:sz w:val="18"/>
        </w:rPr>
        <w:t>Veiligheid:</w:t>
      </w:r>
      <w:r w:rsidRPr="009654D8">
        <w:rPr>
          <w:rFonts w:ascii="Verdana" w:hAnsi="Verdana"/>
          <w:color w:val="auto"/>
          <w:sz w:val="18"/>
        </w:rPr>
        <w:t xml:space="preserve"> aanvulling van de beschrijving van de wijze waarop recente inzichten over vliegveiligheid zijn verwerkt en van de gevolgen daarvan voor de externe veiligheid.</w:t>
      </w:r>
    </w:p>
    <w:p w:rsidRPr="009654D8" w:rsidR="00D54E2F" w:rsidP="00B06EF9" w:rsidRDefault="00D54E2F" w14:paraId="405406FC" w14:textId="77777777">
      <w:pPr>
        <w:numPr>
          <w:ilvl w:val="0"/>
          <w:numId w:val="13"/>
        </w:numPr>
        <w:rPr>
          <w:rFonts w:ascii="Verdana" w:hAnsi="Verdana"/>
          <w:color w:val="auto"/>
          <w:sz w:val="18"/>
        </w:rPr>
      </w:pPr>
      <w:r w:rsidRPr="009654D8">
        <w:rPr>
          <w:rFonts w:ascii="Verdana" w:hAnsi="Verdana"/>
          <w:b/>
          <w:bCs/>
          <w:color w:val="auto"/>
          <w:sz w:val="18"/>
        </w:rPr>
        <w:t>Stikstof:</w:t>
      </w:r>
      <w:r w:rsidRPr="009654D8">
        <w:rPr>
          <w:rFonts w:ascii="Verdana" w:hAnsi="Verdana"/>
          <w:color w:val="auto"/>
          <w:sz w:val="18"/>
        </w:rPr>
        <w:t xml:space="preserve"> inzichtelijk maken van de maximaal mogelijke NO</w:t>
      </w:r>
      <w:r w:rsidRPr="009654D8">
        <w:rPr>
          <w:rFonts w:ascii="Cambria Math" w:hAnsi="Cambria Math" w:cs="Cambria Math"/>
          <w:color w:val="auto"/>
          <w:sz w:val="18"/>
        </w:rPr>
        <w:t>ₓ</w:t>
      </w:r>
      <w:r w:rsidRPr="009654D8">
        <w:rPr>
          <w:rFonts w:ascii="Verdana" w:hAnsi="Verdana"/>
          <w:color w:val="auto"/>
          <w:sz w:val="18"/>
        </w:rPr>
        <w:t>-emissie binnen de geldende geluidsgrenswaarden en beschrijven van maatregelen om een overschrijding van het emissieplafond te voorkomen.</w:t>
      </w:r>
    </w:p>
    <w:p w:rsidRPr="009654D8" w:rsidR="00D54E2F" w:rsidP="00B06EF9" w:rsidRDefault="00D54E2F" w14:paraId="729CC28B" w14:textId="77777777">
      <w:pPr>
        <w:numPr>
          <w:ilvl w:val="0"/>
          <w:numId w:val="13"/>
        </w:numPr>
        <w:rPr>
          <w:rFonts w:ascii="Verdana" w:hAnsi="Verdana"/>
          <w:color w:val="auto"/>
          <w:sz w:val="18"/>
        </w:rPr>
      </w:pPr>
      <w:r w:rsidRPr="009654D8">
        <w:rPr>
          <w:rFonts w:ascii="Verdana" w:hAnsi="Verdana"/>
          <w:b/>
          <w:bCs/>
          <w:color w:val="auto"/>
          <w:sz w:val="18"/>
        </w:rPr>
        <w:t>Monitoring en evaluatie:</w:t>
      </w:r>
      <w:r w:rsidRPr="009654D8">
        <w:rPr>
          <w:rFonts w:ascii="Verdana" w:hAnsi="Verdana"/>
          <w:color w:val="auto"/>
          <w:sz w:val="18"/>
        </w:rPr>
        <w:t xml:space="preserve"> opnemen van een monitorings- en evaluatieplan voor het volgen van de milieueffecten en voor het, waar nodig, treffen van maatregelen ter verbetering van de leefomgeving.</w:t>
      </w:r>
    </w:p>
    <w:p w:rsidRPr="009654D8" w:rsidR="00D54E2F" w:rsidP="00B06EF9" w:rsidRDefault="00D54E2F" w14:paraId="02E035E7" w14:textId="77777777">
      <w:pPr>
        <w:numPr>
          <w:ilvl w:val="0"/>
          <w:numId w:val="13"/>
        </w:numPr>
        <w:rPr>
          <w:rFonts w:ascii="Verdana" w:hAnsi="Verdana"/>
          <w:color w:val="auto"/>
          <w:sz w:val="18"/>
        </w:rPr>
      </w:pPr>
      <w:r w:rsidRPr="009654D8">
        <w:rPr>
          <w:rFonts w:ascii="Verdana" w:hAnsi="Verdana"/>
          <w:b/>
          <w:bCs/>
          <w:color w:val="auto"/>
          <w:sz w:val="18"/>
        </w:rPr>
        <w:t>(Potentieel) Zeer Zorgwekkende Stoffen (ZZS):</w:t>
      </w:r>
      <w:r w:rsidRPr="009654D8">
        <w:rPr>
          <w:rFonts w:ascii="Verdana" w:hAnsi="Verdana"/>
          <w:color w:val="auto"/>
          <w:sz w:val="18"/>
        </w:rPr>
        <w:t xml:space="preserve"> aanvullen van de beoordeling met de concentraties van de relevante (potentieel) zeer zorgwekkende stoffen.</w:t>
      </w:r>
    </w:p>
    <w:p w:rsidRPr="009654D8" w:rsidR="00D54E2F" w:rsidP="00D54E2F" w:rsidRDefault="00D54E2F" w14:paraId="4975F0F2" w14:textId="77777777">
      <w:pPr>
        <w:rPr>
          <w:rFonts w:ascii="Verdana" w:hAnsi="Verdana"/>
          <w:color w:val="auto"/>
          <w:sz w:val="18"/>
        </w:rPr>
      </w:pPr>
    </w:p>
    <w:p w:rsidRPr="009654D8" w:rsidR="00D54E2F" w:rsidP="00D54E2F" w:rsidRDefault="00D54E2F" w14:paraId="6E808581" w14:textId="0A4D1046">
      <w:pPr>
        <w:rPr>
          <w:rFonts w:ascii="Verdana" w:hAnsi="Verdana"/>
          <w:color w:val="auto"/>
          <w:sz w:val="18"/>
        </w:rPr>
      </w:pPr>
      <w:r w:rsidRPr="009654D8">
        <w:rPr>
          <w:rFonts w:ascii="Verdana" w:hAnsi="Verdana"/>
          <w:color w:val="auto"/>
          <w:sz w:val="18"/>
        </w:rPr>
        <w:t>In deze reactienota wordt per onderwerp toegelicht op welke wijze opvolging wordt gegeven aan het advies van de Commissie. Daarbij wordt beschreven welke onderzoeken en analyses worden uitgevoerd en op welke wijze de uitkomsten daarvan in het MER worden verwerkt. De initiatiefnemer wordt geadviseerd het MER overeenkomstig deze punten aan te vullen.</w:t>
      </w:r>
    </w:p>
    <w:p w:rsidRPr="009654D8" w:rsidR="00F36C0D" w:rsidP="00F36C0D" w:rsidRDefault="00F36C0D" w14:paraId="71AB5F31" w14:textId="33F5398F">
      <w:pPr>
        <w:jc w:val="both"/>
        <w:rPr>
          <w:rFonts w:ascii="Verdana" w:hAnsi="Verdana"/>
          <w:color w:val="auto"/>
          <w:sz w:val="18"/>
        </w:rPr>
      </w:pPr>
    </w:p>
    <w:p w:rsidRPr="00FA3B4B" w:rsidR="00821B21" w:rsidP="00984664" w:rsidRDefault="00984664" w14:paraId="7299B21E" w14:textId="3E03BA71">
      <w:pPr>
        <w:jc w:val="both"/>
        <w:rPr>
          <w:rFonts w:ascii="Verdana" w:hAnsi="Verdana"/>
          <w:color w:val="auto"/>
          <w:sz w:val="18"/>
        </w:rPr>
      </w:pPr>
      <w:r w:rsidRPr="00FA3B4B">
        <w:rPr>
          <w:rFonts w:ascii="Verdana" w:hAnsi="Verdana"/>
          <w:color w:val="auto"/>
          <w:sz w:val="18"/>
        </w:rPr>
        <w:tab/>
      </w:r>
      <w:bookmarkStart w:name="_Toc137820845" w:id="3"/>
      <w:r w:rsidRPr="00FA3B4B" w:rsidR="00821B21">
        <w:rPr>
          <w:rFonts w:ascii="Verdana" w:hAnsi="Verdana"/>
          <w:i/>
          <w:iCs/>
          <w:color w:val="auto"/>
          <w:sz w:val="18"/>
        </w:rPr>
        <w:br w:type="page"/>
      </w:r>
    </w:p>
    <w:p w:rsidRPr="004A0937" w:rsidR="00093CF7" w:rsidP="00605C8A" w:rsidRDefault="00B52EA5" w14:paraId="35057FE7" w14:textId="25C0DAE1">
      <w:pPr>
        <w:pStyle w:val="Heading1"/>
        <w:numPr>
          <w:ilvl w:val="0"/>
          <w:numId w:val="6"/>
        </w:numPr>
        <w:rPr>
          <w:rFonts w:eastAsiaTheme="minorEastAsia" w:cstheme="minorBidi"/>
        </w:rPr>
      </w:pPr>
      <w:bookmarkStart w:name="_Toc240548236" w:id="4"/>
      <w:r w:rsidRPr="004A0937">
        <w:rPr>
          <w:rFonts w:eastAsiaTheme="minorEastAsia" w:cstheme="minorBidi"/>
        </w:rPr>
        <w:t>Inleiding</w:t>
      </w:r>
      <w:bookmarkEnd w:id="3"/>
      <w:bookmarkEnd w:id="4"/>
    </w:p>
    <w:p w:rsidR="00746618" w:rsidP="00605C8A" w:rsidRDefault="4D4BE66A" w14:paraId="05FDBD6D" w14:textId="5EC89B0A">
      <w:pPr>
        <w:pStyle w:val="Heading2"/>
        <w:numPr>
          <w:ilvl w:val="1"/>
          <w:numId w:val="6"/>
        </w:numPr>
        <w:rPr>
          <w:rFonts w:eastAsiaTheme="minorEastAsia" w:cstheme="minorBidi"/>
        </w:rPr>
      </w:pPr>
      <w:bookmarkStart w:name="_Toc137820846" w:id="5"/>
      <w:bookmarkStart w:name="_Toc240548237" w:id="6"/>
      <w:r w:rsidRPr="004A0937">
        <w:rPr>
          <w:rFonts w:eastAsiaTheme="minorEastAsia" w:cstheme="minorBidi"/>
        </w:rPr>
        <w:t>Inleiding</w:t>
      </w:r>
      <w:bookmarkEnd w:id="5"/>
      <w:bookmarkEnd w:id="6"/>
    </w:p>
    <w:p w:rsidR="009104D8" w:rsidP="009654D8" w:rsidRDefault="009104D8" w14:paraId="4B57355B" w14:textId="54541F2E">
      <w:pPr>
        <w:spacing w:line="240" w:lineRule="auto"/>
        <w:rPr>
          <w:rFonts w:ascii="Verdana" w:hAnsi="Verdana" w:eastAsia="Times New Roman" w:cs="Times New Roman"/>
          <w:color w:val="auto"/>
          <w:sz w:val="18"/>
          <w:szCs w:val="24"/>
          <w:lang w:eastAsia="nl-NL"/>
        </w:rPr>
      </w:pPr>
      <w:r w:rsidRPr="009104D8">
        <w:rPr>
          <w:rFonts w:ascii="Verdana" w:hAnsi="Verdana" w:eastAsia="Times New Roman" w:cs="Times New Roman"/>
          <w:color w:val="auto"/>
          <w:sz w:val="18"/>
          <w:szCs w:val="24"/>
          <w:lang w:eastAsia="nl-NL"/>
        </w:rPr>
        <w:t xml:space="preserve">Rotterdam The Hague Airport (RTHA) opereert op dit moment op basis van een Omzettingsregeling. Deze regeling vormt de gebruiksvergunning waarbinnen de operatie van de luchthaven moet plaatsvinden. Het </w:t>
      </w:r>
      <w:r w:rsidR="00073960">
        <w:rPr>
          <w:rFonts w:ascii="Verdana" w:hAnsi="Verdana" w:eastAsia="Times New Roman" w:cs="Times New Roman"/>
          <w:color w:val="auto"/>
          <w:sz w:val="18"/>
          <w:szCs w:val="24"/>
          <w:lang w:eastAsia="nl-NL"/>
        </w:rPr>
        <w:t>L</w:t>
      </w:r>
      <w:r w:rsidRPr="009104D8">
        <w:rPr>
          <w:rFonts w:ascii="Verdana" w:hAnsi="Verdana" w:eastAsia="Times New Roman" w:cs="Times New Roman"/>
          <w:color w:val="auto"/>
          <w:sz w:val="18"/>
          <w:szCs w:val="24"/>
          <w:lang w:eastAsia="nl-NL"/>
        </w:rPr>
        <w:t>uchthavenbesluit zal de huidige Omzettingsregeling uit 2013 vervangen.</w:t>
      </w:r>
      <w:r>
        <w:rPr>
          <w:rFonts w:ascii="Verdana" w:hAnsi="Verdana" w:eastAsia="Times New Roman" w:cs="Times New Roman"/>
          <w:color w:val="auto"/>
          <w:sz w:val="18"/>
          <w:szCs w:val="24"/>
          <w:lang w:eastAsia="nl-NL"/>
        </w:rPr>
        <w:t xml:space="preserve"> </w:t>
      </w:r>
      <w:r w:rsidRPr="009104D8">
        <w:rPr>
          <w:rFonts w:ascii="Verdana" w:hAnsi="Verdana" w:eastAsia="Times New Roman" w:cs="Times New Roman"/>
          <w:color w:val="auto"/>
          <w:sz w:val="18"/>
          <w:szCs w:val="24"/>
          <w:lang w:eastAsia="nl-NL"/>
        </w:rPr>
        <w:t xml:space="preserve">In de Luchtvaartnota 2020–2050 is opgenomen dat luchthavens zich in voorbereiding op een nieuw </w:t>
      </w:r>
      <w:r w:rsidR="00073960">
        <w:rPr>
          <w:rFonts w:ascii="Verdana" w:hAnsi="Verdana" w:eastAsia="Times New Roman" w:cs="Times New Roman"/>
          <w:color w:val="auto"/>
          <w:sz w:val="18"/>
          <w:szCs w:val="24"/>
          <w:lang w:eastAsia="nl-NL"/>
        </w:rPr>
        <w:t>L</w:t>
      </w:r>
      <w:r w:rsidRPr="009104D8">
        <w:rPr>
          <w:rFonts w:ascii="Verdana" w:hAnsi="Verdana" w:eastAsia="Times New Roman" w:cs="Times New Roman"/>
          <w:color w:val="auto"/>
          <w:sz w:val="18"/>
          <w:szCs w:val="24"/>
          <w:lang w:eastAsia="nl-NL"/>
        </w:rPr>
        <w:t>uchthavenbesluit samen met belanghebbenden buigen over de gewenste ontwikkeling van de luchthaven. Vanuit deze opgave heeft RTHA een regionale verkenning met belanghebbenden uitgevoerd. Deze verkenning heeft inzicht gegeven in de verschillende belangen en standpunten van belanghebbenden. Daarbij is gebleken dat deze belangen niet op alle punten met elkaar verenigbaar zijn en dat voor de toekomstige ontwikkeling van de luchthaven nadere keuzes nodig zijn.</w:t>
      </w:r>
    </w:p>
    <w:p w:rsidRPr="009104D8" w:rsidR="009654D8" w:rsidP="009654D8" w:rsidRDefault="009654D8" w14:paraId="4D708CEC" w14:textId="77777777">
      <w:pPr>
        <w:spacing w:line="240" w:lineRule="auto"/>
        <w:rPr>
          <w:rFonts w:ascii="Verdana" w:hAnsi="Verdana" w:eastAsia="Times New Roman" w:cs="Times New Roman"/>
          <w:color w:val="auto"/>
          <w:sz w:val="18"/>
          <w:szCs w:val="24"/>
          <w:lang w:eastAsia="nl-NL"/>
        </w:rPr>
      </w:pPr>
    </w:p>
    <w:p w:rsidR="009104D8" w:rsidP="009654D8" w:rsidRDefault="009104D8" w14:paraId="6BA6BE32" w14:textId="5470CD5D">
      <w:pPr>
        <w:spacing w:line="240" w:lineRule="auto"/>
        <w:rPr>
          <w:rFonts w:ascii="Verdana" w:hAnsi="Verdana" w:eastAsia="Times New Roman" w:cs="Times New Roman"/>
          <w:color w:val="auto"/>
          <w:sz w:val="18"/>
          <w:szCs w:val="24"/>
          <w:lang w:eastAsia="nl-NL"/>
        </w:rPr>
      </w:pPr>
      <w:r w:rsidRPr="009104D8">
        <w:rPr>
          <w:rFonts w:ascii="Verdana" w:hAnsi="Verdana" w:eastAsia="Times New Roman" w:cs="Times New Roman"/>
          <w:color w:val="auto"/>
          <w:sz w:val="18"/>
          <w:szCs w:val="24"/>
          <w:lang w:eastAsia="nl-NL"/>
        </w:rPr>
        <w:t xml:space="preserve">Om het milieubelang volwaardig te kunnen meewegen bij de besluitvorming over het </w:t>
      </w:r>
      <w:r w:rsidR="00073960">
        <w:rPr>
          <w:rFonts w:ascii="Verdana" w:hAnsi="Verdana" w:eastAsia="Times New Roman" w:cs="Times New Roman"/>
          <w:color w:val="auto"/>
          <w:sz w:val="18"/>
          <w:szCs w:val="24"/>
          <w:lang w:eastAsia="nl-NL"/>
        </w:rPr>
        <w:t>L</w:t>
      </w:r>
      <w:r w:rsidRPr="009104D8">
        <w:rPr>
          <w:rFonts w:ascii="Verdana" w:hAnsi="Verdana" w:eastAsia="Times New Roman" w:cs="Times New Roman"/>
          <w:color w:val="auto"/>
          <w:sz w:val="18"/>
          <w:szCs w:val="24"/>
          <w:lang w:eastAsia="nl-NL"/>
        </w:rPr>
        <w:t>uchthavenbesluit, heeft RTHA als initiatiefnemer een milieueffectrapport (MER) opgesteld en is een m</w:t>
      </w:r>
      <w:r>
        <w:rPr>
          <w:rFonts w:ascii="Verdana" w:hAnsi="Verdana" w:eastAsia="Times New Roman" w:cs="Times New Roman"/>
          <w:color w:val="auto"/>
          <w:sz w:val="18"/>
          <w:szCs w:val="24"/>
          <w:lang w:eastAsia="nl-NL"/>
        </w:rPr>
        <w:t>er</w:t>
      </w:r>
      <w:r w:rsidRPr="009104D8">
        <w:rPr>
          <w:rFonts w:ascii="Verdana" w:hAnsi="Verdana" w:eastAsia="Times New Roman" w:cs="Times New Roman"/>
          <w:color w:val="auto"/>
          <w:sz w:val="18"/>
          <w:szCs w:val="24"/>
          <w:lang w:eastAsia="nl-NL"/>
        </w:rPr>
        <w:t>-procedure doorlopen. In het kader van deze procedure heeft het ministerie de Commissie voor de milieueffectrapportage (hierna: de Commissie) in verschillende fases om advies gevraagd. Eerder heeft de Commissie advies uitgebracht over de Notitie Reikwijdte en Detailniveau (NRD). Dit advies is op 24 april 2023 ontvangen. Ook zijn wettelijke adviseurs om advies gevraagd; zij hebben geen advies uitgebracht.</w:t>
      </w:r>
    </w:p>
    <w:p w:rsidRPr="009104D8" w:rsidR="009654D8" w:rsidP="009654D8" w:rsidRDefault="009654D8" w14:paraId="3E7D8E9B" w14:textId="77777777">
      <w:pPr>
        <w:spacing w:line="240" w:lineRule="auto"/>
        <w:rPr>
          <w:rFonts w:ascii="Verdana" w:hAnsi="Verdana" w:eastAsia="Times New Roman" w:cs="Times New Roman"/>
          <w:color w:val="auto"/>
          <w:sz w:val="18"/>
          <w:szCs w:val="24"/>
          <w:lang w:eastAsia="nl-NL"/>
        </w:rPr>
      </w:pPr>
    </w:p>
    <w:p w:rsidR="009104D8" w:rsidP="009654D8" w:rsidRDefault="00B06EF9" w14:paraId="76DB71B5" w14:textId="0B84DB6D">
      <w:pPr>
        <w:spacing w:line="240" w:lineRule="auto"/>
        <w:rPr>
          <w:rFonts w:ascii="Verdana" w:hAnsi="Verdana" w:eastAsia="Times New Roman" w:cs="Times New Roman"/>
          <w:color w:val="auto"/>
          <w:sz w:val="18"/>
          <w:szCs w:val="24"/>
          <w:lang w:eastAsia="nl-NL"/>
        </w:rPr>
      </w:pPr>
      <w:r>
        <w:rPr>
          <w:rFonts w:ascii="Verdana" w:hAnsi="Verdana" w:eastAsia="Times New Roman" w:cs="Times New Roman"/>
          <w:color w:val="auto"/>
          <w:sz w:val="18"/>
          <w:szCs w:val="24"/>
          <w:lang w:eastAsia="nl-NL"/>
        </w:rPr>
        <w:t>D</w:t>
      </w:r>
      <w:r w:rsidRPr="00B06EF9">
        <w:rPr>
          <w:rFonts w:ascii="Verdana" w:hAnsi="Verdana" w:eastAsia="Times New Roman" w:cs="Times New Roman"/>
          <w:color w:val="auto"/>
          <w:sz w:val="18"/>
          <w:szCs w:val="24"/>
          <w:lang w:eastAsia="nl-NL"/>
        </w:rPr>
        <w:t xml:space="preserve">e exploitant van de luchthaven Rotterdam, Rotterdam Airport B.V. </w:t>
      </w:r>
      <w:r w:rsidR="009953DD">
        <w:rPr>
          <w:rFonts w:ascii="Verdana" w:hAnsi="Verdana" w:eastAsia="Times New Roman" w:cs="Times New Roman"/>
          <w:color w:val="auto"/>
          <w:sz w:val="18"/>
          <w:szCs w:val="24"/>
          <w:lang w:eastAsia="nl-NL"/>
        </w:rPr>
        <w:t xml:space="preserve">handelend onder de naam Rotterdam The Hague Airport </w:t>
      </w:r>
      <w:r w:rsidRPr="00B06EF9">
        <w:rPr>
          <w:rFonts w:ascii="Verdana" w:hAnsi="Verdana" w:eastAsia="Times New Roman" w:cs="Times New Roman"/>
          <w:color w:val="auto"/>
          <w:sz w:val="18"/>
          <w:szCs w:val="24"/>
          <w:lang w:eastAsia="nl-NL"/>
        </w:rPr>
        <w:t xml:space="preserve">(hierna: de initiatiefnemer), </w:t>
      </w:r>
      <w:r>
        <w:rPr>
          <w:rFonts w:ascii="Verdana" w:hAnsi="Verdana" w:eastAsia="Times New Roman" w:cs="Times New Roman"/>
          <w:color w:val="auto"/>
          <w:sz w:val="18"/>
          <w:szCs w:val="24"/>
          <w:lang w:eastAsia="nl-NL"/>
        </w:rPr>
        <w:t xml:space="preserve">heeft </w:t>
      </w:r>
      <w:r w:rsidRPr="00B06EF9">
        <w:rPr>
          <w:rFonts w:ascii="Verdana" w:hAnsi="Verdana" w:eastAsia="Times New Roman" w:cs="Times New Roman"/>
          <w:color w:val="auto"/>
          <w:sz w:val="18"/>
          <w:szCs w:val="24"/>
          <w:lang w:eastAsia="nl-NL"/>
        </w:rPr>
        <w:t>op 1 oktober 2025 bij de Minister van Infrastructuur en Waterstaat (hierna: het bevoegd gezag) een aanvraag</w:t>
      </w:r>
      <w:r>
        <w:rPr>
          <w:rFonts w:ascii="Verdana" w:hAnsi="Verdana" w:eastAsia="Times New Roman" w:cs="Times New Roman"/>
          <w:color w:val="auto"/>
          <w:sz w:val="18"/>
          <w:szCs w:val="24"/>
          <w:lang w:eastAsia="nl-NL"/>
        </w:rPr>
        <w:t>,</w:t>
      </w:r>
      <w:r w:rsidRPr="00B06EF9">
        <w:rPr>
          <w:rFonts w:ascii="Verdana" w:hAnsi="Verdana" w:eastAsia="Times New Roman" w:cs="Times New Roman"/>
          <w:color w:val="auto"/>
          <w:sz w:val="18"/>
          <w:szCs w:val="24"/>
          <w:lang w:eastAsia="nl-NL"/>
        </w:rPr>
        <w:t xml:space="preserve"> </w:t>
      </w:r>
      <w:r w:rsidRPr="009104D8">
        <w:rPr>
          <w:rFonts w:ascii="Verdana" w:hAnsi="Verdana" w:eastAsia="Times New Roman" w:cs="Times New Roman"/>
          <w:color w:val="auto"/>
          <w:sz w:val="18"/>
          <w:szCs w:val="24"/>
          <w:lang w:eastAsia="nl-NL"/>
        </w:rPr>
        <w:t xml:space="preserve">inclusief het MER, </w:t>
      </w:r>
      <w:r w:rsidRPr="00B06EF9">
        <w:rPr>
          <w:rFonts w:ascii="Verdana" w:hAnsi="Verdana" w:eastAsia="Times New Roman" w:cs="Times New Roman"/>
          <w:color w:val="auto"/>
          <w:sz w:val="18"/>
          <w:szCs w:val="24"/>
          <w:lang w:eastAsia="nl-NL"/>
        </w:rPr>
        <w:t>gedaan voor een luchthavenbesluit voor de luchthaven Rotterdam (met kenmerk: 2025-LHB01)</w:t>
      </w:r>
      <w:r w:rsidRPr="009104D8" w:rsidR="009104D8">
        <w:rPr>
          <w:rFonts w:ascii="Verdana" w:hAnsi="Verdana" w:eastAsia="Times New Roman" w:cs="Times New Roman"/>
          <w:color w:val="auto"/>
          <w:sz w:val="18"/>
          <w:szCs w:val="24"/>
          <w:lang w:eastAsia="nl-NL"/>
        </w:rPr>
        <w:t xml:space="preserve">. Vervolgens heeft de minister de Commissie gevraagd om advies uit te brengen over het MER. De Commissie heeft op </w:t>
      </w:r>
      <w:r w:rsidR="009104D8">
        <w:rPr>
          <w:rFonts w:ascii="Verdana" w:hAnsi="Verdana" w:eastAsia="Times New Roman" w:cs="Times New Roman"/>
          <w:color w:val="auto"/>
          <w:sz w:val="18"/>
          <w:szCs w:val="24"/>
          <w:lang w:eastAsia="nl-NL"/>
        </w:rPr>
        <w:t>23 juli 2026</w:t>
      </w:r>
      <w:r w:rsidRPr="009104D8" w:rsidR="009104D8">
        <w:rPr>
          <w:rFonts w:ascii="Verdana" w:hAnsi="Verdana" w:eastAsia="Times New Roman" w:cs="Times New Roman"/>
          <w:color w:val="auto"/>
          <w:sz w:val="18"/>
          <w:szCs w:val="24"/>
          <w:lang w:eastAsia="nl-NL"/>
        </w:rPr>
        <w:t xml:space="preserve"> haar advies uitgebracht.</w:t>
      </w:r>
    </w:p>
    <w:p w:rsidRPr="009104D8" w:rsidR="009654D8" w:rsidP="009654D8" w:rsidRDefault="009654D8" w14:paraId="4DC5B56A" w14:textId="77777777">
      <w:pPr>
        <w:spacing w:line="240" w:lineRule="auto"/>
        <w:rPr>
          <w:rFonts w:ascii="Verdana" w:hAnsi="Verdana" w:eastAsia="Times New Roman" w:cs="Times New Roman"/>
          <w:color w:val="auto"/>
          <w:sz w:val="18"/>
          <w:szCs w:val="24"/>
          <w:lang w:eastAsia="nl-NL"/>
        </w:rPr>
      </w:pPr>
    </w:p>
    <w:p w:rsidRPr="009654D8" w:rsidR="009104D8" w:rsidP="009654D8" w:rsidRDefault="009104D8" w14:paraId="0B7BB872" w14:textId="1B5D14EC">
      <w:pPr>
        <w:spacing w:line="240" w:lineRule="auto"/>
        <w:rPr>
          <w:rFonts w:ascii="Verdana" w:hAnsi="Verdana" w:eastAsia="Times New Roman" w:cs="Times New Roman"/>
          <w:color w:val="auto"/>
          <w:sz w:val="18"/>
          <w:szCs w:val="24"/>
          <w:lang w:eastAsia="nl-NL"/>
        </w:rPr>
      </w:pPr>
      <w:r w:rsidRPr="009104D8">
        <w:rPr>
          <w:rFonts w:ascii="Verdana" w:hAnsi="Verdana" w:eastAsia="Times New Roman" w:cs="Times New Roman"/>
          <w:color w:val="auto"/>
          <w:sz w:val="18"/>
          <w:szCs w:val="24"/>
          <w:lang w:eastAsia="nl-NL"/>
        </w:rPr>
        <w:t xml:space="preserve">Deze reactienota gaat in op het advies van de Commissie. Het advies is per onderwerp beoordeeld en voorzien van een reactie. Daarbij wordt toegelicht op welke wijze de adviezen worden opgevolgd en welke aanvullingen in het MER worden aangebracht. Waar relevant wordt tevens toegelicht waarom voor een bepaalde wijze van verwerking is gekozen. De aanvullingen op het MER worden betrokken bij de verdere voorbereiding van het </w:t>
      </w:r>
      <w:r w:rsidR="006D2F72">
        <w:rPr>
          <w:rFonts w:ascii="Verdana" w:hAnsi="Verdana" w:eastAsia="Times New Roman" w:cs="Times New Roman"/>
          <w:color w:val="auto"/>
          <w:sz w:val="18"/>
          <w:szCs w:val="24"/>
          <w:lang w:eastAsia="nl-NL"/>
        </w:rPr>
        <w:t>L</w:t>
      </w:r>
      <w:r w:rsidRPr="009104D8">
        <w:rPr>
          <w:rFonts w:ascii="Verdana" w:hAnsi="Verdana" w:eastAsia="Times New Roman" w:cs="Times New Roman"/>
          <w:color w:val="auto"/>
          <w:sz w:val="18"/>
          <w:szCs w:val="24"/>
          <w:lang w:eastAsia="nl-NL"/>
        </w:rPr>
        <w:t>uchthavenbesluit.</w:t>
      </w:r>
    </w:p>
    <w:p w:rsidRPr="007A1DE8" w:rsidR="00F94858" w:rsidP="007A1DE8" w:rsidRDefault="00F94858" w14:paraId="4265C3B1" w14:textId="7253F703">
      <w:pPr>
        <w:pStyle w:val="Heading2"/>
        <w:numPr>
          <w:ilvl w:val="1"/>
          <w:numId w:val="6"/>
        </w:numPr>
        <w:rPr>
          <w:rFonts w:eastAsiaTheme="minorEastAsia" w:cstheme="minorBidi"/>
        </w:rPr>
      </w:pPr>
      <w:bookmarkStart w:name="_Toc240548238" w:id="7"/>
      <w:r w:rsidRPr="007A1DE8">
        <w:t>Wettelijke verankering</w:t>
      </w:r>
      <w:bookmarkEnd w:id="7"/>
      <w:r w:rsidRPr="007A1DE8">
        <w:t xml:space="preserve"> </w:t>
      </w:r>
    </w:p>
    <w:p w:rsidR="00F94858" w:rsidP="00382F36" w:rsidRDefault="00F94858" w14:paraId="68DF1B92" w14:textId="267783A0">
      <w:pPr>
        <w:pStyle w:val="BodyText"/>
      </w:pPr>
      <w:r w:rsidRPr="00F94858">
        <w:t>In de Regelgeving Burgerluchthavens en Militaire Luchthavens (RBML) is bepaald dat elke regionale burgerluchthaven van nationale betekenis – waar RTHA er één van is – over een Luchthavenbesluit moet beschikken. RTHA opereert op dit moment op basis van een geldige omzettingsregeling. Het Luchthavenbesluit zal de huidige Omzettingsregeling van 2013 voor RTHA vervangen</w:t>
      </w:r>
      <w:r w:rsidR="00382F36">
        <w:t xml:space="preserve"> </w:t>
      </w:r>
      <w:r w:rsidRPr="00382F36" w:rsidR="00382F36">
        <w:t>en legt de toekomstige gebruiksruimte en de daarbij behorende regels en beperkingen vast.</w:t>
      </w:r>
    </w:p>
    <w:p w:rsidR="00F94858" w:rsidP="00F94858" w:rsidRDefault="00F94858" w14:paraId="0E5D28CC" w14:textId="77777777">
      <w:pPr>
        <w:pStyle w:val="BodyText"/>
        <w:jc w:val="both"/>
        <w:rPr>
          <w:b/>
          <w:bCs/>
        </w:rPr>
      </w:pPr>
    </w:p>
    <w:p w:rsidRPr="00F94858" w:rsidR="00F94858" w:rsidP="00F94858" w:rsidRDefault="00F94858" w14:paraId="120CBFC7" w14:textId="11258EAC">
      <w:pPr>
        <w:pStyle w:val="BodyText"/>
        <w:jc w:val="both"/>
        <w:rPr>
          <w:b/>
          <w:bCs/>
        </w:rPr>
      </w:pPr>
      <w:r w:rsidRPr="00F94858">
        <w:rPr>
          <w:b/>
          <w:bCs/>
        </w:rPr>
        <w:t>Luchthavenbesluit en milieueffectrapportage</w:t>
      </w:r>
    </w:p>
    <w:p w:rsidR="00F94858" w:rsidP="00382F36" w:rsidRDefault="00F94858" w14:paraId="5FB2FB7C" w14:textId="5BAD4E9E">
      <w:pPr>
        <w:pStyle w:val="BodyText"/>
      </w:pPr>
      <w:r w:rsidRPr="00F94858">
        <w:t>Het Luchthavenbesluit vormt het besluit waarin onder meer de gebruiksruimte van de luchthaven, de regels voor het luchthavenluchtverkeer en de relevante beperkingengebieden worden vastgelegd. De minister van Infrastructuur en Waterstaat is bevoegd gezag voor het Luchthavenbesluit.</w:t>
      </w:r>
      <w:r w:rsidR="00382F36">
        <w:t xml:space="preserve"> </w:t>
      </w:r>
      <w:r w:rsidRPr="00F94858">
        <w:t xml:space="preserve">Bij de voorbereiding van het Luchthavenbesluit is een </w:t>
      </w:r>
      <w:r w:rsidR="00382F36">
        <w:t>MER</w:t>
      </w:r>
      <w:r w:rsidRPr="00F94858">
        <w:t xml:space="preserve"> opgesteld. Het MER brengt de milieugevolgen van de voorgenomen activiteit en de onderzochte alternatieven in beeld en biedt daarmee de informatie die nodig is om het milieubelang volwaardig bij de besluitvorming over het Luchthavenbesluit te kunnen betrekken. </w:t>
      </w:r>
      <w:r w:rsidR="00382F36">
        <w:t>De</w:t>
      </w:r>
      <w:r w:rsidRPr="00F94858">
        <w:t xml:space="preserve"> systematiek voor milieueffectrapportage </w:t>
      </w:r>
      <w:r w:rsidR="00382F36">
        <w:t>volgt uit de</w:t>
      </w:r>
      <w:r w:rsidRPr="00F94858">
        <w:t xml:space="preserve"> mer-verplichtingen </w:t>
      </w:r>
      <w:r w:rsidR="00382F36">
        <w:t xml:space="preserve">die </w:t>
      </w:r>
      <w:r w:rsidRPr="00F94858">
        <w:t>zijn opgenomen in de Omgevingswet en het Omgevingsbesluit.</w:t>
      </w:r>
    </w:p>
    <w:p w:rsidRPr="00F94858" w:rsidR="00382F36" w:rsidP="00382F36" w:rsidRDefault="00382F36" w14:paraId="05381CE1" w14:textId="77777777">
      <w:pPr>
        <w:pStyle w:val="BodyText"/>
      </w:pPr>
    </w:p>
    <w:p w:rsidR="00F94858" w:rsidP="00382F36" w:rsidRDefault="00F94858" w14:paraId="7066BF60" w14:textId="373E7F60">
      <w:pPr>
        <w:pStyle w:val="BodyText"/>
      </w:pPr>
      <w:r w:rsidRPr="00F94858">
        <w:t>Voor RTHA is een volledige m</w:t>
      </w:r>
      <w:r w:rsidR="00382F36">
        <w:t>er</w:t>
      </w:r>
      <w:r w:rsidRPr="00F94858">
        <w:t xml:space="preserve">-procedure doorlopen. Daarbij is een Notitie Reikwijdte en Detailniveau (NRD) opgesteld, waarop eenieder zienswijzen kon indienen. Tevens is advies gevraagd aan de Commissie </w:t>
      </w:r>
      <w:r w:rsidR="00382F36">
        <w:t>mer</w:t>
      </w:r>
      <w:r w:rsidRPr="00F94858">
        <w:t>. Op basis van de zienswijzen en adviezen is de reikwijdte en het detailniveau van het MER vastgesteld. De NRD-procedure en de daarop gebaseerde reactienota vormden daarmee het kader voor het op te stellen MER.</w:t>
      </w:r>
    </w:p>
    <w:p w:rsidRPr="00F94858" w:rsidR="00382F36" w:rsidP="00382F36" w:rsidRDefault="00382F36" w14:paraId="3FC78F52" w14:textId="77777777">
      <w:pPr>
        <w:pStyle w:val="BodyText"/>
      </w:pPr>
    </w:p>
    <w:p w:rsidR="00F94858" w:rsidP="00382F36" w:rsidRDefault="00F94858" w14:paraId="30C8C554" w14:textId="2DA6C0D4">
      <w:pPr>
        <w:pStyle w:val="BodyText"/>
      </w:pPr>
      <w:r w:rsidRPr="00F94858">
        <w:t>Het MER is vervolgens opgesteld als onderdeel van de voorbereiding van het Luchthavenbesluit. Het bestaat uit een hoofdrapport en verschillende deelrapporten waarin onder meer geluid, emissies en luchtkwaliteit, natuur en externe veiligheid zijn onderzocht. Ook zijn de technische invoergegevens en uitgangspunten van de berekeningen beschikbaar gesteld. Het MER en de onderliggende documenten zijn onderdeel van de stukken die bij het ontwerp-Luchthavenbesluit openbaar zijn gemaakt.</w:t>
      </w:r>
    </w:p>
    <w:p w:rsidRPr="00F94858" w:rsidR="00382F36" w:rsidP="00382F36" w:rsidRDefault="00382F36" w14:paraId="48C6BFCE" w14:textId="77777777">
      <w:pPr>
        <w:pStyle w:val="BodyText"/>
      </w:pPr>
    </w:p>
    <w:p w:rsidR="00F94858" w:rsidP="00382F36" w:rsidRDefault="00F94858" w14:paraId="2147004F" w14:textId="3A951F41">
      <w:pPr>
        <w:pStyle w:val="BodyText"/>
      </w:pPr>
      <w:r w:rsidRPr="00F94858">
        <w:t xml:space="preserve">De Commissie </w:t>
      </w:r>
      <w:r w:rsidR="00382F36">
        <w:t>mer</w:t>
      </w:r>
      <w:r w:rsidRPr="00F94858">
        <w:t xml:space="preserve"> heeft </w:t>
      </w:r>
      <w:r w:rsidR="00B06EF9">
        <w:t xml:space="preserve">over </w:t>
      </w:r>
      <w:r w:rsidRPr="00F94858">
        <w:t xml:space="preserve">het MER op 23 juli 2026 </w:t>
      </w:r>
      <w:r w:rsidR="00B06EF9">
        <w:t>advies uitgebracht</w:t>
      </w:r>
      <w:r w:rsidRPr="00F94858">
        <w:t xml:space="preserve">. De Commissie concludeert dat de milieueffecten op enkele punten na goed in beeld zijn gebracht en dat het MER toegankelijk en goed opgezet is. De Commissie adviseert het MER op een aantal onderdelen aan te vullen. Het gaat onder meer om het verder in beeld brengen van de milieueffecten van mogelijke maatregelen om hinder te beperken, waaronder wijzigingen in vliegtijden, aanvullende handhavingspunten en vliegroutes, en om meer duidelijkheid over de stikstofuitstoot en de </w:t>
      </w:r>
      <w:r w:rsidR="009953DD">
        <w:t>mogelijke mitigerende maatregelen.</w:t>
      </w:r>
    </w:p>
    <w:p w:rsidRPr="00F94858" w:rsidR="00382F36" w:rsidP="00382F36" w:rsidRDefault="00382F36" w14:paraId="4D8F659F" w14:textId="77777777">
      <w:pPr>
        <w:pStyle w:val="BodyText"/>
      </w:pPr>
    </w:p>
    <w:p w:rsidRPr="00F94858" w:rsidR="00F94858" w:rsidP="00382F36" w:rsidRDefault="00F94858" w14:paraId="3BE3938B" w14:textId="6BF9EFE7">
      <w:pPr>
        <w:pStyle w:val="BodyText"/>
      </w:pPr>
      <w:r w:rsidRPr="00F94858">
        <w:t>Het advies van de Commissie wordt betrokken bij de verdere afronding van het MER. De door de Commissie geadviseerde aanvullingen worden verwerkt in</w:t>
      </w:r>
      <w:r w:rsidR="009953DD">
        <w:t xml:space="preserve"> een aanvulling op</w:t>
      </w:r>
      <w:r w:rsidRPr="00F94858">
        <w:t xml:space="preserve"> het MER en, waar nodig, in de overige onderliggende onderzoeken en besluitvormingsstukken. Daarbij worden de milieugegevens en uitgangspunten geactualiseerd indien nieuwe inzichten of gegevens daartoe aanleiding geven. Het uitgangspunt is dat het MER de actuele milieu-informatie bevat die nodig is om het Luchthavenbesluit zorgvuldig te kunnen vaststellen.</w:t>
      </w:r>
    </w:p>
    <w:p w:rsidR="00F94858" w:rsidP="00F94858" w:rsidRDefault="00F94858" w14:paraId="56ECD013" w14:textId="77777777">
      <w:pPr>
        <w:pStyle w:val="BodyText"/>
        <w:jc w:val="both"/>
        <w:rPr>
          <w:b/>
          <w:bCs/>
        </w:rPr>
      </w:pPr>
    </w:p>
    <w:p w:rsidRPr="00F94858" w:rsidR="00F94858" w:rsidP="00F94858" w:rsidRDefault="00F94858" w14:paraId="24A001DB" w14:textId="0ABD51E2">
      <w:pPr>
        <w:pStyle w:val="BodyText"/>
        <w:jc w:val="both"/>
        <w:rPr>
          <w:b/>
          <w:bCs/>
        </w:rPr>
      </w:pPr>
      <w:r w:rsidRPr="00F94858">
        <w:rPr>
          <w:b/>
          <w:bCs/>
        </w:rPr>
        <w:t>Vervolg van de m</w:t>
      </w:r>
      <w:r w:rsidR="00865E31">
        <w:rPr>
          <w:b/>
          <w:bCs/>
        </w:rPr>
        <w:t>er</w:t>
      </w:r>
      <w:r w:rsidRPr="00F94858">
        <w:rPr>
          <w:b/>
          <w:bCs/>
        </w:rPr>
        <w:t>-procedure en besluitvorming</w:t>
      </w:r>
    </w:p>
    <w:p w:rsidRPr="00F94858" w:rsidR="00F94858" w:rsidP="00865E31" w:rsidRDefault="00F94858" w14:paraId="2973F78A" w14:textId="77777777">
      <w:pPr>
        <w:pStyle w:val="BodyText"/>
      </w:pPr>
      <w:bookmarkStart w:name="_Hlk240462435" w:id="8"/>
      <w:r w:rsidRPr="00F94858">
        <w:t>Het MER maakt onderdeel uit van de onderbouwing van het ontwerp-Luchthavenbesluit. Het ontwerp-Luchthavenbesluit en de bijbehorende milieu-informatie zijn in maart 2026 aan de Eerste en Tweede Kamer voorgelegd in het kader van de voorhangprocedure. De bij het ontwerpbesluit behorende stukken, waaronder het hoofdrapport van het MER en de verschillende deelrapporten, zijn openbaar gemaakt.</w:t>
      </w:r>
    </w:p>
    <w:p w:rsidR="00865E31" w:rsidP="00865E31" w:rsidRDefault="00865E31" w14:paraId="0E85D342" w14:textId="77777777">
      <w:pPr>
        <w:pStyle w:val="BodyText"/>
      </w:pPr>
    </w:p>
    <w:p w:rsidR="00F94858" w:rsidP="00865E31" w:rsidRDefault="00F94858" w14:paraId="60EC3FD3" w14:textId="48556162">
      <w:pPr>
        <w:pStyle w:val="BodyText"/>
      </w:pPr>
      <w:r w:rsidRPr="00F94858">
        <w:t xml:space="preserve">Na verwerking van het advies van de Commissie </w:t>
      </w:r>
      <w:r w:rsidR="00865E31">
        <w:t>mer</w:t>
      </w:r>
      <w:r w:rsidRPr="00F94858">
        <w:t xml:space="preserve"> en de verdere afronding van de milieuonderbouwing wordt het besluitvormingstraject voortgezet. Bij de verdere besluitvorming worden de uitkomsten van het MER betrokken, evenals de zienswijzen en adviezen die in het kader van het ontwerp-Luchthavenbesluit worden ontvangen. Het MER heeft daarbij een ondersteunende functie: het brengt de relevante milieugevolgen en de mogelijke alternatieven en maatregelen in beeld, zodat deze informatie kan worden betrokken bij de afweging over het vast te stellen Luchthavenbesluit.</w:t>
      </w:r>
    </w:p>
    <w:p w:rsidRPr="00F94858" w:rsidR="00865E31" w:rsidP="00865E31" w:rsidRDefault="00865E31" w14:paraId="1B773C6A" w14:textId="77777777">
      <w:pPr>
        <w:pStyle w:val="BodyText"/>
      </w:pPr>
    </w:p>
    <w:p w:rsidRPr="00F94858" w:rsidR="00F94858" w:rsidP="00865E31" w:rsidRDefault="00F94858" w14:paraId="6259618F" w14:textId="77777777">
      <w:pPr>
        <w:pStyle w:val="BodyText"/>
      </w:pPr>
      <w:r w:rsidRPr="00F94858">
        <w:t>De uiteindelijke besluitvorming over het Luchthavenbesluit vindt plaats door de minister van Infrastructuur en Waterstaat. Voorafgaand aan de vaststelling wordt het Luchthavenbesluit, conform de daarvoor geldende procedure, voor advies voorgelegd aan de Afdeling advisering van de Raad van State. Na verwerking van het advies van de Raad van State kan het Luchthavenbesluit definitief worden vastgesteld en gepubliceerd.</w:t>
      </w:r>
    </w:p>
    <w:bookmarkEnd w:id="8"/>
    <w:p w:rsidR="00F94858" w:rsidP="00F94858" w:rsidRDefault="00F94858" w14:paraId="509AA552" w14:textId="77777777">
      <w:pPr>
        <w:pStyle w:val="BodyText"/>
        <w:jc w:val="both"/>
        <w:rPr>
          <w:b/>
          <w:bCs/>
        </w:rPr>
      </w:pPr>
    </w:p>
    <w:p w:rsidRPr="00F94858" w:rsidR="00F94858" w:rsidP="00F94858" w:rsidRDefault="00F94858" w14:paraId="1A0097F9" w14:textId="08B2DB7B">
      <w:pPr>
        <w:pStyle w:val="BodyText"/>
        <w:jc w:val="both"/>
        <w:rPr>
          <w:b/>
          <w:bCs/>
        </w:rPr>
      </w:pPr>
      <w:r w:rsidRPr="00F94858">
        <w:rPr>
          <w:b/>
          <w:bCs/>
        </w:rPr>
        <w:t>Samenhang met natuur</w:t>
      </w:r>
    </w:p>
    <w:p w:rsidR="009654D8" w:rsidP="00865E31" w:rsidRDefault="00F94858" w14:paraId="77510346" w14:textId="5454FDBB">
      <w:pPr>
        <w:pStyle w:val="BodyText"/>
      </w:pPr>
      <w:r w:rsidRPr="00F94858">
        <w:t>De beoordeling van de gevolgen voor Natura 2000-gebieden en andere natuurwaarden maakt onderdeel uit van de milieuonderbouwing van het Luchthavenbesluit. De daarvoor relevante onderzoeken zijn opgenomen in het MER en de bijbehorende deelrapporten.</w:t>
      </w:r>
      <w:r w:rsidR="00865E31">
        <w:t xml:space="preserve"> </w:t>
      </w:r>
      <w:r w:rsidRPr="00F94858">
        <w:t>De besluitvorming over de natuur</w:t>
      </w:r>
      <w:r w:rsidR="00865E31">
        <w:t>vergunning</w:t>
      </w:r>
      <w:r w:rsidRPr="00F94858">
        <w:t xml:space="preserve"> voor RTHA vormt daarnaast een afzonderlijk traject. De eerder genomen beslissing waarbij de aangevraagde natuurvergunning positief werd geweigerd</w:t>
      </w:r>
      <w:r w:rsidR="00AA5A34">
        <w:rPr>
          <w:rStyle w:val="FootnoteReference"/>
        </w:rPr>
        <w:footnoteReference w:id="3"/>
      </w:r>
      <w:r w:rsidRPr="00F94858">
        <w:t>, is op 16 april 2026 door de Rechtbank Gelderland vernietigd</w:t>
      </w:r>
      <w:r w:rsidR="009654D8">
        <w:rPr>
          <w:rStyle w:val="FootnoteReference"/>
        </w:rPr>
        <w:footnoteReference w:id="4"/>
      </w:r>
      <w:r w:rsidRPr="00F94858">
        <w:t xml:space="preserve">. </w:t>
      </w:r>
      <w:r w:rsidRPr="009953DD" w:rsidR="009953DD">
        <w:t>Deze uitspraak heeft geen gevolgen voor de uitgangspunten die in het MER zijn gehanteerd. In een nieuwe beslissing op bezwaar</w:t>
      </w:r>
      <w:r w:rsidR="00275142">
        <w:rPr>
          <w:rStyle w:val="FootnoteReference"/>
        </w:rPr>
        <w:footnoteReference w:id="5"/>
      </w:r>
      <w:r w:rsidR="00275142">
        <w:t xml:space="preserve"> </w:t>
      </w:r>
      <w:r w:rsidRPr="009953DD" w:rsidR="009953DD">
        <w:t>van LVVN is het emissieplafond opnieuw opgenomen. Dit emissieplafond is ook als grenswaarde in het MER meegenomen. De uitgangspunten van het MER zijn daarmee in overeenstemming met de huidige situatie. Het traject rondom de natuurvergunning wordt afzonderlijk voortgezet.</w:t>
      </w:r>
    </w:p>
    <w:p w:rsidR="009654D8" w:rsidP="00865E31" w:rsidRDefault="009654D8" w14:paraId="279B38CB" w14:textId="77777777">
      <w:pPr>
        <w:pStyle w:val="BodyText"/>
      </w:pPr>
    </w:p>
    <w:p w:rsidRPr="00F94858" w:rsidR="00F94858" w:rsidP="00865E31" w:rsidRDefault="00F94858" w14:paraId="76BBD773" w14:textId="79F7844B">
      <w:pPr>
        <w:pStyle w:val="BodyText"/>
      </w:pPr>
      <w:r w:rsidRPr="00F94858">
        <w:t>De verschillende procedures hebben ieder hun eigen bevoegd gezag en toetsingskader. De informatie uit het natuurtraject is, voor zover relevant voor de milieubeoordeling, wel van belang voor de verdere onderbouwing van het Luchthavenbesluit en het MER.</w:t>
      </w:r>
    </w:p>
    <w:p w:rsidR="003A11EA" w:rsidP="00DD5458" w:rsidRDefault="003A11EA" w14:paraId="1AF6355F" w14:textId="77777777">
      <w:pPr>
        <w:pStyle w:val="BodyText"/>
        <w:jc w:val="both"/>
      </w:pPr>
    </w:p>
    <w:p w:rsidRPr="00FA3B4B" w:rsidR="00DD5458" w:rsidP="00DD5458" w:rsidRDefault="00DD5458" w14:paraId="330F525F" w14:textId="77777777">
      <w:pPr>
        <w:pStyle w:val="Heading2"/>
        <w:numPr>
          <w:ilvl w:val="1"/>
          <w:numId w:val="6"/>
        </w:numPr>
      </w:pPr>
      <w:bookmarkStart w:name="_Toc230697257" w:id="9"/>
      <w:bookmarkStart w:name="_Toc240548239" w:id="10"/>
      <w:r w:rsidRPr="00FA3B4B">
        <w:t>Leeswijzer</w:t>
      </w:r>
      <w:bookmarkEnd w:id="9"/>
      <w:bookmarkEnd w:id="10"/>
    </w:p>
    <w:p w:rsidRPr="00FA3B4B" w:rsidR="00DD5458" w:rsidP="00DD5458" w:rsidRDefault="00DD5458" w14:paraId="6DD7E4C5" w14:textId="37EAC4B6">
      <w:pPr>
        <w:pStyle w:val="BodyText"/>
        <w:jc w:val="both"/>
      </w:pPr>
      <w:r w:rsidRPr="00FA3B4B">
        <w:t>De hoofdstukindeling in deze reactienota volgt de indeling van het advies van de Commissie:</w:t>
      </w:r>
    </w:p>
    <w:p w:rsidRPr="00FA3B4B" w:rsidR="00DD5458" w:rsidP="00DD5458" w:rsidRDefault="00DD5458" w14:paraId="0E7046BE" w14:textId="29FD0815">
      <w:pPr>
        <w:pStyle w:val="BodyText"/>
        <w:numPr>
          <w:ilvl w:val="0"/>
          <w:numId w:val="8"/>
        </w:numPr>
        <w:jc w:val="both"/>
      </w:pPr>
      <w:r w:rsidRPr="00FA3B4B">
        <w:t xml:space="preserve">Hoofdstuk 2: </w:t>
      </w:r>
      <w:r w:rsidR="00865E31">
        <w:t>Geluid</w:t>
      </w:r>
    </w:p>
    <w:p w:rsidRPr="00FA3B4B" w:rsidR="00DD5458" w:rsidP="00DD5458" w:rsidRDefault="00DD5458" w14:paraId="04568D2A" w14:textId="238D2BA1">
      <w:pPr>
        <w:pStyle w:val="BodyText"/>
        <w:numPr>
          <w:ilvl w:val="0"/>
          <w:numId w:val="8"/>
        </w:numPr>
        <w:jc w:val="both"/>
      </w:pPr>
      <w:r w:rsidRPr="00FA3B4B">
        <w:t xml:space="preserve">Hoofdstuk 3: </w:t>
      </w:r>
      <w:r w:rsidR="00865E31">
        <w:t>Veiligheid</w:t>
      </w:r>
    </w:p>
    <w:p w:rsidRPr="00FA3B4B" w:rsidR="00DD5458" w:rsidP="00DD5458" w:rsidRDefault="00DD5458" w14:paraId="07724932" w14:textId="4FE218AA">
      <w:pPr>
        <w:pStyle w:val="BodyText"/>
        <w:numPr>
          <w:ilvl w:val="0"/>
          <w:numId w:val="8"/>
        </w:numPr>
        <w:jc w:val="both"/>
      </w:pPr>
      <w:r w:rsidRPr="00FA3B4B">
        <w:t xml:space="preserve">Hoofdstuk 4: </w:t>
      </w:r>
      <w:r w:rsidR="00865E31">
        <w:t>Relatie besluit en onderzoek milieueffecten</w:t>
      </w:r>
    </w:p>
    <w:p w:rsidRPr="00FA3B4B" w:rsidR="00DD5458" w:rsidP="00DD5458" w:rsidRDefault="00DD5458" w14:paraId="466EBAD6" w14:textId="17288F98">
      <w:pPr>
        <w:pStyle w:val="BodyText"/>
        <w:numPr>
          <w:ilvl w:val="0"/>
          <w:numId w:val="8"/>
        </w:numPr>
        <w:jc w:val="both"/>
      </w:pPr>
      <w:r w:rsidRPr="00FA3B4B">
        <w:t xml:space="preserve">Hoofdstuk 5: </w:t>
      </w:r>
      <w:r w:rsidR="00865E31">
        <w:t>Monitoring en evaluatie</w:t>
      </w:r>
    </w:p>
    <w:p w:rsidRPr="00FA3B4B" w:rsidR="00DD5458" w:rsidP="00DD5458" w:rsidRDefault="00DD5458" w14:paraId="21027C03" w14:textId="6CA74A7D">
      <w:pPr>
        <w:pStyle w:val="BodyText"/>
        <w:numPr>
          <w:ilvl w:val="0"/>
          <w:numId w:val="8"/>
        </w:numPr>
        <w:jc w:val="both"/>
      </w:pPr>
      <w:r w:rsidRPr="00FA3B4B">
        <w:t xml:space="preserve">Hoofdstuk 6: </w:t>
      </w:r>
      <w:r w:rsidR="00865E31">
        <w:t>Overige informatie</w:t>
      </w:r>
    </w:p>
    <w:p w:rsidRPr="00FA3B4B" w:rsidR="00DD5458" w:rsidP="00DD5458" w:rsidRDefault="00DD5458" w14:paraId="25E28341" w14:textId="77777777">
      <w:pPr>
        <w:pStyle w:val="BodyText"/>
        <w:jc w:val="both"/>
      </w:pPr>
    </w:p>
    <w:p w:rsidR="00DD5458" w:rsidP="00865E31" w:rsidRDefault="00DD5458" w14:paraId="7DD21D97" w14:textId="3B788CC2">
      <w:pPr>
        <w:pStyle w:val="BodyText"/>
      </w:pPr>
      <w:r w:rsidRPr="008F5FA1">
        <w:t xml:space="preserve">Ieder hoofdstuk bevat de reactie van het bevoegd gezag op het advies van de Commissie. </w:t>
      </w:r>
      <w:r>
        <w:t xml:space="preserve">Per onderwerp wordt eerst onder het blokje ‘Samenvatting MER’ beschreven wat er in het advies van de Commissie staat over het MER. Vervolgens is het advies van de Commissie overgenomen waarna op dit advies wordt ingegaan met de reactie van bevoegd gezag. </w:t>
      </w:r>
    </w:p>
    <w:p w:rsidR="00AE21A6" w:rsidP="00865E31" w:rsidRDefault="00AE21A6" w14:paraId="1573B756" w14:textId="77777777">
      <w:pPr>
        <w:pStyle w:val="BodyText"/>
      </w:pPr>
    </w:p>
    <w:p w:rsidRPr="00AE21A6" w:rsidR="00AE21A6" w:rsidP="00865E31" w:rsidRDefault="00AE21A6" w14:paraId="0EFB2E07" w14:textId="6D4E8F59">
      <w:pPr>
        <w:pStyle w:val="BodyText"/>
      </w:pPr>
      <w:r w:rsidRPr="00AE21A6">
        <w:t xml:space="preserve">In de tekst is met kleur aangegeven welk gewicht de Commissie aan haar advies toekent. Een groen vak betreft een advies waarvan de Commissie het essentieel acht dat het MER wordt aangevuld. Een </w:t>
      </w:r>
      <w:r w:rsidR="00576C77">
        <w:t>geel</w:t>
      </w:r>
      <w:r w:rsidRPr="00AE21A6">
        <w:t xml:space="preserve"> vak betreft een aanbeveling van de Commissie. Het opvolgen van een aanbeveling wordt door de Commissie niet als essentieel voor de besluitvorming beschouwd.</w:t>
      </w:r>
    </w:p>
    <w:p w:rsidR="00DD5458" w:rsidP="00865E31" w:rsidRDefault="00DD5458" w14:paraId="00C626EA" w14:textId="77777777">
      <w:pPr>
        <w:pStyle w:val="BodyText"/>
      </w:pPr>
    </w:p>
    <w:p w:rsidR="00DD5458" w:rsidP="00865E31" w:rsidRDefault="00DD5458" w14:paraId="4CCF98A1" w14:textId="77777777">
      <w:pPr>
        <w:pStyle w:val="BodyText"/>
      </w:pPr>
      <w:r w:rsidRPr="008F5FA1">
        <w:t>De reactie ‘Advies Commissie wordt gevolgd’ betekent dat het bevoegd gezag het advies van de Commissie overneemt als haar advies aan de initiatiefnemer.</w:t>
      </w:r>
      <w:r w:rsidRPr="00FA3B4B">
        <w:t xml:space="preserve"> </w:t>
      </w:r>
    </w:p>
    <w:p w:rsidR="00DD5458" w:rsidP="00865E31" w:rsidRDefault="00DD5458" w14:paraId="531F261D" w14:textId="77777777">
      <w:pPr>
        <w:pStyle w:val="BodyText"/>
      </w:pPr>
    </w:p>
    <w:p w:rsidRPr="004A0937" w:rsidR="003252AC" w:rsidP="00865E31" w:rsidRDefault="00DD5458" w14:paraId="6D0612BB" w14:textId="31D0E173">
      <w:pPr>
        <w:pStyle w:val="BodyText"/>
      </w:pPr>
      <w:r w:rsidRPr="003252AC">
        <w:t xml:space="preserve">Voor de beantwoording van de ingebrachte zienswijzen op het MER wordt een separaat document opgesteld. </w:t>
      </w:r>
      <w:r w:rsidR="00B06EF9">
        <w:t>Dit zogenoemde Hoofdlijnenverslag wordt gepubliceerd bij vaststelling van het Luchthavenbesluit</w:t>
      </w:r>
      <w:r w:rsidR="003252AC">
        <w:t xml:space="preserve">. </w:t>
      </w:r>
    </w:p>
    <w:p w:rsidRPr="004A0937" w:rsidR="004A0937" w:rsidP="004A0937" w:rsidRDefault="004A0937" w14:paraId="2BCE640E" w14:textId="6088DDAA">
      <w:pPr>
        <w:pStyle w:val="BodyText"/>
        <w:jc w:val="both"/>
      </w:pPr>
    </w:p>
    <w:p w:rsidR="004A0937" w:rsidP="00DD5458" w:rsidRDefault="004A0937" w14:paraId="390BDE37" w14:textId="77777777">
      <w:pPr>
        <w:pStyle w:val="BodyText"/>
        <w:jc w:val="both"/>
      </w:pPr>
    </w:p>
    <w:p w:rsidR="00DD5458" w:rsidP="00DD5458" w:rsidRDefault="00DD5458" w14:paraId="1D0974DD" w14:textId="77777777">
      <w:pPr>
        <w:pStyle w:val="BodyText"/>
        <w:jc w:val="both"/>
      </w:pPr>
    </w:p>
    <w:p w:rsidR="00EE1790" w:rsidP="00605C8A" w:rsidRDefault="00EE1790" w14:paraId="3BAC209C" w14:textId="77777777">
      <w:pPr>
        <w:pStyle w:val="BodyText"/>
        <w:jc w:val="both"/>
      </w:pPr>
      <w:bookmarkStart w:name="_Hlk179373659" w:id="11"/>
    </w:p>
    <w:p w:rsidRPr="00FA3B4B" w:rsidR="00EE1790" w:rsidP="00605C8A" w:rsidRDefault="00EE1790" w14:paraId="62614653" w14:textId="77777777">
      <w:pPr>
        <w:pStyle w:val="BodyText"/>
        <w:jc w:val="both"/>
      </w:pPr>
    </w:p>
    <w:p w:rsidR="00BF367A" w:rsidP="00BF367A" w:rsidRDefault="003B0D38" w14:paraId="0C6F3A76" w14:textId="77777777">
      <w:pPr>
        <w:pStyle w:val="Heading1"/>
      </w:pPr>
      <w:bookmarkStart w:name="_Toc133581965" w:id="12"/>
      <w:bookmarkStart w:name="_Toc133594743" w:id="13"/>
      <w:bookmarkStart w:name="_Toc135223347" w:id="14"/>
      <w:bookmarkStart w:name="_Toc135226597" w:id="15"/>
      <w:bookmarkStart w:name="_Toc133581966" w:id="16"/>
      <w:bookmarkStart w:name="_Toc133594744" w:id="17"/>
      <w:bookmarkStart w:name="_Toc135223348" w:id="18"/>
      <w:bookmarkStart w:name="_Toc135226598" w:id="19"/>
      <w:bookmarkStart w:name="_Toc133581967" w:id="20"/>
      <w:bookmarkStart w:name="_Toc133594745" w:id="21"/>
      <w:bookmarkStart w:name="_Toc135223349" w:id="22"/>
      <w:bookmarkStart w:name="_Toc135226599" w:id="23"/>
      <w:bookmarkStart w:name="_Toc133581968" w:id="24"/>
      <w:bookmarkStart w:name="_Toc133594746" w:id="25"/>
      <w:bookmarkStart w:name="_Toc135223350" w:id="26"/>
      <w:bookmarkStart w:name="_Toc135226600" w:id="27"/>
      <w:bookmarkStart w:name="_Toc133581969" w:id="28"/>
      <w:bookmarkStart w:name="_Toc133594747" w:id="29"/>
      <w:bookmarkStart w:name="_Toc135223351" w:id="30"/>
      <w:bookmarkStart w:name="_Toc135226601" w:id="31"/>
      <w:bookmarkStart w:name="_Toc133581970" w:id="32"/>
      <w:bookmarkStart w:name="_Toc133594748" w:id="33"/>
      <w:bookmarkStart w:name="_Toc135223352" w:id="34"/>
      <w:bookmarkStart w:name="_Toc135226602" w:id="35"/>
      <w:bookmarkStart w:name="_Toc133581971" w:id="36"/>
      <w:bookmarkStart w:name="_Toc133594749" w:id="37"/>
      <w:bookmarkStart w:name="_Toc135223353" w:id="38"/>
      <w:bookmarkStart w:name="_Toc135226603" w:id="39"/>
      <w:bookmarkStart w:name="_Toc133581972" w:id="40"/>
      <w:bookmarkStart w:name="_Toc133594750" w:id="41"/>
      <w:bookmarkStart w:name="_Toc135223354" w:id="42"/>
      <w:bookmarkStart w:name="_Toc135226604" w:id="43"/>
      <w:bookmarkStart w:name="_Toc133581973" w:id="44"/>
      <w:bookmarkStart w:name="_Toc133594751" w:id="45"/>
      <w:bookmarkStart w:name="_Toc135223355" w:id="46"/>
      <w:bookmarkStart w:name="_Toc135226605" w:id="47"/>
      <w:bookmarkStart w:name="_Toc133581974" w:id="48"/>
      <w:bookmarkStart w:name="_Toc133594752" w:id="49"/>
      <w:bookmarkStart w:name="_Toc135223356" w:id="50"/>
      <w:bookmarkStart w:name="_Toc135226606" w:id="51"/>
      <w:bookmarkStart w:name="_Toc133581975" w:id="52"/>
      <w:bookmarkStart w:name="_Toc133594753" w:id="53"/>
      <w:bookmarkStart w:name="_Toc135223357" w:id="54"/>
      <w:bookmarkStart w:name="_Toc135226607" w:id="55"/>
      <w:bookmarkStart w:name="_Toc133581976" w:id="56"/>
      <w:bookmarkStart w:name="_Toc133594754" w:id="57"/>
      <w:bookmarkStart w:name="_Toc135223358" w:id="58"/>
      <w:bookmarkStart w:name="_Toc135226608" w:id="59"/>
      <w:bookmarkStart w:name="_Toc133581977" w:id="60"/>
      <w:bookmarkStart w:name="_Toc133594755" w:id="61"/>
      <w:bookmarkStart w:name="_Toc135223359" w:id="62"/>
      <w:bookmarkStart w:name="_Toc135226609" w:id="63"/>
      <w:bookmarkStart w:name="_Toc133581978" w:id="64"/>
      <w:bookmarkStart w:name="_Toc133594756" w:id="65"/>
      <w:bookmarkStart w:name="_Toc135223360" w:id="66"/>
      <w:bookmarkStart w:name="_Toc135226610" w:id="67"/>
      <w:bookmarkStart w:name="_Toc133581979" w:id="68"/>
      <w:bookmarkStart w:name="_Toc133594757" w:id="69"/>
      <w:bookmarkStart w:name="_Toc135223361" w:id="70"/>
      <w:bookmarkStart w:name="_Toc135226611" w:id="71"/>
      <w:bookmarkStart w:name="_Toc133581980" w:id="72"/>
      <w:bookmarkStart w:name="_Toc133594758" w:id="73"/>
      <w:bookmarkStart w:name="_Toc135223362" w:id="74"/>
      <w:bookmarkStart w:name="_Toc135226612" w:id="75"/>
      <w:bookmarkStart w:name="_Toc133581981" w:id="76"/>
      <w:bookmarkStart w:name="_Toc133594759" w:id="77"/>
      <w:bookmarkStart w:name="_Toc135223363" w:id="78"/>
      <w:bookmarkStart w:name="_Toc135226613" w:id="79"/>
      <w:bookmarkStart w:name="_Toc133581982" w:id="80"/>
      <w:bookmarkStart w:name="_Toc133594760" w:id="81"/>
      <w:bookmarkStart w:name="_Toc135223364" w:id="82"/>
      <w:bookmarkStart w:name="_Toc135226614" w:id="83"/>
      <w:bookmarkStart w:name="_Toc133581983" w:id="84"/>
      <w:bookmarkStart w:name="_Toc133594761" w:id="85"/>
      <w:bookmarkStart w:name="_Toc135223365" w:id="86"/>
      <w:bookmarkStart w:name="_Toc135226615" w:id="87"/>
      <w:bookmarkStart w:name="_Toc133581984" w:id="88"/>
      <w:bookmarkStart w:name="_Toc133594762" w:id="89"/>
      <w:bookmarkStart w:name="_Toc135223366" w:id="90"/>
      <w:bookmarkStart w:name="_Toc135226616" w:id="91"/>
      <w:bookmarkStart w:name="_Toc133581985" w:id="92"/>
      <w:bookmarkStart w:name="_Toc133594763" w:id="93"/>
      <w:bookmarkStart w:name="_Toc135223367" w:id="94"/>
      <w:bookmarkStart w:name="_Toc135226617" w:id="95"/>
      <w:bookmarkStart w:name="_Toc133581986" w:id="96"/>
      <w:bookmarkStart w:name="_Toc133594764" w:id="97"/>
      <w:bookmarkStart w:name="_Toc135223368" w:id="98"/>
      <w:bookmarkStart w:name="_Toc135226618" w:id="99"/>
      <w:bookmarkStart w:name="_Toc133581987" w:id="100"/>
      <w:bookmarkStart w:name="_Toc133594765" w:id="101"/>
      <w:bookmarkStart w:name="_Toc135223369" w:id="102"/>
      <w:bookmarkStart w:name="_Toc135226619" w:id="103"/>
      <w:bookmarkStart w:name="_Toc133581988" w:id="104"/>
      <w:bookmarkStart w:name="_Toc133594766" w:id="105"/>
      <w:bookmarkStart w:name="_Toc135223370" w:id="106"/>
      <w:bookmarkStart w:name="_Toc135226620" w:id="107"/>
      <w:bookmarkStart w:name="_Toc133581989" w:id="108"/>
      <w:bookmarkStart w:name="_Toc133594767" w:id="109"/>
      <w:bookmarkStart w:name="_Toc135223371" w:id="110"/>
      <w:bookmarkStart w:name="_Toc135226621" w:id="111"/>
      <w:bookmarkStart w:name="_Toc133581990" w:id="112"/>
      <w:bookmarkStart w:name="_Toc133594768" w:id="113"/>
      <w:bookmarkStart w:name="_Toc135223372" w:id="114"/>
      <w:bookmarkStart w:name="_Toc135226622" w:id="115"/>
      <w:bookmarkStart w:name="_Toc133581991" w:id="116"/>
      <w:bookmarkStart w:name="_Toc133594769" w:id="117"/>
      <w:bookmarkStart w:name="_Toc135223373" w:id="118"/>
      <w:bookmarkStart w:name="_Toc135226623" w:id="119"/>
      <w:bookmarkStart w:name="_Toc133581992" w:id="120"/>
      <w:bookmarkStart w:name="_Toc133594770" w:id="121"/>
      <w:bookmarkStart w:name="_Toc135223374" w:id="122"/>
      <w:bookmarkStart w:name="_Toc135226624" w:id="123"/>
      <w:bookmarkStart w:name="_Toc133581993" w:id="124"/>
      <w:bookmarkStart w:name="_Toc133594771" w:id="125"/>
      <w:bookmarkStart w:name="_Toc135223375" w:id="126"/>
      <w:bookmarkStart w:name="_Toc135226625" w:id="127"/>
      <w:bookmarkStart w:name="_Toc133581994" w:id="128"/>
      <w:bookmarkStart w:name="_Toc133594772" w:id="129"/>
      <w:bookmarkStart w:name="_Toc135223376" w:id="130"/>
      <w:bookmarkStart w:name="_Toc135226626" w:id="131"/>
      <w:bookmarkStart w:name="_Toc133581995" w:id="132"/>
      <w:bookmarkStart w:name="_Toc133594773" w:id="133"/>
      <w:bookmarkStart w:name="_Toc135223377" w:id="134"/>
      <w:bookmarkStart w:name="_Toc135226627" w:id="135"/>
      <w:bookmarkStart w:name="_Toc133581996" w:id="136"/>
      <w:bookmarkStart w:name="_Toc133594774" w:id="137"/>
      <w:bookmarkStart w:name="_Toc135223378" w:id="138"/>
      <w:bookmarkStart w:name="_Toc135226628" w:id="139"/>
      <w:bookmarkStart w:name="_Toc133581997" w:id="140"/>
      <w:bookmarkStart w:name="_Toc133594775" w:id="141"/>
      <w:bookmarkStart w:name="_Toc135223379" w:id="142"/>
      <w:bookmarkStart w:name="_Toc135226629" w:id="143"/>
      <w:bookmarkStart w:name="_Toc133581998" w:id="144"/>
      <w:bookmarkStart w:name="_Toc133594776" w:id="145"/>
      <w:bookmarkStart w:name="_Toc135223380" w:id="146"/>
      <w:bookmarkStart w:name="_Toc135226630" w:id="147"/>
      <w:bookmarkStart w:name="_Toc133581999" w:id="148"/>
      <w:bookmarkStart w:name="_Toc133594777" w:id="149"/>
      <w:bookmarkStart w:name="_Toc135223381" w:id="150"/>
      <w:bookmarkStart w:name="_Toc135226631" w:id="151"/>
      <w:bookmarkStart w:name="_Toc133582000" w:id="152"/>
      <w:bookmarkStart w:name="_Toc133594778" w:id="153"/>
      <w:bookmarkStart w:name="_Toc135223382" w:id="154"/>
      <w:bookmarkStart w:name="_Toc135226632" w:id="155"/>
      <w:bookmarkStart w:name="_Toc133582001" w:id="156"/>
      <w:bookmarkStart w:name="_Toc133594779" w:id="157"/>
      <w:bookmarkStart w:name="_Toc135223383" w:id="158"/>
      <w:bookmarkStart w:name="_Toc135226633" w:id="159"/>
      <w:bookmarkStart w:name="_Toc133582002" w:id="160"/>
      <w:bookmarkStart w:name="_Toc133594780" w:id="161"/>
      <w:bookmarkStart w:name="_Toc135223384" w:id="162"/>
      <w:bookmarkStart w:name="_Toc135226634" w:id="16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FA3B4B">
        <w:br w:type="page"/>
      </w:r>
      <w:bookmarkStart w:name="_Toc137820870" w:id="164"/>
      <w:bookmarkStart w:name="_Toc137820871" w:id="165"/>
      <w:bookmarkStart w:name="_Toc135223388" w:id="166"/>
      <w:bookmarkStart w:name="_Toc135226638" w:id="167"/>
      <w:bookmarkStart w:name="_Toc240548240" w:id="168"/>
      <w:bookmarkEnd w:id="164"/>
      <w:bookmarkEnd w:id="165"/>
      <w:bookmarkEnd w:id="166"/>
      <w:bookmarkEnd w:id="167"/>
      <w:r w:rsidR="00865E31">
        <w:t>Geluid</w:t>
      </w:r>
      <w:bookmarkEnd w:id="168"/>
    </w:p>
    <w:p w:rsidRPr="00BF367A" w:rsidR="00BF367A" w:rsidP="00EB063B" w:rsidRDefault="00BF367A" w14:paraId="42767E2D" w14:textId="54ADCD46">
      <w:pPr>
        <w:pStyle w:val="Heading2"/>
      </w:pPr>
      <w:bookmarkStart w:name="_Toc240548241" w:id="169"/>
      <w:r w:rsidRPr="00BF367A">
        <w:t>Breng geluid van taxiën in beeld</w:t>
      </w:r>
      <w:bookmarkEnd w:id="169"/>
      <w:r w:rsidRPr="00BF367A">
        <w:tab/>
      </w:r>
      <w:r w:rsidRPr="00BF367A">
        <w:tab/>
      </w:r>
      <w:r w:rsidRPr="00BF367A">
        <w:tab/>
      </w:r>
      <w:r w:rsidRPr="00BF367A">
        <w:tab/>
      </w:r>
    </w:p>
    <w:p w:rsidRPr="00FA3B4B" w:rsidR="00F05015" w:rsidP="00F05015" w:rsidRDefault="00F05015" w14:paraId="6C5E640B" w14:textId="77777777">
      <w:pPr>
        <w:pStyle w:val="BodyText"/>
      </w:pPr>
      <w:r w:rsidRPr="00FA3B4B">
        <w:rPr>
          <w:noProof/>
          <w:lang w:val="en-GB"/>
        </w:rPr>
        <mc:AlternateContent>
          <mc:Choice Requires="wps">
            <w:drawing>
              <wp:inline distT="0" distB="0" distL="0" distR="0" wp14:anchorId="58ED93B9" wp14:editId="2D48FC5F">
                <wp:extent cx="5956300" cy="1404620"/>
                <wp:effectExtent l="0" t="0" r="6350" b="0"/>
                <wp:docPr id="1703039620" name="Tekstvak 1703039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F05015" w:rsidP="00F05015" w:rsidRDefault="00F05015" w14:paraId="35FBF308" w14:textId="666D09BD">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MER</w:t>
                            </w:r>
                            <w:r w:rsidR="00486961">
                              <w:rPr>
                                <w:rFonts w:ascii="Verdana" w:hAnsi="Verdana"/>
                                <w:b/>
                                <w:bCs/>
                                <w:color w:val="auto"/>
                                <w:sz w:val="18"/>
                                <w:szCs w:val="18"/>
                              </w:rPr>
                              <w:t xml:space="preserve"> </w:t>
                            </w:r>
                            <w:r w:rsidRPr="00486961" w:rsidR="00486961">
                              <w:rPr>
                                <w:rFonts w:ascii="Verdana" w:hAnsi="Verdana"/>
                                <w:b/>
                                <w:bCs/>
                                <w:color w:val="auto"/>
                                <w:sz w:val="18"/>
                                <w:szCs w:val="18"/>
                              </w:rPr>
                              <w:t>in het advies van de Commissie</w:t>
                            </w:r>
                          </w:p>
                          <w:p w:rsidR="00521C70" w:rsidP="00521C70" w:rsidRDefault="00521C70" w14:paraId="5513A428" w14:textId="77777777">
                            <w:pPr>
                              <w:pStyle w:val="BodyText"/>
                            </w:pPr>
                            <w:r w:rsidRPr="00521C70">
                              <w:t>De emissies naar lucht (inclusief geur) als gevolg van taxiën zijn in het MER meegenomen. De geluidseffecten van taxiënde vliegtuigen zijn echter niet uitgewerkt. Hoewel geluid van taxiënde vliegtuigen onderdeel is van de vliegoperatie en daarmee, anders dan bijvoorbeeld geluid van het proefdraaien van vliegtuigmotoren, niet onder de vergunning voor geluid op het luchthavengebied valt, dienen deze effecten wel te worden betrokken bij het onderzoek naar de geluidseffecten.</w:t>
                            </w:r>
                          </w:p>
                          <w:p w:rsidRPr="00521C70" w:rsidR="00521C70" w:rsidP="00521C70" w:rsidRDefault="00521C70" w14:paraId="13E1B220" w14:textId="77777777">
                            <w:pPr>
                              <w:pStyle w:val="BodyText"/>
                            </w:pPr>
                          </w:p>
                          <w:p w:rsidR="00521C70" w:rsidP="00521C70" w:rsidRDefault="00521C70" w14:paraId="5DC6C32B" w14:textId="77777777">
                            <w:pPr>
                              <w:pStyle w:val="BodyText"/>
                            </w:pPr>
                            <w:r w:rsidRPr="00521C70">
                              <w:t xml:space="preserve">In het </w:t>
                            </w:r>
                            <w:r>
                              <w:t>ontwerp-Luchthaven</w:t>
                            </w:r>
                            <w:r w:rsidRPr="00521C70">
                              <w:t>besluit wordt gesteld dat het effect van taxiën op de totale jaargemiddelde geluidbelasting verwaarloosbaar is. Deze conclusie is in het MER echter onvoldoende onderbouwd. Het deel</w:t>
                            </w:r>
                            <w:r>
                              <w:t>rapport</w:t>
                            </w:r>
                            <w:r w:rsidRPr="00521C70">
                              <w:t xml:space="preserve"> geluid verwijst hiervoor naar het ontbreken van voldoende gefundeerde en gevalideerde rekenmodellen en naar een onderzoek uit 2001 voor Schiphol. Dit onderzoek kan als basis dienen, maar voor RTHA is een actuele en locatie specifieke onderbouwing nodig, onder meer vanwege de geringere afstand tot woningen en de actuele vliegoperaties en vlootsamenstelling.</w:t>
                            </w:r>
                            <w:r>
                              <w:t xml:space="preserve"> </w:t>
                            </w:r>
                          </w:p>
                          <w:p w:rsidR="00521C70" w:rsidP="00521C70" w:rsidRDefault="00521C70" w14:paraId="2F25828B" w14:textId="77777777">
                            <w:pPr>
                              <w:pStyle w:val="BodyText"/>
                            </w:pPr>
                          </w:p>
                          <w:p w:rsidRPr="0091144E" w:rsidR="008F5FA1" w:rsidP="0091144E" w:rsidRDefault="00521C70" w14:paraId="3459B01E" w14:textId="33E02190">
                            <w:pPr>
                              <w:pStyle w:val="BodyText"/>
                            </w:pPr>
                            <w:r w:rsidRPr="00521C70">
                              <w:t>Het MER dient daarom inzicht te geven in de geluidseffecten van taxiënde vliegtuigen op de omgeving van RTHA, op basis van actuele en voor RTHA relevante uitgangspunten en rekenmethoden.</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w14:anchorId="58ED93B9">
                <v:stroke joinstyle="miter"/>
                <v:path gradientshapeok="t" o:connecttype="rect"/>
              </v:shapetype>
              <v:shape id="Tekstvak 1703039620"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26"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">
                <v:textbox style="mso-fit-shape-to-text:t">
                  <w:txbxContent>
                    <w:p w:rsidR="00F05015" w:rsidP="00F05015" w:rsidRDefault="00F05015" w14:paraId="35FBF308" w14:textId="666D09BD">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MER</w:t>
                      </w:r>
                      <w:r w:rsidR="00486961">
                        <w:rPr>
                          <w:rFonts w:ascii="Verdana" w:hAnsi="Verdana"/>
                          <w:b/>
                          <w:bCs/>
                          <w:color w:val="auto"/>
                          <w:sz w:val="18"/>
                          <w:szCs w:val="18"/>
                        </w:rPr>
                        <w:t xml:space="preserve"> </w:t>
                      </w:r>
                      <w:r w:rsidRPr="00486961" w:rsidR="00486961">
                        <w:rPr>
                          <w:rFonts w:ascii="Verdana" w:hAnsi="Verdana"/>
                          <w:b/>
                          <w:bCs/>
                          <w:color w:val="auto"/>
                          <w:sz w:val="18"/>
                          <w:szCs w:val="18"/>
                        </w:rPr>
                        <w:t>in het advies van de Commissie</w:t>
                      </w:r>
                    </w:p>
                    <w:p w:rsidR="00521C70" w:rsidP="00521C70" w:rsidRDefault="00521C70" w14:paraId="5513A428" w14:textId="77777777">
                      <w:pPr>
                        <w:pStyle w:val="BodyText"/>
                      </w:pPr>
                      <w:r w:rsidRPr="00521C70">
                        <w:t>De emissies naar lucht (inclusief geur) als gevolg van taxiën zijn in het MER meegenomen. De geluidseffecten van taxiënde vliegtuigen zijn echter niet uitgewerkt. Hoewel geluid van taxiënde vliegtuigen onderdeel is van de vliegoperatie en daarmee, anders dan bijvoorbeeld geluid van het proefdraaien van vliegtuigmotoren, niet onder de vergunning voor geluid op het luchthavengebied valt, dienen deze effecten wel te worden betrokken bij het onderzoek naar de geluidseffecten.</w:t>
                      </w:r>
                    </w:p>
                    <w:p w:rsidRPr="00521C70" w:rsidR="00521C70" w:rsidP="00521C70" w:rsidRDefault="00521C70" w14:paraId="13E1B220" w14:textId="77777777">
                      <w:pPr>
                        <w:pStyle w:val="BodyText"/>
                      </w:pPr>
                    </w:p>
                    <w:p w:rsidR="00521C70" w:rsidP="00521C70" w:rsidRDefault="00521C70" w14:paraId="5DC6C32B" w14:textId="77777777">
                      <w:pPr>
                        <w:pStyle w:val="BodyText"/>
                      </w:pPr>
                      <w:r w:rsidRPr="00521C70">
                        <w:t xml:space="preserve">In het </w:t>
                      </w:r>
                      <w:r>
                        <w:t>ontwerp-Luchthaven</w:t>
                      </w:r>
                      <w:r w:rsidRPr="00521C70">
                        <w:t>besluit wordt gesteld dat het effect van taxiën op de totale jaargemiddelde geluidbelasting verwaarloosbaar is. Deze conclusie is in het MER echter onvoldoende onderbouwd. Het deel</w:t>
                      </w:r>
                      <w:r>
                        <w:t>rapport</w:t>
                      </w:r>
                      <w:r w:rsidRPr="00521C70">
                        <w:t xml:space="preserve"> geluid verwijst hiervoor naar het ontbreken van voldoende gefundeerde en gevalideerde rekenmodellen en naar een onderzoek uit 2001 voor Schiphol. Dit onderzoek kan als basis dienen, maar voor RTHA is een actuele en locatie specifieke onderbouwing nodig, onder meer vanwege de geringere afstand tot woningen en de actuele vliegoperaties en vlootsamenstelling.</w:t>
                      </w:r>
                      <w:r>
                        <w:t xml:space="preserve"> </w:t>
                      </w:r>
                    </w:p>
                    <w:p w:rsidR="00521C70" w:rsidP="00521C70" w:rsidRDefault="00521C70" w14:paraId="2F25828B" w14:textId="77777777">
                      <w:pPr>
                        <w:pStyle w:val="BodyText"/>
                      </w:pPr>
                    </w:p>
                    <w:p w:rsidRPr="0091144E" w:rsidR="008F5FA1" w:rsidP="0091144E" w:rsidRDefault="00521C70" w14:paraId="3459B01E" w14:textId="33E02190">
                      <w:pPr>
                        <w:pStyle w:val="BodyText"/>
                      </w:pPr>
                      <w:r w:rsidRPr="00521C70">
                        <w:t>Het MER dient daarom inzicht te geven in de geluidseffecten van taxiënde vliegtuigen op de omgeving van RTHA, op basis van actuele en voor RTHA relevante uitgangspunten en rekenmethoden.</w:t>
                      </w:r>
                    </w:p>
                  </w:txbxContent>
                </v:textbox>
                <w10:anchorlock/>
              </v:shape>
            </w:pict>
          </mc:Fallback>
        </mc:AlternateContent>
      </w:r>
    </w:p>
    <w:p w:rsidRPr="00FA3B4B" w:rsidR="00F05015" w:rsidP="00F05015" w:rsidRDefault="00F05015" w14:paraId="7C30E31E" w14:textId="77777777">
      <w:pPr>
        <w:pStyle w:val="BodyText"/>
      </w:pPr>
    </w:p>
    <w:p w:rsidRPr="00FA3B4B" w:rsidR="00F05015" w:rsidP="00F05015" w:rsidRDefault="00F05015" w14:paraId="7A85F01A" w14:textId="77777777">
      <w:pPr>
        <w:pStyle w:val="BodyText"/>
      </w:pPr>
      <w:r w:rsidRPr="00FA3B4B">
        <w:rPr>
          <w:noProof/>
          <w:szCs w:val="18"/>
          <w:lang w:val="en-GB"/>
        </w:rPr>
        <mc:AlternateContent>
          <mc:Choice Requires="wps">
            <w:drawing>
              <wp:inline distT="0" distB="0" distL="0" distR="0" wp14:anchorId="64068C05" wp14:editId="3074EC7A">
                <wp:extent cx="5957570" cy="1221639"/>
                <wp:effectExtent l="0" t="0" r="5080" b="0"/>
                <wp:docPr id="303624569" name="Tekstvak 303624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221639"/>
                        </a:xfrm>
                        <a:prstGeom prst="rect">
                          <a:avLst/>
                        </a:prstGeom>
                        <a:solidFill>
                          <a:schemeClr val="accent6">
                            <a:lumMod val="20000"/>
                            <a:lumOff val="80000"/>
                          </a:schemeClr>
                        </a:solidFill>
                        <a:ln w="9525">
                          <a:noFill/>
                          <a:miter lim="800000"/>
                          <a:headEnd/>
                          <a:tailEnd/>
                        </a:ln>
                      </wps:spPr>
                      <wps:txbx>
                        <w:txbxContent>
                          <w:p w:rsidRPr="00F00B53" w:rsidR="00F05015" w:rsidP="00F05015" w:rsidRDefault="00F05015" w14:paraId="1DA7412A"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521C70" w:rsidR="008F5FA1" w:rsidP="00521C70" w:rsidRDefault="00521C70" w14:paraId="3EF79D7A" w14:textId="24F07B61">
                            <w:pPr>
                              <w:pStyle w:val="BodyText"/>
                              <w:rPr>
                                <w:szCs w:val="18"/>
                              </w:rPr>
                            </w:pPr>
                            <w:r w:rsidRPr="00521C70">
                              <w:rPr>
                                <w:szCs w:val="18"/>
                              </w:rPr>
                              <w:t>De Commissie adviseert het geluidsonderzoek uit te breiden met een actuele, indicatieve geluidstudie naar het taxiën van vliegtuigen, specifiek voor RTHA. Daarbij moet worden onderzocht in hoeverre het geluid van taxiënde vliegtuigen een significante bijdrage levert aan de geluidhinder in de omgeving en of dit kan leiden tot knellende geluidssituaties. Tevens adviseert de Commissie te onderzoeken welke mitigerende maatregelen nodig of wenselijk zijn om eventuele geluidseffecten van het taxiën te beperken.</w:t>
                            </w:r>
                          </w:p>
                          <w:p w:rsidRPr="00F00B53" w:rsidR="00F05015" w:rsidP="00F05015" w:rsidRDefault="00F05015" w14:paraId="0953BBF5" w14:textId="77777777">
                            <w:pPr>
                              <w:spacing w:line="276" w:lineRule="auto"/>
                              <w:jc w:val="both"/>
                              <w:rPr>
                                <w:rFonts w:ascii="Verdana" w:hAnsi="Verdana"/>
                                <w:b/>
                                <w:bCs/>
                                <w:color w:val="auto"/>
                                <w:sz w:val="18"/>
                                <w:szCs w:val="18"/>
                              </w:rPr>
                            </w:pPr>
                          </w:p>
                        </w:txbxContent>
                      </wps:txbx>
                      <wps:bodyPr rot="0" vert="horz" wrap="square" lIns="91440" tIns="45720" rIns="91440" bIns="45720" anchor="t" anchorCtr="0">
                        <a:noAutofit/>
                      </wps:bodyPr>
                    </wps:wsp>
                  </a:graphicData>
                </a:graphic>
              </wp:inline>
            </w:drawing>
          </mc:Choice>
          <mc:Fallback>
            <w:pict>
              <v:shape id="Tekstvak 303624569" style="width:469.1pt;height:96.2pt;visibility:visible;mso-wrap-style:square;mso-left-percent:-10001;mso-top-percent:-10001;mso-position-horizontal:absolute;mso-position-horizontal-relative:char;mso-position-vertical:absolute;mso-position-vertical-relative:line;mso-left-percent:-10001;mso-top-percent:-10001;v-text-anchor:top" o:spid="_x0000_s1027"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" w14:anchorId="64068C05">
                <v:textbox>
                  <w:txbxContent>
                    <w:p w:rsidRPr="00F00B53" w:rsidR="00F05015" w:rsidP="00F05015" w:rsidRDefault="00F05015" w14:paraId="1DA7412A"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521C70" w:rsidR="008F5FA1" w:rsidP="00521C70" w:rsidRDefault="00521C70" w14:paraId="3EF79D7A" w14:textId="24F07B61">
                      <w:pPr>
                        <w:pStyle w:val="BodyText"/>
                        <w:rPr>
                          <w:szCs w:val="18"/>
                        </w:rPr>
                      </w:pPr>
                      <w:r w:rsidRPr="00521C70">
                        <w:rPr>
                          <w:szCs w:val="18"/>
                        </w:rPr>
                        <w:t>De Commissie adviseert het geluidsonderzoek uit te breiden met een actuele, indicatieve geluidstudie naar het taxiën van vliegtuigen, specifiek voor RTHA. Daarbij moet worden onderzocht in hoeverre het geluid van taxiënde vliegtuigen een significante bijdrage levert aan de geluidhinder in de omgeving en of dit kan leiden tot knellende geluidssituaties. Tevens adviseert de Commissie te onderzoeken welke mitigerende maatregelen nodig of wenselijk zijn om eventuele geluidseffecten van het taxiën te beperken.</w:t>
                      </w:r>
                    </w:p>
                    <w:p w:rsidRPr="00F00B53" w:rsidR="00F05015" w:rsidP="00F05015" w:rsidRDefault="00F05015" w14:paraId="0953BBF5" w14:textId="77777777">
                      <w:pPr>
                        <w:spacing w:line="276" w:lineRule="auto"/>
                        <w:jc w:val="both"/>
                        <w:rPr>
                          <w:rFonts w:ascii="Verdana" w:hAnsi="Verdana"/>
                          <w:b/>
                          <w:bCs/>
                          <w:color w:val="auto"/>
                          <w:sz w:val="18"/>
                          <w:szCs w:val="18"/>
                        </w:rPr>
                      </w:pPr>
                    </w:p>
                  </w:txbxContent>
                </v:textbox>
                <w10:anchorlock/>
              </v:shape>
            </w:pict>
          </mc:Fallback>
        </mc:AlternateContent>
      </w:r>
    </w:p>
    <w:p w:rsidRPr="00FA3B4B" w:rsidR="00F05015" w:rsidP="00F05015" w:rsidRDefault="00F05015" w14:paraId="7F591F89" w14:textId="77777777">
      <w:pPr>
        <w:pStyle w:val="BodyText"/>
      </w:pPr>
    </w:p>
    <w:p w:rsidRPr="00FA3B4B" w:rsidR="00F05015" w:rsidP="00F05015" w:rsidRDefault="00F05015" w14:paraId="191BC1FC" w14:textId="77777777">
      <w:pPr>
        <w:pStyle w:val="BodyText"/>
        <w:jc w:val="both"/>
        <w:rPr>
          <w:u w:val="single"/>
        </w:rPr>
      </w:pPr>
      <w:r w:rsidRPr="00FA3B4B">
        <w:rPr>
          <w:u w:val="single"/>
        </w:rPr>
        <w:t>Reactie</w:t>
      </w:r>
    </w:p>
    <w:p w:rsidR="00B2050D" w:rsidP="00B2050D" w:rsidRDefault="00B2050D" w14:paraId="7E3EBCDE" w14:textId="3016A0F0">
      <w:pPr>
        <w:rPr>
          <w:rFonts w:ascii="Verdana" w:hAnsi="Verdana"/>
          <w:color w:val="auto"/>
          <w:sz w:val="18"/>
          <w:szCs w:val="18"/>
        </w:rPr>
      </w:pPr>
      <w:r w:rsidRPr="00B2050D">
        <w:rPr>
          <w:rFonts w:ascii="Verdana" w:hAnsi="Verdana"/>
          <w:color w:val="auto"/>
          <w:sz w:val="18"/>
          <w:szCs w:val="18"/>
        </w:rPr>
        <w:t xml:space="preserve">Het advies van de Commissie mer wordt opgevolgd met een actuele, indicatieve geluidstudie naar taxiënde vliegtuigen, specifiek voor RTHA. Het taxigeluid wordt afzonderlijk gekwantificeerd op basis van </w:t>
      </w:r>
      <w:r w:rsidR="00275142">
        <w:rPr>
          <w:rFonts w:ascii="Verdana" w:hAnsi="Verdana"/>
          <w:color w:val="auto"/>
          <w:sz w:val="18"/>
          <w:szCs w:val="18"/>
        </w:rPr>
        <w:t xml:space="preserve">de vigerende rekenmethode </w:t>
      </w:r>
      <w:r w:rsidRPr="00B2050D">
        <w:rPr>
          <w:rFonts w:ascii="Verdana" w:hAnsi="Verdana"/>
          <w:color w:val="auto"/>
          <w:sz w:val="18"/>
          <w:szCs w:val="18"/>
        </w:rPr>
        <w:t>met actuele en voor RTHA relevante geluid- en operationele gegevens. De berekeningen worden uitgevoerd op locaties met woningen dicht bij de baan en vergeleken met de luchtvaartgeluidbelasting uit het MER. Op basis hiervan wordt beoordeeld of taxigeluid een significante bijdrage levert aan de geluidhinder of kan leiden tot knellende situaties. Tevens wordt ingegaan op eventuele benodigde of wenselijke mitigerende maatregelen.</w:t>
      </w:r>
    </w:p>
    <w:p w:rsidR="00B2050D" w:rsidP="00B2050D" w:rsidRDefault="00B2050D" w14:paraId="0B7B3FE2" w14:textId="77777777">
      <w:pPr>
        <w:rPr>
          <w:rFonts w:ascii="Verdana" w:hAnsi="Verdana"/>
          <w:color w:val="auto"/>
          <w:sz w:val="18"/>
          <w:szCs w:val="18"/>
        </w:rPr>
      </w:pPr>
    </w:p>
    <w:p w:rsidRPr="00BF367A" w:rsidR="00B2050D" w:rsidP="00EB063B" w:rsidRDefault="00B2050D" w14:paraId="7254B013" w14:textId="344B72FC">
      <w:pPr>
        <w:pStyle w:val="Heading2"/>
        <w:rPr>
          <w:szCs w:val="20"/>
        </w:rPr>
      </w:pPr>
      <w:bookmarkStart w:name="_Toc240548242" w:id="170"/>
      <w:r w:rsidRPr="00BF367A">
        <w:rPr>
          <w:szCs w:val="20"/>
        </w:rPr>
        <w:t>B</w:t>
      </w:r>
      <w:r>
        <w:t>ereken cumulatie van geluidniveaus</w:t>
      </w:r>
      <w:bookmarkEnd w:id="170"/>
      <w:r w:rsidRPr="00BF367A">
        <w:rPr>
          <w:szCs w:val="20"/>
        </w:rPr>
        <w:tab/>
      </w:r>
      <w:r w:rsidRPr="00BF367A">
        <w:rPr>
          <w:szCs w:val="20"/>
        </w:rPr>
        <w:tab/>
      </w:r>
      <w:r w:rsidRPr="00BF367A">
        <w:rPr>
          <w:szCs w:val="20"/>
        </w:rPr>
        <w:tab/>
      </w:r>
      <w:r w:rsidRPr="00BF367A">
        <w:rPr>
          <w:szCs w:val="20"/>
        </w:rPr>
        <w:tab/>
      </w:r>
    </w:p>
    <w:p w:rsidRPr="00FA3B4B" w:rsidR="00B2050D" w:rsidP="00B2050D" w:rsidRDefault="00B2050D" w14:paraId="35F3C522" w14:textId="77777777">
      <w:pPr>
        <w:pStyle w:val="BodyText"/>
      </w:pPr>
      <w:r w:rsidRPr="00FA3B4B">
        <w:rPr>
          <w:noProof/>
          <w:lang w:val="en-GB"/>
        </w:rPr>
        <mc:AlternateContent>
          <mc:Choice Requires="wps">
            <w:drawing>
              <wp:inline distT="0" distB="0" distL="0" distR="0" wp14:anchorId="0C0E7A2A" wp14:editId="227164AB">
                <wp:extent cx="5956300" cy="1404620"/>
                <wp:effectExtent l="0" t="0" r="6350" b="0"/>
                <wp:docPr id="2097023908" name="Tekstvak 2097023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B2050D" w:rsidP="00B2050D" w:rsidRDefault="00B2050D" w14:paraId="124E6C1D"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1144E" w:rsidR="0091144E" w:rsidP="0091144E" w:rsidRDefault="0091144E" w14:paraId="18B3F29B" w14:textId="77777777">
                            <w:pPr>
                              <w:pStyle w:val="BodyText"/>
                            </w:pPr>
                            <w:r w:rsidRPr="0091144E">
                              <w:t>Het MER beschrijft de cumulatieve effecten van vliegtuiggeluid in combinatie met andere geluidbronnen in de omgeving, met name weg- en railverkeer. Deze informatie is relevant voor (toekomstige) besluiten over de ruimtelijke inrichting van de omgeving, zoals omgevingsplannen.</w:t>
                            </w:r>
                          </w:p>
                          <w:p w:rsidR="0091144E" w:rsidP="0091144E" w:rsidRDefault="0091144E" w14:paraId="50299598" w14:textId="77777777">
                            <w:pPr>
                              <w:pStyle w:val="BodyText"/>
                            </w:pPr>
                          </w:p>
                          <w:p w:rsidRPr="0091144E" w:rsidR="00B2050D" w:rsidP="0091144E" w:rsidRDefault="0091144E" w14:paraId="6C70F51B" w14:textId="0CCD1D0D">
                            <w:pPr>
                              <w:pStyle w:val="BodyText"/>
                            </w:pPr>
                            <w:r w:rsidRPr="0091144E">
                              <w:t>Artikel 3.25 van de Omgevingsregeling bevat de formules voor het berekenen van gecumuleerde geluidbelasting. Daarbij is een nieuwe cumulatieformule opgenomen waarin luchtvaartgeluid zwaarder meeweegt. In het MER is de cumulatieve geluidbelasting echter nog berekend met de bestaande formule, waarbij de bijdrage van luchtvaartgeluid afzonderlijk is bepaald.</w:t>
                            </w:r>
                            <w:r>
                              <w:t xml:space="preserve"> </w:t>
                            </w:r>
                            <w:r w:rsidRPr="0091144E">
                              <w:t>De effecten van de nieuwe cumulatieformule dienen daarom in het MER inzichtelijk te worden gemaakt, mede gelet op de toegenomen hinder van luchtvaartgeluid en de mogelijke gevolgen voor geplande en toekomstige ruimtelijke ontwikkelingen in de omgeving.</w:t>
                            </w:r>
                          </w:p>
                        </w:txbxContent>
                      </wps:txbx>
                      <wps:bodyPr rot="0" vert="horz" wrap="square" lIns="91440" tIns="45720" rIns="91440" bIns="45720" anchor="t" anchorCtr="0">
                        <a:spAutoFit/>
                      </wps:bodyPr>
                    </wps:wsp>
                  </a:graphicData>
                </a:graphic>
              </wp:inline>
            </w:drawing>
          </mc:Choice>
          <mc:Fallback>
            <w:pict>
              <v:shape id="Tekstvak 2097023908"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28"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" w14:anchorId="0C0E7A2A">
                <v:textbox style="mso-fit-shape-to-text:t">
                  <w:txbxContent>
                    <w:p w:rsidR="00B2050D" w:rsidP="00B2050D" w:rsidRDefault="00B2050D" w14:paraId="124E6C1D"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1144E" w:rsidR="0091144E" w:rsidP="0091144E" w:rsidRDefault="0091144E" w14:paraId="18B3F29B" w14:textId="77777777">
                      <w:pPr>
                        <w:pStyle w:val="BodyText"/>
                      </w:pPr>
                      <w:r w:rsidRPr="0091144E">
                        <w:t>Het MER beschrijft de cumulatieve effecten van vliegtuiggeluid in combinatie met andere geluidbronnen in de omgeving, met name weg- en railverkeer. Deze informatie is relevant voor (toekomstige) besluiten over de ruimtelijke inrichting van de omgeving, zoals omgevingsplannen.</w:t>
                      </w:r>
                    </w:p>
                    <w:p w:rsidR="0091144E" w:rsidP="0091144E" w:rsidRDefault="0091144E" w14:paraId="50299598" w14:textId="77777777">
                      <w:pPr>
                        <w:pStyle w:val="BodyText"/>
                      </w:pPr>
                    </w:p>
                    <w:p w:rsidRPr="0091144E" w:rsidR="00B2050D" w:rsidP="0091144E" w:rsidRDefault="0091144E" w14:paraId="6C70F51B" w14:textId="0CCD1D0D">
                      <w:pPr>
                        <w:pStyle w:val="BodyText"/>
                      </w:pPr>
                      <w:r w:rsidRPr="0091144E">
                        <w:t>Artikel 3.25 van de Omgevingsregeling bevat de formules voor het berekenen van gecumuleerde geluidbelasting. Daarbij is een nieuwe cumulatieformule opgenomen waarin luchtvaartgeluid zwaarder meeweegt. In het MER is de cumulatieve geluidbelasting echter nog berekend met de bestaande formule, waarbij de bijdrage van luchtvaartgeluid afzonderlijk is bepaald.</w:t>
                      </w:r>
                      <w:r>
                        <w:t xml:space="preserve"> </w:t>
                      </w:r>
                      <w:r w:rsidRPr="0091144E">
                        <w:t>De effecten van de nieuwe cumulatieformule dienen daarom in het MER inzichtelijk te worden gemaakt, mede gelet op de toegenomen hinder van luchtvaartgeluid en de mogelijke gevolgen voor geplande en toekomstige ruimtelijke ontwikkelingen in de omgeving.</w:t>
                      </w:r>
                    </w:p>
                  </w:txbxContent>
                </v:textbox>
                <w10:anchorlock/>
              </v:shape>
            </w:pict>
          </mc:Fallback>
        </mc:AlternateContent>
      </w:r>
    </w:p>
    <w:p w:rsidRPr="00FA3B4B" w:rsidR="00B2050D" w:rsidP="00B2050D" w:rsidRDefault="00B2050D" w14:paraId="63DE897C" w14:textId="77777777">
      <w:pPr>
        <w:pStyle w:val="BodyText"/>
      </w:pPr>
    </w:p>
    <w:p w:rsidRPr="00FA3B4B" w:rsidR="00B2050D" w:rsidP="00B2050D" w:rsidRDefault="00B2050D" w14:paraId="6B4D359B" w14:textId="77777777">
      <w:pPr>
        <w:pStyle w:val="BodyText"/>
      </w:pPr>
      <w:r w:rsidRPr="00FA3B4B">
        <w:rPr>
          <w:noProof/>
          <w:szCs w:val="18"/>
          <w:lang w:val="en-GB"/>
        </w:rPr>
        <mc:AlternateContent>
          <mc:Choice Requires="wps">
            <w:drawing>
              <wp:inline distT="0" distB="0" distL="0" distR="0" wp14:anchorId="732FAB91" wp14:editId="2F746A95">
                <wp:extent cx="5957570" cy="579120"/>
                <wp:effectExtent l="0" t="0" r="5080" b="0"/>
                <wp:docPr id="1556288116" name="Tekstvak 1556288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579120"/>
                        </a:xfrm>
                        <a:prstGeom prst="rect">
                          <a:avLst/>
                        </a:prstGeom>
                        <a:solidFill>
                          <a:schemeClr val="accent6">
                            <a:lumMod val="20000"/>
                            <a:lumOff val="80000"/>
                          </a:schemeClr>
                        </a:solidFill>
                        <a:ln w="9525">
                          <a:noFill/>
                          <a:miter lim="800000"/>
                          <a:headEnd/>
                          <a:tailEnd/>
                        </a:ln>
                      </wps:spPr>
                      <wps:txbx>
                        <w:txbxContent>
                          <w:p w:rsidRPr="00F00B53" w:rsidR="00B2050D" w:rsidP="00B2050D" w:rsidRDefault="00B2050D" w14:paraId="48482F7F"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B2050D" w:rsidP="0091144E" w:rsidRDefault="0091144E" w14:paraId="4FF6F0B0" w14:textId="58D2AA18">
                            <w:pPr>
                              <w:pStyle w:val="BodyText"/>
                              <w:rPr>
                                <w:szCs w:val="18"/>
                              </w:rPr>
                            </w:pPr>
                            <w:r w:rsidRPr="0091144E">
                              <w:rPr>
                                <w:szCs w:val="18"/>
                              </w:rPr>
                              <w:t>De Commissie adviseert de geluidseffecten met de cumulatie-formule uit artikel 3.25 van de Omgevingsregeling in beeld te brengen.</w:t>
                            </w:r>
                          </w:p>
                        </w:txbxContent>
                      </wps:txbx>
                      <wps:bodyPr rot="0" vert="horz" wrap="square" lIns="91440" tIns="45720" rIns="91440" bIns="45720" anchor="t" anchorCtr="0">
                        <a:noAutofit/>
                      </wps:bodyPr>
                    </wps:wsp>
                  </a:graphicData>
                </a:graphic>
              </wp:inline>
            </w:drawing>
          </mc:Choice>
          <mc:Fallback>
            <w:pict>
              <v:shape id="Tekstvak 1556288116" style="width:469.1pt;height:45.6pt;visibility:visible;mso-wrap-style:square;mso-left-percent:-10001;mso-top-percent:-10001;mso-position-horizontal:absolute;mso-position-horizontal-relative:char;mso-position-vertical:absolute;mso-position-vertical-relative:line;mso-left-percent:-10001;mso-top-percent:-10001;v-text-anchor:top" o:spid="_x0000_s1029"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" w14:anchorId="732FAB91">
                <v:textbox>
                  <w:txbxContent>
                    <w:p w:rsidRPr="00F00B53" w:rsidR="00B2050D" w:rsidP="00B2050D" w:rsidRDefault="00B2050D" w14:paraId="48482F7F"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B2050D" w:rsidP="0091144E" w:rsidRDefault="0091144E" w14:paraId="4FF6F0B0" w14:textId="58D2AA18">
                      <w:pPr>
                        <w:pStyle w:val="BodyText"/>
                        <w:rPr>
                          <w:szCs w:val="18"/>
                        </w:rPr>
                      </w:pPr>
                      <w:r w:rsidRPr="0091144E">
                        <w:rPr>
                          <w:szCs w:val="18"/>
                        </w:rPr>
                        <w:t>De Commissie adviseert de geluidseffecten met de cumulatie-formule uit artikel 3.25 van de Omgevingsregeling in beeld te brengen.</w:t>
                      </w:r>
                    </w:p>
                  </w:txbxContent>
                </v:textbox>
                <w10:anchorlock/>
              </v:shape>
            </w:pict>
          </mc:Fallback>
        </mc:AlternateContent>
      </w:r>
    </w:p>
    <w:p w:rsidR="0091144E" w:rsidP="00B2050D" w:rsidRDefault="0091144E" w14:paraId="799E56C8" w14:textId="77777777">
      <w:pPr>
        <w:rPr>
          <w:rFonts w:ascii="Verdana" w:hAnsi="Verdana"/>
          <w:sz w:val="18"/>
          <w:szCs w:val="18"/>
        </w:rPr>
      </w:pPr>
    </w:p>
    <w:p w:rsidRPr="00FA3B4B" w:rsidR="0091144E" w:rsidP="0091144E" w:rsidRDefault="0091144E" w14:paraId="6B06EE43" w14:textId="77777777">
      <w:pPr>
        <w:pStyle w:val="BodyText"/>
        <w:jc w:val="both"/>
        <w:rPr>
          <w:u w:val="single"/>
        </w:rPr>
      </w:pPr>
      <w:r w:rsidRPr="00FA3B4B">
        <w:rPr>
          <w:u w:val="single"/>
        </w:rPr>
        <w:t>Reactie</w:t>
      </w:r>
    </w:p>
    <w:p w:rsidR="0091144E" w:rsidP="0091144E" w:rsidRDefault="0091144E" w14:paraId="0F089D17" w14:textId="3E64B8C7">
      <w:pPr>
        <w:rPr>
          <w:rFonts w:ascii="Verdana" w:hAnsi="Verdana"/>
          <w:color w:val="auto"/>
          <w:sz w:val="18"/>
          <w:szCs w:val="18"/>
        </w:rPr>
      </w:pPr>
      <w:r w:rsidRPr="0091144E">
        <w:rPr>
          <w:rFonts w:ascii="Verdana" w:hAnsi="Verdana"/>
          <w:color w:val="auto"/>
          <w:sz w:val="18"/>
          <w:szCs w:val="18"/>
        </w:rPr>
        <w:t>Het advies van de Commissie mer wordt opgevolgd.</w:t>
      </w:r>
      <w:r w:rsidRPr="00760498" w:rsidR="00760498">
        <w:t xml:space="preserve"> </w:t>
      </w:r>
      <w:r w:rsidRPr="00760498" w:rsidR="00760498">
        <w:rPr>
          <w:rFonts w:ascii="Verdana" w:hAnsi="Verdana"/>
          <w:color w:val="auto"/>
          <w:sz w:val="18"/>
          <w:szCs w:val="18"/>
        </w:rPr>
        <w:t>De cumulatieve geluidbelasting wordt aanvullend berekend op basis van de nieuwe cumulatieformule uit de Omgevingsregeling, zoals opgenomen in artikel 3.25. Deze nieuwe formule is ten tijde van het opstellen van deze r</w:t>
      </w:r>
      <w:r w:rsidR="00760498">
        <w:rPr>
          <w:rFonts w:ascii="Verdana" w:hAnsi="Verdana"/>
          <w:color w:val="auto"/>
          <w:sz w:val="18"/>
          <w:szCs w:val="18"/>
        </w:rPr>
        <w:t>eactienota</w:t>
      </w:r>
      <w:r w:rsidRPr="00760498" w:rsidR="00760498">
        <w:rPr>
          <w:rFonts w:ascii="Verdana" w:hAnsi="Verdana"/>
          <w:color w:val="auto"/>
          <w:sz w:val="18"/>
          <w:szCs w:val="18"/>
        </w:rPr>
        <w:t xml:space="preserve"> echter nog niet in werking getreden. De onderliggende geluidbelastingen per bronsoort worden bij de aanvullende berekening één-op-één overgenomen uit de bestanden die aan het MER ten grondslag liggen.</w:t>
      </w:r>
      <w:r w:rsidRPr="0091144E">
        <w:rPr>
          <w:rFonts w:ascii="Verdana" w:hAnsi="Verdana"/>
          <w:color w:val="auto"/>
          <w:sz w:val="18"/>
          <w:szCs w:val="18"/>
        </w:rPr>
        <w:t xml:space="preserve"> De cumulatieve geluidbelasting wordt vervolgens berekend, vertaald naar geluidcontouren en beoordeeld aan de hand van de methode Miedema, in lijn met de werkwijze in het MER.</w:t>
      </w:r>
      <w:r>
        <w:rPr>
          <w:rFonts w:ascii="Verdana" w:hAnsi="Verdana"/>
          <w:color w:val="auto"/>
          <w:sz w:val="18"/>
          <w:szCs w:val="18"/>
        </w:rPr>
        <w:t xml:space="preserve"> </w:t>
      </w:r>
    </w:p>
    <w:p w:rsidR="0091144E" w:rsidP="0091144E" w:rsidRDefault="0091144E" w14:paraId="246AB993" w14:textId="77777777">
      <w:pPr>
        <w:rPr>
          <w:rFonts w:ascii="Verdana" w:hAnsi="Verdana"/>
          <w:color w:val="auto"/>
          <w:sz w:val="18"/>
          <w:szCs w:val="18"/>
        </w:rPr>
      </w:pPr>
    </w:p>
    <w:p w:rsidRPr="0091144E" w:rsidR="0091144E" w:rsidP="0091144E" w:rsidRDefault="0091144E" w14:paraId="66D93204" w14:textId="66D2F95C">
      <w:pPr>
        <w:rPr>
          <w:rFonts w:ascii="Verdana" w:hAnsi="Verdana"/>
          <w:color w:val="auto"/>
          <w:sz w:val="18"/>
          <w:szCs w:val="18"/>
        </w:rPr>
      </w:pPr>
      <w:r w:rsidRPr="0091144E">
        <w:rPr>
          <w:rFonts w:ascii="Verdana" w:hAnsi="Verdana"/>
          <w:color w:val="auto"/>
          <w:sz w:val="18"/>
          <w:szCs w:val="18"/>
        </w:rPr>
        <w:t>De resultaten worden</w:t>
      </w:r>
      <w:r w:rsidR="00760498">
        <w:rPr>
          <w:rFonts w:ascii="Verdana" w:hAnsi="Verdana"/>
          <w:color w:val="auto"/>
          <w:sz w:val="18"/>
          <w:szCs w:val="18"/>
        </w:rPr>
        <w:t>,</w:t>
      </w:r>
      <w:r w:rsidRPr="0091144E">
        <w:rPr>
          <w:rFonts w:ascii="Verdana" w:hAnsi="Verdana"/>
          <w:color w:val="auto"/>
          <w:sz w:val="18"/>
          <w:szCs w:val="18"/>
        </w:rPr>
        <w:t xml:space="preserve"> inclusief een kaart van de cumulatieve geluidbelasting</w:t>
      </w:r>
      <w:r w:rsidR="00760498">
        <w:rPr>
          <w:rFonts w:ascii="Verdana" w:hAnsi="Verdana"/>
          <w:color w:val="auto"/>
          <w:sz w:val="18"/>
          <w:szCs w:val="18"/>
        </w:rPr>
        <w:t>,</w:t>
      </w:r>
      <w:r w:rsidRPr="0091144E">
        <w:rPr>
          <w:rFonts w:ascii="Verdana" w:hAnsi="Verdana"/>
          <w:color w:val="auto"/>
          <w:sz w:val="18"/>
          <w:szCs w:val="18"/>
        </w:rPr>
        <w:t xml:space="preserve"> opgenomen in de rapportage. Daarbij wordt kort ingegaan op de gehanteerde methodiek, de verschillen tussen de huidige en toekomstige cumulatieformule en de status van de nieuwe formule. Tevens worden de gevolgen voor de milieueffecten inzichtelijk gemaakt.</w:t>
      </w:r>
    </w:p>
    <w:p w:rsidR="0091144E" w:rsidP="0091144E" w:rsidRDefault="0091144E" w14:paraId="61F78481" w14:textId="77777777">
      <w:pPr>
        <w:rPr>
          <w:rFonts w:ascii="Verdana" w:hAnsi="Verdana"/>
          <w:sz w:val="18"/>
          <w:szCs w:val="18"/>
        </w:rPr>
      </w:pPr>
    </w:p>
    <w:p w:rsidRPr="00BF367A" w:rsidR="0091144E" w:rsidP="00EB063B" w:rsidRDefault="0091144E" w14:paraId="32E54ADF" w14:textId="506923E5">
      <w:pPr>
        <w:pStyle w:val="Heading2"/>
        <w:rPr>
          <w:szCs w:val="20"/>
        </w:rPr>
      </w:pPr>
      <w:bookmarkStart w:name="_Toc240548243" w:id="171"/>
      <w:r>
        <w:t>Pas de nieuwste blootstelling-responsrelaties toe</w:t>
      </w:r>
      <w:bookmarkEnd w:id="171"/>
      <w:r w:rsidRPr="00BF367A">
        <w:rPr>
          <w:szCs w:val="20"/>
        </w:rPr>
        <w:tab/>
      </w:r>
      <w:r w:rsidRPr="00BF367A">
        <w:rPr>
          <w:szCs w:val="20"/>
        </w:rPr>
        <w:tab/>
      </w:r>
      <w:r w:rsidRPr="00BF367A">
        <w:rPr>
          <w:szCs w:val="20"/>
        </w:rPr>
        <w:tab/>
      </w:r>
      <w:r w:rsidRPr="00BF367A">
        <w:rPr>
          <w:szCs w:val="20"/>
        </w:rPr>
        <w:tab/>
      </w:r>
    </w:p>
    <w:p w:rsidRPr="00FA3B4B" w:rsidR="0091144E" w:rsidP="0091144E" w:rsidRDefault="0091144E" w14:paraId="217608BB" w14:textId="77777777">
      <w:pPr>
        <w:pStyle w:val="BodyText"/>
      </w:pPr>
      <w:r w:rsidRPr="00FA3B4B">
        <w:rPr>
          <w:noProof/>
          <w:lang w:val="en-GB"/>
        </w:rPr>
        <mc:AlternateContent>
          <mc:Choice Requires="wps">
            <w:drawing>
              <wp:inline distT="0" distB="0" distL="0" distR="0" wp14:anchorId="2DDCF470" wp14:editId="109A3572">
                <wp:extent cx="5956300" cy="1404620"/>
                <wp:effectExtent l="0" t="0" r="6350" b="0"/>
                <wp:docPr id="37665192" name="Tekstvak 37665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91144E" w:rsidP="0091144E" w:rsidRDefault="0091144E" w14:paraId="6FA3277F"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7054CB" w:rsidP="007054CB" w:rsidRDefault="007054CB" w14:paraId="1EB08C9B" w14:textId="77777777">
                            <w:pPr>
                              <w:pStyle w:val="BodyText"/>
                            </w:pPr>
                            <w:r w:rsidRPr="007054CB">
                              <w:t>De beleving van geluidhinder wordt uitgedrukt aan de hand van een blootstellings-responsrelatie. In het MER is hiervoor de blootstellings-responsrelatie uit 2002 als uitgangspunt gehanteerd. In 2020 is deze relatie opnieuw vastgesteld. Uit dit onderzoek blijkt een relatief sterke toename van het aantal ernstig gehinderden ten opzichte van 2002. Toepassing van de GES 2020-dosis-effectrelatie leidt volgens het deelrapport geluid tot circa 25% hogere absolute aantallen ernstig gehinderden dan toepassing van de relatie uit 2002.</w:t>
                            </w:r>
                          </w:p>
                          <w:p w:rsidRPr="007054CB" w:rsidR="007054CB" w:rsidP="007054CB" w:rsidRDefault="007054CB" w14:paraId="4DD64241" w14:textId="77777777">
                            <w:pPr>
                              <w:pStyle w:val="BodyText"/>
                            </w:pPr>
                          </w:p>
                          <w:p w:rsidRPr="0091144E" w:rsidR="0091144E" w:rsidP="0091144E" w:rsidRDefault="007054CB" w14:paraId="54EF55D5" w14:textId="2AAB83F0">
                            <w:pPr>
                              <w:pStyle w:val="BodyText"/>
                            </w:pPr>
                            <w:r w:rsidRPr="007054CB">
                              <w:t>In 2026 heeft het RIVM nieuwe onderzoeksresultaten gepubliceerd, waaruit blijkt dat de blootstellings-responsrelaties voor ernstige hinder en slaapverstoring opnieuw zijn gewijzigd ten opzichte van de relaties uit 2002 en 2020. Het RIVM adviseert om bij het schatten van het aantal ernstig gehinderden en slaapverstoorden door vliegverkeer zoveel mogelijk gebruik te maken van de meest recente, luchthaven</w:t>
                            </w:r>
                            <w:r>
                              <w:t xml:space="preserve"> </w:t>
                            </w:r>
                            <w:r w:rsidRPr="007054CB">
                              <w:t>specifieke blootstellings-responsrelaties.</w:t>
                            </w:r>
                          </w:p>
                        </w:txbxContent>
                      </wps:txbx>
                      <wps:bodyPr rot="0" vert="horz" wrap="square" lIns="91440" tIns="45720" rIns="91440" bIns="45720" anchor="t" anchorCtr="0">
                        <a:spAutoFit/>
                      </wps:bodyPr>
                    </wps:wsp>
                  </a:graphicData>
                </a:graphic>
              </wp:inline>
            </w:drawing>
          </mc:Choice>
          <mc:Fallback>
            <w:pict>
              <v:shape id="Tekstvak 37665192"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30"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" w14:anchorId="2DDCF470">
                <v:textbox style="mso-fit-shape-to-text:t">
                  <w:txbxContent>
                    <w:p w:rsidR="0091144E" w:rsidP="0091144E" w:rsidRDefault="0091144E" w14:paraId="6FA3277F"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7054CB" w:rsidP="007054CB" w:rsidRDefault="007054CB" w14:paraId="1EB08C9B" w14:textId="77777777">
                      <w:pPr>
                        <w:pStyle w:val="BodyText"/>
                      </w:pPr>
                      <w:r w:rsidRPr="007054CB">
                        <w:t>De beleving van geluidhinder wordt uitgedrukt aan de hand van een blootstellings-responsrelatie. In het MER is hiervoor de blootstellings-responsrelatie uit 2002 als uitgangspunt gehanteerd. In 2020 is deze relatie opnieuw vastgesteld. Uit dit onderzoek blijkt een relatief sterke toename van het aantal ernstig gehinderden ten opzichte van 2002. Toepassing van de GES 2020-dosis-effectrelatie leidt volgens het deelrapport geluid tot circa 25% hogere absolute aantallen ernstig gehinderden dan toepassing van de relatie uit 2002.</w:t>
                      </w:r>
                    </w:p>
                    <w:p w:rsidRPr="007054CB" w:rsidR="007054CB" w:rsidP="007054CB" w:rsidRDefault="007054CB" w14:paraId="4DD64241" w14:textId="77777777">
                      <w:pPr>
                        <w:pStyle w:val="BodyText"/>
                      </w:pPr>
                    </w:p>
                    <w:p w:rsidRPr="0091144E" w:rsidR="0091144E" w:rsidP="0091144E" w:rsidRDefault="007054CB" w14:paraId="54EF55D5" w14:textId="2AAB83F0">
                      <w:pPr>
                        <w:pStyle w:val="BodyText"/>
                      </w:pPr>
                      <w:r w:rsidRPr="007054CB">
                        <w:t>In 2026 heeft het RIVM nieuwe onderzoeksresultaten gepubliceerd, waaruit blijkt dat de blootstellings-responsrelaties voor ernstige hinder en slaapverstoring opnieuw zijn gewijzigd ten opzichte van de relaties uit 2002 en 2020. Het RIVM adviseert om bij het schatten van het aantal ernstig gehinderden en slaapverstoorden door vliegverkeer zoveel mogelijk gebruik te maken van de meest recente, luchthaven</w:t>
                      </w:r>
                      <w:r>
                        <w:t xml:space="preserve"> </w:t>
                      </w:r>
                      <w:r w:rsidRPr="007054CB">
                        <w:t>specifieke blootstellings-responsrelaties.</w:t>
                      </w:r>
                    </w:p>
                  </w:txbxContent>
                </v:textbox>
                <w10:anchorlock/>
              </v:shape>
            </w:pict>
          </mc:Fallback>
        </mc:AlternateContent>
      </w:r>
    </w:p>
    <w:p w:rsidRPr="00FA3B4B" w:rsidR="0091144E" w:rsidP="0091144E" w:rsidRDefault="0091144E" w14:paraId="4839BEDB" w14:textId="77777777">
      <w:pPr>
        <w:pStyle w:val="BodyText"/>
      </w:pPr>
    </w:p>
    <w:p w:rsidRPr="00FA3B4B" w:rsidR="0091144E" w:rsidP="0091144E" w:rsidRDefault="0091144E" w14:paraId="6A5BB7FD" w14:textId="77777777">
      <w:pPr>
        <w:pStyle w:val="BodyText"/>
      </w:pPr>
      <w:r w:rsidRPr="00FA3B4B">
        <w:rPr>
          <w:noProof/>
          <w:szCs w:val="18"/>
          <w:lang w:val="en-GB"/>
        </w:rPr>
        <mc:AlternateContent>
          <mc:Choice Requires="wps">
            <w:drawing>
              <wp:inline distT="0" distB="0" distL="0" distR="0" wp14:anchorId="07011834" wp14:editId="10CC5322">
                <wp:extent cx="5957570" cy="1211580"/>
                <wp:effectExtent l="0" t="0" r="5080" b="7620"/>
                <wp:docPr id="357233009" name="Tekstvak 357233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211580"/>
                        </a:xfrm>
                        <a:prstGeom prst="rect">
                          <a:avLst/>
                        </a:prstGeom>
                        <a:solidFill>
                          <a:schemeClr val="accent6">
                            <a:lumMod val="20000"/>
                            <a:lumOff val="80000"/>
                          </a:schemeClr>
                        </a:solidFill>
                        <a:ln w="9525">
                          <a:noFill/>
                          <a:miter lim="800000"/>
                          <a:headEnd/>
                          <a:tailEnd/>
                        </a:ln>
                      </wps:spPr>
                      <wps:txbx>
                        <w:txbxContent>
                          <w:p w:rsidRPr="00F00B53" w:rsidR="0091144E" w:rsidP="0091144E" w:rsidRDefault="0091144E" w14:paraId="6F60A00F"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91144E" w:rsidP="007054CB" w:rsidRDefault="007054CB" w14:paraId="68E96472" w14:textId="51EE3BF1">
                            <w:pPr>
                              <w:pStyle w:val="BodyText"/>
                              <w:rPr>
                                <w:szCs w:val="18"/>
                              </w:rPr>
                            </w:pPr>
                            <w:r w:rsidRPr="007054CB">
                              <w:rPr>
                                <w:szCs w:val="18"/>
                              </w:rPr>
                              <w:t>De Commissie adviseert de 2026 blootstellings-responsrelaties toe te passen op het onderzoek. Combineer deze resultaten met inzichten over het aantal vluchten en rustperiodes. Geef op basis daarvan aan wat de effecten zijn op (ernstige) geluidhinder en slaapverstoring. Wanneer het RIVM-onderzoek onvoldoende antwoord geeft op de vraag of de geluidhinder toeneemt als bij gelijke etmaalwaarden het aantal vliegtuigbewegingen toeneemt, neem dit punt dan in het MER op als kennisleemte en/of in een onderzoeksagenda voor het vervolg.</w:t>
                            </w:r>
                          </w:p>
                        </w:txbxContent>
                      </wps:txbx>
                      <wps:bodyPr rot="0" vert="horz" wrap="square" lIns="91440" tIns="45720" rIns="91440" bIns="45720" anchor="t" anchorCtr="0">
                        <a:noAutofit/>
                      </wps:bodyPr>
                    </wps:wsp>
                  </a:graphicData>
                </a:graphic>
              </wp:inline>
            </w:drawing>
          </mc:Choice>
          <mc:Fallback>
            <w:pict>
              <v:shape id="Tekstvak 357233009" style="width:469.1pt;height:95.4pt;visibility:visible;mso-wrap-style:square;mso-left-percent:-10001;mso-top-percent:-10001;mso-position-horizontal:absolute;mso-position-horizontal-relative:char;mso-position-vertical:absolute;mso-position-vertical-relative:line;mso-left-percent:-10001;mso-top-percent:-10001;v-text-anchor:top" o:spid="_x0000_s1031"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" w14:anchorId="07011834">
                <v:textbox>
                  <w:txbxContent>
                    <w:p w:rsidRPr="00F00B53" w:rsidR="0091144E" w:rsidP="0091144E" w:rsidRDefault="0091144E" w14:paraId="6F60A00F"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91144E" w:rsidP="007054CB" w:rsidRDefault="007054CB" w14:paraId="68E96472" w14:textId="51EE3BF1">
                      <w:pPr>
                        <w:pStyle w:val="BodyText"/>
                        <w:rPr>
                          <w:szCs w:val="18"/>
                        </w:rPr>
                      </w:pPr>
                      <w:r w:rsidRPr="007054CB">
                        <w:rPr>
                          <w:szCs w:val="18"/>
                        </w:rPr>
                        <w:t>De Commissie adviseert de 2026 blootstellings-responsrelaties toe te passen op het onderzoek. Combineer deze resultaten met inzichten over het aantal vluchten en rustperiodes. Geef op basis daarvan aan wat de effecten zijn op (ernstige) geluidhinder en slaapverstoring. Wanneer het RIVM-onderzoek onvoldoende antwoord geeft op de vraag of de geluidhinder toeneemt als bij gelijke etmaalwaarden het aantal vliegtuigbewegingen toeneemt, neem dit punt dan in het MER op als kennisleemte en/of in een onderzoeksagenda voor het vervolg.</w:t>
                      </w:r>
                    </w:p>
                  </w:txbxContent>
                </v:textbox>
                <w10:anchorlock/>
              </v:shape>
            </w:pict>
          </mc:Fallback>
        </mc:AlternateContent>
      </w:r>
    </w:p>
    <w:p w:rsidR="0091144E" w:rsidP="0091144E" w:rsidRDefault="0091144E" w14:paraId="5BAE5C58" w14:textId="77777777">
      <w:pPr>
        <w:rPr>
          <w:rFonts w:ascii="Verdana" w:hAnsi="Verdana"/>
          <w:sz w:val="18"/>
          <w:szCs w:val="18"/>
        </w:rPr>
      </w:pPr>
    </w:p>
    <w:p w:rsidRPr="00FA3B4B" w:rsidR="0091144E" w:rsidP="0091144E" w:rsidRDefault="0091144E" w14:paraId="4B198A56" w14:textId="77777777">
      <w:pPr>
        <w:pStyle w:val="BodyText"/>
        <w:jc w:val="both"/>
        <w:rPr>
          <w:u w:val="single"/>
        </w:rPr>
      </w:pPr>
      <w:r w:rsidRPr="00FA3B4B">
        <w:rPr>
          <w:u w:val="single"/>
        </w:rPr>
        <w:t>Reactie</w:t>
      </w:r>
    </w:p>
    <w:p w:rsidR="00520D19" w:rsidP="007054CB" w:rsidRDefault="007054CB" w14:paraId="01328BE0" w14:textId="77777777">
      <w:pPr>
        <w:rPr>
          <w:rFonts w:ascii="Verdana" w:hAnsi="Verdana"/>
          <w:color w:val="auto"/>
          <w:sz w:val="18"/>
          <w:szCs w:val="18"/>
        </w:rPr>
      </w:pPr>
      <w:r w:rsidRPr="007054CB">
        <w:rPr>
          <w:rFonts w:ascii="Verdana" w:hAnsi="Verdana"/>
          <w:color w:val="auto"/>
          <w:sz w:val="18"/>
          <w:szCs w:val="18"/>
        </w:rPr>
        <w:t xml:space="preserve">Het advies van de Commissie mer wordt opgevolgd. </w:t>
      </w:r>
      <w:r w:rsidRPr="00520D19" w:rsidR="00520D19">
        <w:rPr>
          <w:rFonts w:ascii="Verdana" w:hAnsi="Verdana"/>
          <w:color w:val="auto"/>
          <w:sz w:val="18"/>
          <w:szCs w:val="18"/>
        </w:rPr>
        <w:t xml:space="preserve">Bij het opstellen van het MER is gerekend met de op dat moment meest actuele beschikbare gegevens en inzichten, waaronder de toen geldende RIVM-blootstellings-responsrelaties. Na </w:t>
      </w:r>
      <w:r w:rsidR="00520D19">
        <w:rPr>
          <w:rFonts w:ascii="Verdana" w:hAnsi="Verdana"/>
          <w:color w:val="auto"/>
          <w:sz w:val="18"/>
          <w:szCs w:val="18"/>
        </w:rPr>
        <w:t>het opstellen</w:t>
      </w:r>
      <w:r w:rsidRPr="00520D19" w:rsidR="00520D19">
        <w:rPr>
          <w:rFonts w:ascii="Verdana" w:hAnsi="Verdana"/>
          <w:color w:val="auto"/>
          <w:sz w:val="18"/>
          <w:szCs w:val="18"/>
        </w:rPr>
        <w:t xml:space="preserve"> van het MER zijn in 2026 nieuwe RIVM-blootstellings-responsrelaties gepubliceerd.</w:t>
      </w:r>
      <w:r w:rsidR="00520D19">
        <w:rPr>
          <w:rFonts w:ascii="Verdana" w:hAnsi="Verdana"/>
          <w:color w:val="auto"/>
          <w:sz w:val="18"/>
          <w:szCs w:val="18"/>
        </w:rPr>
        <w:t xml:space="preserve"> </w:t>
      </w:r>
    </w:p>
    <w:p w:rsidR="00520D19" w:rsidP="007054CB" w:rsidRDefault="00520D19" w14:paraId="5195BA85" w14:textId="77777777">
      <w:pPr>
        <w:rPr>
          <w:rFonts w:ascii="Verdana" w:hAnsi="Verdana"/>
          <w:color w:val="auto"/>
          <w:sz w:val="18"/>
          <w:szCs w:val="18"/>
        </w:rPr>
      </w:pPr>
    </w:p>
    <w:p w:rsidR="007054CB" w:rsidP="007054CB" w:rsidRDefault="007054CB" w14:paraId="3F41CCBB" w14:textId="3784306D">
      <w:pPr>
        <w:rPr>
          <w:rFonts w:ascii="Verdana" w:hAnsi="Verdana"/>
          <w:color w:val="auto"/>
          <w:sz w:val="18"/>
          <w:szCs w:val="18"/>
        </w:rPr>
      </w:pPr>
      <w:r w:rsidRPr="007054CB">
        <w:rPr>
          <w:rFonts w:ascii="Verdana" w:hAnsi="Verdana"/>
          <w:color w:val="auto"/>
          <w:sz w:val="18"/>
          <w:szCs w:val="18"/>
        </w:rPr>
        <w:t xml:space="preserve">De tellingen van ernstig gehinderden en ernstig slaapverstoorden worden </w:t>
      </w:r>
      <w:r w:rsidR="00520D19">
        <w:rPr>
          <w:rFonts w:ascii="Verdana" w:hAnsi="Verdana"/>
          <w:color w:val="auto"/>
          <w:sz w:val="18"/>
          <w:szCs w:val="18"/>
        </w:rPr>
        <w:t xml:space="preserve">daarom </w:t>
      </w:r>
      <w:r w:rsidRPr="007054CB">
        <w:rPr>
          <w:rFonts w:ascii="Verdana" w:hAnsi="Verdana"/>
          <w:color w:val="auto"/>
          <w:sz w:val="18"/>
          <w:szCs w:val="18"/>
        </w:rPr>
        <w:t>aanvullend uitgevoerd op basis van de in 2026 gepubliceerde RIVM-blootstellings-responsrelaties</w:t>
      </w:r>
      <w:r w:rsidR="00760498">
        <w:rPr>
          <w:rStyle w:val="FootnoteReference"/>
          <w:rFonts w:ascii="Verdana" w:hAnsi="Verdana"/>
          <w:color w:val="auto"/>
          <w:sz w:val="18"/>
          <w:szCs w:val="18"/>
        </w:rPr>
        <w:footnoteReference w:id="6"/>
      </w:r>
      <w:r w:rsidRPr="007054CB">
        <w:rPr>
          <w:rFonts w:ascii="Verdana" w:hAnsi="Verdana"/>
          <w:color w:val="auto"/>
          <w:sz w:val="18"/>
          <w:szCs w:val="18"/>
        </w:rPr>
        <w:t>. De onderliggende geluidbelasting en geluidgevoelige objecten uit het MER worden hierbij één-op-één overgenomen. De nieuwe tellingen worden uitgevoerd voor de alternatieven AO, VA-zichtjaar</w:t>
      </w:r>
      <w:r w:rsidR="00520D19">
        <w:rPr>
          <w:rFonts w:ascii="Verdana" w:hAnsi="Verdana"/>
          <w:color w:val="auto"/>
          <w:sz w:val="18"/>
          <w:szCs w:val="18"/>
        </w:rPr>
        <w:t xml:space="preserve"> </w:t>
      </w:r>
      <w:r w:rsidRPr="007054CB">
        <w:rPr>
          <w:rFonts w:ascii="Verdana" w:hAnsi="Verdana"/>
          <w:color w:val="auto"/>
          <w:sz w:val="18"/>
          <w:szCs w:val="18"/>
        </w:rPr>
        <w:t>en VA-startjaar. De resultaten worden opgenomen naast de bestaande aantallen in het MER en de effectscores worden hierop aangepast.</w:t>
      </w:r>
    </w:p>
    <w:p w:rsidRPr="007054CB" w:rsidR="007054CB" w:rsidP="007054CB" w:rsidRDefault="007054CB" w14:paraId="7D2DA669" w14:textId="77777777">
      <w:pPr>
        <w:rPr>
          <w:rFonts w:ascii="Verdana" w:hAnsi="Verdana"/>
          <w:color w:val="auto"/>
          <w:sz w:val="18"/>
          <w:szCs w:val="18"/>
        </w:rPr>
      </w:pPr>
    </w:p>
    <w:p w:rsidRPr="007054CB" w:rsidR="007054CB" w:rsidP="007054CB" w:rsidRDefault="007054CB" w14:paraId="5A57FF5E" w14:textId="77777777">
      <w:pPr>
        <w:rPr>
          <w:rFonts w:ascii="Verdana" w:hAnsi="Verdana"/>
          <w:color w:val="auto"/>
          <w:sz w:val="18"/>
          <w:szCs w:val="18"/>
        </w:rPr>
      </w:pPr>
      <w:r w:rsidRPr="007054CB">
        <w:rPr>
          <w:rFonts w:ascii="Verdana" w:hAnsi="Verdana"/>
          <w:color w:val="auto"/>
          <w:sz w:val="18"/>
          <w:szCs w:val="18"/>
        </w:rPr>
        <w:t>Daarnaast wordt kort ingegaan op de methodische verschillen met het MER en op de informatie over het aantal vluchten en rustperiodes. Op basis van de resultaten wordt beoordeeld of de gewijzigde blootstellings-responsrelaties gevolgen hebben voor de conclusies en effectscores van het MER.</w:t>
      </w:r>
    </w:p>
    <w:p w:rsidR="007054CB" w:rsidP="0091144E" w:rsidRDefault="007054CB" w14:paraId="6E7306BF" w14:textId="77777777">
      <w:pPr>
        <w:rPr>
          <w:rFonts w:ascii="Verdana" w:hAnsi="Verdana"/>
          <w:sz w:val="18"/>
          <w:szCs w:val="18"/>
        </w:rPr>
      </w:pPr>
    </w:p>
    <w:p w:rsidRPr="00BF367A" w:rsidR="007054CB" w:rsidP="00EB063B" w:rsidRDefault="007054CB" w14:paraId="322952DB" w14:textId="1D6F3FC0">
      <w:pPr>
        <w:pStyle w:val="Heading2"/>
        <w:rPr>
          <w:szCs w:val="20"/>
        </w:rPr>
      </w:pPr>
      <w:bookmarkStart w:name="_Toc240548244" w:id="172"/>
      <w:r>
        <w:t>Breng routeafwijkingen Hillegersberg/Schiebroek in beeld</w:t>
      </w:r>
      <w:bookmarkEnd w:id="172"/>
      <w:r w:rsidRPr="00BF367A">
        <w:rPr>
          <w:szCs w:val="20"/>
        </w:rPr>
        <w:tab/>
      </w:r>
      <w:r w:rsidRPr="00BF367A">
        <w:rPr>
          <w:szCs w:val="20"/>
        </w:rPr>
        <w:tab/>
      </w:r>
      <w:r w:rsidRPr="00BF367A">
        <w:rPr>
          <w:szCs w:val="20"/>
        </w:rPr>
        <w:tab/>
      </w:r>
      <w:r w:rsidRPr="00BF367A">
        <w:rPr>
          <w:szCs w:val="20"/>
        </w:rPr>
        <w:tab/>
      </w:r>
    </w:p>
    <w:p w:rsidRPr="00FA3B4B" w:rsidR="007054CB" w:rsidP="007054CB" w:rsidRDefault="007054CB" w14:paraId="765C63F0" w14:textId="77777777">
      <w:pPr>
        <w:pStyle w:val="BodyText"/>
      </w:pPr>
      <w:r w:rsidRPr="00FA3B4B">
        <w:rPr>
          <w:noProof/>
          <w:lang w:val="en-GB"/>
        </w:rPr>
        <mc:AlternateContent>
          <mc:Choice Requires="wps">
            <w:drawing>
              <wp:inline distT="0" distB="0" distL="0" distR="0" wp14:anchorId="5D889309" wp14:editId="5B7DA100">
                <wp:extent cx="5956300" cy="1404620"/>
                <wp:effectExtent l="0" t="0" r="6350" b="0"/>
                <wp:docPr id="681164576" name="Tekstvak 681164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7054CB" w:rsidP="007054CB" w:rsidRDefault="007054CB" w14:paraId="4DD6C7E5"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1144E" w:rsidR="007054CB" w:rsidP="007054CB" w:rsidRDefault="00EF4624" w14:paraId="481A2847" w14:textId="5CB86FF2">
                            <w:pPr>
                              <w:pStyle w:val="BodyText"/>
                            </w:pPr>
                            <w:r w:rsidRPr="00EF4624">
                              <w:t>De in het MER gepresenteerde radartracks laten zien dat de daadwerkelijk gevlogen vertrekroutes kunnen afwijken van de met de Standard Instrument Departures (SID) gedefinieerde routes. Volgens het MER vinden deze afwijkingen plaats op instructie van Luchtverkeersleiding Nederland. Bij de geluidsberekeningen is geprobeerd deze routespreiding te modelleren. De Commissie constateert echter dat met name bij Hillegersberg/Schiebroek de in figuur 1 van dit advies zichtbare afbuiging van vertrekroutes vanaf baan 06 naar het zuiden slechts beperkt in de routemodellering is meegenomen. Dit kan leiden tot een onderschatting van de geluidseffecten in dit gebied.</w:t>
                            </w:r>
                          </w:p>
                        </w:txbxContent>
                      </wps:txbx>
                      <wps:bodyPr rot="0" vert="horz" wrap="square" lIns="91440" tIns="45720" rIns="91440" bIns="45720" anchor="t" anchorCtr="0">
                        <a:spAutoFit/>
                      </wps:bodyPr>
                    </wps:wsp>
                  </a:graphicData>
                </a:graphic>
              </wp:inline>
            </w:drawing>
          </mc:Choice>
          <mc:Fallback>
            <w:pict>
              <v:shape id="Tekstvak 681164576"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32"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" w14:anchorId="5D889309">
                <v:textbox style="mso-fit-shape-to-text:t">
                  <w:txbxContent>
                    <w:p w:rsidR="007054CB" w:rsidP="007054CB" w:rsidRDefault="007054CB" w14:paraId="4DD6C7E5"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1144E" w:rsidR="007054CB" w:rsidP="007054CB" w:rsidRDefault="00EF4624" w14:paraId="481A2847" w14:textId="5CB86FF2">
                      <w:pPr>
                        <w:pStyle w:val="BodyText"/>
                      </w:pPr>
                      <w:r w:rsidRPr="00EF4624">
                        <w:t>De in het MER gepresenteerde radartracks laten zien dat de daadwerkelijk gevlogen vertrekroutes kunnen afwijken van de met de Standard Instrument Departures (SID) gedefinieerde routes. Volgens het MER vinden deze afwijkingen plaats op instructie van Luchtverkeersleiding Nederland. Bij de geluidsberekeningen is geprobeerd deze routespreiding te modelleren. De Commissie constateert echter dat met name bij Hillegersberg/Schiebroek de in figuur 1 van dit advies zichtbare afbuiging van vertrekroutes vanaf baan 06 naar het zuiden slechts beperkt in de routemodellering is meegenomen. Dit kan leiden tot een onderschatting van de geluidseffecten in dit gebied.</w:t>
                      </w:r>
                    </w:p>
                  </w:txbxContent>
                </v:textbox>
                <w10:anchorlock/>
              </v:shape>
            </w:pict>
          </mc:Fallback>
        </mc:AlternateContent>
      </w:r>
    </w:p>
    <w:p w:rsidRPr="00FA3B4B" w:rsidR="007054CB" w:rsidP="007054CB" w:rsidRDefault="007054CB" w14:paraId="5172D9DC" w14:textId="77777777">
      <w:pPr>
        <w:pStyle w:val="BodyText"/>
      </w:pPr>
    </w:p>
    <w:p w:rsidRPr="00FA3B4B" w:rsidR="007054CB" w:rsidP="007054CB" w:rsidRDefault="007054CB" w14:paraId="3E1CA783" w14:textId="77777777">
      <w:pPr>
        <w:pStyle w:val="BodyText"/>
      </w:pPr>
      <w:r w:rsidRPr="00FA3B4B">
        <w:rPr>
          <w:noProof/>
          <w:szCs w:val="18"/>
          <w:lang w:val="en-GB"/>
        </w:rPr>
        <mc:AlternateContent>
          <mc:Choice Requires="wps">
            <w:drawing>
              <wp:inline distT="0" distB="0" distL="0" distR="0" wp14:anchorId="7D9669F1" wp14:editId="4B537B92">
                <wp:extent cx="5957570" cy="609600"/>
                <wp:effectExtent l="0" t="0" r="5080" b="0"/>
                <wp:docPr id="1222201727" name="Tekstvak 1222201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609600"/>
                        </a:xfrm>
                        <a:prstGeom prst="rect">
                          <a:avLst/>
                        </a:prstGeom>
                        <a:solidFill>
                          <a:schemeClr val="accent6">
                            <a:lumMod val="20000"/>
                            <a:lumOff val="80000"/>
                          </a:schemeClr>
                        </a:solidFill>
                        <a:ln w="9525">
                          <a:noFill/>
                          <a:miter lim="800000"/>
                          <a:headEnd/>
                          <a:tailEnd/>
                        </a:ln>
                      </wps:spPr>
                      <wps:txbx>
                        <w:txbxContent>
                          <w:p w:rsidRPr="00F00B53" w:rsidR="007054CB" w:rsidP="007054CB" w:rsidRDefault="007054CB" w14:paraId="32EE0DCB"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7054CB" w:rsidP="007054CB" w:rsidRDefault="00EF4624" w14:paraId="7193ECAD" w14:textId="738FCBEB">
                            <w:pPr>
                              <w:pStyle w:val="BodyText"/>
                              <w:rPr>
                                <w:szCs w:val="18"/>
                              </w:rPr>
                            </w:pPr>
                            <w:r w:rsidRPr="00EF4624">
                              <w:rPr>
                                <w:szCs w:val="18"/>
                              </w:rPr>
                              <w:t>De Commissie adviseert de geluidseffecten van afwijkingen van routes beter in kaart te brengen en mogelijke mitigerende maatregelen te onderzoeken.</w:t>
                            </w:r>
                          </w:p>
                        </w:txbxContent>
                      </wps:txbx>
                      <wps:bodyPr rot="0" vert="horz" wrap="square" lIns="91440" tIns="45720" rIns="91440" bIns="45720" anchor="t" anchorCtr="0">
                        <a:noAutofit/>
                      </wps:bodyPr>
                    </wps:wsp>
                  </a:graphicData>
                </a:graphic>
              </wp:inline>
            </w:drawing>
          </mc:Choice>
          <mc:Fallback>
            <w:pict>
              <v:shape id="Tekstvak 1222201727" style="width:469.1pt;height:48pt;visibility:visible;mso-wrap-style:square;mso-left-percent:-10001;mso-top-percent:-10001;mso-position-horizontal:absolute;mso-position-horizontal-relative:char;mso-position-vertical:absolute;mso-position-vertical-relative:line;mso-left-percent:-10001;mso-top-percent:-10001;v-text-anchor:top" o:spid="_x0000_s1033"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" w14:anchorId="7D9669F1">
                <v:textbox>
                  <w:txbxContent>
                    <w:p w:rsidRPr="00F00B53" w:rsidR="007054CB" w:rsidP="007054CB" w:rsidRDefault="007054CB" w14:paraId="32EE0DCB"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91144E" w:rsidR="007054CB" w:rsidP="007054CB" w:rsidRDefault="00EF4624" w14:paraId="7193ECAD" w14:textId="738FCBEB">
                      <w:pPr>
                        <w:pStyle w:val="BodyText"/>
                        <w:rPr>
                          <w:szCs w:val="18"/>
                        </w:rPr>
                      </w:pPr>
                      <w:r w:rsidRPr="00EF4624">
                        <w:rPr>
                          <w:szCs w:val="18"/>
                        </w:rPr>
                        <w:t>De Commissie adviseert de geluidseffecten van afwijkingen van routes beter in kaart te brengen en mogelijke mitigerende maatregelen te onderzoeken.</w:t>
                      </w:r>
                    </w:p>
                  </w:txbxContent>
                </v:textbox>
                <w10:anchorlock/>
              </v:shape>
            </w:pict>
          </mc:Fallback>
        </mc:AlternateContent>
      </w:r>
    </w:p>
    <w:p w:rsidR="007054CB" w:rsidP="007054CB" w:rsidRDefault="007054CB" w14:paraId="6C531737" w14:textId="77777777">
      <w:pPr>
        <w:rPr>
          <w:rFonts w:ascii="Verdana" w:hAnsi="Verdana"/>
          <w:sz w:val="18"/>
          <w:szCs w:val="18"/>
        </w:rPr>
      </w:pPr>
    </w:p>
    <w:p w:rsidRPr="00FA3B4B" w:rsidR="007054CB" w:rsidP="007054CB" w:rsidRDefault="007054CB" w14:paraId="4AAE95E3" w14:textId="77777777">
      <w:pPr>
        <w:pStyle w:val="BodyText"/>
        <w:jc w:val="both"/>
        <w:rPr>
          <w:u w:val="single"/>
        </w:rPr>
      </w:pPr>
      <w:r w:rsidRPr="00FA3B4B">
        <w:rPr>
          <w:u w:val="single"/>
        </w:rPr>
        <w:t>Reactie</w:t>
      </w:r>
    </w:p>
    <w:p w:rsidR="00EF4624" w:rsidP="00EF4624" w:rsidRDefault="00EF4624" w14:paraId="3EB164AD" w14:textId="77F41619">
      <w:pPr>
        <w:rPr>
          <w:rFonts w:ascii="Verdana" w:hAnsi="Verdana"/>
          <w:color w:val="auto"/>
          <w:sz w:val="18"/>
          <w:szCs w:val="18"/>
        </w:rPr>
      </w:pPr>
      <w:r w:rsidRPr="00EF4624">
        <w:rPr>
          <w:rFonts w:ascii="Verdana" w:hAnsi="Verdana"/>
          <w:color w:val="auto"/>
          <w:sz w:val="18"/>
          <w:szCs w:val="18"/>
        </w:rPr>
        <w:t>Het advies van de Commissie mer wordt opgevolgd. De geluidseffecten van routeafwijkingen, met specifieke aandacht voor Hillegersberg en Schiebroek, worden nader inzichtelijk gemaakt. Daarbij wordt de in het MER gehanteerde methodiek voor het gebruik van radartracks in de Doc29-berekeningen nader toegelicht aan de hand van kaarten, analoog aan figuur 13 en 14 uit het Deelrapport Geluid. Aanvullend wordt inzicht gegeven in de geluidclusters die rechtstreeks op basis van radartracks zijn bepaald</w:t>
      </w:r>
      <w:r>
        <w:rPr>
          <w:rFonts w:ascii="Verdana" w:hAnsi="Verdana"/>
          <w:color w:val="auto"/>
          <w:sz w:val="18"/>
          <w:szCs w:val="18"/>
        </w:rPr>
        <w:t>.</w:t>
      </w:r>
    </w:p>
    <w:p w:rsidRPr="00EF4624" w:rsidR="00EF4624" w:rsidP="00EF4624" w:rsidRDefault="00EF4624" w14:paraId="04CC7297" w14:textId="77777777">
      <w:pPr>
        <w:rPr>
          <w:rFonts w:ascii="Verdana" w:hAnsi="Verdana"/>
          <w:color w:val="auto"/>
          <w:sz w:val="18"/>
          <w:szCs w:val="18"/>
        </w:rPr>
      </w:pPr>
    </w:p>
    <w:p w:rsidRPr="00EF4624" w:rsidR="00EF4624" w:rsidP="00EF4624" w:rsidRDefault="00EF4624" w14:paraId="36701238" w14:textId="7DAD747B">
      <w:pPr>
        <w:rPr>
          <w:rFonts w:ascii="Verdana" w:hAnsi="Verdana"/>
          <w:color w:val="auto"/>
          <w:sz w:val="18"/>
          <w:szCs w:val="18"/>
        </w:rPr>
      </w:pPr>
      <w:r w:rsidRPr="00EF4624">
        <w:rPr>
          <w:rFonts w:ascii="Verdana" w:hAnsi="Verdana"/>
          <w:color w:val="auto"/>
          <w:sz w:val="18"/>
          <w:szCs w:val="18"/>
        </w:rPr>
        <w:t xml:space="preserve">De resultaten worden vervolgens </w:t>
      </w:r>
      <w:r>
        <w:rPr>
          <w:rFonts w:ascii="Verdana" w:hAnsi="Verdana"/>
          <w:color w:val="auto"/>
          <w:sz w:val="18"/>
          <w:szCs w:val="18"/>
        </w:rPr>
        <w:t>vergeleken</w:t>
      </w:r>
      <w:r w:rsidRPr="00EF4624">
        <w:rPr>
          <w:rFonts w:ascii="Verdana" w:hAnsi="Verdana"/>
          <w:color w:val="auto"/>
          <w:sz w:val="18"/>
          <w:szCs w:val="18"/>
        </w:rPr>
        <w:t xml:space="preserve"> met de in het MER uitgevoerde gevoeligheidsanalyse (figuur 64 van het Deelrapport Geluid). Hiermee wordt inzichtelijk gemaakt in hoeverre de routeafwijkingen daadwerkelijk van invloed zijn op de berekende geluidbelasting. Tevens wordt aangegeven of, gelet op deze uitkomsten, aanvullende mitigerende maatregelen nodig of wenselijk zijn.</w:t>
      </w:r>
    </w:p>
    <w:p w:rsidRPr="00B2050D" w:rsidR="00F05015" w:rsidP="0091144E" w:rsidRDefault="00F05015" w14:paraId="30EF9F18" w14:textId="6E953DDC">
      <w:pPr>
        <w:rPr>
          <w:rFonts w:ascii="Verdana" w:hAnsi="Verdana" w:eastAsiaTheme="majorEastAsia" w:cstheme="majorBidi"/>
          <w:bCs/>
          <w:color w:val="auto"/>
          <w:sz w:val="18"/>
          <w:szCs w:val="18"/>
        </w:rPr>
      </w:pPr>
      <w:r w:rsidRPr="00B2050D">
        <w:rPr>
          <w:rFonts w:ascii="Verdana" w:hAnsi="Verdana"/>
          <w:sz w:val="18"/>
          <w:szCs w:val="18"/>
        </w:rPr>
        <w:br w:type="page"/>
      </w:r>
    </w:p>
    <w:p w:rsidRPr="008F5FA1" w:rsidR="000735AF" w:rsidP="008F5FA1" w:rsidRDefault="00EF4624" w14:paraId="6EFCB16B" w14:textId="08ECF45E">
      <w:pPr>
        <w:pStyle w:val="Heading1"/>
      </w:pPr>
      <w:bookmarkStart w:name="_Toc240548245" w:id="173"/>
      <w:bookmarkStart w:name="_Hlk181016397" w:id="174"/>
      <w:r>
        <w:t>Veiligheid</w:t>
      </w:r>
      <w:bookmarkEnd w:id="173"/>
    </w:p>
    <w:p w:rsidRPr="00FA3B4B" w:rsidR="009D225C" w:rsidP="00605C8A" w:rsidRDefault="00EB063B" w14:paraId="08C1236F" w14:textId="1EEB2546">
      <w:pPr>
        <w:pStyle w:val="Heading2"/>
        <w:numPr>
          <w:ilvl w:val="1"/>
          <w:numId w:val="6"/>
        </w:numPr>
      </w:pPr>
      <w:bookmarkStart w:name="_Toc240548246" w:id="175"/>
      <w:bookmarkEnd w:id="174"/>
      <w:r>
        <w:t>Vliegveiligheid</w:t>
      </w:r>
      <w:bookmarkEnd w:id="175"/>
    </w:p>
    <w:p w:rsidRPr="00FA3B4B" w:rsidR="00F05015" w:rsidP="00F05015" w:rsidRDefault="00F05015" w14:paraId="7B39F86B" w14:textId="77777777">
      <w:pPr>
        <w:pStyle w:val="BodyText"/>
      </w:pPr>
      <w:r w:rsidRPr="00FA3B4B">
        <w:rPr>
          <w:noProof/>
          <w:lang w:val="en-GB"/>
        </w:rPr>
        <mc:AlternateContent>
          <mc:Choice Requires="wps">
            <w:drawing>
              <wp:inline distT="0" distB="0" distL="0" distR="0" wp14:anchorId="1FBF306C" wp14:editId="04B16F1D">
                <wp:extent cx="5956300" cy="1404620"/>
                <wp:effectExtent l="0" t="0" r="6350" b="0"/>
                <wp:docPr id="216110527" name="Tekstvak 216110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F05015" w:rsidP="00F05015" w:rsidRDefault="00486961" w14:paraId="6A594F45" w14:textId="5101FA70">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r>
                              <w:rPr>
                                <w:rFonts w:ascii="Verdana" w:hAnsi="Verdana"/>
                                <w:b/>
                                <w:bCs/>
                                <w:color w:val="auto"/>
                                <w:sz w:val="18"/>
                                <w:szCs w:val="18"/>
                              </w:rPr>
                              <w:t xml:space="preserve"> </w:t>
                            </w:r>
                          </w:p>
                          <w:p w:rsidR="000C20BB" w:rsidP="000C20BB" w:rsidRDefault="000C20BB" w14:paraId="4B98E5AF" w14:textId="77777777">
                            <w:pPr>
                              <w:pStyle w:val="BodyText"/>
                            </w:pPr>
                            <w:r w:rsidRPr="000C20BB">
                              <w:t>Luchtverkeersleiding Nederland heeft per 1 juli 2025 bepaalde VFR-routes (Visual Flight Rules, vliegen op zicht) geschorst in verband met de vliegveiligheid. Deze schorsing volgde op een onderzoek van de Onderzoeksraad voor Veiligheid naar een bijna-botsing tussen twee kleine vliegtuigen op het punt waar een naderings- en vertrekroute elkaar kruisen. Het onderzoek benadrukt de verantwoordelijkheid van de verkeersleiding voor het voorkomen van botsingen tussen klein verkeer dat binnen de CTR (Controlled Traffic Region, controlezone) op zicht vliegt. Deze verantwoordelijkheid werd voorheen in belangrijke mate bij de bemanningen zelf gelegd.</w:t>
                            </w:r>
                            <w:r>
                              <w:t xml:space="preserve"> </w:t>
                            </w:r>
                          </w:p>
                          <w:p w:rsidR="000C20BB" w:rsidP="000C20BB" w:rsidRDefault="000C20BB" w14:paraId="5C62C67F" w14:textId="77777777">
                            <w:pPr>
                              <w:pStyle w:val="BodyText"/>
                            </w:pPr>
                          </w:p>
                          <w:p w:rsidRPr="000C20BB" w:rsidR="000C20BB" w:rsidP="000C20BB" w:rsidRDefault="000C20BB" w14:paraId="2D48EBE9" w14:textId="43B04563">
                            <w:pPr>
                              <w:pStyle w:val="BodyText"/>
                            </w:pPr>
                            <w:r w:rsidRPr="000C20BB">
                              <w:t>Het MER (hoofdrapport, paragraaf 4.9) vermeldt de schorsing van de routes, maar gaat nog niet in op:</w:t>
                            </w:r>
                          </w:p>
                          <w:p w:rsidRPr="000C20BB" w:rsidR="000C20BB" w:rsidP="00B06EF9" w:rsidRDefault="000C20BB" w14:paraId="618F12C6" w14:textId="485CB3B2">
                            <w:pPr>
                              <w:pStyle w:val="BodyText"/>
                              <w:numPr>
                                <w:ilvl w:val="0"/>
                                <w:numId w:val="14"/>
                              </w:numPr>
                            </w:pPr>
                            <w:r w:rsidRPr="000C20BB">
                              <w:t>de gevolgen daarvan voor het veilig functioneren van</w:t>
                            </w:r>
                            <w:r w:rsidR="00275142">
                              <w:t xml:space="preserve"> het luchtruim rond</w:t>
                            </w:r>
                            <w:r w:rsidRPr="000C20BB">
                              <w:t xml:space="preserve"> RTHA;</w:t>
                            </w:r>
                          </w:p>
                          <w:p w:rsidRPr="000C20BB" w:rsidR="000C20BB" w:rsidP="00B06EF9" w:rsidRDefault="000C20BB" w14:paraId="48D01A8F" w14:textId="77777777">
                            <w:pPr>
                              <w:pStyle w:val="BodyText"/>
                              <w:numPr>
                                <w:ilvl w:val="0"/>
                                <w:numId w:val="14"/>
                              </w:numPr>
                            </w:pPr>
                            <w:r w:rsidRPr="000C20BB">
                              <w:t>de gevolgen van routewijzigingen voor de externe veiligheid;</w:t>
                            </w:r>
                          </w:p>
                          <w:p w:rsidRPr="000C20BB" w:rsidR="000C20BB" w:rsidP="00B06EF9" w:rsidRDefault="000C20BB" w14:paraId="7297B79D" w14:textId="77777777">
                            <w:pPr>
                              <w:pStyle w:val="BodyText"/>
                              <w:numPr>
                                <w:ilvl w:val="0"/>
                                <w:numId w:val="14"/>
                              </w:numPr>
                            </w:pPr>
                            <w:r w:rsidRPr="000C20BB">
                              <w:t>de maatregelen die RTHA en de verkeersleiding hebben getroffen en nog overwegen om botsingen te voorkomen, en de wijze waarop de verantwoordelijkheid van de verkeersleiding hierbij wordt ingevuld.</w:t>
                            </w:r>
                          </w:p>
                          <w:p w:rsidR="000C20BB" w:rsidP="000C20BB" w:rsidRDefault="000C20BB" w14:paraId="5A91D901" w14:textId="77777777">
                            <w:pPr>
                              <w:pStyle w:val="BodyText"/>
                            </w:pPr>
                          </w:p>
                          <w:p w:rsidRPr="008F5FA1" w:rsidR="008F5FA1" w:rsidP="008F5FA1" w:rsidRDefault="000C20BB" w14:paraId="6F48AD37" w14:textId="283EEAA2">
                            <w:pPr>
                              <w:pStyle w:val="BodyText"/>
                            </w:pPr>
                            <w:r w:rsidRPr="000C20BB">
                              <w:t>Hierdoor zijn de aspecten van vliegveiligheid voor RTHA in het MER nog niet volledig in beeld gebracht.</w:t>
                            </w:r>
                          </w:p>
                        </w:txbxContent>
                      </wps:txbx>
                      <wps:bodyPr rot="0" vert="horz" wrap="square" lIns="91440" tIns="45720" rIns="91440" bIns="45720" anchor="t" anchorCtr="0">
                        <a:spAutoFit/>
                      </wps:bodyPr>
                    </wps:wsp>
                  </a:graphicData>
                </a:graphic>
              </wp:inline>
            </w:drawing>
          </mc:Choice>
          <mc:Fallback>
            <w:pict>
              <v:shape id="Tekstvak 216110527"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34"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" w14:anchorId="1FBF306C">
                <v:textbox style="mso-fit-shape-to-text:t">
                  <w:txbxContent>
                    <w:p w:rsidR="00F05015" w:rsidP="00F05015" w:rsidRDefault="00486961" w14:paraId="6A594F45" w14:textId="5101FA70">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r>
                        <w:rPr>
                          <w:rFonts w:ascii="Verdana" w:hAnsi="Verdana"/>
                          <w:b/>
                          <w:bCs/>
                          <w:color w:val="auto"/>
                          <w:sz w:val="18"/>
                          <w:szCs w:val="18"/>
                        </w:rPr>
                        <w:t xml:space="preserve"> </w:t>
                      </w:r>
                    </w:p>
                    <w:p w:rsidR="000C20BB" w:rsidP="000C20BB" w:rsidRDefault="000C20BB" w14:paraId="4B98E5AF" w14:textId="77777777">
                      <w:pPr>
                        <w:pStyle w:val="BodyText"/>
                      </w:pPr>
                      <w:r w:rsidRPr="000C20BB">
                        <w:t>Luchtverkeersleiding Nederland heeft per 1 juli 2025 bepaalde VFR-routes (Visual Flight Rules, vliegen op zicht) geschorst in verband met de vliegveiligheid. Deze schorsing volgde op een onderzoek van de Onderzoeksraad voor Veiligheid naar een bijna-botsing tussen twee kleine vliegtuigen op het punt waar een naderings- en vertrekroute elkaar kruisen. Het onderzoek benadrukt de verantwoordelijkheid van de verkeersleiding voor het voorkomen van botsingen tussen klein verkeer dat binnen de CTR (Controlled Traffic Region, controlezone) op zicht vliegt. Deze verantwoordelijkheid werd voorheen in belangrijke mate bij de bemanningen zelf gelegd.</w:t>
                      </w:r>
                      <w:r>
                        <w:t xml:space="preserve"> </w:t>
                      </w:r>
                    </w:p>
                    <w:p w:rsidR="000C20BB" w:rsidP="000C20BB" w:rsidRDefault="000C20BB" w14:paraId="5C62C67F" w14:textId="77777777">
                      <w:pPr>
                        <w:pStyle w:val="BodyText"/>
                      </w:pPr>
                    </w:p>
                    <w:p w:rsidRPr="000C20BB" w:rsidR="000C20BB" w:rsidP="000C20BB" w:rsidRDefault="000C20BB" w14:paraId="2D48EBE9" w14:textId="43B04563">
                      <w:pPr>
                        <w:pStyle w:val="BodyText"/>
                      </w:pPr>
                      <w:r w:rsidRPr="000C20BB">
                        <w:t>Het MER (hoofdrapport, paragraaf 4.9) vermeldt de schorsing van de routes, maar gaat nog niet in op:</w:t>
                      </w:r>
                    </w:p>
                    <w:p w:rsidRPr="000C20BB" w:rsidR="000C20BB" w:rsidP="00B06EF9" w:rsidRDefault="000C20BB" w14:paraId="618F12C6" w14:textId="485CB3B2">
                      <w:pPr>
                        <w:pStyle w:val="BodyText"/>
                        <w:numPr>
                          <w:ilvl w:val="0"/>
                          <w:numId w:val="14"/>
                        </w:numPr>
                      </w:pPr>
                      <w:r w:rsidRPr="000C20BB">
                        <w:t>de gevolgen daarvan voor het veilig functioneren van</w:t>
                      </w:r>
                      <w:r w:rsidR="00275142">
                        <w:t xml:space="preserve"> het luchtruim rond</w:t>
                      </w:r>
                      <w:r w:rsidRPr="000C20BB">
                        <w:t xml:space="preserve"> RTHA;</w:t>
                      </w:r>
                    </w:p>
                    <w:p w:rsidRPr="000C20BB" w:rsidR="000C20BB" w:rsidP="00B06EF9" w:rsidRDefault="000C20BB" w14:paraId="48D01A8F" w14:textId="77777777">
                      <w:pPr>
                        <w:pStyle w:val="BodyText"/>
                        <w:numPr>
                          <w:ilvl w:val="0"/>
                          <w:numId w:val="14"/>
                        </w:numPr>
                      </w:pPr>
                      <w:r w:rsidRPr="000C20BB">
                        <w:t>de gevolgen van routewijzigingen voor de externe veiligheid;</w:t>
                      </w:r>
                    </w:p>
                    <w:p w:rsidRPr="000C20BB" w:rsidR="000C20BB" w:rsidP="00B06EF9" w:rsidRDefault="000C20BB" w14:paraId="7297B79D" w14:textId="77777777">
                      <w:pPr>
                        <w:pStyle w:val="BodyText"/>
                        <w:numPr>
                          <w:ilvl w:val="0"/>
                          <w:numId w:val="14"/>
                        </w:numPr>
                      </w:pPr>
                      <w:r w:rsidRPr="000C20BB">
                        <w:t>de maatregelen die RTHA en de verkeersleiding hebben getroffen en nog overwegen om botsingen te voorkomen, en de wijze waarop de verantwoordelijkheid van de verkeersleiding hierbij wordt ingevuld.</w:t>
                      </w:r>
                    </w:p>
                    <w:p w:rsidR="000C20BB" w:rsidP="000C20BB" w:rsidRDefault="000C20BB" w14:paraId="5A91D901" w14:textId="77777777">
                      <w:pPr>
                        <w:pStyle w:val="BodyText"/>
                      </w:pPr>
                    </w:p>
                    <w:p w:rsidRPr="008F5FA1" w:rsidR="008F5FA1" w:rsidP="008F5FA1" w:rsidRDefault="000C20BB" w14:paraId="6F48AD37" w14:textId="283EEAA2">
                      <w:pPr>
                        <w:pStyle w:val="BodyText"/>
                      </w:pPr>
                      <w:r w:rsidRPr="000C20BB">
                        <w:t>Hierdoor zijn de aspecten van vliegveiligheid voor RTHA in het MER nog niet volledig in beeld gebracht.</w:t>
                      </w:r>
                    </w:p>
                  </w:txbxContent>
                </v:textbox>
                <w10:anchorlock/>
              </v:shape>
            </w:pict>
          </mc:Fallback>
        </mc:AlternateContent>
      </w:r>
    </w:p>
    <w:p w:rsidRPr="00FA3B4B" w:rsidR="00F05015" w:rsidP="00F05015" w:rsidRDefault="00F05015" w14:paraId="79FC22B8" w14:textId="77777777">
      <w:pPr>
        <w:pStyle w:val="BodyText"/>
      </w:pPr>
    </w:p>
    <w:p w:rsidRPr="00FA3B4B" w:rsidR="00F05015" w:rsidP="00F05015" w:rsidRDefault="00F05015" w14:paraId="58CCE4CE" w14:textId="77777777">
      <w:pPr>
        <w:pStyle w:val="BodyText"/>
      </w:pPr>
      <w:r w:rsidRPr="00FA3B4B">
        <w:rPr>
          <w:noProof/>
          <w:szCs w:val="18"/>
          <w:lang w:val="en-GB"/>
        </w:rPr>
        <mc:AlternateContent>
          <mc:Choice Requires="wps">
            <w:drawing>
              <wp:inline distT="0" distB="0" distL="0" distR="0" wp14:anchorId="260050C7" wp14:editId="30097747">
                <wp:extent cx="5957570" cy="746760"/>
                <wp:effectExtent l="0" t="0" r="5080" b="0"/>
                <wp:docPr id="1767113340" name="Tekstvak 1767113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746760"/>
                        </a:xfrm>
                        <a:prstGeom prst="rect">
                          <a:avLst/>
                        </a:prstGeom>
                        <a:solidFill>
                          <a:schemeClr val="accent6">
                            <a:lumMod val="20000"/>
                            <a:lumOff val="80000"/>
                          </a:schemeClr>
                        </a:solidFill>
                        <a:ln w="9525">
                          <a:noFill/>
                          <a:miter lim="800000"/>
                          <a:headEnd/>
                          <a:tailEnd/>
                        </a:ln>
                      </wps:spPr>
                      <wps:txbx>
                        <w:txbxContent>
                          <w:p w:rsidRPr="00F00B53" w:rsidR="00F05015" w:rsidP="00F05015" w:rsidRDefault="00F05015" w14:paraId="7F4304F2"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0C20BB" w:rsidR="008F5FA1" w:rsidP="000C20BB" w:rsidRDefault="000C20BB" w14:paraId="7AC21D64" w14:textId="3D13683B">
                            <w:pPr>
                              <w:pStyle w:val="BodyText"/>
                              <w:rPr>
                                <w:szCs w:val="18"/>
                              </w:rPr>
                            </w:pPr>
                            <w:r w:rsidRPr="000C20BB">
                              <w:rPr>
                                <w:szCs w:val="18"/>
                              </w:rPr>
                              <w:t>De Commissie adviseert de ontbrekende informatie op het gebied van vliegveiligheid, de gevolgen ervan voor externe veiligheid en de mogelijke mitigerende maatregelen te onderzoeken en te presenteren.</w:t>
                            </w:r>
                          </w:p>
                          <w:p w:rsidRPr="00F00B53" w:rsidR="00F05015" w:rsidP="00F05015" w:rsidRDefault="00F05015" w14:paraId="2D002FE4" w14:textId="77777777">
                            <w:pPr>
                              <w:spacing w:line="276" w:lineRule="auto"/>
                              <w:jc w:val="both"/>
                              <w:rPr>
                                <w:rFonts w:ascii="Verdana" w:hAnsi="Verdana"/>
                                <w:b/>
                                <w:bCs/>
                                <w:color w:val="auto"/>
                                <w:sz w:val="18"/>
                                <w:szCs w:val="18"/>
                              </w:rPr>
                            </w:pPr>
                          </w:p>
                        </w:txbxContent>
                      </wps:txbx>
                      <wps:bodyPr rot="0" vert="horz" wrap="square" lIns="91440" tIns="45720" rIns="91440" bIns="45720" anchor="t" anchorCtr="0">
                        <a:noAutofit/>
                      </wps:bodyPr>
                    </wps:wsp>
                  </a:graphicData>
                </a:graphic>
              </wp:inline>
            </w:drawing>
          </mc:Choice>
          <mc:Fallback>
            <w:pict>
              <v:shape id="Tekstvak 1767113340" style="width:469.1pt;height:58.8pt;visibility:visible;mso-wrap-style:square;mso-left-percent:-10001;mso-top-percent:-10001;mso-position-horizontal:absolute;mso-position-horizontal-relative:char;mso-position-vertical:absolute;mso-position-vertical-relative:line;mso-left-percent:-10001;mso-top-percent:-10001;v-text-anchor:top" o:spid="_x0000_s1035"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" w14:anchorId="260050C7">
                <v:textbox>
                  <w:txbxContent>
                    <w:p w:rsidRPr="00F00B53" w:rsidR="00F05015" w:rsidP="00F05015" w:rsidRDefault="00F05015" w14:paraId="7F4304F2"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0C20BB" w:rsidR="008F5FA1" w:rsidP="000C20BB" w:rsidRDefault="000C20BB" w14:paraId="7AC21D64" w14:textId="3D13683B">
                      <w:pPr>
                        <w:pStyle w:val="BodyText"/>
                        <w:rPr>
                          <w:szCs w:val="18"/>
                        </w:rPr>
                      </w:pPr>
                      <w:r w:rsidRPr="000C20BB">
                        <w:rPr>
                          <w:szCs w:val="18"/>
                        </w:rPr>
                        <w:t>De Commissie adviseert de ontbrekende informatie op het gebied van vliegveiligheid, de gevolgen ervan voor externe veiligheid en de mogelijke mitigerende maatregelen te onderzoeken en te presenteren.</w:t>
                      </w:r>
                    </w:p>
                    <w:p w:rsidRPr="00F00B53" w:rsidR="00F05015" w:rsidP="00F05015" w:rsidRDefault="00F05015" w14:paraId="2D002FE4" w14:textId="77777777">
                      <w:pPr>
                        <w:spacing w:line="276" w:lineRule="auto"/>
                        <w:jc w:val="both"/>
                        <w:rPr>
                          <w:rFonts w:ascii="Verdana" w:hAnsi="Verdana"/>
                          <w:b/>
                          <w:bCs/>
                          <w:color w:val="auto"/>
                          <w:sz w:val="18"/>
                          <w:szCs w:val="18"/>
                        </w:rPr>
                      </w:pPr>
                    </w:p>
                  </w:txbxContent>
                </v:textbox>
                <w10:anchorlock/>
              </v:shape>
            </w:pict>
          </mc:Fallback>
        </mc:AlternateContent>
      </w:r>
    </w:p>
    <w:p w:rsidRPr="00FA3B4B" w:rsidR="00F05015" w:rsidP="00F05015" w:rsidRDefault="00F05015" w14:paraId="47728555" w14:textId="77777777">
      <w:pPr>
        <w:pStyle w:val="BodyText"/>
      </w:pPr>
    </w:p>
    <w:p w:rsidR="00F05015" w:rsidP="00F05015" w:rsidRDefault="00F05015" w14:paraId="0F71E732" w14:textId="77777777">
      <w:pPr>
        <w:pStyle w:val="BodyText"/>
        <w:jc w:val="both"/>
        <w:rPr>
          <w:u w:val="single"/>
        </w:rPr>
      </w:pPr>
      <w:r w:rsidRPr="00FA3B4B">
        <w:rPr>
          <w:u w:val="single"/>
        </w:rPr>
        <w:t>Reactie</w:t>
      </w:r>
    </w:p>
    <w:p w:rsidR="000C20BB" w:rsidP="000C20BB" w:rsidRDefault="000C20BB" w14:paraId="552F069B" w14:textId="7D63A809">
      <w:pPr>
        <w:pStyle w:val="BodyText"/>
      </w:pPr>
      <w:r w:rsidRPr="000C20BB">
        <w:t xml:space="preserve">Het advies van de Commissie mer wordt opgevolgd. De gevolgen van het schorsen van de VFR-routes voor de vliegveiligheid worden nader toegelicht. Daarbij </w:t>
      </w:r>
      <w:r>
        <w:t xml:space="preserve">moet </w:t>
      </w:r>
      <w:r w:rsidRPr="000C20BB">
        <w:t>word</w:t>
      </w:r>
      <w:r>
        <w:t>en</w:t>
      </w:r>
      <w:r w:rsidRPr="000C20BB">
        <w:t xml:space="preserve"> benadrukt dat het Luchthavenbesluit geen vliegroutes vastlegt. Eventuele wijzigingen van vliegroutes worden vastgesteld via een afzonderlijk 5.11-proces. Binnen een dergelijk proces worden ook de gevolgen voor de externe veiligheid in kaart gebracht.</w:t>
      </w:r>
    </w:p>
    <w:p w:rsidRPr="000C20BB" w:rsidR="000C20BB" w:rsidP="000C20BB" w:rsidRDefault="000C20BB" w14:paraId="6D0C0523" w14:textId="77777777">
      <w:pPr>
        <w:pStyle w:val="BodyText"/>
      </w:pPr>
    </w:p>
    <w:p w:rsidRPr="000C20BB" w:rsidR="000C20BB" w:rsidP="000C20BB" w:rsidRDefault="000C20BB" w14:paraId="081D39C2" w14:textId="6AD9F478">
      <w:pPr>
        <w:pStyle w:val="BodyText"/>
      </w:pPr>
      <w:r w:rsidRPr="000C20BB">
        <w:t>Voor de beoordeling van de mogelijke gevolgen van routewijzigingen wordt daarnaast gebruikgemaakt van de in het MER uitgevoerde gevoeligheidsanalyse voor geluid (figuur 63 van het Deelrapport Geluid) en het gehanteerde rekenvoorschrift. Hiermee wordt inzicht gegeven in de mogelijke effecten van routewijzigingen en wordt toegelicht in hoeverre deze binnen de bestaande uitgangspunten van het MER worden opgevangen.</w:t>
      </w:r>
    </w:p>
    <w:p w:rsidRPr="00FA3B4B" w:rsidR="008F5FA1" w:rsidP="00F05015" w:rsidRDefault="008F5FA1" w14:paraId="72A52C10" w14:textId="696B9437">
      <w:pPr>
        <w:pStyle w:val="BodyText"/>
        <w:jc w:val="both"/>
        <w:rPr>
          <w:u w:val="single"/>
        </w:rPr>
      </w:pPr>
    </w:p>
    <w:p w:rsidRPr="00FA3B4B" w:rsidR="00D974C7" w:rsidP="00605C8A" w:rsidRDefault="00EB063B" w14:paraId="60394BD3" w14:textId="790DED92">
      <w:pPr>
        <w:pStyle w:val="Heading2"/>
        <w:numPr>
          <w:ilvl w:val="1"/>
          <w:numId w:val="6"/>
        </w:numPr>
      </w:pPr>
      <w:bookmarkStart w:name="_Toc240548247" w:id="176"/>
      <w:r>
        <w:t>Externe Veiligheid</w:t>
      </w:r>
      <w:bookmarkEnd w:id="176"/>
    </w:p>
    <w:p w:rsidRPr="00FA3B4B" w:rsidR="00617F5A" w:rsidP="00617F5A" w:rsidRDefault="00617F5A" w14:paraId="40AA8050" w14:textId="77777777">
      <w:pPr>
        <w:pStyle w:val="BodyText"/>
      </w:pPr>
      <w:r w:rsidRPr="00FA3B4B">
        <w:rPr>
          <w:noProof/>
          <w:lang w:val="en-GB"/>
        </w:rPr>
        <mc:AlternateContent>
          <mc:Choice Requires="wps">
            <w:drawing>
              <wp:inline distT="0" distB="0" distL="0" distR="0" wp14:anchorId="5AEF4738" wp14:editId="5016BC70">
                <wp:extent cx="5956300" cy="1404620"/>
                <wp:effectExtent l="0" t="0" r="6350" b="8255"/>
                <wp:docPr id="284375052" name="Tekstvak 284375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2">
                            <a:lumMod val="20000"/>
                            <a:lumOff val="80000"/>
                          </a:schemeClr>
                        </a:solidFill>
                        <a:ln w="9525">
                          <a:noFill/>
                          <a:miter lim="800000"/>
                          <a:headEnd/>
                          <a:tailEnd/>
                        </a:ln>
                      </wps:spPr>
                      <wps:txbx>
                        <w:txbxContent>
                          <w:p w:rsidR="00617F5A" w:rsidP="00617F5A" w:rsidRDefault="00486961" w14:paraId="788C7259" w14:textId="7318794E">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EB063B" w:rsidP="00EB063B" w:rsidRDefault="00EB063B" w14:paraId="54A05FA6" w14:textId="77777777">
                            <w:pPr>
                              <w:jc w:val="both"/>
                              <w:rPr>
                                <w:rFonts w:ascii="Verdana" w:hAnsi="Verdana"/>
                                <w:color w:val="auto"/>
                                <w:sz w:val="18"/>
                              </w:rPr>
                            </w:pPr>
                            <w:r w:rsidRPr="00EB063B">
                              <w:rPr>
                                <w:rFonts w:ascii="Verdana" w:hAnsi="Verdana"/>
                                <w:color w:val="auto"/>
                                <w:sz w:val="18"/>
                              </w:rPr>
                              <w:t>Uit het deelonderzoek externe veiligheid blijkt dat de 10</w:t>
                            </w:r>
                            <w:r w:rsidRPr="00EB063B">
                              <w:rPr>
                                <w:rFonts w:ascii="Cambria Math" w:hAnsi="Cambria Math" w:cs="Cambria Math"/>
                                <w:color w:val="auto"/>
                                <w:sz w:val="18"/>
                              </w:rPr>
                              <w:t>⁻</w:t>
                            </w:r>
                            <w:r w:rsidRPr="00EB063B">
                              <w:rPr>
                                <w:rFonts w:ascii="Verdana" w:hAnsi="Verdana" w:cs="Verdana"/>
                                <w:color w:val="auto"/>
                                <w:sz w:val="18"/>
                              </w:rPr>
                              <w:t>⁵</w:t>
                            </w:r>
                            <w:r w:rsidRPr="00EB063B">
                              <w:rPr>
                                <w:rFonts w:ascii="Verdana" w:hAnsi="Verdana"/>
                                <w:color w:val="auto"/>
                                <w:sz w:val="18"/>
                              </w:rPr>
                              <w:t>- en 10</w:t>
                            </w:r>
                            <w:r w:rsidRPr="00EB063B">
                              <w:rPr>
                                <w:rFonts w:ascii="Cambria Math" w:hAnsi="Cambria Math" w:cs="Cambria Math"/>
                                <w:color w:val="auto"/>
                                <w:sz w:val="18"/>
                              </w:rPr>
                              <w:t>⁻</w:t>
                            </w:r>
                            <w:r w:rsidRPr="00EB063B">
                              <w:rPr>
                                <w:rFonts w:ascii="Verdana" w:hAnsi="Verdana" w:cs="Verdana"/>
                                <w:color w:val="auto"/>
                                <w:sz w:val="18"/>
                              </w:rPr>
                              <w:t>⁶</w:t>
                            </w:r>
                            <w:r w:rsidRPr="00EB063B">
                              <w:rPr>
                                <w:rFonts w:ascii="Verdana" w:hAnsi="Verdana"/>
                                <w:color w:val="auto"/>
                                <w:sz w:val="18"/>
                              </w:rPr>
                              <w:t>-PR-contouren qua oppervlakte bij de verschillende alternatieven nagenoeg gelijk zijn. Binnen deze contouren bevinden zich enkele gebouwen op twee bedrijventerreinen in het verlengde van de start- en landingsbaan. Uit een nadere inventarisatie blijkt dat zich geen woningen binnen de 10</w:t>
                            </w:r>
                            <w:r w:rsidRPr="00EB063B">
                              <w:rPr>
                                <w:rFonts w:ascii="Cambria Math" w:hAnsi="Cambria Math" w:cs="Cambria Math"/>
                                <w:color w:val="auto"/>
                                <w:sz w:val="18"/>
                              </w:rPr>
                              <w:t>⁻</w:t>
                            </w:r>
                            <w:r w:rsidRPr="00EB063B">
                              <w:rPr>
                                <w:rFonts w:ascii="Verdana" w:hAnsi="Verdana" w:cs="Verdana"/>
                                <w:color w:val="auto"/>
                                <w:sz w:val="18"/>
                              </w:rPr>
                              <w:t>⁵</w:t>
                            </w:r>
                            <w:r w:rsidRPr="00EB063B">
                              <w:rPr>
                                <w:rFonts w:ascii="Verdana" w:hAnsi="Verdana"/>
                                <w:color w:val="auto"/>
                                <w:sz w:val="18"/>
                              </w:rPr>
                              <w:t>-PR-contour bevinden. Voor alle onderzochte scenario</w:t>
                            </w:r>
                            <w:r w:rsidRPr="00EB063B">
                              <w:rPr>
                                <w:rFonts w:ascii="Verdana" w:hAnsi="Verdana" w:cs="Verdana"/>
                                <w:color w:val="auto"/>
                                <w:sz w:val="18"/>
                              </w:rPr>
                              <w:t>’</w:t>
                            </w:r>
                            <w:r w:rsidRPr="00EB063B">
                              <w:rPr>
                                <w:rFonts w:ascii="Verdana" w:hAnsi="Verdana"/>
                                <w:color w:val="auto"/>
                                <w:sz w:val="18"/>
                              </w:rPr>
                              <w:t>s wordt voldaan aan de geldende grenswaarden. Ook het berekende groepsrisico verschilt tussen de alternatieven niet of nauwelijks.</w:t>
                            </w:r>
                          </w:p>
                          <w:p w:rsidRPr="00EB063B" w:rsidR="00EB063B" w:rsidP="00EB063B" w:rsidRDefault="00EB063B" w14:paraId="6B515883" w14:textId="77777777">
                            <w:pPr>
                              <w:jc w:val="both"/>
                              <w:rPr>
                                <w:rFonts w:ascii="Verdana" w:hAnsi="Verdana"/>
                                <w:color w:val="auto"/>
                                <w:sz w:val="18"/>
                              </w:rPr>
                            </w:pPr>
                          </w:p>
                          <w:p w:rsidR="00EB063B" w:rsidP="00EB063B" w:rsidRDefault="00EB063B" w14:paraId="27823966" w14:textId="77777777">
                            <w:pPr>
                              <w:jc w:val="both"/>
                              <w:rPr>
                                <w:rFonts w:ascii="Verdana" w:hAnsi="Verdana"/>
                                <w:color w:val="auto"/>
                                <w:sz w:val="18"/>
                              </w:rPr>
                            </w:pPr>
                            <w:r w:rsidRPr="00EB063B">
                              <w:rPr>
                                <w:rFonts w:ascii="Verdana" w:hAnsi="Verdana"/>
                                <w:color w:val="auto"/>
                                <w:sz w:val="18"/>
                              </w:rPr>
                              <w:t>Aanvullend is gekeken naar gevaarlijke stoffen en risicovolle inrichtingen in de omgeving van de luchthaven. Voor de cumulatie van risico’s van luchtvaart en activiteiten met gevaarlijke stoffen bestaat geen wettelijke normering. Uit de inventarisatie blijkt dat enkele risicovolle inrichtingen binnen de 10</w:t>
                            </w:r>
                            <w:r w:rsidRPr="00EB063B">
                              <w:rPr>
                                <w:rFonts w:ascii="Cambria Math" w:hAnsi="Cambria Math" w:cs="Cambria Math"/>
                                <w:color w:val="auto"/>
                                <w:sz w:val="18"/>
                              </w:rPr>
                              <w:t>⁻</w:t>
                            </w:r>
                            <w:r w:rsidRPr="00EB063B">
                              <w:rPr>
                                <w:rFonts w:ascii="Verdana" w:hAnsi="Verdana" w:cs="Verdana"/>
                                <w:color w:val="auto"/>
                                <w:sz w:val="18"/>
                              </w:rPr>
                              <w:t>⁸</w:t>
                            </w:r>
                            <w:r w:rsidRPr="00EB063B">
                              <w:rPr>
                                <w:rFonts w:ascii="Verdana" w:hAnsi="Verdana"/>
                                <w:color w:val="auto"/>
                                <w:sz w:val="18"/>
                              </w:rPr>
                              <w:t>-PR-contour liggen.</w:t>
                            </w:r>
                          </w:p>
                          <w:p w:rsidRPr="00EB063B" w:rsidR="00EB063B" w:rsidP="00EB063B" w:rsidRDefault="00EB063B" w14:paraId="45B67E98" w14:textId="77777777">
                            <w:pPr>
                              <w:jc w:val="both"/>
                              <w:rPr>
                                <w:rFonts w:ascii="Verdana" w:hAnsi="Verdana"/>
                                <w:color w:val="auto"/>
                                <w:sz w:val="18"/>
                              </w:rPr>
                            </w:pPr>
                          </w:p>
                          <w:p w:rsidR="00EB063B" w:rsidP="00EB063B" w:rsidRDefault="00EB063B" w14:paraId="49E0CC94" w14:textId="77777777">
                            <w:pPr>
                              <w:jc w:val="both"/>
                              <w:rPr>
                                <w:rFonts w:ascii="Verdana" w:hAnsi="Verdana"/>
                                <w:color w:val="auto"/>
                                <w:sz w:val="18"/>
                              </w:rPr>
                            </w:pPr>
                            <w:r w:rsidRPr="00EB063B">
                              <w:rPr>
                                <w:rFonts w:ascii="Verdana" w:hAnsi="Verdana"/>
                                <w:color w:val="auto"/>
                                <w:sz w:val="18"/>
                              </w:rPr>
                              <w:t>De Commissie mer constateert daarbij enkele aandachtspunten. Zo wordt voor (beperkt) kwetsbare objecten een andere definitie gehanteerd dan in het Besluit burgerluchthavens, waardoor verschillen kunnen ontstaan in het aantal objecten binnen de berekende risicocontouren. Daarnaast is voor de berekening van het groepsrisico gebruikgemaakt van een populatiebestand met peildatum 2018, terwijl actuelere gegevens beschikbaar zijn. Ook is de inventarisatie van gevaarlijke stoffen en risicovolle inrichtingen volgens de Commissie niet volledig. Zo zijn onder meer propaan-/propeentanks, ondergrondse buisleidingen en transportroutes voor gevaarlijke stoffen niet in beeld gebracht.</w:t>
                            </w:r>
                          </w:p>
                          <w:p w:rsidRPr="00EB063B" w:rsidR="00EB063B" w:rsidP="00EB063B" w:rsidRDefault="00EB063B" w14:paraId="3C2C857D" w14:textId="77777777">
                            <w:pPr>
                              <w:jc w:val="both"/>
                              <w:rPr>
                                <w:rFonts w:ascii="Verdana" w:hAnsi="Verdana"/>
                                <w:color w:val="auto"/>
                                <w:sz w:val="18"/>
                              </w:rPr>
                            </w:pPr>
                          </w:p>
                          <w:p w:rsidRPr="008F5FA1" w:rsidR="008F5FA1" w:rsidP="008F5FA1" w:rsidRDefault="00EB063B" w14:paraId="4CD5B26E" w14:textId="1309ED85">
                            <w:pPr>
                              <w:jc w:val="both"/>
                              <w:rPr>
                                <w:rFonts w:ascii="Verdana" w:hAnsi="Verdana"/>
                                <w:color w:val="auto"/>
                                <w:sz w:val="18"/>
                              </w:rPr>
                            </w:pPr>
                            <w:r w:rsidRPr="00EB063B">
                              <w:rPr>
                                <w:rFonts w:ascii="Verdana" w:hAnsi="Verdana"/>
                                <w:color w:val="auto"/>
                                <w:sz w:val="18"/>
                              </w:rPr>
                              <w:t>Het NLR heeft in de contra-expertise daarnaast aandachtspunten benoemd die mogelijk van invloed zijn op de rekenresultaten, onder meer ten aanzien van enkele vliegroutes van lichte luchtvaartuigen en de toepassing van de meteotoeslag. Het is niet duidelijk of deze punten in de berekeningen zijn verwerkt.</w:t>
                            </w:r>
                          </w:p>
                        </w:txbxContent>
                      </wps:txbx>
                      <wps:bodyPr rot="0" vert="horz" wrap="square" lIns="91440" tIns="45720" rIns="91440" bIns="45720" anchor="t" anchorCtr="0">
                        <a:spAutoFit/>
                      </wps:bodyPr>
                    </wps:wsp>
                  </a:graphicData>
                </a:graphic>
              </wp:inline>
            </w:drawing>
          </mc:Choice>
          <mc:Fallback>
            <w:pict>
              <v:shape id="Tekstvak 284375052"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36" fillcolor="#fbffc3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" w14:anchorId="5AEF4738">
                <v:textbox style="mso-fit-shape-to-text:t">
                  <w:txbxContent>
                    <w:p w:rsidR="00617F5A" w:rsidP="00617F5A" w:rsidRDefault="00486961" w14:paraId="788C7259" w14:textId="7318794E">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EB063B" w:rsidP="00EB063B" w:rsidRDefault="00EB063B" w14:paraId="54A05FA6" w14:textId="77777777">
                      <w:pPr>
                        <w:jc w:val="both"/>
                        <w:rPr>
                          <w:rFonts w:ascii="Verdana" w:hAnsi="Verdana"/>
                          <w:color w:val="auto"/>
                          <w:sz w:val="18"/>
                        </w:rPr>
                      </w:pPr>
                      <w:r w:rsidRPr="00EB063B">
                        <w:rPr>
                          <w:rFonts w:ascii="Verdana" w:hAnsi="Verdana"/>
                          <w:color w:val="auto"/>
                          <w:sz w:val="18"/>
                        </w:rPr>
                        <w:t>Uit het deelonderzoek externe veiligheid blijkt dat de 10</w:t>
                      </w:r>
                      <w:r w:rsidRPr="00EB063B">
                        <w:rPr>
                          <w:rFonts w:ascii="Cambria Math" w:hAnsi="Cambria Math" w:cs="Cambria Math"/>
                          <w:color w:val="auto"/>
                          <w:sz w:val="18"/>
                        </w:rPr>
                        <w:t>⁻</w:t>
                      </w:r>
                      <w:r w:rsidRPr="00EB063B">
                        <w:rPr>
                          <w:rFonts w:ascii="Verdana" w:hAnsi="Verdana" w:cs="Verdana"/>
                          <w:color w:val="auto"/>
                          <w:sz w:val="18"/>
                        </w:rPr>
                        <w:t>⁵</w:t>
                      </w:r>
                      <w:r w:rsidRPr="00EB063B">
                        <w:rPr>
                          <w:rFonts w:ascii="Verdana" w:hAnsi="Verdana"/>
                          <w:color w:val="auto"/>
                          <w:sz w:val="18"/>
                        </w:rPr>
                        <w:t>- en 10</w:t>
                      </w:r>
                      <w:r w:rsidRPr="00EB063B">
                        <w:rPr>
                          <w:rFonts w:ascii="Cambria Math" w:hAnsi="Cambria Math" w:cs="Cambria Math"/>
                          <w:color w:val="auto"/>
                          <w:sz w:val="18"/>
                        </w:rPr>
                        <w:t>⁻</w:t>
                      </w:r>
                      <w:r w:rsidRPr="00EB063B">
                        <w:rPr>
                          <w:rFonts w:ascii="Verdana" w:hAnsi="Verdana" w:cs="Verdana"/>
                          <w:color w:val="auto"/>
                          <w:sz w:val="18"/>
                        </w:rPr>
                        <w:t>⁶</w:t>
                      </w:r>
                      <w:r w:rsidRPr="00EB063B">
                        <w:rPr>
                          <w:rFonts w:ascii="Verdana" w:hAnsi="Verdana"/>
                          <w:color w:val="auto"/>
                          <w:sz w:val="18"/>
                        </w:rPr>
                        <w:t>-PR-contouren qua oppervlakte bij de verschillende alternatieven nagenoeg gelijk zijn. Binnen deze contouren bevinden zich enkele gebouwen op twee bedrijventerreinen in het verlengde van de start- en landingsbaan. Uit een nadere inventarisatie blijkt dat zich geen woningen binnen de 10</w:t>
                      </w:r>
                      <w:r w:rsidRPr="00EB063B">
                        <w:rPr>
                          <w:rFonts w:ascii="Cambria Math" w:hAnsi="Cambria Math" w:cs="Cambria Math"/>
                          <w:color w:val="auto"/>
                          <w:sz w:val="18"/>
                        </w:rPr>
                        <w:t>⁻</w:t>
                      </w:r>
                      <w:r w:rsidRPr="00EB063B">
                        <w:rPr>
                          <w:rFonts w:ascii="Verdana" w:hAnsi="Verdana" w:cs="Verdana"/>
                          <w:color w:val="auto"/>
                          <w:sz w:val="18"/>
                        </w:rPr>
                        <w:t>⁵</w:t>
                      </w:r>
                      <w:r w:rsidRPr="00EB063B">
                        <w:rPr>
                          <w:rFonts w:ascii="Verdana" w:hAnsi="Verdana"/>
                          <w:color w:val="auto"/>
                          <w:sz w:val="18"/>
                        </w:rPr>
                        <w:t>-PR-contour bevinden. Voor alle onderzochte scenario</w:t>
                      </w:r>
                      <w:r w:rsidRPr="00EB063B">
                        <w:rPr>
                          <w:rFonts w:ascii="Verdana" w:hAnsi="Verdana" w:cs="Verdana"/>
                          <w:color w:val="auto"/>
                          <w:sz w:val="18"/>
                        </w:rPr>
                        <w:t>’</w:t>
                      </w:r>
                      <w:r w:rsidRPr="00EB063B">
                        <w:rPr>
                          <w:rFonts w:ascii="Verdana" w:hAnsi="Verdana"/>
                          <w:color w:val="auto"/>
                          <w:sz w:val="18"/>
                        </w:rPr>
                        <w:t>s wordt voldaan aan de geldende grenswaarden. Ook het berekende groepsrisico verschilt tussen de alternatieven niet of nauwelijks.</w:t>
                      </w:r>
                    </w:p>
                    <w:p w:rsidRPr="00EB063B" w:rsidR="00EB063B" w:rsidP="00EB063B" w:rsidRDefault="00EB063B" w14:paraId="6B515883" w14:textId="77777777">
                      <w:pPr>
                        <w:jc w:val="both"/>
                        <w:rPr>
                          <w:rFonts w:ascii="Verdana" w:hAnsi="Verdana"/>
                          <w:color w:val="auto"/>
                          <w:sz w:val="18"/>
                        </w:rPr>
                      </w:pPr>
                    </w:p>
                    <w:p w:rsidR="00EB063B" w:rsidP="00EB063B" w:rsidRDefault="00EB063B" w14:paraId="27823966" w14:textId="77777777">
                      <w:pPr>
                        <w:jc w:val="both"/>
                        <w:rPr>
                          <w:rFonts w:ascii="Verdana" w:hAnsi="Verdana"/>
                          <w:color w:val="auto"/>
                          <w:sz w:val="18"/>
                        </w:rPr>
                      </w:pPr>
                      <w:r w:rsidRPr="00EB063B">
                        <w:rPr>
                          <w:rFonts w:ascii="Verdana" w:hAnsi="Verdana"/>
                          <w:color w:val="auto"/>
                          <w:sz w:val="18"/>
                        </w:rPr>
                        <w:t>Aanvullend is gekeken naar gevaarlijke stoffen en risicovolle inrichtingen in de omgeving van de luchthaven. Voor de cumulatie van risico’s van luchtvaart en activiteiten met gevaarlijke stoffen bestaat geen wettelijke normering. Uit de inventarisatie blijkt dat enkele risicovolle inrichtingen binnen de 10</w:t>
                      </w:r>
                      <w:r w:rsidRPr="00EB063B">
                        <w:rPr>
                          <w:rFonts w:ascii="Cambria Math" w:hAnsi="Cambria Math" w:cs="Cambria Math"/>
                          <w:color w:val="auto"/>
                          <w:sz w:val="18"/>
                        </w:rPr>
                        <w:t>⁻</w:t>
                      </w:r>
                      <w:r w:rsidRPr="00EB063B">
                        <w:rPr>
                          <w:rFonts w:ascii="Verdana" w:hAnsi="Verdana" w:cs="Verdana"/>
                          <w:color w:val="auto"/>
                          <w:sz w:val="18"/>
                        </w:rPr>
                        <w:t>⁸</w:t>
                      </w:r>
                      <w:r w:rsidRPr="00EB063B">
                        <w:rPr>
                          <w:rFonts w:ascii="Verdana" w:hAnsi="Verdana"/>
                          <w:color w:val="auto"/>
                          <w:sz w:val="18"/>
                        </w:rPr>
                        <w:t>-PR-contour liggen.</w:t>
                      </w:r>
                    </w:p>
                    <w:p w:rsidRPr="00EB063B" w:rsidR="00EB063B" w:rsidP="00EB063B" w:rsidRDefault="00EB063B" w14:paraId="45B67E98" w14:textId="77777777">
                      <w:pPr>
                        <w:jc w:val="both"/>
                        <w:rPr>
                          <w:rFonts w:ascii="Verdana" w:hAnsi="Verdana"/>
                          <w:color w:val="auto"/>
                          <w:sz w:val="18"/>
                        </w:rPr>
                      </w:pPr>
                    </w:p>
                    <w:p w:rsidR="00EB063B" w:rsidP="00EB063B" w:rsidRDefault="00EB063B" w14:paraId="49E0CC94" w14:textId="77777777">
                      <w:pPr>
                        <w:jc w:val="both"/>
                        <w:rPr>
                          <w:rFonts w:ascii="Verdana" w:hAnsi="Verdana"/>
                          <w:color w:val="auto"/>
                          <w:sz w:val="18"/>
                        </w:rPr>
                      </w:pPr>
                      <w:r w:rsidRPr="00EB063B">
                        <w:rPr>
                          <w:rFonts w:ascii="Verdana" w:hAnsi="Verdana"/>
                          <w:color w:val="auto"/>
                          <w:sz w:val="18"/>
                        </w:rPr>
                        <w:t>De Commissie mer constateert daarbij enkele aandachtspunten. Zo wordt voor (beperkt) kwetsbare objecten een andere definitie gehanteerd dan in het Besluit burgerluchthavens, waardoor verschillen kunnen ontstaan in het aantal objecten binnen de berekende risicocontouren. Daarnaast is voor de berekening van het groepsrisico gebruikgemaakt van een populatiebestand met peildatum 2018, terwijl actuelere gegevens beschikbaar zijn. Ook is de inventarisatie van gevaarlijke stoffen en risicovolle inrichtingen volgens de Commissie niet volledig. Zo zijn onder meer propaan-/propeentanks, ondergrondse buisleidingen en transportroutes voor gevaarlijke stoffen niet in beeld gebracht.</w:t>
                      </w:r>
                    </w:p>
                    <w:p w:rsidRPr="00EB063B" w:rsidR="00EB063B" w:rsidP="00EB063B" w:rsidRDefault="00EB063B" w14:paraId="3C2C857D" w14:textId="77777777">
                      <w:pPr>
                        <w:jc w:val="both"/>
                        <w:rPr>
                          <w:rFonts w:ascii="Verdana" w:hAnsi="Verdana"/>
                          <w:color w:val="auto"/>
                          <w:sz w:val="18"/>
                        </w:rPr>
                      </w:pPr>
                    </w:p>
                    <w:p w:rsidRPr="008F5FA1" w:rsidR="008F5FA1" w:rsidP="008F5FA1" w:rsidRDefault="00EB063B" w14:paraId="4CD5B26E" w14:textId="1309ED85">
                      <w:pPr>
                        <w:jc w:val="both"/>
                        <w:rPr>
                          <w:rFonts w:ascii="Verdana" w:hAnsi="Verdana"/>
                          <w:color w:val="auto"/>
                          <w:sz w:val="18"/>
                        </w:rPr>
                      </w:pPr>
                      <w:r w:rsidRPr="00EB063B">
                        <w:rPr>
                          <w:rFonts w:ascii="Verdana" w:hAnsi="Verdana"/>
                          <w:color w:val="auto"/>
                          <w:sz w:val="18"/>
                        </w:rPr>
                        <w:t>Het NLR heeft in de contra-expertise daarnaast aandachtspunten benoemd die mogelijk van invloed zijn op de rekenresultaten, onder meer ten aanzien van enkele vliegroutes van lichte luchtvaartuigen en de toepassing van de meteotoeslag. Het is niet duidelijk of deze punten in de berekeningen zijn verwerkt.</w:t>
                      </w:r>
                    </w:p>
                  </w:txbxContent>
                </v:textbox>
                <w10:anchorlock/>
              </v:shape>
            </w:pict>
          </mc:Fallback>
        </mc:AlternateContent>
      </w:r>
    </w:p>
    <w:p w:rsidRPr="00FA3B4B" w:rsidR="00617F5A" w:rsidP="00617F5A" w:rsidRDefault="00617F5A" w14:paraId="680962AA" w14:textId="77777777">
      <w:pPr>
        <w:pStyle w:val="BodyText"/>
      </w:pPr>
    </w:p>
    <w:p w:rsidRPr="00FA3B4B" w:rsidR="00617F5A" w:rsidP="00617F5A" w:rsidRDefault="00617F5A" w14:paraId="4B1AF949" w14:textId="77777777">
      <w:pPr>
        <w:pStyle w:val="BodyText"/>
      </w:pPr>
      <w:r w:rsidRPr="00FA3B4B">
        <w:rPr>
          <w:noProof/>
          <w:szCs w:val="18"/>
          <w:lang w:val="en-GB"/>
        </w:rPr>
        <mc:AlternateContent>
          <mc:Choice Requires="wps">
            <w:drawing>
              <wp:inline distT="0" distB="0" distL="0" distR="0" wp14:anchorId="21150D0E" wp14:editId="5EBE6AE4">
                <wp:extent cx="5957570" cy="922020"/>
                <wp:effectExtent l="0" t="0" r="5080" b="0"/>
                <wp:docPr id="1689464967" name="Tekstvak 1689464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922020"/>
                        </a:xfrm>
                        <a:prstGeom prst="rect">
                          <a:avLst/>
                        </a:prstGeom>
                        <a:solidFill>
                          <a:schemeClr val="accent6">
                            <a:lumMod val="20000"/>
                            <a:lumOff val="80000"/>
                          </a:schemeClr>
                        </a:solidFill>
                        <a:ln w="9525">
                          <a:noFill/>
                          <a:miter lim="800000"/>
                          <a:headEnd/>
                          <a:tailEnd/>
                        </a:ln>
                      </wps:spPr>
                      <wps:txbx>
                        <w:txbxContent>
                          <w:p w:rsidRPr="00F00B53" w:rsidR="00617F5A" w:rsidP="00617F5A" w:rsidRDefault="00617F5A" w14:paraId="3F0BAEDA"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EB063B" w:rsidR="00617F5A" w:rsidP="00617F5A" w:rsidRDefault="00EB063B" w14:paraId="2D841F1E" w14:textId="4DD33EC8">
                            <w:pPr>
                              <w:spacing w:line="276" w:lineRule="auto"/>
                              <w:jc w:val="both"/>
                              <w:rPr>
                                <w:rFonts w:ascii="Verdana" w:hAnsi="Verdana"/>
                                <w:color w:val="auto"/>
                                <w:sz w:val="18"/>
                                <w:szCs w:val="18"/>
                              </w:rPr>
                            </w:pPr>
                            <w:r w:rsidRPr="00EB063B">
                              <w:rPr>
                                <w:rFonts w:ascii="Verdana" w:hAnsi="Verdana"/>
                                <w:color w:val="auto"/>
                                <w:sz w:val="18"/>
                                <w:szCs w:val="18"/>
                              </w:rPr>
                              <w:t xml:space="preserve">De Commissie mer </w:t>
                            </w:r>
                            <w:r>
                              <w:rPr>
                                <w:rFonts w:ascii="Verdana" w:hAnsi="Verdana"/>
                                <w:color w:val="auto"/>
                                <w:sz w:val="18"/>
                                <w:szCs w:val="18"/>
                              </w:rPr>
                              <w:t xml:space="preserve">doet een aanbeveling </w:t>
                            </w:r>
                            <w:r w:rsidRPr="00EB063B">
                              <w:rPr>
                                <w:rFonts w:ascii="Verdana" w:hAnsi="Verdana"/>
                                <w:color w:val="auto"/>
                                <w:sz w:val="18"/>
                                <w:szCs w:val="18"/>
                              </w:rPr>
                              <w:t>om de berekeningen waar nodig te actualiseren met de meest recente gegevens en inzichtelijk te maken hoe de opmerkingen uit de NLR-contra-expertise zijn verwerkt. Volgens de Commissie zijn de te verwachten verschillen beperkt en zal de invloed hiervan op de beslisinformatie naar verwachting eveneens beperkt zijn.</w:t>
                            </w:r>
                          </w:p>
                        </w:txbxContent>
                      </wps:txbx>
                      <wps:bodyPr rot="0" vert="horz" wrap="square" lIns="91440" tIns="45720" rIns="91440" bIns="45720" anchor="t" anchorCtr="0">
                        <a:noAutofit/>
                      </wps:bodyPr>
                    </wps:wsp>
                  </a:graphicData>
                </a:graphic>
              </wp:inline>
            </w:drawing>
          </mc:Choice>
          <mc:Fallback>
            <w:pict>
              <v:shape id="Tekstvak 1689464967" style="width:469.1pt;height:72.6pt;visibility:visible;mso-wrap-style:square;mso-left-percent:-10001;mso-top-percent:-10001;mso-position-horizontal:absolute;mso-position-horizontal-relative:char;mso-position-vertical:absolute;mso-position-vertical-relative:line;mso-left-percent:-10001;mso-top-percent:-10001;v-text-anchor:top" o:spid="_x0000_s1037"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" w14:anchorId="21150D0E">
                <v:textbox>
                  <w:txbxContent>
                    <w:p w:rsidRPr="00F00B53" w:rsidR="00617F5A" w:rsidP="00617F5A" w:rsidRDefault="00617F5A" w14:paraId="3F0BAEDA"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EB063B" w:rsidR="00617F5A" w:rsidP="00617F5A" w:rsidRDefault="00EB063B" w14:paraId="2D841F1E" w14:textId="4DD33EC8">
                      <w:pPr>
                        <w:spacing w:line="276" w:lineRule="auto"/>
                        <w:jc w:val="both"/>
                        <w:rPr>
                          <w:rFonts w:ascii="Verdana" w:hAnsi="Verdana"/>
                          <w:color w:val="auto"/>
                          <w:sz w:val="18"/>
                          <w:szCs w:val="18"/>
                        </w:rPr>
                      </w:pPr>
                      <w:r w:rsidRPr="00EB063B">
                        <w:rPr>
                          <w:rFonts w:ascii="Verdana" w:hAnsi="Verdana"/>
                          <w:color w:val="auto"/>
                          <w:sz w:val="18"/>
                          <w:szCs w:val="18"/>
                        </w:rPr>
                        <w:t xml:space="preserve">De Commissie mer </w:t>
                      </w:r>
                      <w:r>
                        <w:rPr>
                          <w:rFonts w:ascii="Verdana" w:hAnsi="Verdana"/>
                          <w:color w:val="auto"/>
                          <w:sz w:val="18"/>
                          <w:szCs w:val="18"/>
                        </w:rPr>
                        <w:t xml:space="preserve">doet een aanbeveling </w:t>
                      </w:r>
                      <w:r w:rsidRPr="00EB063B">
                        <w:rPr>
                          <w:rFonts w:ascii="Verdana" w:hAnsi="Verdana"/>
                          <w:color w:val="auto"/>
                          <w:sz w:val="18"/>
                          <w:szCs w:val="18"/>
                        </w:rPr>
                        <w:t>om de berekeningen waar nodig te actualiseren met de meest recente gegevens en inzichtelijk te maken hoe de opmerkingen uit de NLR-contra-expertise zijn verwerkt. Volgens de Commissie zijn de te verwachten verschillen beperkt en zal de invloed hiervan op de beslisinformatie naar verwachting eveneens beperkt zijn.</w:t>
                      </w:r>
                    </w:p>
                  </w:txbxContent>
                </v:textbox>
                <w10:anchorlock/>
              </v:shape>
            </w:pict>
          </mc:Fallback>
        </mc:AlternateContent>
      </w:r>
    </w:p>
    <w:p w:rsidRPr="000E6E76" w:rsidR="00617F5A" w:rsidP="00617F5A" w:rsidRDefault="00617F5A" w14:paraId="64DA4414" w14:textId="77777777">
      <w:pPr>
        <w:pStyle w:val="BodyText"/>
      </w:pPr>
    </w:p>
    <w:p w:rsidRPr="000E6E76" w:rsidR="00617F5A" w:rsidP="00617F5A" w:rsidRDefault="00617F5A" w14:paraId="247295F3" w14:textId="77777777">
      <w:pPr>
        <w:pStyle w:val="BodyText"/>
        <w:jc w:val="both"/>
        <w:rPr>
          <w:u w:val="single"/>
        </w:rPr>
      </w:pPr>
      <w:r w:rsidRPr="000E6E76">
        <w:rPr>
          <w:u w:val="single"/>
        </w:rPr>
        <w:t>Reactie</w:t>
      </w:r>
    </w:p>
    <w:p w:rsidRPr="000E6E76" w:rsidR="00EB063B" w:rsidP="00EB063B" w:rsidRDefault="00EB063B" w14:paraId="4CD3C213" w14:textId="2814BB78">
      <w:pPr>
        <w:rPr>
          <w:rFonts w:ascii="Verdana" w:hAnsi="Verdana"/>
          <w:color w:val="auto"/>
          <w:sz w:val="18"/>
        </w:rPr>
      </w:pPr>
      <w:r w:rsidRPr="000E6E76">
        <w:rPr>
          <w:rFonts w:ascii="Verdana" w:hAnsi="Verdana"/>
          <w:color w:val="auto"/>
          <w:sz w:val="18"/>
        </w:rPr>
        <w:t>De aanbeveling van de Commissie mer wordt opgevolgd. De berekeningen van de externe veiligheid worden aangevuld met de meest actuele gegevens voor de tellingen van objecten, het groepsrisico en de inventarisatie van gevaarlijke stoffen en risicovolle inrichtingen. De tellingen van (beperkt) kwetsbare objecten worden gecontroleerd aan de hand van de gehanteerde definities en actuele gegevens. Voor het groepsrisico wordt een actueel populatiebestand samengesteld op basis van de meest recente gegevens. De berekeningen worden uitgevoerd voor de alternatieven AO en VA-zichtjaar.</w:t>
      </w:r>
    </w:p>
    <w:p w:rsidRPr="000E6E76" w:rsidR="00EB063B" w:rsidP="00EB063B" w:rsidRDefault="00EB063B" w14:paraId="4D9D56B8" w14:textId="77777777">
      <w:pPr>
        <w:rPr>
          <w:rFonts w:ascii="Verdana" w:hAnsi="Verdana"/>
          <w:color w:val="auto"/>
          <w:sz w:val="18"/>
        </w:rPr>
      </w:pPr>
    </w:p>
    <w:p w:rsidRPr="000E6E76" w:rsidR="00EB063B" w:rsidP="00EB063B" w:rsidRDefault="00EB063B" w14:paraId="72C938E1" w14:textId="3B25BE14">
      <w:pPr>
        <w:rPr>
          <w:rFonts w:ascii="Verdana" w:hAnsi="Verdana"/>
          <w:color w:val="auto"/>
          <w:sz w:val="18"/>
        </w:rPr>
      </w:pPr>
      <w:r w:rsidRPr="000E6E76">
        <w:rPr>
          <w:rFonts w:ascii="Verdana" w:hAnsi="Verdana"/>
          <w:color w:val="auto"/>
          <w:sz w:val="18"/>
        </w:rPr>
        <w:t>Daarnaast wordt de 10</w:t>
      </w:r>
      <w:r w:rsidRPr="000E6E76">
        <w:rPr>
          <w:rFonts w:ascii="Cambria Math" w:hAnsi="Cambria Math" w:cs="Cambria Math"/>
          <w:color w:val="auto"/>
          <w:sz w:val="18"/>
        </w:rPr>
        <w:t>⁻</w:t>
      </w:r>
      <w:r w:rsidRPr="000E6E76">
        <w:rPr>
          <w:rFonts w:ascii="Verdana" w:hAnsi="Verdana" w:cs="Verdana"/>
          <w:color w:val="auto"/>
          <w:sz w:val="18"/>
        </w:rPr>
        <w:t>⁸</w:t>
      </w:r>
      <w:r w:rsidRPr="000E6E76">
        <w:rPr>
          <w:rFonts w:ascii="Verdana" w:hAnsi="Verdana"/>
          <w:color w:val="auto"/>
          <w:sz w:val="18"/>
        </w:rPr>
        <w:t xml:space="preserve">-PR-contour afgezet tegen een geactualiseerde inventarisatie van gevaarlijke stoffen en risicovolle inrichtingen in de omgeving. De resultaten worden gerapporteerd in aanvulling op de tabellen en figuren uit het MER en de effectscores worden hierop herzien. Daarbij wordt kort toegelicht welke aanvullingen ten opzichte van de MER-methodiek zijn doorgevoerd. </w:t>
      </w:r>
    </w:p>
    <w:p w:rsidRPr="000E6E76" w:rsidR="00F50FF4" w:rsidP="00EB063B" w:rsidRDefault="00F50FF4" w14:paraId="5772BD31" w14:textId="77777777">
      <w:pPr>
        <w:rPr>
          <w:rFonts w:ascii="Verdana" w:hAnsi="Verdana"/>
          <w:color w:val="auto"/>
          <w:sz w:val="18"/>
        </w:rPr>
      </w:pPr>
    </w:p>
    <w:p w:rsidR="00617F5A" w:rsidRDefault="00EB063B" w14:paraId="52434324" w14:textId="65429549">
      <w:pPr>
        <w:rPr>
          <w:rFonts w:ascii="Verdana" w:hAnsi="Verdana"/>
          <w:color w:val="auto"/>
          <w:sz w:val="18"/>
        </w:rPr>
      </w:pPr>
      <w:r w:rsidRPr="000E6E76">
        <w:rPr>
          <w:rFonts w:ascii="Verdana" w:hAnsi="Verdana"/>
          <w:color w:val="auto"/>
          <w:sz w:val="18"/>
        </w:rPr>
        <w:t>Ten aanzien van de contra-expertise van het NLR wordt toegelicht hoe de daarin benoemde aandachtspunten zijn verwerkt in het MER en hoe deze zich verhouden tot de berekeningen van de risicocontouren en de grenswaarden voor het LH</w:t>
      </w:r>
      <w:r w:rsidRPr="000E6E76" w:rsidR="00F50FF4">
        <w:rPr>
          <w:rFonts w:ascii="Verdana" w:hAnsi="Verdana"/>
          <w:color w:val="auto"/>
          <w:sz w:val="18"/>
        </w:rPr>
        <w:t>B.</w:t>
      </w:r>
      <w:r w:rsidR="00617F5A">
        <w:rPr>
          <w:rFonts w:ascii="Verdana" w:hAnsi="Verdana"/>
          <w:color w:val="auto"/>
          <w:sz w:val="18"/>
        </w:rPr>
        <w:br w:type="page"/>
      </w:r>
    </w:p>
    <w:p w:rsidRPr="00167BB5" w:rsidR="00936439" w:rsidP="00936439" w:rsidRDefault="00F50FF4" w14:paraId="42BAB4DA" w14:textId="0ED94950">
      <w:pPr>
        <w:pStyle w:val="Heading1"/>
      </w:pPr>
      <w:bookmarkStart w:name="_Toc240548248" w:id="177"/>
      <w:r>
        <w:t>Relatie besluit en onderzoek milieueffecten</w:t>
      </w:r>
      <w:bookmarkEnd w:id="177"/>
      <w:r>
        <w:t xml:space="preserve"> </w:t>
      </w:r>
    </w:p>
    <w:p w:rsidR="00617F5A" w:rsidP="00617F5A" w:rsidRDefault="00F50FF4" w14:paraId="41872BD3" w14:textId="775A73A5">
      <w:pPr>
        <w:pStyle w:val="Heading2"/>
        <w:numPr>
          <w:ilvl w:val="1"/>
          <w:numId w:val="6"/>
        </w:numPr>
      </w:pPr>
      <w:bookmarkStart w:name="_Toc240548249" w:id="178"/>
      <w:r>
        <w:t>Vlootsamenstelling en mogelijke invloed op stikstofdepositie</w:t>
      </w:r>
      <w:bookmarkEnd w:id="178"/>
    </w:p>
    <w:p w:rsidRPr="00FA3B4B" w:rsidR="00617F5A" w:rsidP="00617F5A" w:rsidRDefault="00617F5A" w14:paraId="77A12A4D" w14:textId="77777777">
      <w:pPr>
        <w:pStyle w:val="BodyText"/>
      </w:pPr>
      <w:r w:rsidRPr="00FA3B4B">
        <w:rPr>
          <w:noProof/>
          <w:lang w:val="en-GB"/>
        </w:rPr>
        <mc:AlternateContent>
          <mc:Choice Requires="wps">
            <w:drawing>
              <wp:inline distT="0" distB="0" distL="0" distR="0" wp14:anchorId="081908A3" wp14:editId="436D1774">
                <wp:extent cx="5956300" cy="1404620"/>
                <wp:effectExtent l="0" t="0" r="6350" b="0"/>
                <wp:docPr id="2117098241" name="Tekstvak 2117098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617F5A" w:rsidP="00617F5A" w:rsidRDefault="00486961" w14:paraId="21839554" w14:textId="5127AF16">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F50FF4" w:rsidP="00F50FF4" w:rsidRDefault="00F50FF4" w14:paraId="1576DE3C" w14:textId="3CA4EEEC">
                            <w:pPr>
                              <w:rPr>
                                <w:rFonts w:ascii="Verdana" w:hAnsi="Verdana"/>
                                <w:color w:val="auto"/>
                                <w:sz w:val="18"/>
                              </w:rPr>
                            </w:pPr>
                            <w:r w:rsidRPr="00F50FF4">
                              <w:rPr>
                                <w:rFonts w:ascii="Verdana" w:hAnsi="Verdana"/>
                                <w:color w:val="auto"/>
                                <w:sz w:val="18"/>
                              </w:rPr>
                              <w:t xml:space="preserve">Het MER bevat informatie over de stikstofdepositie van de verschillende alternatieven. Voor het </w:t>
                            </w:r>
                            <w:r>
                              <w:rPr>
                                <w:rFonts w:ascii="Verdana" w:hAnsi="Verdana"/>
                                <w:color w:val="auto"/>
                                <w:sz w:val="18"/>
                              </w:rPr>
                              <w:t xml:space="preserve">voorkeursalternatief </w:t>
                            </w:r>
                            <w:r w:rsidRPr="00F50FF4">
                              <w:rPr>
                                <w:rFonts w:ascii="Verdana" w:hAnsi="Verdana"/>
                                <w:color w:val="auto"/>
                                <w:sz w:val="18"/>
                              </w:rPr>
                              <w:t>wordt geconcludeerd dat ten opzichte van het maatwerkvoorschrift</w:t>
                            </w:r>
                            <w:r>
                              <w:rPr>
                                <w:rFonts w:ascii="Verdana" w:hAnsi="Verdana"/>
                                <w:color w:val="auto"/>
                                <w:sz w:val="18"/>
                              </w:rPr>
                              <w:t xml:space="preserve"> van LVVN</w:t>
                            </w:r>
                            <w:r w:rsidRPr="00F50FF4">
                              <w:rPr>
                                <w:rFonts w:ascii="Verdana" w:hAnsi="Verdana"/>
                                <w:color w:val="auto"/>
                                <w:sz w:val="18"/>
                              </w:rPr>
                              <w:t xml:space="preserve"> geen toename van stikstofdepositie optreedt op (naderend) overbelaste Natura 2000-gebieden. Het MER gaat uit van een begrenzing van de totale stikstofemissie van 88,8 ton per jaar.</w:t>
                            </w:r>
                          </w:p>
                          <w:p w:rsidRPr="00F50FF4" w:rsidR="00F50FF4" w:rsidP="00F50FF4" w:rsidRDefault="00F50FF4" w14:paraId="182DC4C2" w14:textId="77777777">
                            <w:pPr>
                              <w:rPr>
                                <w:rFonts w:ascii="Verdana" w:hAnsi="Verdana"/>
                                <w:color w:val="auto"/>
                                <w:sz w:val="18"/>
                              </w:rPr>
                            </w:pPr>
                          </w:p>
                          <w:p w:rsidRPr="00F50FF4" w:rsidR="00167BB5" w:rsidP="00F714D4" w:rsidRDefault="00F50FF4" w14:paraId="70A8C354" w14:textId="3A72FD35">
                            <w:pPr>
                              <w:rPr>
                                <w:rFonts w:ascii="Verdana" w:hAnsi="Verdana"/>
                                <w:color w:val="auto"/>
                                <w:sz w:val="18"/>
                              </w:rPr>
                            </w:pPr>
                            <w:r w:rsidRPr="00F50FF4">
                              <w:rPr>
                                <w:rFonts w:ascii="Verdana" w:hAnsi="Verdana"/>
                                <w:color w:val="auto"/>
                                <w:sz w:val="18"/>
                              </w:rPr>
                              <w:t>De Commissie mer constateert echter dat het MER onvoldoende rekening houdt met mogelijke veranderingen in de vlootmix vóór 2035. Door de voortgaande vlootvernieuwing kan binnen de bestaande geluidsruimte ruimte ontstaan voor grotere en zwaardere toestellen, zoals de Airbus A321neo, die per beweging meer NOx kunnen uitstoten. Hierdoor kan de stikstofemissie en -depositie toenemen. Ook is niet inzichtelijk gemaakt welke stikstofemissie na 2035 mogelijk is binnen de aangescherpte geluidgrenswaarden en of deze binnen de referentiesituatie blijft.</w:t>
                            </w:r>
                          </w:p>
                        </w:txbxContent>
                      </wps:txbx>
                      <wps:bodyPr rot="0" vert="horz" wrap="square" lIns="91440" tIns="45720" rIns="91440" bIns="45720" anchor="t" anchorCtr="0">
                        <a:spAutoFit/>
                      </wps:bodyPr>
                    </wps:wsp>
                  </a:graphicData>
                </a:graphic>
              </wp:inline>
            </w:drawing>
          </mc:Choice>
          <mc:Fallback>
            <w:pict>
              <v:shape id="Tekstvak 2117098241"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38"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" w14:anchorId="081908A3">
                <v:textbox style="mso-fit-shape-to-text:t">
                  <w:txbxContent>
                    <w:p w:rsidR="00617F5A" w:rsidP="00617F5A" w:rsidRDefault="00486961" w14:paraId="21839554" w14:textId="5127AF16">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F50FF4" w:rsidP="00F50FF4" w:rsidRDefault="00F50FF4" w14:paraId="1576DE3C" w14:textId="3CA4EEEC">
                      <w:pPr>
                        <w:rPr>
                          <w:rFonts w:ascii="Verdana" w:hAnsi="Verdana"/>
                          <w:color w:val="auto"/>
                          <w:sz w:val="18"/>
                        </w:rPr>
                      </w:pPr>
                      <w:r w:rsidRPr="00F50FF4">
                        <w:rPr>
                          <w:rFonts w:ascii="Verdana" w:hAnsi="Verdana"/>
                          <w:color w:val="auto"/>
                          <w:sz w:val="18"/>
                        </w:rPr>
                        <w:t xml:space="preserve">Het MER bevat informatie over de stikstofdepositie van de verschillende alternatieven. Voor het </w:t>
                      </w:r>
                      <w:r>
                        <w:rPr>
                          <w:rFonts w:ascii="Verdana" w:hAnsi="Verdana"/>
                          <w:color w:val="auto"/>
                          <w:sz w:val="18"/>
                        </w:rPr>
                        <w:t xml:space="preserve">voorkeursalternatief </w:t>
                      </w:r>
                      <w:r w:rsidRPr="00F50FF4">
                        <w:rPr>
                          <w:rFonts w:ascii="Verdana" w:hAnsi="Verdana"/>
                          <w:color w:val="auto"/>
                          <w:sz w:val="18"/>
                        </w:rPr>
                        <w:t>wordt geconcludeerd dat ten opzichte van het maatwerkvoorschrift</w:t>
                      </w:r>
                      <w:r>
                        <w:rPr>
                          <w:rFonts w:ascii="Verdana" w:hAnsi="Verdana"/>
                          <w:color w:val="auto"/>
                          <w:sz w:val="18"/>
                        </w:rPr>
                        <w:t xml:space="preserve"> van LVVN</w:t>
                      </w:r>
                      <w:r w:rsidRPr="00F50FF4">
                        <w:rPr>
                          <w:rFonts w:ascii="Verdana" w:hAnsi="Verdana"/>
                          <w:color w:val="auto"/>
                          <w:sz w:val="18"/>
                        </w:rPr>
                        <w:t xml:space="preserve"> geen toename van stikstofdepositie optreedt op (naderend) overbelaste Natura 2000-gebieden. Het MER gaat uit van een begrenzing van de totale stikstofemissie van 88,8 ton per jaar.</w:t>
                      </w:r>
                    </w:p>
                    <w:p w:rsidRPr="00F50FF4" w:rsidR="00F50FF4" w:rsidP="00F50FF4" w:rsidRDefault="00F50FF4" w14:paraId="182DC4C2" w14:textId="77777777">
                      <w:pPr>
                        <w:rPr>
                          <w:rFonts w:ascii="Verdana" w:hAnsi="Verdana"/>
                          <w:color w:val="auto"/>
                          <w:sz w:val="18"/>
                        </w:rPr>
                      </w:pPr>
                    </w:p>
                    <w:p w:rsidRPr="00F50FF4" w:rsidR="00167BB5" w:rsidP="00F714D4" w:rsidRDefault="00F50FF4" w14:paraId="70A8C354" w14:textId="3A72FD35">
                      <w:pPr>
                        <w:rPr>
                          <w:rFonts w:ascii="Verdana" w:hAnsi="Verdana"/>
                          <w:color w:val="auto"/>
                          <w:sz w:val="18"/>
                        </w:rPr>
                      </w:pPr>
                      <w:r w:rsidRPr="00F50FF4">
                        <w:rPr>
                          <w:rFonts w:ascii="Verdana" w:hAnsi="Verdana"/>
                          <w:color w:val="auto"/>
                          <w:sz w:val="18"/>
                        </w:rPr>
                        <w:t>De Commissie mer constateert echter dat het MER onvoldoende rekening houdt met mogelijke veranderingen in de vlootmix vóór 2035. Door de voortgaande vlootvernieuwing kan binnen de bestaande geluidsruimte ruimte ontstaan voor grotere en zwaardere toestellen, zoals de Airbus A321neo, die per beweging meer NOx kunnen uitstoten. Hierdoor kan de stikstofemissie en -depositie toenemen. Ook is niet inzichtelijk gemaakt welke stikstofemissie na 2035 mogelijk is binnen de aangescherpte geluidgrenswaarden en of deze binnen de referentiesituatie blijft.</w:t>
                      </w:r>
                    </w:p>
                  </w:txbxContent>
                </v:textbox>
                <w10:anchorlock/>
              </v:shape>
            </w:pict>
          </mc:Fallback>
        </mc:AlternateContent>
      </w:r>
    </w:p>
    <w:p w:rsidRPr="00FA3B4B" w:rsidR="00617F5A" w:rsidP="00617F5A" w:rsidRDefault="00617F5A" w14:paraId="7CE0BE63" w14:textId="77777777">
      <w:pPr>
        <w:pStyle w:val="BodyText"/>
      </w:pPr>
    </w:p>
    <w:p w:rsidRPr="00FA3B4B" w:rsidR="00617F5A" w:rsidP="00617F5A" w:rsidRDefault="00617F5A" w14:paraId="54F4C3E4" w14:textId="77777777">
      <w:pPr>
        <w:pStyle w:val="BodyText"/>
      </w:pPr>
      <w:r w:rsidRPr="00FA3B4B">
        <w:rPr>
          <w:noProof/>
          <w:szCs w:val="18"/>
          <w:lang w:val="en-GB"/>
        </w:rPr>
        <mc:AlternateContent>
          <mc:Choice Requires="wps">
            <w:drawing>
              <wp:inline distT="0" distB="0" distL="0" distR="0" wp14:anchorId="4B29867F" wp14:editId="668443BB">
                <wp:extent cx="5957570" cy="1257300"/>
                <wp:effectExtent l="0" t="0" r="5080" b="0"/>
                <wp:docPr id="1278410156" name="Tekstvak 1278410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257300"/>
                        </a:xfrm>
                        <a:prstGeom prst="rect">
                          <a:avLst/>
                        </a:prstGeom>
                        <a:solidFill>
                          <a:schemeClr val="accent6">
                            <a:lumMod val="20000"/>
                            <a:lumOff val="80000"/>
                          </a:schemeClr>
                        </a:solidFill>
                        <a:ln w="9525">
                          <a:noFill/>
                          <a:miter lim="800000"/>
                          <a:headEnd/>
                          <a:tailEnd/>
                        </a:ln>
                      </wps:spPr>
                      <wps:txbx>
                        <w:txbxContent>
                          <w:p w:rsidRPr="00F00B53" w:rsidR="00617F5A" w:rsidP="00617F5A" w:rsidRDefault="00617F5A" w14:paraId="500479AD"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00B53" w:rsidR="00167BB5" w:rsidP="00167BB5" w:rsidRDefault="00F50FF4" w14:paraId="54F89FF1" w14:textId="2FAE5F14">
                            <w:pPr>
                              <w:autoSpaceDE w:val="0"/>
                              <w:autoSpaceDN w:val="0"/>
                              <w:adjustRightInd w:val="0"/>
                              <w:spacing w:line="276" w:lineRule="auto"/>
                              <w:jc w:val="both"/>
                              <w:rPr>
                                <w:rFonts w:ascii="Verdana" w:hAnsi="Verdana"/>
                                <w:b/>
                                <w:bCs/>
                                <w:color w:val="auto"/>
                                <w:sz w:val="18"/>
                                <w:szCs w:val="18"/>
                              </w:rPr>
                            </w:pPr>
                            <w:r w:rsidRPr="00F50FF4">
                              <w:rPr>
                                <w:rFonts w:ascii="Verdana" w:hAnsi="Verdana"/>
                                <w:color w:val="auto"/>
                                <w:sz w:val="18"/>
                                <w:szCs w:val="18"/>
                              </w:rPr>
                              <w:t>De Commissie adviseert te laten zien welke NO</w:t>
                            </w:r>
                            <w:r>
                              <w:rPr>
                                <w:rFonts w:ascii="Verdana" w:hAnsi="Verdana"/>
                                <w:color w:val="auto"/>
                                <w:sz w:val="18"/>
                                <w:szCs w:val="18"/>
                                <w:vertAlign w:val="subscript"/>
                              </w:rPr>
                              <w:t>x</w:t>
                            </w:r>
                            <w:r w:rsidRPr="00F50FF4">
                              <w:rPr>
                                <w:rFonts w:ascii="Verdana" w:hAnsi="Verdana"/>
                                <w:color w:val="auto"/>
                                <w:sz w:val="18"/>
                                <w:szCs w:val="18"/>
                              </w:rPr>
                              <w:t>-emissie (zonder nadere maatregelen) maximaal mogelijk is als gevolg van de mogelijke vlootsamenstelling binnen de geluidsgrenswaarden tot het zichtjaar en na het zichtjaar. Bijvoorbeeld aan de hand van een gevoeligheidsanalyse. Toets deze aan de maximale emissie aan de (op grond van de natuurreferentie) toegestane emissie. Geef aan welke maatregelen beschikbaar zijn om overschrijding te voorkomen en hoe (snel) die maatregelen indien nodig ingezet kunnen worden.</w:t>
                            </w:r>
                          </w:p>
                          <w:p w:rsidRPr="00F00B53" w:rsidR="00617F5A" w:rsidP="00617F5A" w:rsidRDefault="00617F5A" w14:paraId="23B526E0" w14:textId="77777777">
                            <w:pPr>
                              <w:spacing w:line="276" w:lineRule="auto"/>
                              <w:jc w:val="both"/>
                              <w:rPr>
                                <w:rFonts w:ascii="Verdana" w:hAnsi="Verdana"/>
                                <w:b/>
                                <w:bCs/>
                                <w:color w:val="auto"/>
                                <w:sz w:val="18"/>
                                <w:szCs w:val="18"/>
                              </w:rPr>
                            </w:pPr>
                          </w:p>
                        </w:txbxContent>
                      </wps:txbx>
                      <wps:bodyPr rot="0" vert="horz" wrap="square" lIns="91440" tIns="45720" rIns="91440" bIns="45720" anchor="t" anchorCtr="0">
                        <a:noAutofit/>
                      </wps:bodyPr>
                    </wps:wsp>
                  </a:graphicData>
                </a:graphic>
              </wp:inline>
            </w:drawing>
          </mc:Choice>
          <mc:Fallback>
            <w:pict>
              <v:shape id="Tekstvak 1278410156" style="width:469.1pt;height:99pt;visibility:visible;mso-wrap-style:square;mso-left-percent:-10001;mso-top-percent:-10001;mso-position-horizontal:absolute;mso-position-horizontal-relative:char;mso-position-vertical:absolute;mso-position-vertical-relative:line;mso-left-percent:-10001;mso-top-percent:-10001;v-text-anchor:top" o:spid="_x0000_s1039"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" w14:anchorId="4B29867F">
                <v:textbox>
                  <w:txbxContent>
                    <w:p w:rsidRPr="00F00B53" w:rsidR="00617F5A" w:rsidP="00617F5A" w:rsidRDefault="00617F5A" w14:paraId="500479AD"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00B53" w:rsidR="00167BB5" w:rsidP="00167BB5" w:rsidRDefault="00F50FF4" w14:paraId="54F89FF1" w14:textId="2FAE5F14">
                      <w:pPr>
                        <w:autoSpaceDE w:val="0"/>
                        <w:autoSpaceDN w:val="0"/>
                        <w:adjustRightInd w:val="0"/>
                        <w:spacing w:line="276" w:lineRule="auto"/>
                        <w:jc w:val="both"/>
                        <w:rPr>
                          <w:rFonts w:ascii="Verdana" w:hAnsi="Verdana"/>
                          <w:b/>
                          <w:bCs/>
                          <w:color w:val="auto"/>
                          <w:sz w:val="18"/>
                          <w:szCs w:val="18"/>
                        </w:rPr>
                      </w:pPr>
                      <w:r w:rsidRPr="00F50FF4">
                        <w:rPr>
                          <w:rFonts w:ascii="Verdana" w:hAnsi="Verdana"/>
                          <w:color w:val="auto"/>
                          <w:sz w:val="18"/>
                          <w:szCs w:val="18"/>
                        </w:rPr>
                        <w:t>De Commissie adviseert te laten zien welke NO</w:t>
                      </w:r>
                      <w:r>
                        <w:rPr>
                          <w:rFonts w:ascii="Verdana" w:hAnsi="Verdana"/>
                          <w:color w:val="auto"/>
                          <w:sz w:val="18"/>
                          <w:szCs w:val="18"/>
                          <w:vertAlign w:val="subscript"/>
                        </w:rPr>
                        <w:t>x</w:t>
                      </w:r>
                      <w:r w:rsidRPr="00F50FF4">
                        <w:rPr>
                          <w:rFonts w:ascii="Verdana" w:hAnsi="Verdana"/>
                          <w:color w:val="auto"/>
                          <w:sz w:val="18"/>
                          <w:szCs w:val="18"/>
                        </w:rPr>
                        <w:t>-emissie (zonder nadere maatregelen) maximaal mogelijk is als gevolg van de mogelijke vlootsamenstelling binnen de geluidsgrenswaarden tot het zichtjaar en na het zichtjaar. Bijvoorbeeld aan de hand van een gevoeligheidsanalyse. Toets deze aan de maximale emissie aan de (op grond van de natuurreferentie) toegestane emissie. Geef aan welke maatregelen beschikbaar zijn om overschrijding te voorkomen en hoe (snel) die maatregelen indien nodig ingezet kunnen worden.</w:t>
                      </w:r>
                    </w:p>
                    <w:p w:rsidRPr="00F00B53" w:rsidR="00617F5A" w:rsidP="00617F5A" w:rsidRDefault="00617F5A" w14:paraId="23B526E0" w14:textId="77777777">
                      <w:pPr>
                        <w:spacing w:line="276" w:lineRule="auto"/>
                        <w:jc w:val="both"/>
                        <w:rPr>
                          <w:rFonts w:ascii="Verdana" w:hAnsi="Verdana"/>
                          <w:b/>
                          <w:bCs/>
                          <w:color w:val="auto"/>
                          <w:sz w:val="18"/>
                          <w:szCs w:val="18"/>
                        </w:rPr>
                      </w:pPr>
                    </w:p>
                  </w:txbxContent>
                </v:textbox>
                <w10:anchorlock/>
              </v:shape>
            </w:pict>
          </mc:Fallback>
        </mc:AlternateContent>
      </w:r>
    </w:p>
    <w:p w:rsidRPr="00FA3B4B" w:rsidR="00617F5A" w:rsidP="00617F5A" w:rsidRDefault="00617F5A" w14:paraId="4D0BD945" w14:textId="77777777">
      <w:pPr>
        <w:pStyle w:val="BodyText"/>
      </w:pPr>
    </w:p>
    <w:p w:rsidRPr="00FA3B4B" w:rsidR="00617F5A" w:rsidP="00617F5A" w:rsidRDefault="00617F5A" w14:paraId="5A9B04EE" w14:textId="77777777">
      <w:pPr>
        <w:pStyle w:val="BodyText"/>
        <w:jc w:val="both"/>
        <w:rPr>
          <w:u w:val="single"/>
        </w:rPr>
      </w:pPr>
      <w:r w:rsidRPr="00FA3B4B">
        <w:rPr>
          <w:u w:val="single"/>
        </w:rPr>
        <w:t>Reactie</w:t>
      </w:r>
    </w:p>
    <w:p w:rsidRPr="00F714D4" w:rsidR="00F714D4" w:rsidP="00F714D4" w:rsidRDefault="00F714D4" w14:paraId="47DBE694" w14:textId="7BA187B2">
      <w:pPr>
        <w:pStyle w:val="BodyText"/>
      </w:pPr>
      <w:r w:rsidRPr="00F714D4">
        <w:t>Het advies van de Commissie mer wordt opgevolgd. Met een gevoeligheidsanalyse voor het VA-zichtjaar wordt inzicht gegeven in de maximaal mogelijke NO</w:t>
      </w:r>
      <w:r>
        <w:rPr>
          <w:vertAlign w:val="subscript"/>
        </w:rPr>
        <w:t>x</w:t>
      </w:r>
      <w:r w:rsidRPr="00F714D4">
        <w:t>-emissie binnen de geluidgrenswaarden, rekening houdend met een realistische vlootsamenstelling. Hierbij wordt</w:t>
      </w:r>
      <w:r w:rsidR="00275142">
        <w:t xml:space="preserve"> gevraagd om een realistische scenario voor handelsverkeer</w:t>
      </w:r>
      <w:r w:rsidRPr="00F714D4">
        <w:t xml:space="preserve"> </w:t>
      </w:r>
      <w:r w:rsidR="00275142">
        <w:t xml:space="preserve">met </w:t>
      </w:r>
      <w:r w:rsidRPr="00F714D4">
        <w:t>een relatief ongunstige verhouding tussen NO</w:t>
      </w:r>
      <w:r w:rsidRPr="00F714D4">
        <w:rPr>
          <w:vertAlign w:val="subscript"/>
        </w:rPr>
        <w:t>x</w:t>
      </w:r>
      <w:r w:rsidRPr="00F714D4">
        <w:t>-emissie en geluidbelasting. Het aantal vliegtuigbewegingen wordt vervolgens geschaald zodat de verkeerssamenstelling binnen de in het MER gehanteerde geluidgrenzen blijft. De NO</w:t>
      </w:r>
      <w:r w:rsidRPr="00F714D4">
        <w:rPr>
          <w:vertAlign w:val="subscript"/>
        </w:rPr>
        <w:t>x</w:t>
      </w:r>
      <w:r w:rsidRPr="00F714D4">
        <w:t>-emissie wordt berekend volgens de methodiek uit de recente beslissing op bezwaar van LVVN over het emissieplafond voor RTHA.</w:t>
      </w:r>
    </w:p>
    <w:p w:rsidR="00F714D4" w:rsidP="00F714D4" w:rsidRDefault="00F714D4" w14:paraId="3A9C8042" w14:textId="77777777">
      <w:pPr>
        <w:pStyle w:val="BodyText"/>
      </w:pPr>
    </w:p>
    <w:p w:rsidRPr="00F714D4" w:rsidR="00F714D4" w:rsidP="00F714D4" w:rsidRDefault="00F714D4" w14:paraId="5A298B90" w14:textId="19A03BC3">
      <w:pPr>
        <w:pStyle w:val="BodyText"/>
      </w:pPr>
      <w:r w:rsidRPr="00F714D4">
        <w:t xml:space="preserve">De rapportage beschrijft daarnaast het actuele wettelijke en beleidsmatige kader en de relevante ontwikkelingen sinds het MER. Ook wordt ingegaan op de beschikbare maatregel om </w:t>
      </w:r>
      <w:r w:rsidR="00275142">
        <w:t xml:space="preserve">de slotuitgifte (via de capaciteitsdeclaratie) </w:t>
      </w:r>
      <w:r w:rsidRPr="00F714D4">
        <w:t>bij te stellen en op de wijze waarop deze, indien nodig, kan worden ingezet om een mogelijke overschrijding van het emissieplafond te voorkomen.</w:t>
      </w:r>
    </w:p>
    <w:p w:rsidRPr="00617F5A" w:rsidR="00617F5A" w:rsidP="00617F5A" w:rsidRDefault="00617F5A" w14:paraId="106F8665" w14:textId="77777777">
      <w:pPr>
        <w:pStyle w:val="BodyText"/>
      </w:pPr>
    </w:p>
    <w:p w:rsidR="00617F5A" w:rsidP="00617F5A" w:rsidRDefault="00F714D4" w14:paraId="4C724AC4" w14:textId="1A031F86">
      <w:pPr>
        <w:pStyle w:val="Heading2"/>
        <w:numPr>
          <w:ilvl w:val="1"/>
          <w:numId w:val="6"/>
        </w:numPr>
      </w:pPr>
      <w:bookmarkStart w:name="_Toc240548250" w:id="179"/>
      <w:r>
        <w:t>Geluidseffecten kleine luchtvaart</w:t>
      </w:r>
      <w:bookmarkEnd w:id="179"/>
    </w:p>
    <w:p w:rsidRPr="00FA3B4B" w:rsidR="00617F5A" w:rsidP="00617F5A" w:rsidRDefault="00617F5A" w14:paraId="7648222E" w14:textId="77777777">
      <w:pPr>
        <w:pStyle w:val="BodyText"/>
      </w:pPr>
      <w:r w:rsidRPr="00FA3B4B">
        <w:rPr>
          <w:noProof/>
          <w:lang w:val="en-GB"/>
        </w:rPr>
        <mc:AlternateContent>
          <mc:Choice Requires="wps">
            <w:drawing>
              <wp:inline distT="0" distB="0" distL="0" distR="0" wp14:anchorId="7B2C5AC5" wp14:editId="6DE6DC5A">
                <wp:extent cx="5956300" cy="1404620"/>
                <wp:effectExtent l="0" t="0" r="6350" b="3175"/>
                <wp:docPr id="2096105347" name="Tekstvak 2096105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2">
                            <a:lumMod val="20000"/>
                            <a:lumOff val="80000"/>
                          </a:schemeClr>
                        </a:solidFill>
                        <a:ln w="9525">
                          <a:noFill/>
                          <a:miter lim="800000"/>
                          <a:headEnd/>
                          <a:tailEnd/>
                        </a:ln>
                      </wps:spPr>
                      <wps:txbx>
                        <w:txbxContent>
                          <w:p w:rsidR="00617F5A" w:rsidP="00617F5A" w:rsidRDefault="00486961" w14:paraId="09E0525B" w14:textId="6D141BD4">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F714D4" w:rsidR="00F714D4" w:rsidP="00F714D4" w:rsidRDefault="00F714D4" w14:paraId="33EB91B8" w14:textId="1FB5F6DE">
                            <w:pPr>
                              <w:rPr>
                                <w:rFonts w:ascii="Verdana" w:hAnsi="Verdana"/>
                                <w:color w:val="auto"/>
                                <w:sz w:val="18"/>
                                <w:szCs w:val="18"/>
                              </w:rPr>
                            </w:pPr>
                            <w:r w:rsidRPr="00F714D4">
                              <w:rPr>
                                <w:rFonts w:ascii="Verdana" w:hAnsi="Verdana"/>
                                <w:color w:val="auto"/>
                                <w:sz w:val="18"/>
                                <w:szCs w:val="18"/>
                              </w:rPr>
                              <w:t xml:space="preserve">De Commissie mer constateert dat het </w:t>
                            </w:r>
                            <w:r w:rsidR="00073960">
                              <w:rPr>
                                <w:rFonts w:ascii="Verdana" w:hAnsi="Verdana"/>
                                <w:color w:val="auto"/>
                                <w:sz w:val="18"/>
                                <w:szCs w:val="18"/>
                              </w:rPr>
                              <w:t>L</w:t>
                            </w:r>
                            <w:r w:rsidRPr="00F714D4">
                              <w:rPr>
                                <w:rFonts w:ascii="Verdana" w:hAnsi="Verdana"/>
                                <w:color w:val="auto"/>
                                <w:sz w:val="18"/>
                                <w:szCs w:val="18"/>
                              </w:rPr>
                              <w:t xml:space="preserve">uchthavenbesluit (artikel 7) geen afzonderlijke begrenzingen bevat voor de kleine luchtvaart, bijvoorbeeld in aantallen vliegtuigbewegingen of geluidbijdragen. Wel gelden beperkingen voor de gebruikstijden. Deze beperkingen komen deels tegemoet aan de zorgen van omwonenden, die in de zienswijzen met name hinder van circuitvluchten in het weekend aangeven. In het MER en de toelichting bij het </w:t>
                            </w:r>
                            <w:r w:rsidR="00073960">
                              <w:rPr>
                                <w:rFonts w:ascii="Verdana" w:hAnsi="Verdana"/>
                                <w:color w:val="auto"/>
                                <w:sz w:val="18"/>
                                <w:szCs w:val="18"/>
                              </w:rPr>
                              <w:t>L</w:t>
                            </w:r>
                            <w:r w:rsidRPr="00F714D4">
                              <w:rPr>
                                <w:rFonts w:ascii="Verdana" w:hAnsi="Verdana"/>
                                <w:color w:val="auto"/>
                                <w:sz w:val="18"/>
                                <w:szCs w:val="18"/>
                              </w:rPr>
                              <w:t>uchthavenbesluit wordt uitgegaan van 27.980 bewegingen voor de general aviation.</w:t>
                            </w:r>
                          </w:p>
                          <w:p w:rsidR="00F714D4" w:rsidP="00F714D4" w:rsidRDefault="00F714D4" w14:paraId="3FC97EE9" w14:textId="77777777">
                            <w:pPr>
                              <w:rPr>
                                <w:rFonts w:ascii="Verdana" w:hAnsi="Verdana"/>
                                <w:color w:val="auto"/>
                                <w:sz w:val="18"/>
                                <w:szCs w:val="18"/>
                              </w:rPr>
                            </w:pPr>
                          </w:p>
                          <w:p w:rsidRPr="00F714D4" w:rsidR="00F714D4" w:rsidP="00F714D4" w:rsidRDefault="00F714D4" w14:paraId="6F421303" w14:textId="20AA4944">
                            <w:pPr>
                              <w:rPr>
                                <w:rFonts w:ascii="Verdana" w:hAnsi="Verdana"/>
                                <w:color w:val="auto"/>
                                <w:sz w:val="18"/>
                                <w:szCs w:val="18"/>
                              </w:rPr>
                            </w:pPr>
                            <w:r w:rsidRPr="00F714D4">
                              <w:rPr>
                                <w:rFonts w:ascii="Verdana" w:hAnsi="Verdana"/>
                                <w:color w:val="auto"/>
                                <w:sz w:val="18"/>
                                <w:szCs w:val="18"/>
                              </w:rPr>
                              <w:t>De bijdrage van de kleine luchtvaart aan de berekende Lden-geluidbelasting is beperkt, waardoor de begrenzende werking van de handhavingspunten bij de baankoppen eveneens beperkt is.</w:t>
                            </w:r>
                          </w:p>
                          <w:p w:rsidRPr="00AB59C1" w:rsidR="00AB59C1" w:rsidP="00AB59C1" w:rsidRDefault="00AB59C1" w14:paraId="7AA0ECCB" w14:textId="04DD12A7">
                            <w:pPr>
                              <w:rPr>
                                <w:rFonts w:ascii="Verdana" w:hAnsi="Verdana"/>
                                <w:color w:val="auto"/>
                                <w:sz w:val="18"/>
                                <w:szCs w:val="18"/>
                              </w:rPr>
                            </w:pPr>
                          </w:p>
                        </w:txbxContent>
                      </wps:txbx>
                      <wps:bodyPr rot="0" vert="horz" wrap="square" lIns="91440" tIns="45720" rIns="91440" bIns="45720" anchor="t" anchorCtr="0">
                        <a:spAutoFit/>
                      </wps:bodyPr>
                    </wps:wsp>
                  </a:graphicData>
                </a:graphic>
              </wp:inline>
            </w:drawing>
          </mc:Choice>
          <mc:Fallback>
            <w:pict>
              <v:shape id="Tekstvak 2096105347"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40" fillcolor="#fbffc3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" w14:anchorId="7B2C5AC5">
                <v:textbox style="mso-fit-shape-to-text:t">
                  <w:txbxContent>
                    <w:p w:rsidR="00617F5A" w:rsidP="00617F5A" w:rsidRDefault="00486961" w14:paraId="09E0525B" w14:textId="6D141BD4">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F714D4" w:rsidR="00F714D4" w:rsidP="00F714D4" w:rsidRDefault="00F714D4" w14:paraId="33EB91B8" w14:textId="1FB5F6DE">
                      <w:pPr>
                        <w:rPr>
                          <w:rFonts w:ascii="Verdana" w:hAnsi="Verdana"/>
                          <w:color w:val="auto"/>
                          <w:sz w:val="18"/>
                          <w:szCs w:val="18"/>
                        </w:rPr>
                      </w:pPr>
                      <w:r w:rsidRPr="00F714D4">
                        <w:rPr>
                          <w:rFonts w:ascii="Verdana" w:hAnsi="Verdana"/>
                          <w:color w:val="auto"/>
                          <w:sz w:val="18"/>
                          <w:szCs w:val="18"/>
                        </w:rPr>
                        <w:t xml:space="preserve">De Commissie mer constateert dat het </w:t>
                      </w:r>
                      <w:r w:rsidR="00073960">
                        <w:rPr>
                          <w:rFonts w:ascii="Verdana" w:hAnsi="Verdana"/>
                          <w:color w:val="auto"/>
                          <w:sz w:val="18"/>
                          <w:szCs w:val="18"/>
                        </w:rPr>
                        <w:t>L</w:t>
                      </w:r>
                      <w:r w:rsidRPr="00F714D4">
                        <w:rPr>
                          <w:rFonts w:ascii="Verdana" w:hAnsi="Verdana"/>
                          <w:color w:val="auto"/>
                          <w:sz w:val="18"/>
                          <w:szCs w:val="18"/>
                        </w:rPr>
                        <w:t xml:space="preserve">uchthavenbesluit (artikel 7) geen afzonderlijke begrenzingen bevat voor de kleine luchtvaart, bijvoorbeeld in aantallen vliegtuigbewegingen of geluidbijdragen. Wel gelden beperkingen voor de gebruikstijden. Deze beperkingen komen deels tegemoet aan de zorgen van omwonenden, die in de zienswijzen met name hinder van circuitvluchten in het weekend aangeven. In het MER en de toelichting bij het </w:t>
                      </w:r>
                      <w:r w:rsidR="00073960">
                        <w:rPr>
                          <w:rFonts w:ascii="Verdana" w:hAnsi="Verdana"/>
                          <w:color w:val="auto"/>
                          <w:sz w:val="18"/>
                          <w:szCs w:val="18"/>
                        </w:rPr>
                        <w:t>L</w:t>
                      </w:r>
                      <w:r w:rsidRPr="00F714D4">
                        <w:rPr>
                          <w:rFonts w:ascii="Verdana" w:hAnsi="Verdana"/>
                          <w:color w:val="auto"/>
                          <w:sz w:val="18"/>
                          <w:szCs w:val="18"/>
                        </w:rPr>
                        <w:t>uchthavenbesluit wordt uitgegaan van 27.980 bewegingen voor de general aviation.</w:t>
                      </w:r>
                    </w:p>
                    <w:p w:rsidR="00F714D4" w:rsidP="00F714D4" w:rsidRDefault="00F714D4" w14:paraId="3FC97EE9" w14:textId="77777777">
                      <w:pPr>
                        <w:rPr>
                          <w:rFonts w:ascii="Verdana" w:hAnsi="Verdana"/>
                          <w:color w:val="auto"/>
                          <w:sz w:val="18"/>
                          <w:szCs w:val="18"/>
                        </w:rPr>
                      </w:pPr>
                    </w:p>
                    <w:p w:rsidRPr="00F714D4" w:rsidR="00F714D4" w:rsidP="00F714D4" w:rsidRDefault="00F714D4" w14:paraId="6F421303" w14:textId="20AA4944">
                      <w:pPr>
                        <w:rPr>
                          <w:rFonts w:ascii="Verdana" w:hAnsi="Verdana"/>
                          <w:color w:val="auto"/>
                          <w:sz w:val="18"/>
                          <w:szCs w:val="18"/>
                        </w:rPr>
                      </w:pPr>
                      <w:r w:rsidRPr="00F714D4">
                        <w:rPr>
                          <w:rFonts w:ascii="Verdana" w:hAnsi="Verdana"/>
                          <w:color w:val="auto"/>
                          <w:sz w:val="18"/>
                          <w:szCs w:val="18"/>
                        </w:rPr>
                        <w:t>De bijdrage van de kleine luchtvaart aan de berekende Lden-geluidbelasting is beperkt, waardoor de begrenzende werking van de handhavingspunten bij de baankoppen eveneens beperkt is.</w:t>
                      </w:r>
                    </w:p>
                    <w:p w:rsidRPr="00AB59C1" w:rsidR="00AB59C1" w:rsidP="00AB59C1" w:rsidRDefault="00AB59C1" w14:paraId="7AA0ECCB" w14:textId="04DD12A7">
                      <w:pPr>
                        <w:rPr>
                          <w:rFonts w:ascii="Verdana" w:hAnsi="Verdana"/>
                          <w:color w:val="auto"/>
                          <w:sz w:val="18"/>
                          <w:szCs w:val="18"/>
                        </w:rPr>
                      </w:pPr>
                    </w:p>
                  </w:txbxContent>
                </v:textbox>
                <w10:anchorlock/>
              </v:shape>
            </w:pict>
          </mc:Fallback>
        </mc:AlternateContent>
      </w:r>
    </w:p>
    <w:p w:rsidRPr="00FA3B4B" w:rsidR="00617F5A" w:rsidP="00617F5A" w:rsidRDefault="00617F5A" w14:paraId="48543DDD" w14:textId="77777777">
      <w:pPr>
        <w:pStyle w:val="BodyText"/>
      </w:pPr>
    </w:p>
    <w:p w:rsidRPr="00FA3B4B" w:rsidR="00617F5A" w:rsidP="00617F5A" w:rsidRDefault="00617F5A" w14:paraId="62D62A90" w14:textId="77777777">
      <w:pPr>
        <w:pStyle w:val="BodyText"/>
      </w:pPr>
      <w:r w:rsidRPr="00FA3B4B">
        <w:rPr>
          <w:noProof/>
          <w:szCs w:val="18"/>
          <w:lang w:val="en-GB"/>
        </w:rPr>
        <mc:AlternateContent>
          <mc:Choice Requires="wps">
            <w:drawing>
              <wp:inline distT="0" distB="0" distL="0" distR="0" wp14:anchorId="64010DEA" wp14:editId="0EBF2F6B">
                <wp:extent cx="5957570" cy="1440180"/>
                <wp:effectExtent l="0" t="0" r="5080" b="7620"/>
                <wp:docPr id="923249106" name="Tekstvak 923249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440180"/>
                        </a:xfrm>
                        <a:prstGeom prst="rect">
                          <a:avLst/>
                        </a:prstGeom>
                        <a:solidFill>
                          <a:schemeClr val="accent6">
                            <a:lumMod val="20000"/>
                            <a:lumOff val="80000"/>
                          </a:schemeClr>
                        </a:solidFill>
                        <a:ln w="9525">
                          <a:noFill/>
                          <a:miter lim="800000"/>
                          <a:headEnd/>
                          <a:tailEnd/>
                        </a:ln>
                      </wps:spPr>
                      <wps:txbx>
                        <w:txbxContent>
                          <w:p w:rsidRPr="00F00B53" w:rsidR="00617F5A" w:rsidP="00617F5A" w:rsidRDefault="00617F5A" w14:paraId="7DC41332"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714D4" w:rsidR="00617F5A" w:rsidP="00F714D4" w:rsidRDefault="00F714D4" w14:paraId="27189CE7" w14:textId="219CD12D">
                            <w:pPr>
                              <w:autoSpaceDE w:val="0"/>
                              <w:autoSpaceDN w:val="0"/>
                              <w:adjustRightInd w:val="0"/>
                              <w:spacing w:line="276" w:lineRule="auto"/>
                              <w:rPr>
                                <w:rFonts w:ascii="Verdana" w:hAnsi="Verdana"/>
                                <w:color w:val="auto"/>
                                <w:sz w:val="18"/>
                                <w:szCs w:val="18"/>
                              </w:rPr>
                            </w:pPr>
                            <w:r w:rsidRPr="00F714D4">
                              <w:rPr>
                                <w:rFonts w:ascii="Verdana" w:hAnsi="Verdana"/>
                                <w:color w:val="auto"/>
                                <w:sz w:val="18"/>
                                <w:szCs w:val="18"/>
                              </w:rPr>
                              <w:t xml:space="preserve">De Commissie mer </w:t>
                            </w:r>
                            <w:r>
                              <w:rPr>
                                <w:rFonts w:ascii="Verdana" w:hAnsi="Verdana"/>
                                <w:color w:val="auto"/>
                                <w:sz w:val="18"/>
                                <w:szCs w:val="18"/>
                              </w:rPr>
                              <w:t>beveelt aan</w:t>
                            </w:r>
                            <w:r w:rsidRPr="00F714D4">
                              <w:rPr>
                                <w:rFonts w:ascii="Verdana" w:hAnsi="Verdana"/>
                                <w:color w:val="auto"/>
                                <w:sz w:val="18"/>
                                <w:szCs w:val="18"/>
                              </w:rPr>
                              <w:t xml:space="preserve"> om inzichtelijk te maken welke maximale omvang van de kleine luchtvaart binnen het </w:t>
                            </w:r>
                            <w:r w:rsidR="00073960">
                              <w:rPr>
                                <w:rFonts w:ascii="Verdana" w:hAnsi="Verdana"/>
                                <w:color w:val="auto"/>
                                <w:sz w:val="18"/>
                                <w:szCs w:val="18"/>
                              </w:rPr>
                              <w:t>L</w:t>
                            </w:r>
                            <w:r w:rsidRPr="00F714D4">
                              <w:rPr>
                                <w:rFonts w:ascii="Verdana" w:hAnsi="Verdana"/>
                                <w:color w:val="auto"/>
                                <w:sz w:val="18"/>
                                <w:szCs w:val="18"/>
                              </w:rPr>
                              <w:t>uchthavenbesluit mogelijk is, zowel wat betreft het aantal bewegingen als de inzet van zwaardere toestellen. Vervolgens kunnen de bijbehorende geluidseffecten en mogelijke mitigerende maatregelen in beeld worden gebracht. Alternatief is om te onderbouwen dat het in het MER gehanteerde aantal bewegingen en de gehanteerde vlootmix redelijkerwijs niet kunnen worden overschreden binnen de regels en operationele randvoorwaarden van het</w:t>
                            </w:r>
                            <w:r>
                              <w:rPr>
                                <w:rFonts w:ascii="Verdana" w:hAnsi="Verdana"/>
                                <w:color w:val="auto"/>
                                <w:sz w:val="18"/>
                                <w:szCs w:val="18"/>
                              </w:rPr>
                              <w:t xml:space="preserve"> </w:t>
                            </w:r>
                            <w:r w:rsidR="00073960">
                              <w:rPr>
                                <w:rFonts w:ascii="Verdana" w:hAnsi="Verdana"/>
                                <w:color w:val="auto"/>
                                <w:sz w:val="18"/>
                                <w:szCs w:val="18"/>
                              </w:rPr>
                              <w:t>L</w:t>
                            </w:r>
                            <w:r w:rsidRPr="00F714D4">
                              <w:rPr>
                                <w:rFonts w:ascii="Verdana" w:hAnsi="Verdana"/>
                                <w:color w:val="auto"/>
                                <w:sz w:val="18"/>
                                <w:szCs w:val="18"/>
                              </w:rPr>
                              <w:t>uchthavenbesluit.</w:t>
                            </w:r>
                          </w:p>
                        </w:txbxContent>
                      </wps:txbx>
                      <wps:bodyPr rot="0" vert="horz" wrap="square" lIns="91440" tIns="45720" rIns="91440" bIns="45720" anchor="t" anchorCtr="0">
                        <a:noAutofit/>
                      </wps:bodyPr>
                    </wps:wsp>
                  </a:graphicData>
                </a:graphic>
              </wp:inline>
            </w:drawing>
          </mc:Choice>
          <mc:Fallback>
            <w:pict>
              <v:shape id="Tekstvak 923249106" style="width:469.1pt;height:113.4pt;visibility:visible;mso-wrap-style:square;mso-left-percent:-10001;mso-top-percent:-10001;mso-position-horizontal:absolute;mso-position-horizontal-relative:char;mso-position-vertical:absolute;mso-position-vertical-relative:line;mso-left-percent:-10001;mso-top-percent:-10001;v-text-anchor:top" o:spid="_x0000_s1041"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" w14:anchorId="64010DEA">
                <v:textbox>
                  <w:txbxContent>
                    <w:p w:rsidRPr="00F00B53" w:rsidR="00617F5A" w:rsidP="00617F5A" w:rsidRDefault="00617F5A" w14:paraId="7DC41332"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714D4" w:rsidR="00617F5A" w:rsidP="00F714D4" w:rsidRDefault="00F714D4" w14:paraId="27189CE7" w14:textId="219CD12D">
                      <w:pPr>
                        <w:autoSpaceDE w:val="0"/>
                        <w:autoSpaceDN w:val="0"/>
                        <w:adjustRightInd w:val="0"/>
                        <w:spacing w:line="276" w:lineRule="auto"/>
                        <w:rPr>
                          <w:rFonts w:ascii="Verdana" w:hAnsi="Verdana"/>
                          <w:color w:val="auto"/>
                          <w:sz w:val="18"/>
                          <w:szCs w:val="18"/>
                        </w:rPr>
                      </w:pPr>
                      <w:r w:rsidRPr="00F714D4">
                        <w:rPr>
                          <w:rFonts w:ascii="Verdana" w:hAnsi="Verdana"/>
                          <w:color w:val="auto"/>
                          <w:sz w:val="18"/>
                          <w:szCs w:val="18"/>
                        </w:rPr>
                        <w:t xml:space="preserve">De Commissie mer </w:t>
                      </w:r>
                      <w:r>
                        <w:rPr>
                          <w:rFonts w:ascii="Verdana" w:hAnsi="Verdana"/>
                          <w:color w:val="auto"/>
                          <w:sz w:val="18"/>
                          <w:szCs w:val="18"/>
                        </w:rPr>
                        <w:t>beveelt aan</w:t>
                      </w:r>
                      <w:r w:rsidRPr="00F714D4">
                        <w:rPr>
                          <w:rFonts w:ascii="Verdana" w:hAnsi="Verdana"/>
                          <w:color w:val="auto"/>
                          <w:sz w:val="18"/>
                          <w:szCs w:val="18"/>
                        </w:rPr>
                        <w:t xml:space="preserve"> om inzichtelijk te maken welke maximale omvang van de kleine luchtvaart binnen het </w:t>
                      </w:r>
                      <w:r w:rsidR="00073960">
                        <w:rPr>
                          <w:rFonts w:ascii="Verdana" w:hAnsi="Verdana"/>
                          <w:color w:val="auto"/>
                          <w:sz w:val="18"/>
                          <w:szCs w:val="18"/>
                        </w:rPr>
                        <w:t>L</w:t>
                      </w:r>
                      <w:r w:rsidRPr="00F714D4">
                        <w:rPr>
                          <w:rFonts w:ascii="Verdana" w:hAnsi="Verdana"/>
                          <w:color w:val="auto"/>
                          <w:sz w:val="18"/>
                          <w:szCs w:val="18"/>
                        </w:rPr>
                        <w:t>uchthavenbesluit mogelijk is, zowel wat betreft het aantal bewegingen als de inzet van zwaardere toestellen. Vervolgens kunnen de bijbehorende geluidseffecten en mogelijke mitigerende maatregelen in beeld worden gebracht. Alternatief is om te onderbouwen dat het in het MER gehanteerde aantal bewegingen en de gehanteerde vlootmix redelijkerwijs niet kunnen worden overschreden binnen de regels en operationele randvoorwaarden van het</w:t>
                      </w:r>
                      <w:r>
                        <w:rPr>
                          <w:rFonts w:ascii="Verdana" w:hAnsi="Verdana"/>
                          <w:color w:val="auto"/>
                          <w:sz w:val="18"/>
                          <w:szCs w:val="18"/>
                        </w:rPr>
                        <w:t xml:space="preserve"> </w:t>
                      </w:r>
                      <w:r w:rsidR="00073960">
                        <w:rPr>
                          <w:rFonts w:ascii="Verdana" w:hAnsi="Verdana"/>
                          <w:color w:val="auto"/>
                          <w:sz w:val="18"/>
                          <w:szCs w:val="18"/>
                        </w:rPr>
                        <w:t>L</w:t>
                      </w:r>
                      <w:r w:rsidRPr="00F714D4">
                        <w:rPr>
                          <w:rFonts w:ascii="Verdana" w:hAnsi="Verdana"/>
                          <w:color w:val="auto"/>
                          <w:sz w:val="18"/>
                          <w:szCs w:val="18"/>
                        </w:rPr>
                        <w:t>uchthavenbesluit.</w:t>
                      </w:r>
                    </w:p>
                  </w:txbxContent>
                </v:textbox>
                <w10:anchorlock/>
              </v:shape>
            </w:pict>
          </mc:Fallback>
        </mc:AlternateContent>
      </w:r>
    </w:p>
    <w:p w:rsidRPr="00FA3B4B" w:rsidR="00617F5A" w:rsidP="00617F5A" w:rsidRDefault="00617F5A" w14:paraId="4D2BCA00" w14:textId="77777777">
      <w:pPr>
        <w:pStyle w:val="BodyText"/>
      </w:pPr>
    </w:p>
    <w:p w:rsidRPr="00FA3B4B" w:rsidR="00617F5A" w:rsidP="00617F5A" w:rsidRDefault="00617F5A" w14:paraId="23F14D39" w14:textId="77777777">
      <w:pPr>
        <w:pStyle w:val="BodyText"/>
        <w:jc w:val="both"/>
        <w:rPr>
          <w:u w:val="single"/>
        </w:rPr>
      </w:pPr>
      <w:r w:rsidRPr="00FA3B4B">
        <w:rPr>
          <w:u w:val="single"/>
        </w:rPr>
        <w:t>Reactie</w:t>
      </w:r>
    </w:p>
    <w:p w:rsidR="00C45C7F" w:rsidP="00C45C7F" w:rsidRDefault="00C45C7F" w14:paraId="694CA2C2" w14:textId="59CD8050">
      <w:pPr>
        <w:pStyle w:val="BodyText"/>
      </w:pPr>
      <w:r>
        <w:t>De aanbeveling</w:t>
      </w:r>
      <w:r w:rsidRPr="00C45C7F">
        <w:t xml:space="preserve"> van de Commissie mer wordt opgevolgd. Met een gevoeligheidsanalyse voor het VA-zichtjaar wordt inzicht gegeven in de maximale omvang van de kleine luchtvaart binnen de in het MER gehanteerde Lden-geluidgrenzen. Hierbij wordt uitgegaan van historisch gebruik en de operationele randvoorwaarden van de luchthaven. De verkeerssamenstelling voor het klein verkeer wordt</w:t>
      </w:r>
      <w:r w:rsidR="006E2BB9">
        <w:t xml:space="preserve"> in dit scenario</w:t>
      </w:r>
      <w:r w:rsidRPr="00C45C7F">
        <w:t xml:space="preserve"> uitgebreid. Vervolgens wordt het aantal bewegingen van het handelsverkeer geschaald, zodat de totale verkeerssamenstelling binnen de geluidgrenzen blijft. De Lden en NA65 worden vervolgens berekend volgens de methodiek van de overige gevoeligheidsanalyses in het MER.</w:t>
      </w:r>
    </w:p>
    <w:p w:rsidR="00393ECE" w:rsidP="00617F5A" w:rsidRDefault="00393ECE" w14:paraId="0F573FBA" w14:textId="49DCDD8E">
      <w:pPr>
        <w:pStyle w:val="BodyText"/>
      </w:pPr>
    </w:p>
    <w:p w:rsidRPr="00617F5A" w:rsidR="00C45C7F" w:rsidP="00617F5A" w:rsidRDefault="00C45C7F" w14:paraId="555F8199" w14:textId="12EC540D">
      <w:pPr>
        <w:pStyle w:val="BodyText"/>
      </w:pPr>
      <w:r w:rsidRPr="00C45C7F">
        <w:t>De rapportage beschrijft beknopt de gewijzigde uitgangspunten, de gehanteerde methodiek en de resultaten, overeenkomstig de werkwijze in paragraaf 7.5 van het Deelrapport Geluid.</w:t>
      </w:r>
    </w:p>
    <w:p w:rsidRPr="00617F5A" w:rsidR="00393ECE" w:rsidP="00617F5A" w:rsidRDefault="00393ECE" w14:paraId="55572EDF" w14:textId="39B16B95">
      <w:pPr>
        <w:pStyle w:val="BodyText"/>
      </w:pPr>
    </w:p>
    <w:p w:rsidR="00617F5A" w:rsidP="00617F5A" w:rsidRDefault="00C45C7F" w14:paraId="57AB24DB" w14:textId="7B12D29D">
      <w:pPr>
        <w:pStyle w:val="Heading2"/>
        <w:numPr>
          <w:ilvl w:val="1"/>
          <w:numId w:val="6"/>
        </w:numPr>
      </w:pPr>
      <w:bookmarkStart w:name="_Toc240548251" w:id="180"/>
      <w:r>
        <w:t>Relatie tussen contouren mer en LHB</w:t>
      </w:r>
      <w:bookmarkEnd w:id="180"/>
    </w:p>
    <w:p w:rsidRPr="00FA3B4B" w:rsidR="00617F5A" w:rsidP="00617F5A" w:rsidRDefault="00617F5A" w14:paraId="06B9BDD4" w14:textId="77777777">
      <w:pPr>
        <w:pStyle w:val="BodyText"/>
      </w:pPr>
      <w:r w:rsidRPr="00FA3B4B">
        <w:rPr>
          <w:noProof/>
          <w:lang w:val="en-GB"/>
        </w:rPr>
        <mc:AlternateContent>
          <mc:Choice Requires="wps">
            <w:drawing>
              <wp:inline distT="0" distB="0" distL="0" distR="0" wp14:anchorId="49CB916D" wp14:editId="69BC387C">
                <wp:extent cx="5956300" cy="1699260"/>
                <wp:effectExtent l="0" t="0" r="6350" b="0"/>
                <wp:docPr id="1038235036" name="Tekstvak 1038235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699260"/>
                        </a:xfrm>
                        <a:prstGeom prst="rect">
                          <a:avLst/>
                        </a:prstGeom>
                        <a:solidFill>
                          <a:schemeClr val="accent2">
                            <a:lumMod val="20000"/>
                            <a:lumOff val="80000"/>
                          </a:schemeClr>
                        </a:solidFill>
                        <a:ln w="9525">
                          <a:noFill/>
                          <a:miter lim="800000"/>
                          <a:headEnd/>
                          <a:tailEnd/>
                        </a:ln>
                      </wps:spPr>
                      <wps:txbx>
                        <w:txbxContent>
                          <w:p w:rsidR="00617F5A" w:rsidP="00617F5A" w:rsidRDefault="00486961" w14:paraId="2AB88F61" w14:textId="40652F0C">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C45C7F" w:rsidP="00C45C7F" w:rsidRDefault="00C45C7F" w14:paraId="5FE5DA33" w14:textId="46B273EC">
                            <w:pPr>
                              <w:rPr>
                                <w:rFonts w:ascii="Verdana" w:hAnsi="Verdana"/>
                                <w:color w:val="auto"/>
                                <w:sz w:val="18"/>
                                <w:szCs w:val="18"/>
                              </w:rPr>
                            </w:pPr>
                            <w:r w:rsidRPr="00C45C7F">
                              <w:rPr>
                                <w:rFonts w:ascii="Verdana" w:hAnsi="Verdana"/>
                                <w:color w:val="auto"/>
                                <w:sz w:val="18"/>
                                <w:szCs w:val="18"/>
                              </w:rPr>
                              <w:t xml:space="preserve">Het doel van het MER is de milieugevolgen van het besluit inzichtelijk te maken, zodat het milieubelang volwaardig kan worden meegewogen in de besluitvorming. De Commissie mer constateert dat er kleine, maar significante verschillen zijn tussen de effectbeschrijving van het </w:t>
                            </w:r>
                            <w:r>
                              <w:rPr>
                                <w:rFonts w:ascii="Verdana" w:hAnsi="Verdana"/>
                                <w:color w:val="auto"/>
                                <w:sz w:val="18"/>
                                <w:szCs w:val="18"/>
                              </w:rPr>
                              <w:t>voorkeursalternatief</w:t>
                            </w:r>
                            <w:r w:rsidRPr="00C45C7F">
                              <w:rPr>
                                <w:rFonts w:ascii="Verdana" w:hAnsi="Verdana"/>
                                <w:color w:val="auto"/>
                                <w:sz w:val="18"/>
                                <w:szCs w:val="18"/>
                              </w:rPr>
                              <w:t xml:space="preserve"> in het MER en de geluidscontouren die in het </w:t>
                            </w:r>
                            <w:r w:rsidR="00073960">
                              <w:rPr>
                                <w:rFonts w:ascii="Verdana" w:hAnsi="Verdana"/>
                                <w:color w:val="auto"/>
                                <w:sz w:val="18"/>
                                <w:szCs w:val="18"/>
                              </w:rPr>
                              <w:t>L</w:t>
                            </w:r>
                            <w:r w:rsidRPr="00C45C7F">
                              <w:rPr>
                                <w:rFonts w:ascii="Verdana" w:hAnsi="Verdana"/>
                                <w:color w:val="auto"/>
                                <w:sz w:val="18"/>
                                <w:szCs w:val="18"/>
                              </w:rPr>
                              <w:t xml:space="preserve">uchthavenbesluit zijn opgenomen. De contouren in de bijlagen bij het </w:t>
                            </w:r>
                            <w:r w:rsidR="00073960">
                              <w:rPr>
                                <w:rFonts w:ascii="Verdana" w:hAnsi="Verdana"/>
                                <w:color w:val="auto"/>
                                <w:sz w:val="18"/>
                                <w:szCs w:val="18"/>
                              </w:rPr>
                              <w:t>L</w:t>
                            </w:r>
                            <w:r w:rsidRPr="00C45C7F">
                              <w:rPr>
                                <w:rFonts w:ascii="Verdana" w:hAnsi="Verdana"/>
                                <w:color w:val="auto"/>
                                <w:sz w:val="18"/>
                                <w:szCs w:val="18"/>
                              </w:rPr>
                              <w:t xml:space="preserve">uchthavenbesluit lijken een kleiner oppervlak te beslaan dan de overeenkomstige contouren in het MER. Omdat de contouren van het </w:t>
                            </w:r>
                            <w:r w:rsidR="00073960">
                              <w:rPr>
                                <w:rFonts w:ascii="Verdana" w:hAnsi="Verdana"/>
                                <w:color w:val="auto"/>
                                <w:sz w:val="18"/>
                                <w:szCs w:val="18"/>
                              </w:rPr>
                              <w:t>L</w:t>
                            </w:r>
                            <w:r w:rsidRPr="00C45C7F">
                              <w:rPr>
                                <w:rFonts w:ascii="Verdana" w:hAnsi="Verdana"/>
                                <w:color w:val="auto"/>
                                <w:sz w:val="18"/>
                                <w:szCs w:val="18"/>
                              </w:rPr>
                              <w:t xml:space="preserve">uchthavenbesluit binnen de in het MER onderzochte contouren van het </w:t>
                            </w:r>
                            <w:r>
                              <w:rPr>
                                <w:rFonts w:ascii="Verdana" w:hAnsi="Verdana"/>
                                <w:color w:val="auto"/>
                                <w:sz w:val="18"/>
                                <w:szCs w:val="18"/>
                              </w:rPr>
                              <w:t>voorkeursalternatief</w:t>
                            </w:r>
                            <w:r w:rsidRPr="00C45C7F">
                              <w:rPr>
                                <w:rFonts w:ascii="Verdana" w:hAnsi="Verdana"/>
                                <w:color w:val="auto"/>
                                <w:sz w:val="18"/>
                                <w:szCs w:val="18"/>
                              </w:rPr>
                              <w:t xml:space="preserve"> vallen, ligt het voor de hand dat de milieueffecten van het besluit binnen de in het MER onderzochte bandbreedte blijven.</w:t>
                            </w:r>
                          </w:p>
                          <w:p w:rsidRPr="000735AF" w:rsidR="00B54E8F" w:rsidP="00B54E8F" w:rsidRDefault="00B54E8F" w14:paraId="40DB412B" w14:textId="1C26BE5C">
                            <w:pPr>
                              <w:rPr>
                                <w:rFonts w:ascii="Verdana" w:hAnsi="Verdana"/>
                                <w:color w:val="auto"/>
                                <w:sz w:val="18"/>
                                <w:szCs w:val="18"/>
                              </w:rPr>
                            </w:pPr>
                          </w:p>
                        </w:txbxContent>
                      </wps:txbx>
                      <wps:bodyPr rot="0" vert="horz" wrap="square" lIns="91440" tIns="45720" rIns="91440" bIns="45720" anchor="t" anchorCtr="0">
                        <a:noAutofit/>
                      </wps:bodyPr>
                    </wps:wsp>
                  </a:graphicData>
                </a:graphic>
              </wp:inline>
            </w:drawing>
          </mc:Choice>
          <mc:Fallback>
            <w:pict>
              <v:shape id="Tekstvak 1038235036" style="width:469pt;height:133.8pt;visibility:visible;mso-wrap-style:square;mso-left-percent:-10001;mso-top-percent:-10001;mso-position-horizontal:absolute;mso-position-horizontal-relative:char;mso-position-vertical:absolute;mso-position-vertical-relative:line;mso-left-percent:-10001;mso-top-percent:-10001;v-text-anchor:top" o:spid="_x0000_s1042" fillcolor="#fbffc3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" w14:anchorId="49CB916D">
                <v:textbox>
                  <w:txbxContent>
                    <w:p w:rsidR="00617F5A" w:rsidP="00617F5A" w:rsidRDefault="00486961" w14:paraId="2AB88F61" w14:textId="40652F0C">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C45C7F" w:rsidP="00C45C7F" w:rsidRDefault="00C45C7F" w14:paraId="5FE5DA33" w14:textId="46B273EC">
                      <w:pPr>
                        <w:rPr>
                          <w:rFonts w:ascii="Verdana" w:hAnsi="Verdana"/>
                          <w:color w:val="auto"/>
                          <w:sz w:val="18"/>
                          <w:szCs w:val="18"/>
                        </w:rPr>
                      </w:pPr>
                      <w:r w:rsidRPr="00C45C7F">
                        <w:rPr>
                          <w:rFonts w:ascii="Verdana" w:hAnsi="Verdana"/>
                          <w:color w:val="auto"/>
                          <w:sz w:val="18"/>
                          <w:szCs w:val="18"/>
                        </w:rPr>
                        <w:t xml:space="preserve">Het doel van het MER is de milieugevolgen van het besluit inzichtelijk te maken, zodat het milieubelang volwaardig kan worden meegewogen in de besluitvorming. De Commissie mer constateert dat er kleine, maar significante verschillen zijn tussen de effectbeschrijving van het </w:t>
                      </w:r>
                      <w:r>
                        <w:rPr>
                          <w:rFonts w:ascii="Verdana" w:hAnsi="Verdana"/>
                          <w:color w:val="auto"/>
                          <w:sz w:val="18"/>
                          <w:szCs w:val="18"/>
                        </w:rPr>
                        <w:t>voorkeursalternatief</w:t>
                      </w:r>
                      <w:r w:rsidRPr="00C45C7F">
                        <w:rPr>
                          <w:rFonts w:ascii="Verdana" w:hAnsi="Verdana"/>
                          <w:color w:val="auto"/>
                          <w:sz w:val="18"/>
                          <w:szCs w:val="18"/>
                        </w:rPr>
                        <w:t xml:space="preserve"> in het MER en de geluidscontouren die in het </w:t>
                      </w:r>
                      <w:r w:rsidR="00073960">
                        <w:rPr>
                          <w:rFonts w:ascii="Verdana" w:hAnsi="Verdana"/>
                          <w:color w:val="auto"/>
                          <w:sz w:val="18"/>
                          <w:szCs w:val="18"/>
                        </w:rPr>
                        <w:t>L</w:t>
                      </w:r>
                      <w:r w:rsidRPr="00C45C7F">
                        <w:rPr>
                          <w:rFonts w:ascii="Verdana" w:hAnsi="Verdana"/>
                          <w:color w:val="auto"/>
                          <w:sz w:val="18"/>
                          <w:szCs w:val="18"/>
                        </w:rPr>
                        <w:t xml:space="preserve">uchthavenbesluit zijn opgenomen. De contouren in de bijlagen bij het </w:t>
                      </w:r>
                      <w:r w:rsidR="00073960">
                        <w:rPr>
                          <w:rFonts w:ascii="Verdana" w:hAnsi="Verdana"/>
                          <w:color w:val="auto"/>
                          <w:sz w:val="18"/>
                          <w:szCs w:val="18"/>
                        </w:rPr>
                        <w:t>L</w:t>
                      </w:r>
                      <w:r w:rsidRPr="00C45C7F">
                        <w:rPr>
                          <w:rFonts w:ascii="Verdana" w:hAnsi="Verdana"/>
                          <w:color w:val="auto"/>
                          <w:sz w:val="18"/>
                          <w:szCs w:val="18"/>
                        </w:rPr>
                        <w:t xml:space="preserve">uchthavenbesluit lijken een kleiner oppervlak te beslaan dan de overeenkomstige contouren in het MER. Omdat de contouren van het </w:t>
                      </w:r>
                      <w:r w:rsidR="00073960">
                        <w:rPr>
                          <w:rFonts w:ascii="Verdana" w:hAnsi="Verdana"/>
                          <w:color w:val="auto"/>
                          <w:sz w:val="18"/>
                          <w:szCs w:val="18"/>
                        </w:rPr>
                        <w:t>L</w:t>
                      </w:r>
                      <w:r w:rsidRPr="00C45C7F">
                        <w:rPr>
                          <w:rFonts w:ascii="Verdana" w:hAnsi="Verdana"/>
                          <w:color w:val="auto"/>
                          <w:sz w:val="18"/>
                          <w:szCs w:val="18"/>
                        </w:rPr>
                        <w:t xml:space="preserve">uchthavenbesluit binnen de in het MER onderzochte contouren van het </w:t>
                      </w:r>
                      <w:r>
                        <w:rPr>
                          <w:rFonts w:ascii="Verdana" w:hAnsi="Verdana"/>
                          <w:color w:val="auto"/>
                          <w:sz w:val="18"/>
                          <w:szCs w:val="18"/>
                        </w:rPr>
                        <w:t>voorkeursalternatief</w:t>
                      </w:r>
                      <w:r w:rsidRPr="00C45C7F">
                        <w:rPr>
                          <w:rFonts w:ascii="Verdana" w:hAnsi="Verdana"/>
                          <w:color w:val="auto"/>
                          <w:sz w:val="18"/>
                          <w:szCs w:val="18"/>
                        </w:rPr>
                        <w:t xml:space="preserve"> vallen, ligt het voor de hand dat de milieueffecten van het besluit binnen de in het MER onderzochte bandbreedte blijven.</w:t>
                      </w:r>
                    </w:p>
                    <w:p w:rsidRPr="000735AF" w:rsidR="00B54E8F" w:rsidP="00B54E8F" w:rsidRDefault="00B54E8F" w14:paraId="40DB412B" w14:textId="1C26BE5C">
                      <w:pPr>
                        <w:rPr>
                          <w:rFonts w:ascii="Verdana" w:hAnsi="Verdana"/>
                          <w:color w:val="auto"/>
                          <w:sz w:val="18"/>
                          <w:szCs w:val="18"/>
                        </w:rPr>
                      </w:pPr>
                    </w:p>
                  </w:txbxContent>
                </v:textbox>
                <w10:anchorlock/>
              </v:shape>
            </w:pict>
          </mc:Fallback>
        </mc:AlternateContent>
      </w:r>
    </w:p>
    <w:p w:rsidRPr="00FA3B4B" w:rsidR="00617F5A" w:rsidP="00617F5A" w:rsidRDefault="00617F5A" w14:paraId="1EB42E28" w14:textId="77777777">
      <w:pPr>
        <w:pStyle w:val="BodyText"/>
      </w:pPr>
    </w:p>
    <w:p w:rsidRPr="00FA3B4B" w:rsidR="00617F5A" w:rsidP="00617F5A" w:rsidRDefault="00617F5A" w14:paraId="015B7A98" w14:textId="77777777">
      <w:pPr>
        <w:pStyle w:val="BodyText"/>
      </w:pPr>
      <w:r w:rsidRPr="00FA3B4B">
        <w:rPr>
          <w:noProof/>
          <w:szCs w:val="18"/>
          <w:lang w:val="en-GB"/>
        </w:rPr>
        <mc:AlternateContent>
          <mc:Choice Requires="wps">
            <w:drawing>
              <wp:inline distT="0" distB="0" distL="0" distR="0" wp14:anchorId="350095F0" wp14:editId="6464F535">
                <wp:extent cx="5957570" cy="885140"/>
                <wp:effectExtent l="0" t="0" r="5080" b="0"/>
                <wp:docPr id="726777937" name="Tekstvak 726777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885140"/>
                        </a:xfrm>
                        <a:prstGeom prst="rect">
                          <a:avLst/>
                        </a:prstGeom>
                        <a:solidFill>
                          <a:schemeClr val="accent6">
                            <a:lumMod val="20000"/>
                            <a:lumOff val="80000"/>
                          </a:schemeClr>
                        </a:solidFill>
                        <a:ln w="9525">
                          <a:noFill/>
                          <a:miter lim="800000"/>
                          <a:headEnd/>
                          <a:tailEnd/>
                        </a:ln>
                      </wps:spPr>
                      <wps:txbx>
                        <w:txbxContent>
                          <w:p w:rsidRPr="00F00B53" w:rsidR="00617F5A" w:rsidP="00617F5A" w:rsidRDefault="00617F5A" w14:paraId="056139E8"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00B53" w:rsidR="00617F5A" w:rsidP="00C45C7F" w:rsidRDefault="00C45C7F" w14:paraId="114E5FB1" w14:textId="336F2C95">
                            <w:pPr>
                              <w:spacing w:line="276" w:lineRule="auto"/>
                              <w:rPr>
                                <w:rFonts w:ascii="Verdana" w:hAnsi="Verdana"/>
                                <w:b/>
                                <w:bCs/>
                                <w:color w:val="auto"/>
                                <w:sz w:val="18"/>
                                <w:szCs w:val="18"/>
                              </w:rPr>
                            </w:pPr>
                            <w:r w:rsidRPr="00C45C7F">
                              <w:rPr>
                                <w:rFonts w:ascii="Verdana" w:hAnsi="Verdana"/>
                                <w:color w:val="auto"/>
                                <w:sz w:val="18"/>
                                <w:szCs w:val="18"/>
                              </w:rPr>
                              <w:t xml:space="preserve">De Commissie mer </w:t>
                            </w:r>
                            <w:r>
                              <w:rPr>
                                <w:rFonts w:ascii="Verdana" w:hAnsi="Verdana"/>
                                <w:color w:val="auto"/>
                                <w:sz w:val="18"/>
                                <w:szCs w:val="18"/>
                              </w:rPr>
                              <w:t>beveelt aan</w:t>
                            </w:r>
                            <w:r w:rsidRPr="00C45C7F">
                              <w:rPr>
                                <w:rFonts w:ascii="Verdana" w:hAnsi="Verdana"/>
                                <w:color w:val="auto"/>
                                <w:sz w:val="18"/>
                                <w:szCs w:val="18"/>
                              </w:rPr>
                              <w:t xml:space="preserve"> om bij het besluit inzichtelijk te maken hoe de geluidscontouren uit het MER en het </w:t>
                            </w:r>
                            <w:r w:rsidR="00073960">
                              <w:rPr>
                                <w:rFonts w:ascii="Verdana" w:hAnsi="Verdana"/>
                                <w:color w:val="auto"/>
                                <w:sz w:val="18"/>
                                <w:szCs w:val="18"/>
                              </w:rPr>
                              <w:t>L</w:t>
                            </w:r>
                            <w:r w:rsidRPr="00C45C7F">
                              <w:rPr>
                                <w:rFonts w:ascii="Verdana" w:hAnsi="Verdana"/>
                                <w:color w:val="auto"/>
                                <w:sz w:val="18"/>
                                <w:szCs w:val="18"/>
                              </w:rPr>
                              <w:t>uchthavenbesluit zich tot elkaar verhouden en wat de geconstateerde verschillen betekenen voor de beschreven milieueffecten.</w:t>
                            </w:r>
                          </w:p>
                        </w:txbxContent>
                      </wps:txbx>
                      <wps:bodyPr rot="0" vert="horz" wrap="square" lIns="91440" tIns="45720" rIns="91440" bIns="45720" anchor="t" anchorCtr="0">
                        <a:noAutofit/>
                      </wps:bodyPr>
                    </wps:wsp>
                  </a:graphicData>
                </a:graphic>
              </wp:inline>
            </w:drawing>
          </mc:Choice>
          <mc:Fallback>
            <w:pict>
              <v:shape id="Tekstvak 726777937" style="width:469.1pt;height:69.7pt;visibility:visible;mso-wrap-style:square;mso-left-percent:-10001;mso-top-percent:-10001;mso-position-horizontal:absolute;mso-position-horizontal-relative:char;mso-position-vertical:absolute;mso-position-vertical-relative:line;mso-left-percent:-10001;mso-top-percent:-10001;v-text-anchor:top" o:spid="_x0000_s1043"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" w14:anchorId="350095F0">
                <v:textbox>
                  <w:txbxContent>
                    <w:p w:rsidRPr="00F00B53" w:rsidR="00617F5A" w:rsidP="00617F5A" w:rsidRDefault="00617F5A" w14:paraId="056139E8"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F00B53" w:rsidR="00617F5A" w:rsidP="00C45C7F" w:rsidRDefault="00C45C7F" w14:paraId="114E5FB1" w14:textId="336F2C95">
                      <w:pPr>
                        <w:spacing w:line="276" w:lineRule="auto"/>
                        <w:rPr>
                          <w:rFonts w:ascii="Verdana" w:hAnsi="Verdana"/>
                          <w:b/>
                          <w:bCs/>
                          <w:color w:val="auto"/>
                          <w:sz w:val="18"/>
                          <w:szCs w:val="18"/>
                        </w:rPr>
                      </w:pPr>
                      <w:r w:rsidRPr="00C45C7F">
                        <w:rPr>
                          <w:rFonts w:ascii="Verdana" w:hAnsi="Verdana"/>
                          <w:color w:val="auto"/>
                          <w:sz w:val="18"/>
                          <w:szCs w:val="18"/>
                        </w:rPr>
                        <w:t xml:space="preserve">De Commissie mer </w:t>
                      </w:r>
                      <w:r>
                        <w:rPr>
                          <w:rFonts w:ascii="Verdana" w:hAnsi="Verdana"/>
                          <w:color w:val="auto"/>
                          <w:sz w:val="18"/>
                          <w:szCs w:val="18"/>
                        </w:rPr>
                        <w:t>beveelt aan</w:t>
                      </w:r>
                      <w:r w:rsidRPr="00C45C7F">
                        <w:rPr>
                          <w:rFonts w:ascii="Verdana" w:hAnsi="Verdana"/>
                          <w:color w:val="auto"/>
                          <w:sz w:val="18"/>
                          <w:szCs w:val="18"/>
                        </w:rPr>
                        <w:t xml:space="preserve"> om bij het besluit inzichtelijk te maken hoe de geluidscontouren uit het MER en het </w:t>
                      </w:r>
                      <w:r w:rsidR="00073960">
                        <w:rPr>
                          <w:rFonts w:ascii="Verdana" w:hAnsi="Verdana"/>
                          <w:color w:val="auto"/>
                          <w:sz w:val="18"/>
                          <w:szCs w:val="18"/>
                        </w:rPr>
                        <w:t>L</w:t>
                      </w:r>
                      <w:r w:rsidRPr="00C45C7F">
                        <w:rPr>
                          <w:rFonts w:ascii="Verdana" w:hAnsi="Verdana"/>
                          <w:color w:val="auto"/>
                          <w:sz w:val="18"/>
                          <w:szCs w:val="18"/>
                        </w:rPr>
                        <w:t>uchthavenbesluit zich tot elkaar verhouden en wat de geconstateerde verschillen betekenen voor de beschreven milieueffecten.</w:t>
                      </w:r>
                    </w:p>
                  </w:txbxContent>
                </v:textbox>
                <w10:anchorlock/>
              </v:shape>
            </w:pict>
          </mc:Fallback>
        </mc:AlternateContent>
      </w:r>
    </w:p>
    <w:p w:rsidRPr="00FA3B4B" w:rsidR="00617F5A" w:rsidP="00617F5A" w:rsidRDefault="00617F5A" w14:paraId="2D7AC654" w14:textId="77777777">
      <w:pPr>
        <w:pStyle w:val="BodyText"/>
      </w:pPr>
    </w:p>
    <w:p w:rsidRPr="00FA3B4B" w:rsidR="00617F5A" w:rsidP="00617F5A" w:rsidRDefault="00617F5A" w14:paraId="5A174554" w14:textId="77777777">
      <w:pPr>
        <w:pStyle w:val="BodyText"/>
        <w:jc w:val="both"/>
        <w:rPr>
          <w:u w:val="single"/>
        </w:rPr>
      </w:pPr>
      <w:r w:rsidRPr="00FA3B4B">
        <w:rPr>
          <w:u w:val="single"/>
        </w:rPr>
        <w:t>Reactie</w:t>
      </w:r>
    </w:p>
    <w:p w:rsidRPr="00AD3D41" w:rsidR="00AD3D41" w:rsidP="000303FF" w:rsidRDefault="00AD3D41" w14:paraId="35979901" w14:textId="5B5456D9">
      <w:pPr>
        <w:pStyle w:val="BodyText"/>
      </w:pPr>
      <w:r w:rsidRPr="00AD3D41">
        <w:t>In het ontwerp Luchthavenbesluit is aangegeven dat het bevoegd gezag definitieve berekeningen van de grenswaarden voor geluidbelasting in handhavingspunten en de ligging van de</w:t>
      </w:r>
      <w:r w:rsidR="000303FF">
        <w:t xml:space="preserve"> </w:t>
      </w:r>
      <w:r w:rsidRPr="00AD3D41">
        <w:t>beperkingengebieden vanwege de geluidbelasting heeft laten uitvoeren. Daarbij is gebruik gemaakt van de meest recente inzichten en het definitieve rekenvoorschrift. In het MER is gerekend met een conceptversie van het rekenvoorschrift. In het rapport </w:t>
      </w:r>
      <w:r w:rsidRPr="00AD3D41">
        <w:rPr>
          <w:i/>
          <w:iCs/>
        </w:rPr>
        <w:t>“Berekeningsrapportage voor het geluid en het plaatsgebonden risico t.b.v. het Luchthavenbesluit Rotterdam”</w:t>
      </w:r>
      <w:r w:rsidRPr="00AD3D41">
        <w:t> van onderzoeksbureau Adecs is nader toegelicht wat de verschillen zijn tussen het concept rekenvoorschrift en het definitieve rekenvoorschrift. In het Deelrapport Geluid is een gevoeligheidsanalyse uitgevoerd op het verschil tussen de conceptversie en definitieve versie van het rekenvoorschrift. Zie daarvoor figuur 66 op pagina 89. Belangrijkste beeld is dat de resulterende 56 Lden-contour weinig verschilt tussen beide versies van het rekenvoorschrift. Voor de resulterende 48 Lden-contour is een groter verschil zichtbaar vanwege de impact van wijzigingen in geselecteerde prestatieprofielen voor starts vanaf baan 24 in combinatie met gewijzigde geluidcorrectiefactoren. De gevoeligheidsanalyse laat zien dat</w:t>
      </w:r>
      <w:r w:rsidR="000303FF">
        <w:t xml:space="preserve"> </w:t>
      </w:r>
      <w:r w:rsidRPr="00AD3D41">
        <w:t>de</w:t>
      </w:r>
      <w:r w:rsidR="000303FF">
        <w:t xml:space="preserve"> </w:t>
      </w:r>
      <w:r w:rsidRPr="00AD3D41">
        <w:t>contouroppervlakten circa 5% kleiner zijn bij de berekening conform de definitieve versie van het rekenvoorschrift. </w:t>
      </w:r>
    </w:p>
    <w:p w:rsidR="0095001C" w:rsidP="00167BB5" w:rsidRDefault="0095001C" w14:paraId="4A4BB56B" w14:textId="667908B2">
      <w:pPr>
        <w:pStyle w:val="BodyText"/>
      </w:pPr>
    </w:p>
    <w:p w:rsidR="00BB7E2A" w:rsidP="00167BB5" w:rsidRDefault="00BB7E2A" w14:paraId="2B10B9E5" w14:textId="77777777">
      <w:pPr>
        <w:pStyle w:val="BodyText"/>
      </w:pPr>
    </w:p>
    <w:p w:rsidR="00BB7E2A" w:rsidP="00167BB5" w:rsidRDefault="00BB7E2A" w14:paraId="2B4BC473" w14:textId="77777777">
      <w:pPr>
        <w:pStyle w:val="BodyText"/>
      </w:pPr>
    </w:p>
    <w:p w:rsidR="00BB7E2A" w:rsidP="00167BB5" w:rsidRDefault="00BB7E2A" w14:paraId="625DC50E" w14:textId="77777777">
      <w:pPr>
        <w:pStyle w:val="BodyText"/>
      </w:pPr>
    </w:p>
    <w:p w:rsidR="00BB7E2A" w:rsidP="00167BB5" w:rsidRDefault="00BB7E2A" w14:paraId="53D0EF4B" w14:textId="77777777">
      <w:pPr>
        <w:pStyle w:val="BodyText"/>
      </w:pPr>
    </w:p>
    <w:p w:rsidR="00BB7E2A" w:rsidP="00167BB5" w:rsidRDefault="00BB7E2A" w14:paraId="6BD2CB30" w14:textId="77777777">
      <w:pPr>
        <w:pStyle w:val="BodyText"/>
      </w:pPr>
    </w:p>
    <w:p w:rsidR="00BB7E2A" w:rsidP="00167BB5" w:rsidRDefault="00BB7E2A" w14:paraId="24E370FD" w14:textId="77777777">
      <w:pPr>
        <w:pStyle w:val="BodyText"/>
      </w:pPr>
    </w:p>
    <w:p w:rsidR="00BB7E2A" w:rsidP="00167BB5" w:rsidRDefault="00BB7E2A" w14:paraId="2CD670BE" w14:textId="77777777">
      <w:pPr>
        <w:pStyle w:val="BodyText"/>
      </w:pPr>
    </w:p>
    <w:p w:rsidR="00BB7E2A" w:rsidP="00167BB5" w:rsidRDefault="00BB7E2A" w14:paraId="0FDCC680" w14:textId="77777777">
      <w:pPr>
        <w:pStyle w:val="BodyText"/>
      </w:pPr>
    </w:p>
    <w:p w:rsidR="00BB7E2A" w:rsidP="00167BB5" w:rsidRDefault="00BB7E2A" w14:paraId="733B4264" w14:textId="77777777">
      <w:pPr>
        <w:pStyle w:val="BodyText"/>
      </w:pPr>
    </w:p>
    <w:p w:rsidR="00BB7E2A" w:rsidP="00167BB5" w:rsidRDefault="00BB7E2A" w14:paraId="1A672FC3" w14:textId="77777777">
      <w:pPr>
        <w:pStyle w:val="BodyText"/>
      </w:pPr>
    </w:p>
    <w:p w:rsidR="00BB7E2A" w:rsidP="00167BB5" w:rsidRDefault="00BB7E2A" w14:paraId="31AF321C" w14:textId="77777777">
      <w:pPr>
        <w:pStyle w:val="BodyText"/>
      </w:pPr>
    </w:p>
    <w:p w:rsidR="00BB7E2A" w:rsidP="00167BB5" w:rsidRDefault="00BB7E2A" w14:paraId="0C5EA181" w14:textId="77777777">
      <w:pPr>
        <w:pStyle w:val="BodyText"/>
      </w:pPr>
    </w:p>
    <w:p w:rsidR="00BB7E2A" w:rsidP="00167BB5" w:rsidRDefault="00BB7E2A" w14:paraId="3E9D89A3" w14:textId="77777777">
      <w:pPr>
        <w:pStyle w:val="BodyText"/>
      </w:pPr>
    </w:p>
    <w:p w:rsidR="00BB7E2A" w:rsidP="00167BB5" w:rsidRDefault="00BB7E2A" w14:paraId="28BAEF9E" w14:textId="77777777">
      <w:pPr>
        <w:pStyle w:val="BodyText"/>
      </w:pPr>
    </w:p>
    <w:p w:rsidRPr="00617F5A" w:rsidR="00BB7E2A" w:rsidP="00167BB5" w:rsidRDefault="00BB7E2A" w14:paraId="20A6564A" w14:textId="77777777">
      <w:pPr>
        <w:pStyle w:val="BodyText"/>
      </w:pPr>
    </w:p>
    <w:p w:rsidRPr="00FA3B4B" w:rsidR="000126BC" w:rsidP="000126BC" w:rsidRDefault="00D245D1" w14:paraId="6FEF64C8" w14:textId="6B16E893">
      <w:pPr>
        <w:pStyle w:val="Heading1"/>
      </w:pPr>
      <w:bookmarkStart w:name="_Toc240548252" w:id="181"/>
      <w:r>
        <w:t>Monitoring en evaluatie</w:t>
      </w:r>
      <w:bookmarkEnd w:id="181"/>
    </w:p>
    <w:p w:rsidRPr="00FA3B4B" w:rsidR="00617F5A" w:rsidP="00617F5A" w:rsidRDefault="00617F5A" w14:paraId="72A45925" w14:textId="77777777">
      <w:pPr>
        <w:pStyle w:val="BodyText"/>
      </w:pPr>
      <w:r w:rsidRPr="00FA3B4B">
        <w:rPr>
          <w:noProof/>
          <w:lang w:val="en-GB"/>
        </w:rPr>
        <mc:AlternateContent>
          <mc:Choice Requires="wps">
            <w:drawing>
              <wp:inline distT="0" distB="0" distL="0" distR="0" wp14:anchorId="36732311" wp14:editId="7A151A50">
                <wp:extent cx="5956300" cy="1404620"/>
                <wp:effectExtent l="0" t="0" r="6350" b="0"/>
                <wp:docPr id="1687660726" name="Tekstvak 1687660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617F5A" w:rsidP="00617F5A" w:rsidRDefault="00486961" w14:paraId="0C9B5224" w14:textId="7B66BD6D">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D245D1" w:rsidP="00D245D1" w:rsidRDefault="00D245D1" w14:paraId="11ABB2C3" w14:textId="7747D977">
                            <w:pPr>
                              <w:rPr>
                                <w:rFonts w:ascii="Verdana" w:hAnsi="Verdana"/>
                                <w:color w:val="auto"/>
                                <w:sz w:val="18"/>
                                <w:szCs w:val="18"/>
                              </w:rPr>
                            </w:pPr>
                            <w:r w:rsidRPr="00D245D1">
                              <w:rPr>
                                <w:rFonts w:ascii="Verdana" w:hAnsi="Verdana"/>
                                <w:color w:val="auto"/>
                                <w:sz w:val="18"/>
                                <w:szCs w:val="18"/>
                              </w:rPr>
                              <w:t xml:space="preserve">Het </w:t>
                            </w:r>
                            <w:r w:rsidR="00073960">
                              <w:rPr>
                                <w:rFonts w:ascii="Verdana" w:hAnsi="Verdana"/>
                                <w:color w:val="auto"/>
                                <w:sz w:val="18"/>
                                <w:szCs w:val="18"/>
                              </w:rPr>
                              <w:t>L</w:t>
                            </w:r>
                            <w:r w:rsidRPr="00D245D1">
                              <w:rPr>
                                <w:rFonts w:ascii="Verdana" w:hAnsi="Verdana"/>
                                <w:color w:val="auto"/>
                                <w:sz w:val="18"/>
                                <w:szCs w:val="18"/>
                              </w:rPr>
                              <w:t>uchthavenbesluit wordt voor onbepaalde tijd vastgesteld. Het MER brengt de milieueffecten voornamelijk tot 2035 in beeld. Voor de periode daarna zijn de ontwikkelingen onzeker, onder meer door de inzet van duurzame brandstoffen, elektrisch vliegen en de Luchtruimherziening. Een monitorings- en evaluatieprogramma is daarom nodig om de ontwikkeling van de milieueffecten en de mogelijkheden voor bijsturing te volgen.</w:t>
                            </w:r>
                          </w:p>
                          <w:p w:rsidRPr="00D245D1" w:rsidR="00D245D1" w:rsidP="00D245D1" w:rsidRDefault="00D245D1" w14:paraId="1422800A" w14:textId="77777777">
                            <w:pPr>
                              <w:rPr>
                                <w:rFonts w:ascii="Verdana" w:hAnsi="Verdana"/>
                                <w:color w:val="auto"/>
                                <w:sz w:val="18"/>
                                <w:szCs w:val="18"/>
                              </w:rPr>
                            </w:pPr>
                          </w:p>
                          <w:p w:rsidRPr="00D245D1" w:rsidR="00D245D1" w:rsidP="00D245D1" w:rsidRDefault="00D245D1" w14:paraId="02F58F47" w14:textId="77777777">
                            <w:pPr>
                              <w:rPr>
                                <w:rFonts w:ascii="Verdana" w:hAnsi="Verdana"/>
                                <w:color w:val="auto"/>
                                <w:sz w:val="18"/>
                                <w:szCs w:val="18"/>
                              </w:rPr>
                            </w:pPr>
                            <w:r w:rsidRPr="00D245D1">
                              <w:rPr>
                                <w:rFonts w:ascii="Verdana" w:hAnsi="Verdana"/>
                                <w:color w:val="auto"/>
                                <w:sz w:val="18"/>
                                <w:szCs w:val="18"/>
                              </w:rPr>
                              <w:t>Daarbij wordt aandacht besteed aan de ontwikkeling van piekgeluidniveaus, de spreiding en ligging van vliegpaden en naderingsprofielen, de mogelijkheden binnen de Luchtruimherziening en de werking en ligging van handhavingspunten, met specifieke aandacht voor de bescherming van woongebieden.</w:t>
                            </w:r>
                          </w:p>
                          <w:p w:rsidRPr="009A7D85" w:rsidR="00D245D1" w:rsidP="00D245D1" w:rsidRDefault="00D245D1" w14:paraId="1C71C4E5" w14:textId="7D389952">
                            <w:pPr>
                              <w:rPr>
                                <w:rFonts w:ascii="Verdana" w:hAnsi="Verdana"/>
                                <w:color w:val="auto"/>
                                <w:sz w:val="18"/>
                                <w:szCs w:val="18"/>
                              </w:rPr>
                            </w:pPr>
                          </w:p>
                          <w:p w:rsidRPr="009A7D85" w:rsidR="006654CC" w:rsidP="009A7D85" w:rsidRDefault="006654CC" w14:paraId="51834E22" w14:textId="68E53D9F">
                            <w:pPr>
                              <w:rPr>
                                <w:rFonts w:ascii="Verdana" w:hAnsi="Verdana"/>
                                <w:color w:val="auto"/>
                                <w:sz w:val="18"/>
                                <w:szCs w:val="18"/>
                              </w:rPr>
                            </w:pPr>
                          </w:p>
                        </w:txbxContent>
                      </wps:txbx>
                      <wps:bodyPr rot="0" vert="horz" wrap="square" lIns="91440" tIns="45720" rIns="91440" bIns="45720" anchor="t" anchorCtr="0">
                        <a:spAutoFit/>
                      </wps:bodyPr>
                    </wps:wsp>
                  </a:graphicData>
                </a:graphic>
              </wp:inline>
            </w:drawing>
          </mc:Choice>
          <mc:Fallback>
            <w:pict>
              <v:shape id="Tekstvak 1687660726"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44"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" w14:anchorId="36732311">
                <v:textbox style="mso-fit-shape-to-text:t">
                  <w:txbxContent>
                    <w:p w:rsidR="00617F5A" w:rsidP="00617F5A" w:rsidRDefault="00486961" w14:paraId="0C9B5224" w14:textId="7B66BD6D">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00D245D1" w:rsidP="00D245D1" w:rsidRDefault="00D245D1" w14:paraId="11ABB2C3" w14:textId="7747D977">
                      <w:pPr>
                        <w:rPr>
                          <w:rFonts w:ascii="Verdana" w:hAnsi="Verdana"/>
                          <w:color w:val="auto"/>
                          <w:sz w:val="18"/>
                          <w:szCs w:val="18"/>
                        </w:rPr>
                      </w:pPr>
                      <w:r w:rsidRPr="00D245D1">
                        <w:rPr>
                          <w:rFonts w:ascii="Verdana" w:hAnsi="Verdana"/>
                          <w:color w:val="auto"/>
                          <w:sz w:val="18"/>
                          <w:szCs w:val="18"/>
                        </w:rPr>
                        <w:t xml:space="preserve">Het </w:t>
                      </w:r>
                      <w:r w:rsidR="00073960">
                        <w:rPr>
                          <w:rFonts w:ascii="Verdana" w:hAnsi="Verdana"/>
                          <w:color w:val="auto"/>
                          <w:sz w:val="18"/>
                          <w:szCs w:val="18"/>
                        </w:rPr>
                        <w:t>L</w:t>
                      </w:r>
                      <w:r w:rsidRPr="00D245D1">
                        <w:rPr>
                          <w:rFonts w:ascii="Verdana" w:hAnsi="Verdana"/>
                          <w:color w:val="auto"/>
                          <w:sz w:val="18"/>
                          <w:szCs w:val="18"/>
                        </w:rPr>
                        <w:t>uchthavenbesluit wordt voor onbepaalde tijd vastgesteld. Het MER brengt de milieueffecten voornamelijk tot 2035 in beeld. Voor de periode daarna zijn de ontwikkelingen onzeker, onder meer door de inzet van duurzame brandstoffen, elektrisch vliegen en de Luchtruimherziening. Een monitorings- en evaluatieprogramma is daarom nodig om de ontwikkeling van de milieueffecten en de mogelijkheden voor bijsturing te volgen.</w:t>
                      </w:r>
                    </w:p>
                    <w:p w:rsidRPr="00D245D1" w:rsidR="00D245D1" w:rsidP="00D245D1" w:rsidRDefault="00D245D1" w14:paraId="1422800A" w14:textId="77777777">
                      <w:pPr>
                        <w:rPr>
                          <w:rFonts w:ascii="Verdana" w:hAnsi="Verdana"/>
                          <w:color w:val="auto"/>
                          <w:sz w:val="18"/>
                          <w:szCs w:val="18"/>
                        </w:rPr>
                      </w:pPr>
                    </w:p>
                    <w:p w:rsidRPr="00D245D1" w:rsidR="00D245D1" w:rsidP="00D245D1" w:rsidRDefault="00D245D1" w14:paraId="02F58F47" w14:textId="77777777">
                      <w:pPr>
                        <w:rPr>
                          <w:rFonts w:ascii="Verdana" w:hAnsi="Verdana"/>
                          <w:color w:val="auto"/>
                          <w:sz w:val="18"/>
                          <w:szCs w:val="18"/>
                        </w:rPr>
                      </w:pPr>
                      <w:r w:rsidRPr="00D245D1">
                        <w:rPr>
                          <w:rFonts w:ascii="Verdana" w:hAnsi="Verdana"/>
                          <w:color w:val="auto"/>
                          <w:sz w:val="18"/>
                          <w:szCs w:val="18"/>
                        </w:rPr>
                        <w:t>Daarbij wordt aandacht besteed aan de ontwikkeling van piekgeluidniveaus, de spreiding en ligging van vliegpaden en naderingsprofielen, de mogelijkheden binnen de Luchtruimherziening en de werking en ligging van handhavingspunten, met specifieke aandacht voor de bescherming van woongebieden.</w:t>
                      </w:r>
                    </w:p>
                    <w:p w:rsidRPr="009A7D85" w:rsidR="00D245D1" w:rsidP="00D245D1" w:rsidRDefault="00D245D1" w14:paraId="1C71C4E5" w14:textId="7D389952">
                      <w:pPr>
                        <w:rPr>
                          <w:rFonts w:ascii="Verdana" w:hAnsi="Verdana"/>
                          <w:color w:val="auto"/>
                          <w:sz w:val="18"/>
                          <w:szCs w:val="18"/>
                        </w:rPr>
                      </w:pPr>
                    </w:p>
                    <w:p w:rsidRPr="009A7D85" w:rsidR="006654CC" w:rsidP="009A7D85" w:rsidRDefault="006654CC" w14:paraId="51834E22" w14:textId="68E53D9F">
                      <w:pPr>
                        <w:rPr>
                          <w:rFonts w:ascii="Verdana" w:hAnsi="Verdana"/>
                          <w:color w:val="auto"/>
                          <w:sz w:val="18"/>
                          <w:szCs w:val="18"/>
                        </w:rPr>
                      </w:pPr>
                    </w:p>
                  </w:txbxContent>
                </v:textbox>
                <w10:anchorlock/>
              </v:shape>
            </w:pict>
          </mc:Fallback>
        </mc:AlternateContent>
      </w:r>
    </w:p>
    <w:p w:rsidRPr="00FA3B4B" w:rsidR="00617F5A" w:rsidP="00617F5A" w:rsidRDefault="00617F5A" w14:paraId="25FCD7CE" w14:textId="77777777">
      <w:pPr>
        <w:pStyle w:val="BodyText"/>
      </w:pPr>
    </w:p>
    <w:p w:rsidRPr="00FA3B4B" w:rsidR="00617F5A" w:rsidP="00617F5A" w:rsidRDefault="002E0166" w14:paraId="6FEFBAF2" w14:textId="71DFBBE5">
      <w:pPr>
        <w:pStyle w:val="BodyText"/>
      </w:pPr>
      <w:r w:rsidRPr="00FA3B4B">
        <w:rPr>
          <w:noProof/>
          <w:szCs w:val="18"/>
          <w:lang w:val="en-GB"/>
        </w:rPr>
        <mc:AlternateContent>
          <mc:Choice Requires="wps">
            <w:drawing>
              <wp:inline distT="0" distB="0" distL="0" distR="0" wp14:anchorId="1860CD8C" wp14:editId="6DD897E0">
                <wp:extent cx="5957570" cy="1242060"/>
                <wp:effectExtent l="0" t="0" r="5080" b="0"/>
                <wp:docPr id="130933657" name="Tekstvak 130933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242060"/>
                        </a:xfrm>
                        <a:prstGeom prst="rect">
                          <a:avLst/>
                        </a:prstGeom>
                        <a:solidFill>
                          <a:schemeClr val="accent6">
                            <a:lumMod val="20000"/>
                            <a:lumOff val="80000"/>
                          </a:schemeClr>
                        </a:solidFill>
                        <a:ln w="9525">
                          <a:noFill/>
                          <a:miter lim="800000"/>
                          <a:headEnd/>
                          <a:tailEnd/>
                        </a:ln>
                      </wps:spPr>
                      <wps:txbx>
                        <w:txbxContent>
                          <w:p w:rsidRPr="00F00B53" w:rsidR="002E0166" w:rsidP="002E0166" w:rsidRDefault="002E0166" w14:paraId="2CCEB5FD"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D245D1" w:rsidR="00D245D1" w:rsidP="002E0166" w:rsidRDefault="00D245D1" w14:paraId="2FEFEB9F" w14:textId="77777777">
                            <w:pPr>
                              <w:spacing w:line="276" w:lineRule="auto"/>
                              <w:jc w:val="both"/>
                              <w:rPr>
                                <w:rFonts w:ascii="Verdana" w:hAnsi="Verdana"/>
                                <w:color w:val="auto"/>
                                <w:sz w:val="18"/>
                                <w:szCs w:val="18"/>
                              </w:rPr>
                            </w:pPr>
                            <w:r w:rsidRPr="00D245D1">
                              <w:rPr>
                                <w:rFonts w:ascii="Verdana" w:hAnsi="Verdana"/>
                                <w:color w:val="auto"/>
                                <w:sz w:val="18"/>
                                <w:szCs w:val="18"/>
                              </w:rPr>
                              <w:t>De Commissie adviseert een monitorings- en evaluatieplan op te zetten met daarin:</w:t>
                            </w:r>
                          </w:p>
                          <w:p w:rsidR="00D245D1" w:rsidP="00B06EF9" w:rsidRDefault="00D245D1" w14:paraId="7100A53E" w14:textId="77777777">
                            <w:pPr>
                              <w:pStyle w:val="ListParagraph"/>
                              <w:numPr>
                                <w:ilvl w:val="0"/>
                                <w:numId w:val="15"/>
                              </w:numPr>
                              <w:spacing w:line="276" w:lineRule="auto"/>
                              <w:jc w:val="both"/>
                              <w:rPr>
                                <w:rFonts w:ascii="Verdana" w:hAnsi="Verdana"/>
                                <w:color w:val="auto"/>
                                <w:sz w:val="18"/>
                                <w:szCs w:val="18"/>
                              </w:rPr>
                            </w:pPr>
                            <w:r w:rsidRPr="00D245D1">
                              <w:rPr>
                                <w:rFonts w:ascii="Verdana" w:hAnsi="Verdana"/>
                                <w:color w:val="auto"/>
                                <w:sz w:val="18"/>
                                <w:szCs w:val="18"/>
                              </w:rPr>
                              <w:t xml:space="preserve">de effecten en mogelijke mitigerende maatregelen ná 2035, tenzij dit vooraf in beeld gebracht kan worden; </w:t>
                            </w:r>
                          </w:p>
                          <w:p w:rsidRPr="00D245D1" w:rsidR="002E0166" w:rsidP="00B06EF9" w:rsidRDefault="00D245D1" w14:paraId="11286548" w14:textId="1E31A12B">
                            <w:pPr>
                              <w:pStyle w:val="ListParagraph"/>
                              <w:numPr>
                                <w:ilvl w:val="0"/>
                                <w:numId w:val="15"/>
                              </w:numPr>
                              <w:spacing w:line="276" w:lineRule="auto"/>
                              <w:jc w:val="both"/>
                              <w:rPr>
                                <w:rFonts w:ascii="Verdana" w:hAnsi="Verdana"/>
                                <w:color w:val="auto"/>
                                <w:sz w:val="18"/>
                                <w:szCs w:val="18"/>
                              </w:rPr>
                            </w:pPr>
                            <w:r w:rsidRPr="00D245D1">
                              <w:rPr>
                                <w:rFonts w:ascii="Verdana" w:hAnsi="Verdana"/>
                                <w:color w:val="auto"/>
                                <w:sz w:val="18"/>
                                <w:szCs w:val="18"/>
                              </w:rPr>
                              <w:t>mogelijke maatregelen die de leefomgeving kunnen verbeteren, met name door het onderzoek naar piekgeluidniveaus te verfijnen als onderdeel van de monitoring.</w:t>
                            </w:r>
                          </w:p>
                        </w:txbxContent>
                      </wps:txbx>
                      <wps:bodyPr rot="0" vert="horz" wrap="square" lIns="91440" tIns="45720" rIns="91440" bIns="45720" anchor="t" anchorCtr="0">
                        <a:noAutofit/>
                      </wps:bodyPr>
                    </wps:wsp>
                  </a:graphicData>
                </a:graphic>
              </wp:inline>
            </w:drawing>
          </mc:Choice>
          <mc:Fallback>
            <w:pict>
              <v:shape id="Tekstvak 130933657" style="width:469.1pt;height:97.8pt;visibility:visible;mso-wrap-style:square;mso-left-percent:-10001;mso-top-percent:-10001;mso-position-horizontal:absolute;mso-position-horizontal-relative:char;mso-position-vertical:absolute;mso-position-vertical-relative:line;mso-left-percent:-10001;mso-top-percent:-10001;v-text-anchor:top" o:spid="_x0000_s1045"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" w14:anchorId="1860CD8C">
                <v:textbox>
                  <w:txbxContent>
                    <w:p w:rsidRPr="00F00B53" w:rsidR="002E0166" w:rsidP="002E0166" w:rsidRDefault="002E0166" w14:paraId="2CCEB5FD"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D245D1" w:rsidR="00D245D1" w:rsidP="002E0166" w:rsidRDefault="00D245D1" w14:paraId="2FEFEB9F" w14:textId="77777777">
                      <w:pPr>
                        <w:spacing w:line="276" w:lineRule="auto"/>
                        <w:jc w:val="both"/>
                        <w:rPr>
                          <w:rFonts w:ascii="Verdana" w:hAnsi="Verdana"/>
                          <w:color w:val="auto"/>
                          <w:sz w:val="18"/>
                          <w:szCs w:val="18"/>
                        </w:rPr>
                      </w:pPr>
                      <w:r w:rsidRPr="00D245D1">
                        <w:rPr>
                          <w:rFonts w:ascii="Verdana" w:hAnsi="Verdana"/>
                          <w:color w:val="auto"/>
                          <w:sz w:val="18"/>
                          <w:szCs w:val="18"/>
                        </w:rPr>
                        <w:t>De Commissie adviseert een monitorings- en evaluatieplan op te zetten met daarin:</w:t>
                      </w:r>
                    </w:p>
                    <w:p w:rsidR="00D245D1" w:rsidP="00B06EF9" w:rsidRDefault="00D245D1" w14:paraId="7100A53E" w14:textId="77777777">
                      <w:pPr>
                        <w:pStyle w:val="ListParagraph"/>
                        <w:numPr>
                          <w:ilvl w:val="0"/>
                          <w:numId w:val="15"/>
                        </w:numPr>
                        <w:spacing w:line="276" w:lineRule="auto"/>
                        <w:jc w:val="both"/>
                        <w:rPr>
                          <w:rFonts w:ascii="Verdana" w:hAnsi="Verdana"/>
                          <w:color w:val="auto"/>
                          <w:sz w:val="18"/>
                          <w:szCs w:val="18"/>
                        </w:rPr>
                      </w:pPr>
                      <w:r w:rsidRPr="00D245D1">
                        <w:rPr>
                          <w:rFonts w:ascii="Verdana" w:hAnsi="Verdana"/>
                          <w:color w:val="auto"/>
                          <w:sz w:val="18"/>
                          <w:szCs w:val="18"/>
                        </w:rPr>
                        <w:t xml:space="preserve">de effecten en mogelijke mitigerende maatregelen ná 2035, tenzij dit vooraf in beeld gebracht kan worden; </w:t>
                      </w:r>
                    </w:p>
                    <w:p w:rsidRPr="00D245D1" w:rsidR="002E0166" w:rsidP="00B06EF9" w:rsidRDefault="00D245D1" w14:paraId="11286548" w14:textId="1E31A12B">
                      <w:pPr>
                        <w:pStyle w:val="ListParagraph"/>
                        <w:numPr>
                          <w:ilvl w:val="0"/>
                          <w:numId w:val="15"/>
                        </w:numPr>
                        <w:spacing w:line="276" w:lineRule="auto"/>
                        <w:jc w:val="both"/>
                        <w:rPr>
                          <w:rFonts w:ascii="Verdana" w:hAnsi="Verdana"/>
                          <w:color w:val="auto"/>
                          <w:sz w:val="18"/>
                          <w:szCs w:val="18"/>
                        </w:rPr>
                      </w:pPr>
                      <w:r w:rsidRPr="00D245D1">
                        <w:rPr>
                          <w:rFonts w:ascii="Verdana" w:hAnsi="Verdana"/>
                          <w:color w:val="auto"/>
                          <w:sz w:val="18"/>
                          <w:szCs w:val="18"/>
                        </w:rPr>
                        <w:t>mogelijke maatregelen die de leefomgeving kunnen verbeteren, met name door het onderzoek naar piekgeluidniveaus te verfijnen als onderdeel van de monitoring.</w:t>
                      </w:r>
                    </w:p>
                  </w:txbxContent>
                </v:textbox>
                <w10:anchorlock/>
              </v:shape>
            </w:pict>
          </mc:Fallback>
        </mc:AlternateContent>
      </w:r>
    </w:p>
    <w:p w:rsidR="00617F5A" w:rsidP="00617F5A" w:rsidRDefault="00617F5A" w14:paraId="70B6F8C9" w14:textId="77777777">
      <w:pPr>
        <w:pStyle w:val="BodyText"/>
        <w:jc w:val="both"/>
        <w:rPr>
          <w:u w:val="single"/>
        </w:rPr>
      </w:pPr>
      <w:r w:rsidRPr="00FA3B4B">
        <w:rPr>
          <w:u w:val="single"/>
        </w:rPr>
        <w:t>Reactie</w:t>
      </w:r>
    </w:p>
    <w:p w:rsidRPr="00617F5A" w:rsidR="000B0B6A" w:rsidP="00300D5E" w:rsidRDefault="00300D5E" w14:paraId="5DF81C89" w14:textId="71F5E92F">
      <w:pPr>
        <w:pStyle w:val="BodyText"/>
      </w:pPr>
      <w:r w:rsidRPr="00300D5E">
        <w:t>Het advies van de Commissie mer wordt opgevolgd. Er wordt een monitorings- en evaluatieplan uitgewerkt conform het raamwerk en de aanbevelingen van de Commissie mer. Het plan omvat in ieder geval monitoring en evaluatie van piekgeluidniveaus, de Luchtruimherziening, de gevolgen van de routeschorsing en de in paragraaf 6.2 van het MER opgenomen aanzet voor het evaluatieprogramma. Daarnaast worden eventuele relevante onderwerpen die uit de overige onderzoeken naar voren komen, in het plan opgenomen.</w:t>
      </w:r>
    </w:p>
    <w:p w:rsidRPr="00617F5A" w:rsidR="001D6F5E" w:rsidP="00617F5A" w:rsidRDefault="001D6F5E" w14:paraId="0C4D670E" w14:textId="4EA959D4">
      <w:pPr>
        <w:pStyle w:val="BodyText"/>
      </w:pPr>
    </w:p>
    <w:p w:rsidR="000B064A" w:rsidP="00167BB5" w:rsidRDefault="000B064A" w14:paraId="336DED2E" w14:textId="712749BA">
      <w:pPr>
        <w:rPr>
          <w:rFonts w:ascii="Verdana" w:hAnsi="Verdana"/>
          <w:color w:val="auto"/>
          <w:sz w:val="18"/>
        </w:rPr>
      </w:pPr>
    </w:p>
    <w:p w:rsidR="00BB7E2A" w:rsidP="00167BB5" w:rsidRDefault="00BB7E2A" w14:paraId="0FEC2193" w14:textId="77777777">
      <w:pPr>
        <w:rPr>
          <w:rFonts w:ascii="Verdana" w:hAnsi="Verdana"/>
          <w:color w:val="auto"/>
          <w:sz w:val="18"/>
        </w:rPr>
      </w:pPr>
    </w:p>
    <w:p w:rsidR="00BB7E2A" w:rsidP="00167BB5" w:rsidRDefault="00BB7E2A" w14:paraId="604AEA9C" w14:textId="77777777">
      <w:pPr>
        <w:rPr>
          <w:rFonts w:ascii="Verdana" w:hAnsi="Verdana"/>
          <w:color w:val="auto"/>
          <w:sz w:val="18"/>
        </w:rPr>
      </w:pPr>
    </w:p>
    <w:p w:rsidR="00BB7E2A" w:rsidP="00167BB5" w:rsidRDefault="00BB7E2A" w14:paraId="64E8428E" w14:textId="77777777">
      <w:pPr>
        <w:rPr>
          <w:rFonts w:ascii="Verdana" w:hAnsi="Verdana"/>
          <w:color w:val="auto"/>
          <w:sz w:val="18"/>
        </w:rPr>
      </w:pPr>
    </w:p>
    <w:p w:rsidR="00BB7E2A" w:rsidP="00167BB5" w:rsidRDefault="00BB7E2A" w14:paraId="18CF74A1" w14:textId="77777777">
      <w:pPr>
        <w:rPr>
          <w:rFonts w:ascii="Verdana" w:hAnsi="Verdana"/>
          <w:color w:val="auto"/>
          <w:sz w:val="18"/>
        </w:rPr>
      </w:pPr>
    </w:p>
    <w:p w:rsidR="00BB7E2A" w:rsidP="00167BB5" w:rsidRDefault="00BB7E2A" w14:paraId="4F500AC1" w14:textId="77777777">
      <w:pPr>
        <w:rPr>
          <w:rFonts w:ascii="Verdana" w:hAnsi="Verdana"/>
          <w:color w:val="auto"/>
          <w:sz w:val="18"/>
        </w:rPr>
      </w:pPr>
    </w:p>
    <w:p w:rsidR="00BB7E2A" w:rsidP="00167BB5" w:rsidRDefault="00BB7E2A" w14:paraId="4D44EDF7" w14:textId="77777777">
      <w:pPr>
        <w:rPr>
          <w:rFonts w:ascii="Verdana" w:hAnsi="Verdana"/>
          <w:color w:val="auto"/>
          <w:sz w:val="18"/>
        </w:rPr>
      </w:pPr>
    </w:p>
    <w:p w:rsidR="00E701E6" w:rsidRDefault="00E701E6" w14:paraId="2363BACD" w14:textId="74C6124F">
      <w:pPr>
        <w:rPr>
          <w:rFonts w:ascii="Verdana" w:hAnsi="Verdana"/>
          <w:color w:val="auto"/>
          <w:sz w:val="18"/>
        </w:rPr>
      </w:pPr>
      <w:r>
        <w:rPr>
          <w:rFonts w:ascii="Verdana" w:hAnsi="Verdana"/>
          <w:color w:val="auto"/>
          <w:sz w:val="18"/>
        </w:rPr>
        <w:br w:type="page"/>
      </w:r>
    </w:p>
    <w:p w:rsidRPr="00FA3B4B" w:rsidR="00BB7E2A" w:rsidP="00167BB5" w:rsidRDefault="00BB7E2A" w14:paraId="6DB95882" w14:textId="77777777">
      <w:pPr>
        <w:rPr>
          <w:rFonts w:ascii="Verdana" w:hAnsi="Verdana"/>
          <w:color w:val="auto"/>
          <w:sz w:val="18"/>
        </w:rPr>
      </w:pPr>
    </w:p>
    <w:p w:rsidR="00D974C7" w:rsidP="00D974C7" w:rsidRDefault="00300D5E" w14:paraId="72FA8465" w14:textId="6503E1B7">
      <w:pPr>
        <w:pStyle w:val="Heading1"/>
      </w:pPr>
      <w:bookmarkStart w:name="_Toc240548253" w:id="182"/>
      <w:r>
        <w:t>Overige informatie</w:t>
      </w:r>
      <w:bookmarkEnd w:id="182"/>
    </w:p>
    <w:p w:rsidR="001D2971" w:rsidP="00300D5E" w:rsidRDefault="00300D5E" w14:paraId="7CF882B9" w14:textId="3BB4367D">
      <w:pPr>
        <w:pStyle w:val="Heading2"/>
      </w:pPr>
      <w:bookmarkStart w:name="_Toc240548254" w:id="183"/>
      <w:r w:rsidRPr="00300D5E">
        <w:t>(Potentieel) Zeer Zorgwekkende Stoffen</w:t>
      </w:r>
      <w:bookmarkEnd w:id="183"/>
    </w:p>
    <w:p w:rsidRPr="00FA3B4B" w:rsidR="00300D5E" w:rsidP="00300D5E" w:rsidRDefault="00300D5E" w14:paraId="2F4EDB8B" w14:textId="77777777">
      <w:pPr>
        <w:pStyle w:val="BodyText"/>
      </w:pPr>
      <w:r w:rsidRPr="00FA3B4B">
        <w:rPr>
          <w:noProof/>
          <w:lang w:val="en-GB"/>
        </w:rPr>
        <mc:AlternateContent>
          <mc:Choice Requires="wps">
            <w:drawing>
              <wp:inline distT="0" distB="0" distL="0" distR="0" wp14:anchorId="5E117101" wp14:editId="5E291D4F">
                <wp:extent cx="5956300" cy="1404620"/>
                <wp:effectExtent l="0" t="0" r="6350" b="0"/>
                <wp:docPr id="1109820561" name="Tekstvak 1109820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5">
                            <a:lumMod val="20000"/>
                            <a:lumOff val="80000"/>
                          </a:schemeClr>
                        </a:solidFill>
                        <a:ln w="9525">
                          <a:noFill/>
                          <a:miter lim="800000"/>
                          <a:headEnd/>
                          <a:tailEnd/>
                        </a:ln>
                      </wps:spPr>
                      <wps:txbx>
                        <w:txbxContent>
                          <w:p w:rsidR="00300D5E" w:rsidP="00300D5E" w:rsidRDefault="00300D5E" w14:paraId="097653C0"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A7D85" w:rsidR="00300D5E" w:rsidP="00300D5E" w:rsidRDefault="00300D5E" w14:paraId="7A3CFE64" w14:textId="46AD98C3">
                            <w:pPr>
                              <w:rPr>
                                <w:rFonts w:ascii="Verdana" w:hAnsi="Verdana"/>
                                <w:color w:val="auto"/>
                                <w:sz w:val="18"/>
                                <w:szCs w:val="18"/>
                              </w:rPr>
                            </w:pPr>
                            <w:r w:rsidRPr="00300D5E">
                              <w:rPr>
                                <w:rFonts w:ascii="Verdana" w:hAnsi="Verdana"/>
                                <w:color w:val="auto"/>
                                <w:sz w:val="18"/>
                                <w:szCs w:val="18"/>
                              </w:rPr>
                              <w:t xml:space="preserve">In het deelonderzoek zijn de emissies van verschillende (potentieel) Zeer Zorgwekkende Stoffen (ZZS) in kaart gebracht. Voor benzeen is daarnaast de bijdrage aan de concentraties inzichtelijk gemaakt (figuur 11, bijlage Luchtkwaliteit). De berekende benzeenconcentraties liggen onder de geldende norm. Voor de overige (potentieel) ZZS zijn de concentraties echter niet inzichtelijk gemaakt. Om een volledig beeld van de milieugevolgen te geven en de transparantie te vergroten, is het wenselijk ook de concentraties van deze stoffen in kaart te brengen. </w:t>
                            </w:r>
                          </w:p>
                        </w:txbxContent>
                      </wps:txbx>
                      <wps:bodyPr rot="0" vert="horz" wrap="square" lIns="91440" tIns="45720" rIns="91440" bIns="45720" anchor="t" anchorCtr="0">
                        <a:spAutoFit/>
                      </wps:bodyPr>
                    </wps:wsp>
                  </a:graphicData>
                </a:graphic>
              </wp:inline>
            </w:drawing>
          </mc:Choice>
          <mc:Fallback>
            <w:pict>
              <v:shape id="Tekstvak 1109820561"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46" fillcolor="#e6f5c6 [6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" w14:anchorId="5E117101">
                <v:textbox style="mso-fit-shape-to-text:t">
                  <w:txbxContent>
                    <w:p w:rsidR="00300D5E" w:rsidP="00300D5E" w:rsidRDefault="00300D5E" w14:paraId="097653C0" w14:textId="77777777">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9A7D85" w:rsidR="00300D5E" w:rsidP="00300D5E" w:rsidRDefault="00300D5E" w14:paraId="7A3CFE64" w14:textId="46AD98C3">
                      <w:pPr>
                        <w:rPr>
                          <w:rFonts w:ascii="Verdana" w:hAnsi="Verdana"/>
                          <w:color w:val="auto"/>
                          <w:sz w:val="18"/>
                          <w:szCs w:val="18"/>
                        </w:rPr>
                      </w:pPr>
                      <w:r w:rsidRPr="00300D5E">
                        <w:rPr>
                          <w:rFonts w:ascii="Verdana" w:hAnsi="Verdana"/>
                          <w:color w:val="auto"/>
                          <w:sz w:val="18"/>
                          <w:szCs w:val="18"/>
                        </w:rPr>
                        <w:t xml:space="preserve">In het deelonderzoek zijn de emissies van verschillende (potentieel) Zeer Zorgwekkende Stoffen (ZZS) in kaart gebracht. Voor benzeen is daarnaast de bijdrage aan de concentraties inzichtelijk gemaakt (figuur 11, bijlage Luchtkwaliteit). De berekende benzeenconcentraties liggen onder de geldende norm. Voor de overige (potentieel) ZZS zijn de concentraties echter niet inzichtelijk gemaakt. Om een volledig beeld van de milieugevolgen te geven en de transparantie te vergroten, is het wenselijk ook de concentraties van deze stoffen in kaart te brengen. </w:t>
                      </w:r>
                    </w:p>
                  </w:txbxContent>
                </v:textbox>
                <w10:anchorlock/>
              </v:shape>
            </w:pict>
          </mc:Fallback>
        </mc:AlternateContent>
      </w:r>
    </w:p>
    <w:p w:rsidRPr="00FA3B4B" w:rsidR="00300D5E" w:rsidP="00300D5E" w:rsidRDefault="00300D5E" w14:paraId="7F493F48" w14:textId="77777777">
      <w:pPr>
        <w:pStyle w:val="BodyText"/>
      </w:pPr>
    </w:p>
    <w:p w:rsidRPr="00FA3B4B" w:rsidR="00300D5E" w:rsidP="00300D5E" w:rsidRDefault="00300D5E" w14:paraId="380D9A8D" w14:textId="77777777">
      <w:pPr>
        <w:pStyle w:val="BodyText"/>
      </w:pPr>
      <w:r w:rsidRPr="00FA3B4B">
        <w:rPr>
          <w:noProof/>
          <w:szCs w:val="18"/>
          <w:lang w:val="en-GB"/>
        </w:rPr>
        <mc:AlternateContent>
          <mc:Choice Requires="wps">
            <w:drawing>
              <wp:inline distT="0" distB="0" distL="0" distR="0" wp14:anchorId="6A5659C1" wp14:editId="3BB74E27">
                <wp:extent cx="5957570" cy="899160"/>
                <wp:effectExtent l="0" t="0" r="5080" b="0"/>
                <wp:docPr id="1882268594" name="Tekstvak 1882268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899160"/>
                        </a:xfrm>
                        <a:prstGeom prst="rect">
                          <a:avLst/>
                        </a:prstGeom>
                        <a:solidFill>
                          <a:schemeClr val="accent6">
                            <a:lumMod val="20000"/>
                            <a:lumOff val="80000"/>
                          </a:schemeClr>
                        </a:solidFill>
                        <a:ln w="9525">
                          <a:noFill/>
                          <a:miter lim="800000"/>
                          <a:headEnd/>
                          <a:tailEnd/>
                        </a:ln>
                      </wps:spPr>
                      <wps:txbx>
                        <w:txbxContent>
                          <w:p w:rsidRPr="00F00B53" w:rsidR="00300D5E" w:rsidP="00300D5E" w:rsidRDefault="00300D5E" w14:paraId="10F82B4E"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300D5E" w:rsidR="00300D5E" w:rsidP="00300D5E" w:rsidRDefault="00300D5E" w14:paraId="44F6134A" w14:textId="13AFD37D">
                            <w:pPr>
                              <w:spacing w:line="276" w:lineRule="auto"/>
                              <w:jc w:val="both"/>
                              <w:rPr>
                                <w:rFonts w:ascii="Verdana" w:hAnsi="Verdana"/>
                                <w:color w:val="auto"/>
                                <w:sz w:val="18"/>
                                <w:szCs w:val="18"/>
                              </w:rPr>
                            </w:pPr>
                            <w:r w:rsidRPr="00300D5E">
                              <w:rPr>
                                <w:rFonts w:ascii="Verdana" w:hAnsi="Verdana"/>
                                <w:color w:val="auto"/>
                                <w:sz w:val="18"/>
                                <w:szCs w:val="18"/>
                              </w:rPr>
                              <w:t>De Commissie adviseert voor de andere (potentieel) Zeer Zorgwekkende Stoffen de gevolgen in kaart te brengen voor wat betreft concentraties. Zo kan beoordeeld worden hoe deze stoffen zich verhouden tot het maximaal toelaatbare risico en welke mitigerende maatregelen van toepassing kunnen zijn.</w:t>
                            </w:r>
                          </w:p>
                        </w:txbxContent>
                      </wps:txbx>
                      <wps:bodyPr rot="0" vert="horz" wrap="square" lIns="91440" tIns="45720" rIns="91440" bIns="45720" anchor="t" anchorCtr="0">
                        <a:noAutofit/>
                      </wps:bodyPr>
                    </wps:wsp>
                  </a:graphicData>
                </a:graphic>
              </wp:inline>
            </w:drawing>
          </mc:Choice>
          <mc:Fallback>
            <w:pict>
              <v:shape id="Tekstvak 1882268594" style="width:469.1pt;height:70.8pt;visibility:visible;mso-wrap-style:square;mso-left-percent:-10001;mso-top-percent:-10001;mso-position-horizontal:absolute;mso-position-horizontal-relative:char;mso-position-vertical:absolute;mso-position-vertical-relative:line;mso-left-percent:-10001;mso-top-percent:-10001;v-text-anchor:top" o:spid="_x0000_s1047"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" w14:anchorId="6A5659C1">
                <v:textbox>
                  <w:txbxContent>
                    <w:p w:rsidRPr="00F00B53" w:rsidR="00300D5E" w:rsidP="00300D5E" w:rsidRDefault="00300D5E" w14:paraId="10F82B4E"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300D5E" w:rsidR="00300D5E" w:rsidP="00300D5E" w:rsidRDefault="00300D5E" w14:paraId="44F6134A" w14:textId="13AFD37D">
                      <w:pPr>
                        <w:spacing w:line="276" w:lineRule="auto"/>
                        <w:jc w:val="both"/>
                        <w:rPr>
                          <w:rFonts w:ascii="Verdana" w:hAnsi="Verdana"/>
                          <w:color w:val="auto"/>
                          <w:sz w:val="18"/>
                          <w:szCs w:val="18"/>
                        </w:rPr>
                      </w:pPr>
                      <w:r w:rsidRPr="00300D5E">
                        <w:rPr>
                          <w:rFonts w:ascii="Verdana" w:hAnsi="Verdana"/>
                          <w:color w:val="auto"/>
                          <w:sz w:val="18"/>
                          <w:szCs w:val="18"/>
                        </w:rPr>
                        <w:t>De Commissie adviseert voor de andere (potentieel) Zeer Zorgwekkende Stoffen de gevolgen in kaart te brengen voor wat betreft concentraties. Zo kan beoordeeld worden hoe deze stoffen zich verhouden tot het maximaal toelaatbare risico en welke mitigerende maatregelen van toepassing kunnen zijn.</w:t>
                      </w:r>
                    </w:p>
                  </w:txbxContent>
                </v:textbox>
                <w10:anchorlock/>
              </v:shape>
            </w:pict>
          </mc:Fallback>
        </mc:AlternateContent>
      </w:r>
    </w:p>
    <w:p w:rsidRPr="00FA3B4B" w:rsidR="00300D5E" w:rsidP="00300D5E" w:rsidRDefault="00300D5E" w14:paraId="7CEEF48D" w14:textId="77777777">
      <w:pPr>
        <w:pStyle w:val="BodyText"/>
      </w:pPr>
    </w:p>
    <w:p w:rsidR="00300D5E" w:rsidP="00300D5E" w:rsidRDefault="00300D5E" w14:paraId="7628C38C" w14:textId="77777777">
      <w:pPr>
        <w:pStyle w:val="BodyText"/>
        <w:jc w:val="both"/>
        <w:rPr>
          <w:u w:val="single"/>
        </w:rPr>
      </w:pPr>
      <w:r w:rsidRPr="00FA3B4B">
        <w:rPr>
          <w:u w:val="single"/>
        </w:rPr>
        <w:t>Reactie</w:t>
      </w:r>
    </w:p>
    <w:p w:rsidRPr="00300D5E" w:rsidR="00300D5E" w:rsidP="00300D5E" w:rsidRDefault="00300D5E" w14:paraId="6402CC41" w14:textId="5C20B1CD">
      <w:pPr>
        <w:pStyle w:val="BodyText"/>
      </w:pPr>
      <w:r w:rsidRPr="00300D5E">
        <w:t>Het advies van de Commissie mer wordt opgevolgd. Op basis van recente onderzoeken naar (potentieel) Zeer Zorgwekkende Stoffen ((p)ZZS), waaronder een onderzoek van het NLR met kwantitatieve resultaten voor RTHA, worden de effecten van (p)ZZS voor de alternatieven uit het MER nader geduid en uitgewerkt. Eventuele kennisleemten worden daarbij inzichtelijk gemaakt.</w:t>
      </w:r>
    </w:p>
    <w:p w:rsidRPr="00FA3B4B" w:rsidR="00D974C7" w:rsidP="00605C8A" w:rsidRDefault="00300D5E" w14:paraId="76D698AE" w14:textId="1FF5F338">
      <w:pPr>
        <w:pStyle w:val="Heading2"/>
        <w:numPr>
          <w:ilvl w:val="1"/>
          <w:numId w:val="6"/>
        </w:numPr>
      </w:pPr>
      <w:bookmarkStart w:name="_Toc240548255" w:id="184"/>
      <w:r>
        <w:t>Stikstofdepositie</w:t>
      </w:r>
      <w:bookmarkEnd w:id="184"/>
    </w:p>
    <w:p w:rsidRPr="00FA3B4B" w:rsidR="00A05BAA" w:rsidP="00A05BAA" w:rsidRDefault="00A05BAA" w14:paraId="7D84DD01" w14:textId="77777777">
      <w:pPr>
        <w:pStyle w:val="BodyText"/>
      </w:pPr>
      <w:r w:rsidRPr="00FA3B4B">
        <w:rPr>
          <w:noProof/>
          <w:lang w:val="en-GB"/>
        </w:rPr>
        <mc:AlternateContent>
          <mc:Choice Requires="wps">
            <w:drawing>
              <wp:inline distT="0" distB="0" distL="0" distR="0" wp14:anchorId="3123C9AF" wp14:editId="122541DE">
                <wp:extent cx="5956300" cy="1404620"/>
                <wp:effectExtent l="0" t="0" r="6350" b="0"/>
                <wp:docPr id="892297668" name="Tekstvak 892297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1404620"/>
                        </a:xfrm>
                        <a:prstGeom prst="rect">
                          <a:avLst/>
                        </a:prstGeom>
                        <a:solidFill>
                          <a:schemeClr val="accent2">
                            <a:lumMod val="20000"/>
                            <a:lumOff val="80000"/>
                          </a:schemeClr>
                        </a:solidFill>
                        <a:ln w="9525">
                          <a:noFill/>
                          <a:miter lim="800000"/>
                          <a:headEnd/>
                          <a:tailEnd/>
                        </a:ln>
                      </wps:spPr>
                      <wps:txbx>
                        <w:txbxContent>
                          <w:p w:rsidR="00A05BAA" w:rsidP="00A05BAA" w:rsidRDefault="00486961" w14:paraId="14B292A9" w14:textId="09246E05">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4E6D03" w:rsidP="00A05BAA" w:rsidRDefault="00300D5E" w14:paraId="6517F54D" w14:textId="2B17CE84">
                            <w:pPr>
                              <w:rPr>
                                <w:rFonts w:ascii="Verdana" w:hAnsi="Verdana"/>
                                <w:color w:val="auto"/>
                                <w:sz w:val="18"/>
                                <w:szCs w:val="18"/>
                              </w:rPr>
                            </w:pPr>
                            <w:r w:rsidRPr="00300D5E">
                              <w:rPr>
                                <w:rFonts w:ascii="Verdana" w:hAnsi="Verdana"/>
                                <w:color w:val="auto"/>
                                <w:sz w:val="18"/>
                                <w:szCs w:val="18"/>
                              </w:rPr>
                              <w:t>In paragraaf 6.1.5 van de bijlage Emissies en Luchtkwaliteit wordt ingegaan op de kennisleemte ten aanzien van stikstofemissies boven 3.000 voet. Deze kennisleemte is niet opgenomen in het hoofdrapport van het MER.</w:t>
                            </w:r>
                          </w:p>
                        </w:txbxContent>
                      </wps:txbx>
                      <wps:bodyPr rot="0" vert="horz" wrap="square" lIns="91440" tIns="45720" rIns="91440" bIns="45720" anchor="t" anchorCtr="0">
                        <a:spAutoFit/>
                      </wps:bodyPr>
                    </wps:wsp>
                  </a:graphicData>
                </a:graphic>
              </wp:inline>
            </w:drawing>
          </mc:Choice>
          <mc:Fallback>
            <w:pict>
              <v:shape id="Tekstvak 892297668" style="width:469pt;height:110.6pt;visibility:visible;mso-wrap-style:square;mso-left-percent:-10001;mso-top-percent:-10001;mso-position-horizontal:absolute;mso-position-horizontal-relative:char;mso-position-vertical:absolute;mso-position-vertical-relative:line;mso-left-percent:-10001;mso-top-percent:-10001;v-text-anchor:top" o:spid="_x0000_s1048" fillcolor="#fbffc3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" w14:anchorId="3123C9AF">
                <v:textbox style="mso-fit-shape-to-text:t">
                  <w:txbxContent>
                    <w:p w:rsidR="00A05BAA" w:rsidP="00A05BAA" w:rsidRDefault="00486961" w14:paraId="14B292A9" w14:textId="09246E05">
                      <w:pPr>
                        <w:rPr>
                          <w:rFonts w:ascii="Verdana" w:hAnsi="Verdana"/>
                          <w:b/>
                          <w:bCs/>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4E6D03" w:rsidP="00A05BAA" w:rsidRDefault="00300D5E" w14:paraId="6517F54D" w14:textId="2B17CE84">
                      <w:pPr>
                        <w:rPr>
                          <w:rFonts w:ascii="Verdana" w:hAnsi="Verdana"/>
                          <w:color w:val="auto"/>
                          <w:sz w:val="18"/>
                          <w:szCs w:val="18"/>
                        </w:rPr>
                      </w:pPr>
                      <w:r w:rsidRPr="00300D5E">
                        <w:rPr>
                          <w:rFonts w:ascii="Verdana" w:hAnsi="Verdana"/>
                          <w:color w:val="auto"/>
                          <w:sz w:val="18"/>
                          <w:szCs w:val="18"/>
                        </w:rPr>
                        <w:t>In paragraaf 6.1.5 van de bijlage Emissies en Luchtkwaliteit wordt ingegaan op de kennisleemte ten aanzien van stikstofemissies boven 3.000 voet. Deze kennisleemte is niet opgenomen in het hoofdrapport van het MER.</w:t>
                      </w:r>
                    </w:p>
                  </w:txbxContent>
                </v:textbox>
                <w10:anchorlock/>
              </v:shape>
            </w:pict>
          </mc:Fallback>
        </mc:AlternateContent>
      </w:r>
    </w:p>
    <w:p w:rsidRPr="00FA3B4B" w:rsidR="00A05BAA" w:rsidP="00A05BAA" w:rsidRDefault="00A05BAA" w14:paraId="6D1F5FD4" w14:textId="77777777">
      <w:pPr>
        <w:pStyle w:val="BodyText"/>
      </w:pPr>
    </w:p>
    <w:p w:rsidRPr="00FA3B4B" w:rsidR="00A05BAA" w:rsidP="00A05BAA" w:rsidRDefault="00A05BAA" w14:paraId="67AC3A94" w14:textId="77777777">
      <w:pPr>
        <w:pStyle w:val="BodyText"/>
      </w:pPr>
      <w:r w:rsidRPr="00FA3B4B">
        <w:rPr>
          <w:noProof/>
          <w:szCs w:val="18"/>
          <w:lang w:val="en-GB"/>
        </w:rPr>
        <mc:AlternateContent>
          <mc:Choice Requires="wps">
            <w:drawing>
              <wp:inline distT="0" distB="0" distL="0" distR="0" wp14:anchorId="38E142BF" wp14:editId="473D3DAB">
                <wp:extent cx="5957570" cy="807720"/>
                <wp:effectExtent l="0" t="0" r="5080" b="0"/>
                <wp:docPr id="1361868869" name="Tekstvak 1361868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807720"/>
                        </a:xfrm>
                        <a:prstGeom prst="rect">
                          <a:avLst/>
                        </a:prstGeom>
                        <a:solidFill>
                          <a:schemeClr val="accent6">
                            <a:lumMod val="20000"/>
                            <a:lumOff val="80000"/>
                          </a:schemeClr>
                        </a:solidFill>
                        <a:ln w="9525">
                          <a:noFill/>
                          <a:miter lim="800000"/>
                          <a:headEnd/>
                          <a:tailEnd/>
                        </a:ln>
                      </wps:spPr>
                      <wps:txbx>
                        <w:txbxContent>
                          <w:p w:rsidRPr="00F00B53" w:rsidR="00A05BAA" w:rsidP="00A05BAA" w:rsidRDefault="00A05BAA" w14:paraId="21B10CD4"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AF252C" w:rsidR="00A05BAA" w:rsidP="00AF252C" w:rsidRDefault="00AF252C" w14:paraId="31D618DE" w14:textId="33F6308A">
                            <w:pPr>
                              <w:autoSpaceDE w:val="0"/>
                              <w:autoSpaceDN w:val="0"/>
                              <w:adjustRightInd w:val="0"/>
                              <w:spacing w:line="276" w:lineRule="auto"/>
                              <w:jc w:val="both"/>
                              <w:rPr>
                                <w:rFonts w:ascii="Verdana" w:hAnsi="Verdana"/>
                                <w:color w:val="auto"/>
                                <w:sz w:val="18"/>
                                <w:szCs w:val="18"/>
                              </w:rPr>
                            </w:pPr>
                            <w:r w:rsidRPr="00AF252C">
                              <w:rPr>
                                <w:rFonts w:ascii="Verdana" w:hAnsi="Verdana"/>
                                <w:color w:val="auto"/>
                                <w:sz w:val="18"/>
                                <w:szCs w:val="18"/>
                              </w:rPr>
                              <w:t xml:space="preserve">De Commissie mer </w:t>
                            </w:r>
                            <w:r>
                              <w:rPr>
                                <w:rFonts w:ascii="Verdana" w:hAnsi="Verdana"/>
                                <w:color w:val="auto"/>
                                <w:sz w:val="18"/>
                                <w:szCs w:val="18"/>
                              </w:rPr>
                              <w:t>beveelt aan om</w:t>
                            </w:r>
                            <w:r w:rsidRPr="00AF252C">
                              <w:rPr>
                                <w:rFonts w:ascii="Verdana" w:hAnsi="Verdana"/>
                                <w:color w:val="auto"/>
                                <w:sz w:val="18"/>
                                <w:szCs w:val="18"/>
                              </w:rPr>
                              <w:t xml:space="preserve"> deze alsnog in het hoofdrapport op te nemen, zodat een compleet beeld van de kennisleemten wordt gegeven. Omdat de betreffende informatie al in de bijlage bij het MER beschikbaar is, ontbreekt geen informatie die noodzakelijk is voor de besluitvorming.</w:t>
                            </w:r>
                          </w:p>
                        </w:txbxContent>
                      </wps:txbx>
                      <wps:bodyPr rot="0" vert="horz" wrap="square" lIns="91440" tIns="45720" rIns="91440" bIns="45720" anchor="t" anchorCtr="0">
                        <a:noAutofit/>
                      </wps:bodyPr>
                    </wps:wsp>
                  </a:graphicData>
                </a:graphic>
              </wp:inline>
            </w:drawing>
          </mc:Choice>
          <mc:Fallback>
            <w:pict>
              <v:shape id="Tekstvak 1361868869" style="width:469.1pt;height:63.6pt;visibility:visible;mso-wrap-style:square;mso-left-percent:-10001;mso-top-percent:-10001;mso-position-horizontal:absolute;mso-position-horizontal-relative:char;mso-position-vertical:absolute;mso-position-vertical-relative:line;mso-left-percent:-10001;mso-top-percent:-10001;v-text-anchor:top" o:spid="_x0000_s1049"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" w14:anchorId="38E142BF">
                <v:textbox>
                  <w:txbxContent>
                    <w:p w:rsidRPr="00F00B53" w:rsidR="00A05BAA" w:rsidP="00A05BAA" w:rsidRDefault="00A05BAA" w14:paraId="21B10CD4"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AF252C" w:rsidR="00A05BAA" w:rsidP="00AF252C" w:rsidRDefault="00AF252C" w14:paraId="31D618DE" w14:textId="33F6308A">
                      <w:pPr>
                        <w:autoSpaceDE w:val="0"/>
                        <w:autoSpaceDN w:val="0"/>
                        <w:adjustRightInd w:val="0"/>
                        <w:spacing w:line="276" w:lineRule="auto"/>
                        <w:jc w:val="both"/>
                        <w:rPr>
                          <w:rFonts w:ascii="Verdana" w:hAnsi="Verdana"/>
                          <w:color w:val="auto"/>
                          <w:sz w:val="18"/>
                          <w:szCs w:val="18"/>
                        </w:rPr>
                      </w:pPr>
                      <w:r w:rsidRPr="00AF252C">
                        <w:rPr>
                          <w:rFonts w:ascii="Verdana" w:hAnsi="Verdana"/>
                          <w:color w:val="auto"/>
                          <w:sz w:val="18"/>
                          <w:szCs w:val="18"/>
                        </w:rPr>
                        <w:t xml:space="preserve">De Commissie mer </w:t>
                      </w:r>
                      <w:r>
                        <w:rPr>
                          <w:rFonts w:ascii="Verdana" w:hAnsi="Verdana"/>
                          <w:color w:val="auto"/>
                          <w:sz w:val="18"/>
                          <w:szCs w:val="18"/>
                        </w:rPr>
                        <w:t>beveelt aan om</w:t>
                      </w:r>
                      <w:r w:rsidRPr="00AF252C">
                        <w:rPr>
                          <w:rFonts w:ascii="Verdana" w:hAnsi="Verdana"/>
                          <w:color w:val="auto"/>
                          <w:sz w:val="18"/>
                          <w:szCs w:val="18"/>
                        </w:rPr>
                        <w:t xml:space="preserve"> deze alsnog in het hoofdrapport op te nemen, zodat een compleet beeld van de kennisleemten wordt gegeven. Omdat de betreffende informatie al in de bijlage bij het MER beschikbaar is, ontbreekt geen informatie die noodzakelijk is voor de besluitvorming.</w:t>
                      </w:r>
                    </w:p>
                  </w:txbxContent>
                </v:textbox>
                <w10:anchorlock/>
              </v:shape>
            </w:pict>
          </mc:Fallback>
        </mc:AlternateContent>
      </w:r>
    </w:p>
    <w:p w:rsidR="00514229" w:rsidP="00A05BAA" w:rsidRDefault="00514229" w14:paraId="415C3A0D" w14:textId="77777777">
      <w:pPr>
        <w:pStyle w:val="BodyText"/>
        <w:jc w:val="both"/>
        <w:rPr>
          <w:u w:val="single"/>
        </w:rPr>
      </w:pPr>
    </w:p>
    <w:p w:rsidR="00A05BAA" w:rsidP="00A05BAA" w:rsidRDefault="00A05BAA" w14:paraId="0126309E" w14:textId="0A56DCAB">
      <w:pPr>
        <w:pStyle w:val="BodyText"/>
        <w:jc w:val="both"/>
        <w:rPr>
          <w:u w:val="single"/>
        </w:rPr>
      </w:pPr>
      <w:r w:rsidRPr="00FA3B4B">
        <w:rPr>
          <w:u w:val="single"/>
        </w:rPr>
        <w:t>Reactie</w:t>
      </w:r>
    </w:p>
    <w:p w:rsidR="00A05BAA" w:rsidP="00167BB5" w:rsidRDefault="00AF252C" w14:paraId="29B7AA89" w14:textId="70A099E6">
      <w:pPr>
        <w:pStyle w:val="BodyText"/>
        <w:jc w:val="both"/>
      </w:pPr>
      <w:r>
        <w:t>Aanbeveling</w:t>
      </w:r>
      <w:r w:rsidRPr="00FB2E62" w:rsidR="00167BB5">
        <w:t xml:space="preserve"> van de Commissie wordt </w:t>
      </w:r>
      <w:r>
        <w:t>op</w:t>
      </w:r>
      <w:r w:rsidRPr="00FB2E62" w:rsidR="00167BB5">
        <w:t>gevolgd.</w:t>
      </w:r>
    </w:p>
    <w:p w:rsidR="004324E8" w:rsidP="00167BB5" w:rsidRDefault="004324E8" w14:paraId="001A6A26" w14:textId="440408BB">
      <w:pPr>
        <w:pStyle w:val="BodyText"/>
        <w:jc w:val="both"/>
      </w:pPr>
    </w:p>
    <w:p w:rsidR="00A05BAA" w:rsidP="00A05BAA" w:rsidRDefault="00AF252C" w14:paraId="061620FD" w14:textId="64F436BC">
      <w:pPr>
        <w:pStyle w:val="Heading2"/>
        <w:numPr>
          <w:ilvl w:val="1"/>
          <w:numId w:val="6"/>
        </w:numPr>
      </w:pPr>
      <w:bookmarkStart w:name="_Toc240548256" w:id="185"/>
      <w:r>
        <w:t>Vergelijkingskaarten</w:t>
      </w:r>
      <w:bookmarkEnd w:id="185"/>
    </w:p>
    <w:p w:rsidRPr="00FA3B4B" w:rsidR="00A05BAA" w:rsidP="00A05BAA" w:rsidRDefault="00A05BAA" w14:paraId="437388D9" w14:textId="77777777">
      <w:pPr>
        <w:pStyle w:val="BodyText"/>
      </w:pPr>
      <w:r w:rsidRPr="00FA3B4B">
        <w:rPr>
          <w:noProof/>
          <w:lang w:val="en-GB"/>
        </w:rPr>
        <mc:AlternateContent>
          <mc:Choice Requires="wps">
            <w:drawing>
              <wp:inline distT="0" distB="0" distL="0" distR="0" wp14:anchorId="74C4E978" wp14:editId="4B39EB04">
                <wp:extent cx="5956300" cy="609600"/>
                <wp:effectExtent l="0" t="0" r="6350" b="0"/>
                <wp:docPr id="172152996" name="Tekstvak 172152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609600"/>
                        </a:xfrm>
                        <a:prstGeom prst="rect">
                          <a:avLst/>
                        </a:prstGeom>
                        <a:solidFill>
                          <a:schemeClr val="accent2">
                            <a:lumMod val="20000"/>
                            <a:lumOff val="80000"/>
                          </a:schemeClr>
                        </a:solidFill>
                        <a:ln w="9525">
                          <a:noFill/>
                          <a:miter lim="800000"/>
                          <a:headEnd/>
                          <a:tailEnd/>
                        </a:ln>
                      </wps:spPr>
                      <wps:txbx>
                        <w:txbxContent>
                          <w:p w:rsidR="00A05BAA" w:rsidP="00A05BAA" w:rsidRDefault="00486961" w14:paraId="415D8917" w14:textId="106D6FFC">
                            <w:pPr>
                              <w:rPr>
                                <w:rFonts w:ascii="Verdana" w:hAnsi="Verdana"/>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CC5FA1" w:rsidP="00A05BAA" w:rsidRDefault="00AF252C" w14:paraId="47776063" w14:textId="03C373AC">
                            <w:pPr>
                              <w:rPr>
                                <w:rFonts w:ascii="Verdana" w:hAnsi="Verdana"/>
                                <w:color w:val="auto"/>
                                <w:sz w:val="18"/>
                                <w:szCs w:val="18"/>
                              </w:rPr>
                            </w:pPr>
                            <w:r w:rsidRPr="00AF252C">
                              <w:rPr>
                                <w:rFonts w:ascii="Verdana" w:hAnsi="Verdana"/>
                                <w:color w:val="auto"/>
                                <w:sz w:val="18"/>
                                <w:szCs w:val="18"/>
                              </w:rPr>
                              <w:t>Voor de alternatieven 2 tot en met 4 zijn geen vergelijkingskaarten van de luchtkwaliteit ten opzichte van de referentiesituatie opgesteld, zo is gebleken uit navraag bij het bevoegd gezag.</w:t>
                            </w:r>
                          </w:p>
                        </w:txbxContent>
                      </wps:txbx>
                      <wps:bodyPr rot="0" vert="horz" wrap="square" lIns="91440" tIns="45720" rIns="91440" bIns="45720" anchor="t" anchorCtr="0">
                        <a:noAutofit/>
                      </wps:bodyPr>
                    </wps:wsp>
                  </a:graphicData>
                </a:graphic>
              </wp:inline>
            </w:drawing>
          </mc:Choice>
          <mc:Fallback>
            <w:pict>
              <v:shape id="Tekstvak 172152996" style="width:469pt;height:48pt;visibility:visible;mso-wrap-style:square;mso-left-percent:-10001;mso-top-percent:-10001;mso-position-horizontal:absolute;mso-position-horizontal-relative:char;mso-position-vertical:absolute;mso-position-vertical-relative:line;mso-left-percent:-10001;mso-top-percent:-10001;v-text-anchor:top" o:spid="_x0000_s1050" fillcolor="#fbffc3 [6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" w14:anchorId="74C4E978">
                <v:textbox>
                  <w:txbxContent>
                    <w:p w:rsidR="00A05BAA" w:rsidP="00A05BAA" w:rsidRDefault="00486961" w14:paraId="415D8917" w14:textId="106D6FFC">
                      <w:pPr>
                        <w:rPr>
                          <w:rFonts w:ascii="Verdana" w:hAnsi="Verdana"/>
                          <w:color w:val="auto"/>
                          <w:sz w:val="18"/>
                          <w:szCs w:val="18"/>
                        </w:rPr>
                      </w:pPr>
                      <w:r w:rsidRPr="00EB3305">
                        <w:rPr>
                          <w:rFonts w:ascii="Verdana" w:hAnsi="Verdana"/>
                          <w:b/>
                          <w:bCs/>
                          <w:color w:val="auto"/>
                          <w:sz w:val="18"/>
                          <w:szCs w:val="18"/>
                        </w:rPr>
                        <w:t xml:space="preserve">Samenvatting </w:t>
                      </w:r>
                      <w:r>
                        <w:rPr>
                          <w:rFonts w:ascii="Verdana" w:hAnsi="Verdana"/>
                          <w:b/>
                          <w:bCs/>
                          <w:color w:val="auto"/>
                          <w:sz w:val="18"/>
                          <w:szCs w:val="18"/>
                        </w:rPr>
                        <w:t xml:space="preserve">MER </w:t>
                      </w:r>
                      <w:r w:rsidRPr="00486961">
                        <w:rPr>
                          <w:rFonts w:ascii="Verdana" w:hAnsi="Verdana"/>
                          <w:b/>
                          <w:bCs/>
                          <w:color w:val="auto"/>
                          <w:sz w:val="18"/>
                          <w:szCs w:val="18"/>
                        </w:rPr>
                        <w:t>in het advies van de Commissie</w:t>
                      </w:r>
                    </w:p>
                    <w:p w:rsidRPr="000735AF" w:rsidR="00CC5FA1" w:rsidP="00A05BAA" w:rsidRDefault="00AF252C" w14:paraId="47776063" w14:textId="03C373AC">
                      <w:pPr>
                        <w:rPr>
                          <w:rFonts w:ascii="Verdana" w:hAnsi="Verdana"/>
                          <w:color w:val="auto"/>
                          <w:sz w:val="18"/>
                          <w:szCs w:val="18"/>
                        </w:rPr>
                      </w:pPr>
                      <w:r w:rsidRPr="00AF252C">
                        <w:rPr>
                          <w:rFonts w:ascii="Verdana" w:hAnsi="Verdana"/>
                          <w:color w:val="auto"/>
                          <w:sz w:val="18"/>
                          <w:szCs w:val="18"/>
                        </w:rPr>
                        <w:t>Voor de alternatieven 2 tot en met 4 zijn geen vergelijkingskaarten van de luchtkwaliteit ten opzichte van de referentiesituatie opgesteld, zo is gebleken uit navraag bij het bevoegd gezag.</w:t>
                      </w:r>
                    </w:p>
                  </w:txbxContent>
                </v:textbox>
                <w10:anchorlock/>
              </v:shape>
            </w:pict>
          </mc:Fallback>
        </mc:AlternateContent>
      </w:r>
    </w:p>
    <w:p w:rsidRPr="00FA3B4B" w:rsidR="00A05BAA" w:rsidP="00A05BAA" w:rsidRDefault="00A05BAA" w14:paraId="4255BD9B" w14:textId="77777777">
      <w:pPr>
        <w:pStyle w:val="BodyText"/>
      </w:pPr>
    </w:p>
    <w:p w:rsidRPr="00FA3B4B" w:rsidR="00A05BAA" w:rsidP="00A05BAA" w:rsidRDefault="00A05BAA" w14:paraId="6E57B5CD" w14:textId="77777777">
      <w:pPr>
        <w:pStyle w:val="BodyText"/>
      </w:pPr>
      <w:r w:rsidRPr="00FA3B4B">
        <w:rPr>
          <w:noProof/>
          <w:szCs w:val="18"/>
          <w:lang w:val="en-GB"/>
        </w:rPr>
        <mc:AlternateContent>
          <mc:Choice Requires="wps">
            <w:drawing>
              <wp:inline distT="0" distB="0" distL="0" distR="0" wp14:anchorId="722C5C6D" wp14:editId="52FFA55F">
                <wp:extent cx="5957570" cy="967740"/>
                <wp:effectExtent l="0" t="0" r="5080" b="3810"/>
                <wp:docPr id="1271939946" name="Tekstvak 1271939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967740"/>
                        </a:xfrm>
                        <a:prstGeom prst="rect">
                          <a:avLst/>
                        </a:prstGeom>
                        <a:solidFill>
                          <a:schemeClr val="accent6">
                            <a:lumMod val="20000"/>
                            <a:lumOff val="80000"/>
                          </a:schemeClr>
                        </a:solidFill>
                        <a:ln w="9525">
                          <a:noFill/>
                          <a:miter lim="800000"/>
                          <a:headEnd/>
                          <a:tailEnd/>
                        </a:ln>
                      </wps:spPr>
                      <wps:txbx>
                        <w:txbxContent>
                          <w:p w:rsidRPr="00F00B53" w:rsidR="00A05BAA" w:rsidP="00A05BAA" w:rsidRDefault="00A05BAA" w14:paraId="6FEC5EB7"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AF252C" w:rsidR="00A05BAA" w:rsidP="00A05BAA" w:rsidRDefault="00AF252C" w14:paraId="7D9D8C86" w14:textId="189F5036">
                            <w:pPr>
                              <w:spacing w:line="276" w:lineRule="auto"/>
                              <w:jc w:val="both"/>
                              <w:rPr>
                                <w:rFonts w:ascii="Verdana" w:hAnsi="Verdana"/>
                                <w:color w:val="auto"/>
                                <w:sz w:val="18"/>
                                <w:szCs w:val="18"/>
                              </w:rPr>
                            </w:pPr>
                            <w:r w:rsidRPr="00AF252C">
                              <w:rPr>
                                <w:rFonts w:ascii="Verdana" w:hAnsi="Verdana"/>
                                <w:color w:val="auto"/>
                                <w:sz w:val="18"/>
                                <w:szCs w:val="18"/>
                              </w:rPr>
                              <w:t xml:space="preserve">De Commissie mer </w:t>
                            </w:r>
                            <w:r>
                              <w:rPr>
                                <w:rFonts w:ascii="Verdana" w:hAnsi="Verdana"/>
                                <w:color w:val="auto"/>
                                <w:sz w:val="18"/>
                                <w:szCs w:val="18"/>
                              </w:rPr>
                              <w:t>beveelt aan</w:t>
                            </w:r>
                            <w:r w:rsidRPr="00AF252C">
                              <w:rPr>
                                <w:rFonts w:ascii="Verdana" w:hAnsi="Verdana"/>
                                <w:color w:val="auto"/>
                                <w:sz w:val="18"/>
                                <w:szCs w:val="18"/>
                              </w:rPr>
                              <w:t xml:space="preserve"> om dit kaartmateriaal alsnog beschikbaar te maken. Hiermee wordt voor belanghebbenden inzichtelijk gemaakt hoe de luchtkwaliteit in hun directe omgeving verandert. Dit sluit aan bij de informatiebehoefte van omwonenden, zoals blijkt uit de zienswijzen, en bij de inzet van de luchthaven om transparantie over de milieueffecten te bieden.</w:t>
                            </w:r>
                          </w:p>
                        </w:txbxContent>
                      </wps:txbx>
                      <wps:bodyPr rot="0" vert="horz" wrap="square" lIns="91440" tIns="45720" rIns="91440" bIns="45720" anchor="t" anchorCtr="0">
                        <a:noAutofit/>
                      </wps:bodyPr>
                    </wps:wsp>
                  </a:graphicData>
                </a:graphic>
              </wp:inline>
            </w:drawing>
          </mc:Choice>
          <mc:Fallback>
            <w:pict>
              <v:shape id="Tekstvak 1271939946" style="width:469.1pt;height:76.2pt;visibility:visible;mso-wrap-style:square;mso-left-percent:-10001;mso-top-percent:-10001;mso-position-horizontal:absolute;mso-position-horizontal-relative:char;mso-position-vertical:absolute;mso-position-vertical-relative:line;mso-left-percent:-10001;mso-top-percent:-10001;v-text-anchor:top" o:spid="_x0000_s1051" fillcolor="#e1e0e0 [6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" w14:anchorId="722C5C6D">
                <v:textbox>
                  <w:txbxContent>
                    <w:p w:rsidRPr="00F00B53" w:rsidR="00A05BAA" w:rsidP="00A05BAA" w:rsidRDefault="00A05BAA" w14:paraId="6FEC5EB7" w14:textId="77777777">
                      <w:pPr>
                        <w:rPr>
                          <w:rFonts w:ascii="Verdana" w:hAnsi="Verdana"/>
                          <w:b/>
                          <w:bCs/>
                          <w:color w:val="auto"/>
                          <w:sz w:val="18"/>
                          <w:szCs w:val="18"/>
                        </w:rPr>
                      </w:pPr>
                      <w:r w:rsidRPr="00F00B53">
                        <w:rPr>
                          <w:rFonts w:ascii="Verdana" w:hAnsi="Verdana"/>
                          <w:b/>
                          <w:bCs/>
                          <w:color w:val="auto"/>
                          <w:sz w:val="18"/>
                          <w:szCs w:val="18"/>
                        </w:rPr>
                        <w:t xml:space="preserve">Advies </w:t>
                      </w:r>
                      <w:r>
                        <w:rPr>
                          <w:rFonts w:ascii="Verdana" w:hAnsi="Verdana"/>
                          <w:b/>
                          <w:bCs/>
                          <w:color w:val="auto"/>
                          <w:sz w:val="18"/>
                          <w:szCs w:val="18"/>
                        </w:rPr>
                        <w:t>MER</w:t>
                      </w:r>
                      <w:r w:rsidRPr="00F00B53">
                        <w:rPr>
                          <w:rFonts w:ascii="Verdana" w:hAnsi="Verdana"/>
                          <w:b/>
                          <w:bCs/>
                          <w:color w:val="auto"/>
                          <w:sz w:val="18"/>
                          <w:szCs w:val="18"/>
                        </w:rPr>
                        <w:t xml:space="preserve"> door de Commissie </w:t>
                      </w:r>
                    </w:p>
                    <w:p w:rsidRPr="00AF252C" w:rsidR="00A05BAA" w:rsidP="00A05BAA" w:rsidRDefault="00AF252C" w14:paraId="7D9D8C86" w14:textId="189F5036">
                      <w:pPr>
                        <w:spacing w:line="276" w:lineRule="auto"/>
                        <w:jc w:val="both"/>
                        <w:rPr>
                          <w:rFonts w:ascii="Verdana" w:hAnsi="Verdana"/>
                          <w:color w:val="auto"/>
                          <w:sz w:val="18"/>
                          <w:szCs w:val="18"/>
                        </w:rPr>
                      </w:pPr>
                      <w:r w:rsidRPr="00AF252C">
                        <w:rPr>
                          <w:rFonts w:ascii="Verdana" w:hAnsi="Verdana"/>
                          <w:color w:val="auto"/>
                          <w:sz w:val="18"/>
                          <w:szCs w:val="18"/>
                        </w:rPr>
                        <w:t xml:space="preserve">De Commissie mer </w:t>
                      </w:r>
                      <w:r>
                        <w:rPr>
                          <w:rFonts w:ascii="Verdana" w:hAnsi="Verdana"/>
                          <w:color w:val="auto"/>
                          <w:sz w:val="18"/>
                          <w:szCs w:val="18"/>
                        </w:rPr>
                        <w:t>beveelt aan</w:t>
                      </w:r>
                      <w:r w:rsidRPr="00AF252C">
                        <w:rPr>
                          <w:rFonts w:ascii="Verdana" w:hAnsi="Verdana"/>
                          <w:color w:val="auto"/>
                          <w:sz w:val="18"/>
                          <w:szCs w:val="18"/>
                        </w:rPr>
                        <w:t xml:space="preserve"> om dit kaartmateriaal alsnog beschikbaar te maken. Hiermee wordt voor belanghebbenden inzichtelijk gemaakt hoe de luchtkwaliteit in hun directe omgeving verandert. Dit sluit aan bij de informatiebehoefte van omwonenden, zoals blijkt uit de zienswijzen, en bij de inzet van de luchthaven om transparantie over de milieueffecten te bieden.</w:t>
                      </w:r>
                    </w:p>
                  </w:txbxContent>
                </v:textbox>
                <w10:anchorlock/>
              </v:shape>
            </w:pict>
          </mc:Fallback>
        </mc:AlternateContent>
      </w:r>
    </w:p>
    <w:p w:rsidRPr="00FA3B4B" w:rsidR="00A05BAA" w:rsidP="00A05BAA" w:rsidRDefault="00A05BAA" w14:paraId="35E67927" w14:textId="77777777">
      <w:pPr>
        <w:pStyle w:val="BodyText"/>
      </w:pPr>
    </w:p>
    <w:p w:rsidR="00A05BAA" w:rsidP="00A05BAA" w:rsidRDefault="00A05BAA" w14:paraId="65C2946C" w14:textId="77777777">
      <w:pPr>
        <w:pStyle w:val="BodyText"/>
        <w:jc w:val="both"/>
        <w:rPr>
          <w:u w:val="single"/>
        </w:rPr>
      </w:pPr>
      <w:r w:rsidRPr="00FA3B4B">
        <w:rPr>
          <w:u w:val="single"/>
        </w:rPr>
        <w:t>Reactie</w:t>
      </w:r>
    </w:p>
    <w:p w:rsidRPr="00A05BAA" w:rsidR="004324E8" w:rsidP="00167BB5" w:rsidRDefault="00AF252C" w14:paraId="3DCDB669" w14:textId="625239A2">
      <w:pPr>
        <w:pStyle w:val="BodyText"/>
        <w:jc w:val="both"/>
      </w:pPr>
      <w:r>
        <w:t>De aanbeveling</w:t>
      </w:r>
      <w:r w:rsidRPr="00AF252C">
        <w:t xml:space="preserve"> van de Commissie mer wordt opgevolgd. Voor alternatief 2 tot en met 4 worden, conform de werkwijze in het Deelrapport Emissie- en Luchtkwaliteit (figuur 22), vergelijkingskaarten opgesteld van de NO₂-concentraties ten opzichte van de autonome ontwikkeling. </w:t>
      </w:r>
    </w:p>
    <w:p w:rsidRPr="00932702" w:rsidR="00932702" w:rsidP="00932702" w:rsidRDefault="00932702" w14:paraId="2D592DB4" w14:textId="77777777">
      <w:pPr>
        <w:pStyle w:val="BodyText"/>
      </w:pPr>
    </w:p>
    <w:p w:rsidRPr="00FA3B4B" w:rsidR="00D974C7" w:rsidP="00D974C7" w:rsidRDefault="00D974C7" w14:paraId="09F99EA6" w14:textId="77777777">
      <w:pPr>
        <w:jc w:val="both"/>
        <w:rPr>
          <w:rFonts w:ascii="Verdana" w:hAnsi="Verdana"/>
          <w:color w:val="auto"/>
          <w:sz w:val="18"/>
        </w:rPr>
      </w:pPr>
    </w:p>
    <w:p w:rsidRPr="00FA3B4B" w:rsidR="00D974C7" w:rsidRDefault="00D974C7" w14:paraId="734AFF12" w14:textId="77777777">
      <w:pPr>
        <w:rPr>
          <w:rFonts w:ascii="Verdana" w:hAnsi="Verdana"/>
          <w:color w:val="auto"/>
          <w:sz w:val="18"/>
        </w:rPr>
      </w:pPr>
    </w:p>
    <w:p w:rsidRPr="0025035B" w:rsidR="00B107C9" w:rsidP="000303FF" w:rsidRDefault="00B107C9" w14:paraId="6ED98D25" w14:textId="5F1FABA6">
      <w:pPr>
        <w:pStyle w:val="BodyText"/>
        <w:jc w:val="both"/>
      </w:pPr>
      <w:bookmarkStart w:name="_Toc133594809" w:id="186"/>
      <w:bookmarkStart w:name="_Toc135223427" w:id="187"/>
      <w:bookmarkStart w:name="_Toc135226677" w:id="188"/>
      <w:bookmarkStart w:name="_Toc230703801" w:id="189"/>
      <w:bookmarkEnd w:id="0"/>
      <w:bookmarkEnd w:id="186"/>
      <w:bookmarkEnd w:id="187"/>
      <w:bookmarkEnd w:id="188"/>
      <w:bookmarkEnd w:id="189"/>
    </w:p>
    <w:sectPr w:rsidRPr="0025035B" w:rsidR="00B107C9" w:rsidSect="006254BF">
      <w:footerReference w:type="default" r:id="rId21"/>
      <w:pgSz w:w="11907" w:h="16839" w:code="9"/>
      <w:pgMar w:top="2381" w:right="1247" w:bottom="1247" w:left="1247" w:header="454" w:footer="403" w:gutter="0"/>
      <w:pgNumType w:start="1"/>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8207F" w14:textId="77777777" w:rsidR="00A34CA5" w:rsidRDefault="00A34CA5" w:rsidP="00272C4B">
      <w:pPr>
        <w:spacing w:line="240" w:lineRule="auto"/>
      </w:pPr>
      <w:r>
        <w:separator/>
      </w:r>
    </w:p>
  </w:endnote>
  <w:endnote w:type="continuationSeparator" w:id="0">
    <w:p w14:paraId="6D061D36" w14:textId="77777777" w:rsidR="00A34CA5" w:rsidRDefault="00A34CA5" w:rsidP="00272C4B">
      <w:pPr>
        <w:spacing w:line="240" w:lineRule="auto"/>
      </w:pPr>
      <w:r>
        <w:continuationSeparator/>
      </w:r>
    </w:p>
  </w:endnote>
  <w:endnote w:type="continuationNotice" w:id="1">
    <w:p w14:paraId="541C2289" w14:textId="77777777" w:rsidR="00A34CA5" w:rsidRDefault="00A34C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DCB4F" w14:textId="77777777" w:rsidR="002600C3" w:rsidRDefault="002600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RHDHVTableNormal"/>
      <w:tblW w:w="5000" w:type="pct"/>
      <w:tblLook w:val="04A0" w:firstRow="1" w:lastRow="0" w:firstColumn="1" w:lastColumn="0" w:noHBand="0" w:noVBand="1"/>
    </w:tblPr>
    <w:tblGrid>
      <w:gridCol w:w="1587"/>
      <w:gridCol w:w="4083"/>
      <w:gridCol w:w="2268"/>
      <w:gridCol w:w="851"/>
      <w:gridCol w:w="624"/>
    </w:tblGrid>
    <w:tr w:rsidR="00093CF7" w14:paraId="251574E9" w14:textId="77777777" w:rsidTr="004B3A8F">
      <w:trPr>
        <w:trHeight w:val="283"/>
      </w:trPr>
      <w:tc>
        <w:tcPr>
          <w:tcW w:w="1587" w:type="dxa"/>
          <w:vAlign w:val="top"/>
        </w:tcPr>
        <w:p w14:paraId="00C2BE50" w14:textId="31348E14" w:rsidR="00093CF7" w:rsidRPr="002B5543" w:rsidRDefault="00093CF7" w:rsidP="009806A4">
          <w:pPr>
            <w:pStyle w:val="Footer"/>
            <w:rPr>
              <w:color w:val="auto"/>
            </w:rPr>
          </w:pPr>
        </w:p>
      </w:tc>
      <w:tc>
        <w:tcPr>
          <w:tcW w:w="4083" w:type="dxa"/>
          <w:vAlign w:val="top"/>
        </w:tcPr>
        <w:p w14:paraId="4A0BA382" w14:textId="618649DE" w:rsidR="00093CF7" w:rsidRDefault="00093CF7" w:rsidP="001A60AC">
          <w:pPr>
            <w:pStyle w:val="FooterBold"/>
          </w:pPr>
        </w:p>
      </w:tc>
      <w:tc>
        <w:tcPr>
          <w:tcW w:w="2268" w:type="dxa"/>
          <w:vAlign w:val="top"/>
        </w:tcPr>
        <w:p w14:paraId="3B8C7EA8" w14:textId="74C7FA7B" w:rsidR="00093CF7" w:rsidRPr="002B5543" w:rsidRDefault="00093CF7" w:rsidP="001A60AC">
          <w:pPr>
            <w:pStyle w:val="Footer"/>
            <w:jc w:val="right"/>
            <w:rPr>
              <w:color w:val="auto"/>
              <w:lang w:val="en-US"/>
            </w:rPr>
          </w:pPr>
        </w:p>
      </w:tc>
      <w:tc>
        <w:tcPr>
          <w:tcW w:w="851" w:type="dxa"/>
          <w:tcMar>
            <w:right w:w="113" w:type="dxa"/>
          </w:tcMar>
          <w:vAlign w:val="top"/>
        </w:tcPr>
        <w:p w14:paraId="17E3BC77" w14:textId="77777777" w:rsidR="00093CF7" w:rsidRPr="002B5543" w:rsidRDefault="00093CF7" w:rsidP="001A60AC">
          <w:pPr>
            <w:pStyle w:val="Footer"/>
            <w:jc w:val="right"/>
            <w:rPr>
              <w:color w:val="auto"/>
            </w:rPr>
          </w:pPr>
          <w:r w:rsidRPr="002B5543">
            <w:rPr>
              <w:color w:val="auto"/>
            </w:rPr>
            <w:fldChar w:fldCharType="begin"/>
          </w:r>
          <w:r w:rsidRPr="002B5543">
            <w:rPr>
              <w:color w:val="auto"/>
            </w:rPr>
            <w:instrText xml:space="preserve"> PAGE   \* MERGEFORMAT </w:instrText>
          </w:r>
          <w:r w:rsidRPr="002B5543">
            <w:rPr>
              <w:color w:val="auto"/>
            </w:rPr>
            <w:fldChar w:fldCharType="separate"/>
          </w:r>
          <w:r w:rsidRPr="002B5543">
            <w:rPr>
              <w:noProof/>
              <w:color w:val="auto"/>
            </w:rPr>
            <w:t>1</w:t>
          </w:r>
          <w:r w:rsidRPr="002B5543">
            <w:rPr>
              <w:color w:val="auto"/>
            </w:rPr>
            <w:fldChar w:fldCharType="end"/>
          </w:r>
        </w:p>
      </w:tc>
      <w:tc>
        <w:tcPr>
          <w:tcW w:w="624" w:type="dxa"/>
          <w:vAlign w:val="top"/>
        </w:tcPr>
        <w:p w14:paraId="16C1D502" w14:textId="77777777" w:rsidR="00093CF7" w:rsidRDefault="00093CF7">
          <w:pPr>
            <w:pStyle w:val="Footer"/>
          </w:pPr>
        </w:p>
      </w:tc>
    </w:tr>
  </w:tbl>
  <w:p w14:paraId="4332D78D" w14:textId="77777777" w:rsidR="00093CF7" w:rsidRPr="00785CCD" w:rsidRDefault="00093C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F1717" w14:textId="77777777" w:rsidR="002600C3" w:rsidRDefault="002600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RHDHVTableNormal"/>
      <w:tblW w:w="5000" w:type="pct"/>
      <w:tblLook w:val="04A0" w:firstRow="1" w:lastRow="0" w:firstColumn="1" w:lastColumn="0" w:noHBand="0" w:noVBand="1"/>
    </w:tblPr>
    <w:tblGrid>
      <w:gridCol w:w="1587"/>
      <w:gridCol w:w="4083"/>
      <w:gridCol w:w="2268"/>
      <w:gridCol w:w="851"/>
      <w:gridCol w:w="624"/>
    </w:tblGrid>
    <w:tr w:rsidR="00093CF7" w14:paraId="445F5B2C" w14:textId="77777777" w:rsidTr="004B3A8F">
      <w:trPr>
        <w:trHeight w:val="283"/>
      </w:trPr>
      <w:tc>
        <w:tcPr>
          <w:tcW w:w="1587" w:type="dxa"/>
          <w:vAlign w:val="top"/>
        </w:tcPr>
        <w:p w14:paraId="6672A8A5" w14:textId="6B5B1FB5" w:rsidR="00093CF7" w:rsidRDefault="00093CF7" w:rsidP="009806A4">
          <w:pPr>
            <w:pStyle w:val="Footer"/>
          </w:pPr>
        </w:p>
      </w:tc>
      <w:tc>
        <w:tcPr>
          <w:tcW w:w="4083" w:type="dxa"/>
          <w:vAlign w:val="top"/>
        </w:tcPr>
        <w:p w14:paraId="57BCA765" w14:textId="68A74FE6" w:rsidR="00093CF7" w:rsidRDefault="00093CF7" w:rsidP="001A60AC">
          <w:pPr>
            <w:pStyle w:val="FooterBold"/>
          </w:pPr>
        </w:p>
      </w:tc>
      <w:tc>
        <w:tcPr>
          <w:tcW w:w="2268" w:type="dxa"/>
          <w:vAlign w:val="top"/>
        </w:tcPr>
        <w:p w14:paraId="7B6EA547" w14:textId="4F36F207" w:rsidR="00093CF7" w:rsidRPr="00317C3A" w:rsidRDefault="00093CF7" w:rsidP="001A60AC">
          <w:pPr>
            <w:pStyle w:val="Footer"/>
            <w:jc w:val="right"/>
            <w:rPr>
              <w:color w:val="auto"/>
              <w:lang w:val="en-US"/>
            </w:rPr>
          </w:pPr>
        </w:p>
      </w:tc>
      <w:tc>
        <w:tcPr>
          <w:tcW w:w="851" w:type="dxa"/>
          <w:tcMar>
            <w:right w:w="113" w:type="dxa"/>
          </w:tcMar>
          <w:vAlign w:val="top"/>
        </w:tcPr>
        <w:p w14:paraId="5EC7A1F5" w14:textId="77777777" w:rsidR="00093CF7" w:rsidRDefault="00093CF7" w:rsidP="001A60AC">
          <w:pPr>
            <w:pStyle w:val="Footer"/>
            <w:jc w:val="right"/>
          </w:pPr>
          <w:r w:rsidRPr="00317C3A">
            <w:rPr>
              <w:color w:val="auto"/>
            </w:rPr>
            <w:fldChar w:fldCharType="begin"/>
          </w:r>
          <w:r w:rsidRPr="00317C3A">
            <w:rPr>
              <w:color w:val="auto"/>
            </w:rPr>
            <w:instrText xml:space="preserve"> PAGE   \* MERGEFORMAT </w:instrText>
          </w:r>
          <w:r w:rsidRPr="00317C3A">
            <w:rPr>
              <w:color w:val="auto"/>
            </w:rPr>
            <w:fldChar w:fldCharType="separate"/>
          </w:r>
          <w:r w:rsidRPr="00317C3A">
            <w:rPr>
              <w:noProof/>
              <w:color w:val="auto"/>
            </w:rPr>
            <w:t>1</w:t>
          </w:r>
          <w:r w:rsidRPr="00317C3A">
            <w:rPr>
              <w:noProof/>
              <w:color w:val="auto"/>
            </w:rPr>
            <w:fldChar w:fldCharType="end"/>
          </w:r>
        </w:p>
      </w:tc>
      <w:tc>
        <w:tcPr>
          <w:tcW w:w="624" w:type="dxa"/>
          <w:vAlign w:val="top"/>
        </w:tcPr>
        <w:p w14:paraId="2B9D15F0" w14:textId="77777777" w:rsidR="00093CF7" w:rsidRDefault="00093CF7">
          <w:pPr>
            <w:pStyle w:val="Footer"/>
          </w:pPr>
        </w:p>
      </w:tc>
    </w:tr>
  </w:tbl>
  <w:p w14:paraId="19398FA9" w14:textId="77777777" w:rsidR="00093CF7" w:rsidRPr="00785CCD" w:rsidRDefault="00093C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RHDHVTableNormal"/>
      <w:tblW w:w="5000" w:type="pct"/>
      <w:tblLook w:val="04A0" w:firstRow="1" w:lastRow="0" w:firstColumn="1" w:lastColumn="0" w:noHBand="0" w:noVBand="1"/>
    </w:tblPr>
    <w:tblGrid>
      <w:gridCol w:w="1587"/>
      <w:gridCol w:w="4083"/>
      <w:gridCol w:w="2268"/>
      <w:gridCol w:w="851"/>
      <w:gridCol w:w="624"/>
    </w:tblGrid>
    <w:tr w:rsidR="00281503" w14:paraId="6D089A7D" w14:textId="77777777" w:rsidTr="004B3A8F">
      <w:trPr>
        <w:trHeight w:val="283"/>
      </w:trPr>
      <w:tc>
        <w:tcPr>
          <w:tcW w:w="1587" w:type="dxa"/>
          <w:vAlign w:val="top"/>
        </w:tcPr>
        <w:p w14:paraId="1EF95FE5" w14:textId="445615CB" w:rsidR="00281503" w:rsidRDefault="00281503" w:rsidP="009806A4">
          <w:pPr>
            <w:pStyle w:val="Footer"/>
          </w:pPr>
        </w:p>
      </w:tc>
      <w:tc>
        <w:tcPr>
          <w:tcW w:w="4083" w:type="dxa"/>
          <w:vAlign w:val="top"/>
        </w:tcPr>
        <w:p w14:paraId="5FE09FDE" w14:textId="5D8B6A2B" w:rsidR="00281503" w:rsidRDefault="00281503" w:rsidP="001A60AC">
          <w:pPr>
            <w:pStyle w:val="FooterBold"/>
          </w:pPr>
        </w:p>
      </w:tc>
      <w:tc>
        <w:tcPr>
          <w:tcW w:w="2268" w:type="dxa"/>
          <w:vAlign w:val="top"/>
        </w:tcPr>
        <w:p w14:paraId="4761F305" w14:textId="2D9B3E07" w:rsidR="00281503" w:rsidRPr="00317C3A" w:rsidRDefault="00281503" w:rsidP="001A60AC">
          <w:pPr>
            <w:pStyle w:val="Footer"/>
            <w:jc w:val="right"/>
            <w:rPr>
              <w:color w:val="auto"/>
              <w:lang w:val="en-US"/>
            </w:rPr>
          </w:pPr>
        </w:p>
      </w:tc>
      <w:tc>
        <w:tcPr>
          <w:tcW w:w="851" w:type="dxa"/>
          <w:tcMar>
            <w:right w:w="113" w:type="dxa"/>
          </w:tcMar>
          <w:vAlign w:val="top"/>
        </w:tcPr>
        <w:p w14:paraId="13B4EBD3" w14:textId="77777777" w:rsidR="00281503" w:rsidRDefault="00112E46" w:rsidP="001A60AC">
          <w:pPr>
            <w:pStyle w:val="Footer"/>
            <w:jc w:val="right"/>
          </w:pPr>
          <w:r w:rsidRPr="00317C3A">
            <w:rPr>
              <w:color w:val="auto"/>
            </w:rPr>
            <w:fldChar w:fldCharType="begin"/>
          </w:r>
          <w:r w:rsidRPr="00317C3A">
            <w:rPr>
              <w:color w:val="auto"/>
            </w:rPr>
            <w:instrText xml:space="preserve"> PAGE   \* MERGEFORMAT </w:instrText>
          </w:r>
          <w:r w:rsidRPr="00317C3A">
            <w:rPr>
              <w:color w:val="auto"/>
            </w:rPr>
            <w:fldChar w:fldCharType="separate"/>
          </w:r>
          <w:r w:rsidRPr="00317C3A">
            <w:rPr>
              <w:noProof/>
              <w:color w:val="auto"/>
            </w:rPr>
            <w:t>1</w:t>
          </w:r>
          <w:r w:rsidRPr="00317C3A">
            <w:rPr>
              <w:noProof/>
              <w:color w:val="auto"/>
            </w:rPr>
            <w:fldChar w:fldCharType="end"/>
          </w:r>
        </w:p>
      </w:tc>
      <w:tc>
        <w:tcPr>
          <w:tcW w:w="624" w:type="dxa"/>
          <w:vAlign w:val="top"/>
        </w:tcPr>
        <w:p w14:paraId="1EC7AB70" w14:textId="77777777" w:rsidR="00281503" w:rsidRDefault="00281503">
          <w:pPr>
            <w:pStyle w:val="Footer"/>
          </w:pPr>
        </w:p>
      </w:tc>
    </w:tr>
  </w:tbl>
  <w:p w14:paraId="7E1B8D17" w14:textId="77777777" w:rsidR="00281503" w:rsidRPr="00785CCD" w:rsidRDefault="00281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3CA49" w14:textId="77777777" w:rsidR="00A34CA5" w:rsidRDefault="00A34CA5" w:rsidP="00272C4B">
      <w:pPr>
        <w:spacing w:line="240" w:lineRule="auto"/>
      </w:pPr>
      <w:r>
        <w:separator/>
      </w:r>
    </w:p>
  </w:footnote>
  <w:footnote w:type="continuationSeparator" w:id="0">
    <w:p w14:paraId="234ED109" w14:textId="77777777" w:rsidR="00A34CA5" w:rsidRDefault="00A34CA5" w:rsidP="00272C4B">
      <w:pPr>
        <w:spacing w:line="240" w:lineRule="auto"/>
      </w:pPr>
      <w:r>
        <w:continuationSeparator/>
      </w:r>
    </w:p>
  </w:footnote>
  <w:footnote w:type="continuationNotice" w:id="1">
    <w:p w14:paraId="5DE75E4C" w14:textId="77777777" w:rsidR="00A34CA5" w:rsidRDefault="00A34CA5">
      <w:pPr>
        <w:spacing w:line="240" w:lineRule="auto"/>
      </w:pPr>
    </w:p>
  </w:footnote>
  <w:footnote w:id="2">
    <w:p w14:paraId="68A8CF27" w14:textId="0CDEE39D" w:rsidR="009654D8" w:rsidRPr="009654D8" w:rsidRDefault="009654D8">
      <w:pPr>
        <w:pStyle w:val="FootnoteText"/>
        <w:rPr>
          <w:rFonts w:ascii="Verdana" w:hAnsi="Verdana"/>
        </w:rPr>
      </w:pPr>
      <w:r w:rsidRPr="009654D8">
        <w:rPr>
          <w:rStyle w:val="FootnoteReference"/>
          <w:rFonts w:ascii="Verdana" w:hAnsi="Verdana"/>
          <w:color w:val="auto"/>
        </w:rPr>
        <w:footnoteRef/>
      </w:r>
      <w:r w:rsidRPr="009654D8">
        <w:rPr>
          <w:rFonts w:ascii="Verdana" w:hAnsi="Verdana"/>
          <w:color w:val="auto"/>
        </w:rPr>
        <w:t xml:space="preserve"> </w:t>
      </w:r>
      <w:hyperlink r:id="rId1" w:history="1">
        <w:r w:rsidRPr="009654D8">
          <w:rPr>
            <w:rStyle w:val="Hyperlink"/>
            <w:rFonts w:ascii="Verdana" w:hAnsi="Verdana"/>
            <w:color w:val="auto"/>
            <w:szCs w:val="16"/>
          </w:rPr>
          <w:t>Advies Commissie mer</w:t>
        </w:r>
      </w:hyperlink>
    </w:p>
  </w:footnote>
  <w:footnote w:id="3">
    <w:p w14:paraId="3BDFCD87" w14:textId="4B7D9AA2" w:rsidR="00AA5A34" w:rsidRPr="009654D8" w:rsidRDefault="00AA5A34">
      <w:pPr>
        <w:pStyle w:val="FootnoteText"/>
        <w:rPr>
          <w:rFonts w:ascii="Verdana" w:hAnsi="Verdana"/>
          <w:color w:val="auto"/>
        </w:rPr>
      </w:pPr>
      <w:r w:rsidRPr="009654D8">
        <w:rPr>
          <w:rStyle w:val="FootnoteReference"/>
          <w:rFonts w:ascii="Verdana" w:hAnsi="Verdana"/>
          <w:color w:val="auto"/>
        </w:rPr>
        <w:footnoteRef/>
      </w:r>
      <w:r w:rsidRPr="009654D8">
        <w:rPr>
          <w:rFonts w:ascii="Verdana" w:hAnsi="Verdana"/>
          <w:color w:val="auto"/>
        </w:rPr>
        <w:t xml:space="preserve"> </w:t>
      </w:r>
      <w:hyperlink r:id="rId2" w:history="1">
        <w:r w:rsidRPr="009654D8">
          <w:rPr>
            <w:rStyle w:val="Hyperlink"/>
            <w:rFonts w:ascii="Verdana" w:hAnsi="Verdana"/>
            <w:color w:val="auto"/>
          </w:rPr>
          <w:t>Positieve weigering Wnb-aanvraag project Rotterdam The Hague Airport</w:t>
        </w:r>
      </w:hyperlink>
    </w:p>
  </w:footnote>
  <w:footnote w:id="4">
    <w:p w14:paraId="068CE9AD" w14:textId="74345B32" w:rsidR="009654D8" w:rsidRPr="009654D8" w:rsidRDefault="009654D8">
      <w:pPr>
        <w:pStyle w:val="FootnoteText"/>
        <w:rPr>
          <w:rFonts w:ascii="Verdana" w:hAnsi="Verdana"/>
          <w:color w:val="auto"/>
          <w:lang w:val="de-DE"/>
        </w:rPr>
      </w:pPr>
      <w:r w:rsidRPr="009654D8">
        <w:rPr>
          <w:rStyle w:val="FootnoteReference"/>
          <w:rFonts w:ascii="Verdana" w:hAnsi="Verdana"/>
          <w:color w:val="auto"/>
        </w:rPr>
        <w:footnoteRef/>
      </w:r>
      <w:r w:rsidRPr="009654D8">
        <w:rPr>
          <w:rFonts w:ascii="Verdana" w:hAnsi="Verdana"/>
          <w:color w:val="auto"/>
          <w:lang w:val="de-DE"/>
        </w:rPr>
        <w:t xml:space="preserve"> </w:t>
      </w:r>
      <w:hyperlink r:id="rId3" w:tooltip="Rechtbank Gelderland 16 april 2026, ECLI:NL:RBGEL:2026:2962" w:history="1">
        <w:r w:rsidRPr="009654D8">
          <w:rPr>
            <w:rStyle w:val="Hyperlink"/>
            <w:rFonts w:ascii="Verdana" w:hAnsi="Verdana"/>
            <w:color w:val="auto"/>
            <w:lang w:val="de-DE"/>
          </w:rPr>
          <w:t>Rechtbank Gelderland 16 april 2026, ECLI:NL:RBGEL:2026:2962</w:t>
        </w:r>
      </w:hyperlink>
    </w:p>
  </w:footnote>
  <w:footnote w:id="5">
    <w:p w14:paraId="6D7EE4DD" w14:textId="4F43B90A" w:rsidR="00275142" w:rsidRDefault="00275142">
      <w:pPr>
        <w:pStyle w:val="FootnoteText"/>
      </w:pPr>
      <w:r>
        <w:rPr>
          <w:rStyle w:val="FootnoteReference"/>
        </w:rPr>
        <w:footnoteRef/>
      </w:r>
      <w:r>
        <w:t xml:space="preserve"> </w:t>
      </w:r>
      <w:hyperlink r:id="rId4" w:history="1">
        <w:r w:rsidRPr="00275142">
          <w:rPr>
            <w:rStyle w:val="Hyperlink"/>
            <w:rFonts w:ascii="Verdana" w:hAnsi="Verdana"/>
          </w:rPr>
          <w:t>Kamerbrief DGNV / 52705917</w:t>
        </w:r>
      </w:hyperlink>
    </w:p>
  </w:footnote>
  <w:footnote w:id="6">
    <w:p w14:paraId="6C11A796" w14:textId="2875EDDB" w:rsidR="00760498" w:rsidRPr="00760498" w:rsidRDefault="00760498">
      <w:pPr>
        <w:pStyle w:val="FootnoteText"/>
        <w:rPr>
          <w:rFonts w:ascii="Verdana" w:hAnsi="Verdana"/>
        </w:rPr>
      </w:pPr>
      <w:r w:rsidRPr="00760498">
        <w:rPr>
          <w:rStyle w:val="FootnoteReference"/>
          <w:rFonts w:ascii="Verdana" w:hAnsi="Verdana"/>
          <w:color w:val="auto"/>
        </w:rPr>
        <w:footnoteRef/>
      </w:r>
      <w:r w:rsidRPr="00760498">
        <w:rPr>
          <w:rFonts w:ascii="Verdana" w:hAnsi="Verdana"/>
          <w:color w:val="auto"/>
        </w:rPr>
        <w:t xml:space="preserve"> </w:t>
      </w:r>
      <w:hyperlink r:id="rId5" w:history="1">
        <w:r w:rsidRPr="00760498">
          <w:rPr>
            <w:rStyle w:val="Hyperlink"/>
            <w:rFonts w:ascii="Verdana" w:hAnsi="Verdana"/>
            <w:color w:val="auto"/>
          </w:rPr>
          <w:t>Hinder en slaapverstoring van vliegtuiggeluid in 2024. Blootstelling-responsrelaties voor burgerluchthavens en militaire luchthavens in Nederland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E49DC" w14:textId="77777777" w:rsidR="002600C3" w:rsidRDefault="00260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BD6DD" w14:textId="77777777" w:rsidR="00093CF7" w:rsidRPr="00785CCD" w:rsidRDefault="00093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700DF" w14:textId="36FE495E" w:rsidR="00920080" w:rsidRDefault="00F145C9">
    <w:pPr>
      <w:pStyle w:val="Header"/>
    </w:pPr>
    <w:r>
      <w:rPr>
        <w:noProof/>
        <w:lang w:val="en-GB"/>
      </w:rPr>
      <mc:AlternateContent>
        <mc:Choice Requires="wpg">
          <w:drawing>
            <wp:anchor distT="0" distB="0" distL="114300" distR="114300" simplePos="0" relativeHeight="251657216" behindDoc="0" locked="0" layoutInCell="1" allowOverlap="1" wp14:anchorId="30F943BD" wp14:editId="496A674A">
              <wp:simplePos x="0" y="0"/>
              <wp:positionH relativeFrom="margin">
                <wp:posOffset>2675255</wp:posOffset>
              </wp:positionH>
              <wp:positionV relativeFrom="paragraph">
                <wp:posOffset>-288290</wp:posOffset>
              </wp:positionV>
              <wp:extent cx="2740025" cy="1583690"/>
              <wp:effectExtent l="0" t="0" r="3175" b="0"/>
              <wp:wrapSquare wrapText="bothSides"/>
              <wp:docPr id="629120142" name="Groep 629120142"/>
              <wp:cNvGraphicFramePr/>
              <a:graphic xmlns:a="http://schemas.openxmlformats.org/drawingml/2006/main">
                <a:graphicData uri="http://schemas.microsoft.com/office/word/2010/wordprocessingGroup">
                  <wpg:wgp>
                    <wpg:cNvGrpSpPr/>
                    <wpg:grpSpPr>
                      <a:xfrm>
                        <a:off x="0" y="0"/>
                        <a:ext cx="2740025" cy="1583690"/>
                        <a:chOff x="76200" y="0"/>
                        <a:chExt cx="2740025" cy="1583690"/>
                      </a:xfrm>
                    </wpg:grpSpPr>
                    <pic:pic xmlns:pic="http://schemas.openxmlformats.org/drawingml/2006/picture">
                      <pic:nvPicPr>
                        <pic:cNvPr id="629120141" name="IenM_Standaard"/>
                        <pic:cNvPicPr/>
                      </pic:nvPicPr>
                      <pic:blipFill>
                        <a:blip r:embed="rId1">
                          <a:extLst>
                            <a:ext uri="{28A0092B-C50C-407E-A947-70E740481C1C}">
                              <a14:useLocalDpi xmlns:a14="http://schemas.microsoft.com/office/drawing/2010/main" val="0"/>
                            </a:ext>
                          </a:extLst>
                        </a:blip>
                        <a:stretch>
                          <a:fillRect/>
                        </a:stretch>
                      </pic:blipFill>
                      <pic:spPr bwMode="auto">
                        <a:xfrm>
                          <a:off x="476250" y="0"/>
                          <a:ext cx="2339975" cy="1582420"/>
                        </a:xfrm>
                        <a:prstGeom prst="rect">
                          <a:avLst/>
                        </a:prstGeom>
                      </pic:spPr>
                    </pic:pic>
                    <pic:pic xmlns:pic="http://schemas.openxmlformats.org/drawingml/2006/picture">
                      <pic:nvPicPr>
                        <pic:cNvPr id="629120140" name="Rijkslint"/>
                        <pic:cNvPicPr/>
                      </pic:nvPicPr>
                      <pic:blipFill>
                        <a:blip r:embed="rId2">
                          <a:extLst>
                            <a:ext uri="{28A0092B-C50C-407E-A947-70E740481C1C}">
                              <a14:useLocalDpi xmlns:a14="http://schemas.microsoft.com/office/drawing/2010/main" val="0"/>
                            </a:ext>
                          </a:extLst>
                        </a:blip>
                        <a:stretch>
                          <a:fillRect/>
                        </a:stretch>
                      </pic:blipFill>
                      <pic:spPr bwMode="auto">
                        <a:xfrm>
                          <a:off x="76200" y="0"/>
                          <a:ext cx="467995" cy="1583690"/>
                        </a:xfrm>
                        <a:prstGeom prst="rect">
                          <a:avLst/>
                        </a:prstGeom>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0D6D16" id="Groep 629120142" o:spid="_x0000_s1026" style="position:absolute;margin-left:210.65pt;margin-top:-22.7pt;width:215.75pt;height:124.7pt;z-index:251657216;mso-position-horizontal-relative:margin;mso-width-relative:margin;mso-height-relative:margin" coordorigin="762" coordsize="27400,15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enM_Standaard" o:spid="_x0000_s1027" type="#_x0000_t75" style="position:absolute;left:4762;width:23400;height:15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">
                <v:imagedata r:id="rId3" o:title=""/>
              </v:shape>
              <v:shape id="Rijkslint" o:spid="_x0000_s1028" type="#_x0000_t75" style="position:absolute;left:762;width:4679;height:15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">
                <v:imagedata r:id="rId4" o:title=""/>
              </v:shape>
              <w10:wrap type="square"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2B9CF3D"/>
    <w:multiLevelType w:val="multilevel"/>
    <w:tmpl w:val="617312D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C"/>
    <w:multiLevelType w:val="singleLevel"/>
    <w:tmpl w:val="EA964466"/>
    <w:lvl w:ilvl="0">
      <w:start w:val="1"/>
      <w:numFmt w:val="decimal"/>
      <w:pStyle w:val="ListNumber5"/>
      <w:lvlText w:val="%1."/>
      <w:lvlJc w:val="left"/>
      <w:pPr>
        <w:tabs>
          <w:tab w:val="num" w:pos="1492"/>
        </w:tabs>
        <w:ind w:left="1492" w:hanging="360"/>
      </w:pPr>
    </w:lvl>
  </w:abstractNum>
  <w:abstractNum w:abstractNumId="2" w15:restartNumberingAfterBreak="0">
    <w:nsid w:val="FFFFFF80"/>
    <w:multiLevelType w:val="singleLevel"/>
    <w:tmpl w:val="8B62AA32"/>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156871C2"/>
    <w:multiLevelType w:val="hybridMultilevel"/>
    <w:tmpl w:val="E52C6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3F58C4"/>
    <w:multiLevelType w:val="multilevel"/>
    <w:tmpl w:val="777C2B9E"/>
    <w:styleLink w:val="ListNumbers"/>
    <w:lvl w:ilvl="0">
      <w:start w:val="1"/>
      <w:numFmt w:val="decimal"/>
      <w:pStyle w:val="ListNumber"/>
      <w:lvlText w:val="%1"/>
      <w:lvlJc w:val="left"/>
      <w:pPr>
        <w:ind w:left="284" w:hanging="284"/>
      </w:pPr>
      <w:rPr>
        <w:rFonts w:hint="default"/>
        <w:color w:val="00577E" w:themeColor="accent1"/>
      </w:rPr>
    </w:lvl>
    <w:lvl w:ilvl="1">
      <w:start w:val="1"/>
      <w:numFmt w:val="decimal"/>
      <w:pStyle w:val="ListNumber2"/>
      <w:lvlText w:val="%1.%2"/>
      <w:lvlJc w:val="left"/>
      <w:pPr>
        <w:ind w:left="851" w:hanging="567"/>
      </w:pPr>
      <w:rPr>
        <w:rFonts w:hint="default"/>
        <w:color w:val="00577E" w:themeColor="accent1"/>
      </w:rPr>
    </w:lvl>
    <w:lvl w:ilvl="2">
      <w:start w:val="1"/>
      <w:numFmt w:val="decimal"/>
      <w:pStyle w:val="ListNumber3"/>
      <w:lvlText w:val="%1.%2.%3"/>
      <w:lvlJc w:val="left"/>
      <w:pPr>
        <w:ind w:left="1418" w:hanging="567"/>
      </w:pPr>
      <w:rPr>
        <w:rFonts w:hint="default"/>
        <w:color w:val="00577E" w:themeColor="accent1"/>
      </w:rPr>
    </w:lvl>
    <w:lvl w:ilvl="3">
      <w:start w:val="1"/>
      <w:numFmt w:val="decimal"/>
      <w:pStyle w:val="ListNumber4"/>
      <w:lvlText w:val="%1.%2.%3.%4"/>
      <w:lvlJc w:val="left"/>
      <w:pPr>
        <w:ind w:left="1985" w:hanging="567"/>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5" w15:restartNumberingAfterBreak="0">
    <w:nsid w:val="3DD4221D"/>
    <w:multiLevelType w:val="multilevel"/>
    <w:tmpl w:val="9E9C3054"/>
    <w:styleLink w:val="ListBullets"/>
    <w:lvl w:ilvl="0">
      <w:start w:val="1"/>
      <w:numFmt w:val="bullet"/>
      <w:pStyle w:val="ListBullet"/>
      <w:lvlText w:val=""/>
      <w:lvlJc w:val="left"/>
      <w:pPr>
        <w:ind w:left="284" w:hanging="284"/>
      </w:pPr>
      <w:rPr>
        <w:rFonts w:ascii="Wingdings" w:hAnsi="Wingdings" w:hint="default"/>
        <w:color w:val="00577E" w:themeColor="accent1"/>
        <w:sz w:val="14"/>
      </w:rPr>
    </w:lvl>
    <w:lvl w:ilvl="1">
      <w:start w:val="1"/>
      <w:numFmt w:val="bullet"/>
      <w:pStyle w:val="ListBullet2"/>
      <w:lvlText w:val=""/>
      <w:lvlJc w:val="left"/>
      <w:pPr>
        <w:ind w:left="568" w:hanging="284"/>
      </w:pPr>
      <w:rPr>
        <w:rFonts w:ascii="Wingdings" w:hAnsi="Wingdings" w:hint="default"/>
        <w:color w:val="00577E" w:themeColor="accent1"/>
        <w:sz w:val="14"/>
      </w:rPr>
    </w:lvl>
    <w:lvl w:ilvl="2">
      <w:start w:val="1"/>
      <w:numFmt w:val="bullet"/>
      <w:pStyle w:val="ListBullet3"/>
      <w:lvlText w:val=""/>
      <w:lvlJc w:val="left"/>
      <w:pPr>
        <w:ind w:left="852" w:hanging="284"/>
      </w:pPr>
      <w:rPr>
        <w:rFonts w:ascii="Wingdings" w:hAnsi="Wingdings" w:hint="default"/>
        <w:color w:val="00577E" w:themeColor="accent1"/>
        <w:sz w:val="12"/>
      </w:rPr>
    </w:lvl>
    <w:lvl w:ilvl="3">
      <w:start w:val="1"/>
      <w:numFmt w:val="bullet"/>
      <w:pStyle w:val="ListBullet4"/>
      <w:lvlText w:val=""/>
      <w:lvlJc w:val="left"/>
      <w:pPr>
        <w:ind w:left="1136" w:hanging="284"/>
      </w:pPr>
      <w:rPr>
        <w:rFonts w:ascii="Wingdings" w:hAnsi="Wingdings" w:hint="default"/>
        <w:color w:val="00577E" w:themeColor="accent1"/>
        <w:sz w:val="14"/>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42EA48A8"/>
    <w:multiLevelType w:val="multilevel"/>
    <w:tmpl w:val="A454D15A"/>
    <w:styleLink w:val="List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7" w15:restartNumberingAfterBreak="0">
    <w:nsid w:val="47DB7182"/>
    <w:multiLevelType w:val="hybridMultilevel"/>
    <w:tmpl w:val="D5FCA276"/>
    <w:lvl w:ilvl="0" w:tplc="6C14CBD2">
      <w:start w:val="2"/>
      <w:numFmt w:val="bullet"/>
      <w:lvlText w:val="-"/>
      <w:lvlJc w:val="left"/>
      <w:pPr>
        <w:ind w:left="420" w:hanging="360"/>
      </w:pPr>
      <w:rPr>
        <w:rFonts w:ascii="Verdana" w:eastAsiaTheme="minorEastAsia" w:hAnsi="Verdana" w:cstheme="minorBid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8" w15:restartNumberingAfterBreak="0">
    <w:nsid w:val="590D1386"/>
    <w:multiLevelType w:val="multilevel"/>
    <w:tmpl w:val="7CEC0BD4"/>
    <w:styleLink w:val="ListAppendices"/>
    <w:lvl w:ilvl="0">
      <w:start w:val="1"/>
      <w:numFmt w:val="decimal"/>
      <w:pStyle w:val="Heading1"/>
      <w:lvlText w:val="%1"/>
      <w:lvlJc w:val="left"/>
      <w:pPr>
        <w:ind w:left="851" w:hanging="851"/>
      </w:pPr>
    </w:lvl>
    <w:lvl w:ilvl="1">
      <w:start w:val="1"/>
      <w:numFmt w:val="decimal"/>
      <w:pStyle w:val="Heading2"/>
      <w:lvlText w:val="%1.%2"/>
      <w:lvlJc w:val="left"/>
      <w:pPr>
        <w:ind w:left="851" w:hanging="851"/>
      </w:pPr>
    </w:lvl>
    <w:lvl w:ilvl="2">
      <w:start w:val="1"/>
      <w:numFmt w:val="decimal"/>
      <w:pStyle w:val="Heading3"/>
      <w:lvlText w:val="%1.%2.%3"/>
      <w:lvlJc w:val="left"/>
      <w:pPr>
        <w:ind w:left="851" w:hanging="851"/>
      </w:pPr>
    </w:lvl>
    <w:lvl w:ilvl="3">
      <w:start w:val="1"/>
      <w:numFmt w:val="decimal"/>
      <w:pStyle w:val="Heading4"/>
      <w:lvlText w:val="%1.%2.%3.%4"/>
      <w:lvlJc w:val="left"/>
      <w:pPr>
        <w:ind w:left="851" w:hanging="851"/>
      </w:pPr>
    </w:lvl>
    <w:lvl w:ilvl="4">
      <w:start w:val="1"/>
      <w:numFmt w:val="decimal"/>
      <w:lvlText w:val=""/>
      <w:lvlJc w:val="left"/>
      <w:pPr>
        <w:ind w:left="851" w:hanging="851"/>
      </w:pPr>
    </w:lvl>
    <w:lvl w:ilvl="5">
      <w:start w:val="1"/>
      <w:numFmt w:val="decimal"/>
      <w:lvlText w:val=""/>
      <w:lvlJc w:val="left"/>
      <w:pPr>
        <w:ind w:left="851" w:hanging="851"/>
      </w:pPr>
    </w:lvl>
    <w:lvl w:ilvl="6">
      <w:start w:val="1"/>
      <w:numFmt w:val="decimal"/>
      <w:lvlText w:val=""/>
      <w:lvlJc w:val="left"/>
      <w:pPr>
        <w:ind w:left="851" w:hanging="851"/>
      </w:pPr>
    </w:lvl>
    <w:lvl w:ilvl="7">
      <w:start w:val="1"/>
      <w:numFmt w:val="decimal"/>
      <w:lvlText w:val=""/>
      <w:lvlJc w:val="left"/>
      <w:pPr>
        <w:ind w:left="851" w:hanging="851"/>
      </w:pPr>
    </w:lvl>
    <w:lvl w:ilvl="8">
      <w:start w:val="1"/>
      <w:numFmt w:val="decimal"/>
      <w:lvlText w:val=""/>
      <w:lvlJc w:val="left"/>
      <w:pPr>
        <w:ind w:left="851" w:hanging="851"/>
      </w:pPr>
    </w:lvl>
  </w:abstractNum>
  <w:abstractNum w:abstractNumId="9" w15:restartNumberingAfterBreak="0">
    <w:nsid w:val="6E7DA9DC"/>
    <w:multiLevelType w:val="multilevel"/>
    <w:tmpl w:val="73A1DFA3"/>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956B7C"/>
    <w:multiLevelType w:val="multilevel"/>
    <w:tmpl w:val="75A6E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5C2FFF"/>
    <w:multiLevelType w:val="multilevel"/>
    <w:tmpl w:val="E752F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4"/>
    <w:lvlOverride w:ilvl="0">
      <w:lvl w:ilvl="0">
        <w:start w:val="1"/>
        <w:numFmt w:val="decimal"/>
        <w:pStyle w:val="ListNumber"/>
        <w:lvlText w:val="%1"/>
        <w:lvlJc w:val="left"/>
        <w:pPr>
          <w:ind w:left="284" w:hanging="284"/>
        </w:pPr>
        <w:rPr>
          <w:rFonts w:hint="default"/>
          <w:color w:val="auto"/>
        </w:rPr>
      </w:lvl>
    </w:lvlOverride>
  </w:num>
  <w:num w:numId="4">
    <w:abstractNumId w:val="2"/>
  </w:num>
  <w:num w:numId="5">
    <w:abstractNumId w:val="1"/>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2">
      <w:lvl w:ilvl="2">
        <w:start w:val="1"/>
        <w:numFmt w:val="decimal"/>
        <w:pStyle w:val="Heading3"/>
        <w:lvlText w:val="%1.%2.%3"/>
        <w:lvlJc w:val="left"/>
        <w:pPr>
          <w:ind w:left="851" w:hanging="851"/>
        </w:pPr>
        <w:rPr>
          <w:color w:val="auto"/>
          <w:sz w:val="20"/>
          <w:szCs w:val="16"/>
          <w:vertAlign w:val="baseline"/>
        </w:rPr>
      </w:lvl>
    </w:lvlOverride>
  </w:num>
  <w:num w:numId="8">
    <w:abstractNumId w:val="3"/>
  </w:num>
  <w:num w:numId="9">
    <w:abstractNumId w:val="0"/>
  </w:num>
  <w:num w:numId="10">
    <w:abstractNumId w:val="9"/>
  </w:num>
  <w:num w:numId="11">
    <w:abstractNumId w:val="4"/>
  </w:num>
  <w:num w:numId="12">
    <w:abstractNumId w:val="8"/>
  </w:num>
  <w:num w:numId="13">
    <w:abstractNumId w:val="11"/>
  </w:num>
  <w:num w:numId="14">
    <w:abstractNumId w:val="10"/>
  </w:num>
  <w:num w:numId="1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stylePaneSortMethod w:val="0000"/>
  <w:defaultTabStop w:val="720"/>
  <w:hyphenationZone w:val="425"/>
  <w:defaultTableStyle w:val="RHDHV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randId" w:val="0"/>
    <w:docVar w:name="BrandWeightId" w:val="1"/>
    <w:docVar w:name="ColourSchemeId" w:val="0"/>
    <w:docVar w:name="CoverTypeId" w:val="1"/>
    <w:docVar w:name="doBrandId" w:val="0"/>
    <w:docVar w:name="doBrandWeightId" w:val="1"/>
    <w:docVar w:name="doCountryId" w:val="NETHERLANDS"/>
    <w:docVar w:name="DocTypeId" w:val="0"/>
    <w:docVar w:name="doDocTypeId" w:val="0"/>
    <w:docVar w:name="doLegalEntityId" w:val="113000000"/>
    <w:docVar w:name="doOfficeId" w:val="21"/>
    <w:docVar w:name="doOrganisationalUnitId" w:val="28"/>
    <w:docVar w:name="dvListSeparator" w:val=","/>
    <w:docVar w:name="dvTemplateType" w:val="Report"/>
    <w:docVar w:name="dvTTCTemplate" w:val="TTC"/>
    <w:docVar w:name="PaperSizeId" w:val="0"/>
  </w:docVars>
  <w:rsids>
    <w:rsidRoot w:val="006254BF"/>
    <w:rsid w:val="0000048E"/>
    <w:rsid w:val="000005A7"/>
    <w:rsid w:val="000007CA"/>
    <w:rsid w:val="00000D27"/>
    <w:rsid w:val="00000EF2"/>
    <w:rsid w:val="0000152D"/>
    <w:rsid w:val="00001567"/>
    <w:rsid w:val="000018C8"/>
    <w:rsid w:val="00001B79"/>
    <w:rsid w:val="00001FED"/>
    <w:rsid w:val="00002394"/>
    <w:rsid w:val="00002ABB"/>
    <w:rsid w:val="00002AC1"/>
    <w:rsid w:val="00002B27"/>
    <w:rsid w:val="00002BD6"/>
    <w:rsid w:val="00002DB6"/>
    <w:rsid w:val="00003763"/>
    <w:rsid w:val="0000388E"/>
    <w:rsid w:val="000039FC"/>
    <w:rsid w:val="00003DF6"/>
    <w:rsid w:val="000043C7"/>
    <w:rsid w:val="0000488A"/>
    <w:rsid w:val="00004F15"/>
    <w:rsid w:val="000050CA"/>
    <w:rsid w:val="00005166"/>
    <w:rsid w:val="000051FC"/>
    <w:rsid w:val="0000564D"/>
    <w:rsid w:val="000056BD"/>
    <w:rsid w:val="0000595F"/>
    <w:rsid w:val="00005B89"/>
    <w:rsid w:val="00005CB6"/>
    <w:rsid w:val="00006AB2"/>
    <w:rsid w:val="00007084"/>
    <w:rsid w:val="00007114"/>
    <w:rsid w:val="00007558"/>
    <w:rsid w:val="0000799A"/>
    <w:rsid w:val="00007E6E"/>
    <w:rsid w:val="0001002E"/>
    <w:rsid w:val="000104AC"/>
    <w:rsid w:val="00010804"/>
    <w:rsid w:val="0001083A"/>
    <w:rsid w:val="00010AE9"/>
    <w:rsid w:val="0001145E"/>
    <w:rsid w:val="0001156D"/>
    <w:rsid w:val="00011D05"/>
    <w:rsid w:val="000120FE"/>
    <w:rsid w:val="000126BC"/>
    <w:rsid w:val="000126F6"/>
    <w:rsid w:val="00012C79"/>
    <w:rsid w:val="00012F27"/>
    <w:rsid w:val="00013458"/>
    <w:rsid w:val="000137E4"/>
    <w:rsid w:val="00013AD8"/>
    <w:rsid w:val="00014113"/>
    <w:rsid w:val="00014232"/>
    <w:rsid w:val="00014992"/>
    <w:rsid w:val="00015109"/>
    <w:rsid w:val="00015759"/>
    <w:rsid w:val="00015CD5"/>
    <w:rsid w:val="00016403"/>
    <w:rsid w:val="000167C8"/>
    <w:rsid w:val="00016893"/>
    <w:rsid w:val="00016DBF"/>
    <w:rsid w:val="00017783"/>
    <w:rsid w:val="00017928"/>
    <w:rsid w:val="00017977"/>
    <w:rsid w:val="00017A4E"/>
    <w:rsid w:val="00017F01"/>
    <w:rsid w:val="00019CF4"/>
    <w:rsid w:val="000200F8"/>
    <w:rsid w:val="0002024F"/>
    <w:rsid w:val="00020D51"/>
    <w:rsid w:val="00021B0F"/>
    <w:rsid w:val="0002231D"/>
    <w:rsid w:val="00022BAE"/>
    <w:rsid w:val="00022D8D"/>
    <w:rsid w:val="000239A8"/>
    <w:rsid w:val="00023A2A"/>
    <w:rsid w:val="00023A43"/>
    <w:rsid w:val="00023DF4"/>
    <w:rsid w:val="00024815"/>
    <w:rsid w:val="00024872"/>
    <w:rsid w:val="00024A02"/>
    <w:rsid w:val="00024D56"/>
    <w:rsid w:val="00025193"/>
    <w:rsid w:val="0002536A"/>
    <w:rsid w:val="0002552C"/>
    <w:rsid w:val="00025620"/>
    <w:rsid w:val="0002575A"/>
    <w:rsid w:val="0002587E"/>
    <w:rsid w:val="00025E61"/>
    <w:rsid w:val="00026142"/>
    <w:rsid w:val="00026848"/>
    <w:rsid w:val="00026979"/>
    <w:rsid w:val="00026D23"/>
    <w:rsid w:val="00026ED6"/>
    <w:rsid w:val="00027177"/>
    <w:rsid w:val="00027599"/>
    <w:rsid w:val="000276C1"/>
    <w:rsid w:val="00027E10"/>
    <w:rsid w:val="00027E16"/>
    <w:rsid w:val="00027FEB"/>
    <w:rsid w:val="00030229"/>
    <w:rsid w:val="00030381"/>
    <w:rsid w:val="000303FF"/>
    <w:rsid w:val="00030705"/>
    <w:rsid w:val="00030916"/>
    <w:rsid w:val="0003097F"/>
    <w:rsid w:val="00030F84"/>
    <w:rsid w:val="0003157E"/>
    <w:rsid w:val="000316C5"/>
    <w:rsid w:val="00031FBF"/>
    <w:rsid w:val="00032269"/>
    <w:rsid w:val="0003252E"/>
    <w:rsid w:val="00032E64"/>
    <w:rsid w:val="00033226"/>
    <w:rsid w:val="00033F40"/>
    <w:rsid w:val="000344B2"/>
    <w:rsid w:val="00034A6D"/>
    <w:rsid w:val="00034FE9"/>
    <w:rsid w:val="00035951"/>
    <w:rsid w:val="00035B99"/>
    <w:rsid w:val="00035D61"/>
    <w:rsid w:val="000365AA"/>
    <w:rsid w:val="00036B25"/>
    <w:rsid w:val="000377C8"/>
    <w:rsid w:val="00037970"/>
    <w:rsid w:val="00037D8F"/>
    <w:rsid w:val="00037F02"/>
    <w:rsid w:val="00040A2C"/>
    <w:rsid w:val="000413F0"/>
    <w:rsid w:val="0004143A"/>
    <w:rsid w:val="000414BC"/>
    <w:rsid w:val="000414ED"/>
    <w:rsid w:val="00041C40"/>
    <w:rsid w:val="00041C4B"/>
    <w:rsid w:val="00041C5F"/>
    <w:rsid w:val="000420D4"/>
    <w:rsid w:val="00042123"/>
    <w:rsid w:val="00042642"/>
    <w:rsid w:val="000429F3"/>
    <w:rsid w:val="00042A51"/>
    <w:rsid w:val="00042B91"/>
    <w:rsid w:val="00043031"/>
    <w:rsid w:val="00043201"/>
    <w:rsid w:val="000432DC"/>
    <w:rsid w:val="00043476"/>
    <w:rsid w:val="00043980"/>
    <w:rsid w:val="00043A0C"/>
    <w:rsid w:val="00043C59"/>
    <w:rsid w:val="00043CEA"/>
    <w:rsid w:val="0004431A"/>
    <w:rsid w:val="000449D3"/>
    <w:rsid w:val="00044BD4"/>
    <w:rsid w:val="00044C4C"/>
    <w:rsid w:val="00044C54"/>
    <w:rsid w:val="00044D5F"/>
    <w:rsid w:val="00045070"/>
    <w:rsid w:val="000454E4"/>
    <w:rsid w:val="000455EF"/>
    <w:rsid w:val="00045B7F"/>
    <w:rsid w:val="00045CA0"/>
    <w:rsid w:val="00045D37"/>
    <w:rsid w:val="00046651"/>
    <w:rsid w:val="00046773"/>
    <w:rsid w:val="000467B4"/>
    <w:rsid w:val="00046AF2"/>
    <w:rsid w:val="000471E3"/>
    <w:rsid w:val="0004736A"/>
    <w:rsid w:val="00047398"/>
    <w:rsid w:val="00047AA8"/>
    <w:rsid w:val="00047AF0"/>
    <w:rsid w:val="00047DD1"/>
    <w:rsid w:val="00047E8F"/>
    <w:rsid w:val="00050519"/>
    <w:rsid w:val="000505D2"/>
    <w:rsid w:val="00050878"/>
    <w:rsid w:val="00050A25"/>
    <w:rsid w:val="00050ECA"/>
    <w:rsid w:val="000513B2"/>
    <w:rsid w:val="00051A21"/>
    <w:rsid w:val="00051B1B"/>
    <w:rsid w:val="00051B2D"/>
    <w:rsid w:val="00051D80"/>
    <w:rsid w:val="000522C5"/>
    <w:rsid w:val="000529F9"/>
    <w:rsid w:val="000530F6"/>
    <w:rsid w:val="00053142"/>
    <w:rsid w:val="0005316C"/>
    <w:rsid w:val="00053B0B"/>
    <w:rsid w:val="00053DC8"/>
    <w:rsid w:val="000544F0"/>
    <w:rsid w:val="0005451F"/>
    <w:rsid w:val="00054894"/>
    <w:rsid w:val="000548CF"/>
    <w:rsid w:val="000549EE"/>
    <w:rsid w:val="00054E6F"/>
    <w:rsid w:val="0005553C"/>
    <w:rsid w:val="000556E5"/>
    <w:rsid w:val="00055A54"/>
    <w:rsid w:val="00055C49"/>
    <w:rsid w:val="00055F7B"/>
    <w:rsid w:val="00055FBB"/>
    <w:rsid w:val="000561EF"/>
    <w:rsid w:val="0005661A"/>
    <w:rsid w:val="000567AC"/>
    <w:rsid w:val="00056820"/>
    <w:rsid w:val="00056AFF"/>
    <w:rsid w:val="00057229"/>
    <w:rsid w:val="00057835"/>
    <w:rsid w:val="00057F40"/>
    <w:rsid w:val="00060204"/>
    <w:rsid w:val="0006034D"/>
    <w:rsid w:val="00060428"/>
    <w:rsid w:val="000608DD"/>
    <w:rsid w:val="00060997"/>
    <w:rsid w:val="00060C9D"/>
    <w:rsid w:val="00061077"/>
    <w:rsid w:val="00061121"/>
    <w:rsid w:val="000617CA"/>
    <w:rsid w:val="00061D4E"/>
    <w:rsid w:val="00062657"/>
    <w:rsid w:val="000626A4"/>
    <w:rsid w:val="00062A41"/>
    <w:rsid w:val="00062ACF"/>
    <w:rsid w:val="00062B26"/>
    <w:rsid w:val="00062CEF"/>
    <w:rsid w:val="00062D32"/>
    <w:rsid w:val="000630F7"/>
    <w:rsid w:val="00063538"/>
    <w:rsid w:val="00063A4C"/>
    <w:rsid w:val="00063B22"/>
    <w:rsid w:val="00063E6A"/>
    <w:rsid w:val="00064182"/>
    <w:rsid w:val="00064407"/>
    <w:rsid w:val="00064853"/>
    <w:rsid w:val="000648FC"/>
    <w:rsid w:val="0006497D"/>
    <w:rsid w:val="00064E40"/>
    <w:rsid w:val="0006510A"/>
    <w:rsid w:val="00065132"/>
    <w:rsid w:val="00065304"/>
    <w:rsid w:val="000655CD"/>
    <w:rsid w:val="0006570C"/>
    <w:rsid w:val="00065ABF"/>
    <w:rsid w:val="00066370"/>
    <w:rsid w:val="000663C7"/>
    <w:rsid w:val="00066612"/>
    <w:rsid w:val="00066C2F"/>
    <w:rsid w:val="00066C45"/>
    <w:rsid w:val="00066DEA"/>
    <w:rsid w:val="00066FC0"/>
    <w:rsid w:val="00067048"/>
    <w:rsid w:val="0006771D"/>
    <w:rsid w:val="0006777D"/>
    <w:rsid w:val="0006786E"/>
    <w:rsid w:val="000679ED"/>
    <w:rsid w:val="0007033E"/>
    <w:rsid w:val="000703F7"/>
    <w:rsid w:val="000706BA"/>
    <w:rsid w:val="000708E4"/>
    <w:rsid w:val="0007097C"/>
    <w:rsid w:val="000709B8"/>
    <w:rsid w:val="00070F26"/>
    <w:rsid w:val="00071595"/>
    <w:rsid w:val="000718AD"/>
    <w:rsid w:val="00071AD7"/>
    <w:rsid w:val="00071C95"/>
    <w:rsid w:val="0007255E"/>
    <w:rsid w:val="000727E2"/>
    <w:rsid w:val="000732E8"/>
    <w:rsid w:val="00073352"/>
    <w:rsid w:val="00073562"/>
    <w:rsid w:val="000735AF"/>
    <w:rsid w:val="00073960"/>
    <w:rsid w:val="00073A33"/>
    <w:rsid w:val="00073D80"/>
    <w:rsid w:val="00073E4F"/>
    <w:rsid w:val="00073EB7"/>
    <w:rsid w:val="00073EC7"/>
    <w:rsid w:val="00074059"/>
    <w:rsid w:val="00074387"/>
    <w:rsid w:val="00074D22"/>
    <w:rsid w:val="00074DC7"/>
    <w:rsid w:val="00074E48"/>
    <w:rsid w:val="00074E50"/>
    <w:rsid w:val="0007507B"/>
    <w:rsid w:val="000752E3"/>
    <w:rsid w:val="00075AD0"/>
    <w:rsid w:val="00075F08"/>
    <w:rsid w:val="00075FE4"/>
    <w:rsid w:val="0007664E"/>
    <w:rsid w:val="00076FF4"/>
    <w:rsid w:val="000774FD"/>
    <w:rsid w:val="00077737"/>
    <w:rsid w:val="0007773B"/>
    <w:rsid w:val="00077B1B"/>
    <w:rsid w:val="00077D94"/>
    <w:rsid w:val="00077F3E"/>
    <w:rsid w:val="0008014D"/>
    <w:rsid w:val="0008060A"/>
    <w:rsid w:val="0008093D"/>
    <w:rsid w:val="00080D0C"/>
    <w:rsid w:val="00080EE8"/>
    <w:rsid w:val="000817BC"/>
    <w:rsid w:val="000819C0"/>
    <w:rsid w:val="000819D9"/>
    <w:rsid w:val="00081AEB"/>
    <w:rsid w:val="00081B61"/>
    <w:rsid w:val="00081BB3"/>
    <w:rsid w:val="00081C9D"/>
    <w:rsid w:val="00082536"/>
    <w:rsid w:val="00082B0E"/>
    <w:rsid w:val="00083565"/>
    <w:rsid w:val="00083C34"/>
    <w:rsid w:val="00083DDA"/>
    <w:rsid w:val="00083EDE"/>
    <w:rsid w:val="00083FE8"/>
    <w:rsid w:val="00084228"/>
    <w:rsid w:val="00084A17"/>
    <w:rsid w:val="00084B1D"/>
    <w:rsid w:val="00084BD8"/>
    <w:rsid w:val="0008510F"/>
    <w:rsid w:val="00086060"/>
    <w:rsid w:val="000862BE"/>
    <w:rsid w:val="00086304"/>
    <w:rsid w:val="000864AB"/>
    <w:rsid w:val="0008651A"/>
    <w:rsid w:val="000865F7"/>
    <w:rsid w:val="00086A79"/>
    <w:rsid w:val="00086B8A"/>
    <w:rsid w:val="00087267"/>
    <w:rsid w:val="000872D5"/>
    <w:rsid w:val="00087672"/>
    <w:rsid w:val="0008769B"/>
    <w:rsid w:val="000879E5"/>
    <w:rsid w:val="00087B38"/>
    <w:rsid w:val="00087F45"/>
    <w:rsid w:val="00090476"/>
    <w:rsid w:val="00090B84"/>
    <w:rsid w:val="00090E4B"/>
    <w:rsid w:val="0009107D"/>
    <w:rsid w:val="0009110E"/>
    <w:rsid w:val="00091247"/>
    <w:rsid w:val="000918FC"/>
    <w:rsid w:val="00091987"/>
    <w:rsid w:val="00091A2F"/>
    <w:rsid w:val="00091C9C"/>
    <w:rsid w:val="000920C2"/>
    <w:rsid w:val="0009220F"/>
    <w:rsid w:val="00092668"/>
    <w:rsid w:val="000929C0"/>
    <w:rsid w:val="00092EA4"/>
    <w:rsid w:val="00092F8E"/>
    <w:rsid w:val="000935F6"/>
    <w:rsid w:val="00093A3A"/>
    <w:rsid w:val="00093C59"/>
    <w:rsid w:val="00093CF7"/>
    <w:rsid w:val="00093EEB"/>
    <w:rsid w:val="00093EF0"/>
    <w:rsid w:val="00094347"/>
    <w:rsid w:val="000944C4"/>
    <w:rsid w:val="000951EB"/>
    <w:rsid w:val="000957A0"/>
    <w:rsid w:val="00095BD6"/>
    <w:rsid w:val="00095C0B"/>
    <w:rsid w:val="00096006"/>
    <w:rsid w:val="0009604D"/>
    <w:rsid w:val="00096450"/>
    <w:rsid w:val="00096607"/>
    <w:rsid w:val="000967B5"/>
    <w:rsid w:val="00096F94"/>
    <w:rsid w:val="00097158"/>
    <w:rsid w:val="0009725C"/>
    <w:rsid w:val="000976BC"/>
    <w:rsid w:val="00097808"/>
    <w:rsid w:val="00097957"/>
    <w:rsid w:val="00097AA5"/>
    <w:rsid w:val="00097DC9"/>
    <w:rsid w:val="00097F2C"/>
    <w:rsid w:val="000A02DC"/>
    <w:rsid w:val="000A09FC"/>
    <w:rsid w:val="000A0B21"/>
    <w:rsid w:val="000A0C09"/>
    <w:rsid w:val="000A16B5"/>
    <w:rsid w:val="000A1AA5"/>
    <w:rsid w:val="000A1BAB"/>
    <w:rsid w:val="000A1E18"/>
    <w:rsid w:val="000A1F5C"/>
    <w:rsid w:val="000A21D2"/>
    <w:rsid w:val="000A2A67"/>
    <w:rsid w:val="000A2C07"/>
    <w:rsid w:val="000A301E"/>
    <w:rsid w:val="000A3133"/>
    <w:rsid w:val="000A3184"/>
    <w:rsid w:val="000A31CC"/>
    <w:rsid w:val="000A3A81"/>
    <w:rsid w:val="000A3D15"/>
    <w:rsid w:val="000A3E60"/>
    <w:rsid w:val="000A3EAE"/>
    <w:rsid w:val="000A3EC4"/>
    <w:rsid w:val="000A446F"/>
    <w:rsid w:val="000A45A7"/>
    <w:rsid w:val="000A460F"/>
    <w:rsid w:val="000A4AC5"/>
    <w:rsid w:val="000A5177"/>
    <w:rsid w:val="000A53DB"/>
    <w:rsid w:val="000A5444"/>
    <w:rsid w:val="000A54A9"/>
    <w:rsid w:val="000A5772"/>
    <w:rsid w:val="000A59B3"/>
    <w:rsid w:val="000A5C12"/>
    <w:rsid w:val="000A6025"/>
    <w:rsid w:val="000A6553"/>
    <w:rsid w:val="000A66BB"/>
    <w:rsid w:val="000A6C4A"/>
    <w:rsid w:val="000A6C9E"/>
    <w:rsid w:val="000A6F9C"/>
    <w:rsid w:val="000A719C"/>
    <w:rsid w:val="000A73C3"/>
    <w:rsid w:val="000A76E5"/>
    <w:rsid w:val="000A7771"/>
    <w:rsid w:val="000A7C0C"/>
    <w:rsid w:val="000B0028"/>
    <w:rsid w:val="000B064A"/>
    <w:rsid w:val="000B0799"/>
    <w:rsid w:val="000B08A5"/>
    <w:rsid w:val="000B0AE9"/>
    <w:rsid w:val="000B0B6A"/>
    <w:rsid w:val="000B0D15"/>
    <w:rsid w:val="000B1028"/>
    <w:rsid w:val="000B12FE"/>
    <w:rsid w:val="000B1549"/>
    <w:rsid w:val="000B1600"/>
    <w:rsid w:val="000B1A51"/>
    <w:rsid w:val="000B1BAA"/>
    <w:rsid w:val="000B1BBF"/>
    <w:rsid w:val="000B1D76"/>
    <w:rsid w:val="000B21E4"/>
    <w:rsid w:val="000B23BF"/>
    <w:rsid w:val="000B280B"/>
    <w:rsid w:val="000B2C4D"/>
    <w:rsid w:val="000B301C"/>
    <w:rsid w:val="000B33A9"/>
    <w:rsid w:val="000B3B25"/>
    <w:rsid w:val="000B3B57"/>
    <w:rsid w:val="000B3CB4"/>
    <w:rsid w:val="000B3EC2"/>
    <w:rsid w:val="000B40D9"/>
    <w:rsid w:val="000B4179"/>
    <w:rsid w:val="000B42CA"/>
    <w:rsid w:val="000B4D7B"/>
    <w:rsid w:val="000B4EEB"/>
    <w:rsid w:val="000B5196"/>
    <w:rsid w:val="000B5847"/>
    <w:rsid w:val="000B5B93"/>
    <w:rsid w:val="000B6160"/>
    <w:rsid w:val="000B6648"/>
    <w:rsid w:val="000B6B5F"/>
    <w:rsid w:val="000B6CDC"/>
    <w:rsid w:val="000B737B"/>
    <w:rsid w:val="000B75F1"/>
    <w:rsid w:val="000B76A1"/>
    <w:rsid w:val="000B7820"/>
    <w:rsid w:val="000B78A0"/>
    <w:rsid w:val="000B7C8B"/>
    <w:rsid w:val="000C0422"/>
    <w:rsid w:val="000C0706"/>
    <w:rsid w:val="000C0B7C"/>
    <w:rsid w:val="000C0EE0"/>
    <w:rsid w:val="000C0F13"/>
    <w:rsid w:val="000C1078"/>
    <w:rsid w:val="000C1080"/>
    <w:rsid w:val="000C1241"/>
    <w:rsid w:val="000C1389"/>
    <w:rsid w:val="000C13B0"/>
    <w:rsid w:val="000C14F3"/>
    <w:rsid w:val="000C16BB"/>
    <w:rsid w:val="000C190F"/>
    <w:rsid w:val="000C1D09"/>
    <w:rsid w:val="000C1D20"/>
    <w:rsid w:val="000C20B3"/>
    <w:rsid w:val="000C20BB"/>
    <w:rsid w:val="000C22C0"/>
    <w:rsid w:val="000C23E4"/>
    <w:rsid w:val="000C23F7"/>
    <w:rsid w:val="000C247E"/>
    <w:rsid w:val="000C248E"/>
    <w:rsid w:val="000C2655"/>
    <w:rsid w:val="000C2740"/>
    <w:rsid w:val="000C2CE6"/>
    <w:rsid w:val="000C2D24"/>
    <w:rsid w:val="000C2FFF"/>
    <w:rsid w:val="000C31EC"/>
    <w:rsid w:val="000C3347"/>
    <w:rsid w:val="000C33AC"/>
    <w:rsid w:val="000C33E3"/>
    <w:rsid w:val="000C37E5"/>
    <w:rsid w:val="000C3A26"/>
    <w:rsid w:val="000C3DBE"/>
    <w:rsid w:val="000C3E1C"/>
    <w:rsid w:val="000C41E2"/>
    <w:rsid w:val="000C42AA"/>
    <w:rsid w:val="000C435C"/>
    <w:rsid w:val="000C4509"/>
    <w:rsid w:val="000C4575"/>
    <w:rsid w:val="000C47B4"/>
    <w:rsid w:val="000C4D6D"/>
    <w:rsid w:val="000C4EA8"/>
    <w:rsid w:val="000C508D"/>
    <w:rsid w:val="000C54FB"/>
    <w:rsid w:val="000C5CD7"/>
    <w:rsid w:val="000C5DB6"/>
    <w:rsid w:val="000C63A5"/>
    <w:rsid w:val="000C67ED"/>
    <w:rsid w:val="000C6D68"/>
    <w:rsid w:val="000C7107"/>
    <w:rsid w:val="000C71F8"/>
    <w:rsid w:val="000C7301"/>
    <w:rsid w:val="000C7678"/>
    <w:rsid w:val="000C7DB7"/>
    <w:rsid w:val="000C7ED3"/>
    <w:rsid w:val="000C7FD1"/>
    <w:rsid w:val="000D0070"/>
    <w:rsid w:val="000D0F30"/>
    <w:rsid w:val="000D1171"/>
    <w:rsid w:val="000D1629"/>
    <w:rsid w:val="000D1C7F"/>
    <w:rsid w:val="000D1CBE"/>
    <w:rsid w:val="000D1DAD"/>
    <w:rsid w:val="000D1F41"/>
    <w:rsid w:val="000D2229"/>
    <w:rsid w:val="000D2621"/>
    <w:rsid w:val="000D2708"/>
    <w:rsid w:val="000D2CDE"/>
    <w:rsid w:val="000D34B1"/>
    <w:rsid w:val="000D38EF"/>
    <w:rsid w:val="000D3A9C"/>
    <w:rsid w:val="000D3DA2"/>
    <w:rsid w:val="000D3F39"/>
    <w:rsid w:val="000D41B7"/>
    <w:rsid w:val="000D4234"/>
    <w:rsid w:val="000D424E"/>
    <w:rsid w:val="000D4318"/>
    <w:rsid w:val="000D432B"/>
    <w:rsid w:val="000D484C"/>
    <w:rsid w:val="000D48FE"/>
    <w:rsid w:val="000D4A3D"/>
    <w:rsid w:val="000D4D62"/>
    <w:rsid w:val="000D4EE2"/>
    <w:rsid w:val="000D5EBF"/>
    <w:rsid w:val="000D615C"/>
    <w:rsid w:val="000D640D"/>
    <w:rsid w:val="000D66A3"/>
    <w:rsid w:val="000D66C8"/>
    <w:rsid w:val="000D6782"/>
    <w:rsid w:val="000D6789"/>
    <w:rsid w:val="000D6C67"/>
    <w:rsid w:val="000D705F"/>
    <w:rsid w:val="000D732E"/>
    <w:rsid w:val="000D74F5"/>
    <w:rsid w:val="000D7C7F"/>
    <w:rsid w:val="000D7E96"/>
    <w:rsid w:val="000D7EBF"/>
    <w:rsid w:val="000E00CB"/>
    <w:rsid w:val="000E00F1"/>
    <w:rsid w:val="000E0171"/>
    <w:rsid w:val="000E114B"/>
    <w:rsid w:val="000E11D5"/>
    <w:rsid w:val="000E1788"/>
    <w:rsid w:val="000E1871"/>
    <w:rsid w:val="000E1902"/>
    <w:rsid w:val="000E1957"/>
    <w:rsid w:val="000E1A29"/>
    <w:rsid w:val="000E1D68"/>
    <w:rsid w:val="000E2041"/>
    <w:rsid w:val="000E2793"/>
    <w:rsid w:val="000E2A29"/>
    <w:rsid w:val="000E2BE5"/>
    <w:rsid w:val="000E2DD6"/>
    <w:rsid w:val="000E2FBA"/>
    <w:rsid w:val="000E31B9"/>
    <w:rsid w:val="000E31E2"/>
    <w:rsid w:val="000E34F5"/>
    <w:rsid w:val="000E4043"/>
    <w:rsid w:val="000E4092"/>
    <w:rsid w:val="000E41CE"/>
    <w:rsid w:val="000E4333"/>
    <w:rsid w:val="000E55F9"/>
    <w:rsid w:val="000E58D2"/>
    <w:rsid w:val="000E591D"/>
    <w:rsid w:val="000E5998"/>
    <w:rsid w:val="000E5EAE"/>
    <w:rsid w:val="000E60B9"/>
    <w:rsid w:val="000E6205"/>
    <w:rsid w:val="000E632E"/>
    <w:rsid w:val="000E6514"/>
    <w:rsid w:val="000E6B5A"/>
    <w:rsid w:val="000E6CE1"/>
    <w:rsid w:val="000E6E76"/>
    <w:rsid w:val="000E6EC0"/>
    <w:rsid w:val="000E749B"/>
    <w:rsid w:val="000E74F1"/>
    <w:rsid w:val="000E7681"/>
    <w:rsid w:val="000E76FD"/>
    <w:rsid w:val="000E7761"/>
    <w:rsid w:val="000E777C"/>
    <w:rsid w:val="000F006A"/>
    <w:rsid w:val="000F021D"/>
    <w:rsid w:val="000F034A"/>
    <w:rsid w:val="000F06AC"/>
    <w:rsid w:val="000F0986"/>
    <w:rsid w:val="000F0A1F"/>
    <w:rsid w:val="000F0A65"/>
    <w:rsid w:val="000F0C48"/>
    <w:rsid w:val="000F0D30"/>
    <w:rsid w:val="000F1782"/>
    <w:rsid w:val="000F185B"/>
    <w:rsid w:val="000F1DF3"/>
    <w:rsid w:val="000F1E78"/>
    <w:rsid w:val="000F211B"/>
    <w:rsid w:val="000F21A2"/>
    <w:rsid w:val="000F2286"/>
    <w:rsid w:val="000F24AB"/>
    <w:rsid w:val="000F25AC"/>
    <w:rsid w:val="000F2D8F"/>
    <w:rsid w:val="000F30C4"/>
    <w:rsid w:val="000F3661"/>
    <w:rsid w:val="000F37F1"/>
    <w:rsid w:val="000F3C5C"/>
    <w:rsid w:val="000F4166"/>
    <w:rsid w:val="000F42AC"/>
    <w:rsid w:val="000F439A"/>
    <w:rsid w:val="000F450C"/>
    <w:rsid w:val="000F455D"/>
    <w:rsid w:val="000F4923"/>
    <w:rsid w:val="000F4D0D"/>
    <w:rsid w:val="000F51AE"/>
    <w:rsid w:val="000F53D4"/>
    <w:rsid w:val="000F5460"/>
    <w:rsid w:val="000F55D1"/>
    <w:rsid w:val="000F591E"/>
    <w:rsid w:val="000F59FA"/>
    <w:rsid w:val="000F5C3E"/>
    <w:rsid w:val="000F5E6E"/>
    <w:rsid w:val="000F5F38"/>
    <w:rsid w:val="000F6327"/>
    <w:rsid w:val="000F6993"/>
    <w:rsid w:val="000F69D1"/>
    <w:rsid w:val="000F6E51"/>
    <w:rsid w:val="000F7162"/>
    <w:rsid w:val="000F722B"/>
    <w:rsid w:val="000F7461"/>
    <w:rsid w:val="000F76EC"/>
    <w:rsid w:val="000F7FD8"/>
    <w:rsid w:val="001004CA"/>
    <w:rsid w:val="00100FFD"/>
    <w:rsid w:val="00101310"/>
    <w:rsid w:val="001016B2"/>
    <w:rsid w:val="001017D3"/>
    <w:rsid w:val="00101A58"/>
    <w:rsid w:val="00101B0C"/>
    <w:rsid w:val="00101E45"/>
    <w:rsid w:val="001020A8"/>
    <w:rsid w:val="00102563"/>
    <w:rsid w:val="00102B57"/>
    <w:rsid w:val="00102CFF"/>
    <w:rsid w:val="00102E1A"/>
    <w:rsid w:val="001034FA"/>
    <w:rsid w:val="001036F3"/>
    <w:rsid w:val="00103962"/>
    <w:rsid w:val="001039F1"/>
    <w:rsid w:val="00103BE8"/>
    <w:rsid w:val="00104251"/>
    <w:rsid w:val="00104576"/>
    <w:rsid w:val="0010457C"/>
    <w:rsid w:val="001045D1"/>
    <w:rsid w:val="00104920"/>
    <w:rsid w:val="001054E9"/>
    <w:rsid w:val="0010571D"/>
    <w:rsid w:val="00105B7B"/>
    <w:rsid w:val="001062B1"/>
    <w:rsid w:val="001066E6"/>
    <w:rsid w:val="00106C64"/>
    <w:rsid w:val="00106E6E"/>
    <w:rsid w:val="00107412"/>
    <w:rsid w:val="00107413"/>
    <w:rsid w:val="00107415"/>
    <w:rsid w:val="00107580"/>
    <w:rsid w:val="001076E6"/>
    <w:rsid w:val="001079A9"/>
    <w:rsid w:val="00107D0A"/>
    <w:rsid w:val="00107E13"/>
    <w:rsid w:val="00110538"/>
    <w:rsid w:val="001108AC"/>
    <w:rsid w:val="00110A26"/>
    <w:rsid w:val="00110F70"/>
    <w:rsid w:val="001117FA"/>
    <w:rsid w:val="00111D70"/>
    <w:rsid w:val="0011200B"/>
    <w:rsid w:val="001124AF"/>
    <w:rsid w:val="001124E6"/>
    <w:rsid w:val="00112894"/>
    <w:rsid w:val="0011294F"/>
    <w:rsid w:val="00112E46"/>
    <w:rsid w:val="00112F33"/>
    <w:rsid w:val="00112FBC"/>
    <w:rsid w:val="00113538"/>
    <w:rsid w:val="00113573"/>
    <w:rsid w:val="00113D9C"/>
    <w:rsid w:val="001143BA"/>
    <w:rsid w:val="0011441E"/>
    <w:rsid w:val="001144E0"/>
    <w:rsid w:val="00114946"/>
    <w:rsid w:val="00114F65"/>
    <w:rsid w:val="00115119"/>
    <w:rsid w:val="001151DE"/>
    <w:rsid w:val="00115292"/>
    <w:rsid w:val="00115295"/>
    <w:rsid w:val="001155E2"/>
    <w:rsid w:val="0011595E"/>
    <w:rsid w:val="00115AFE"/>
    <w:rsid w:val="00115F89"/>
    <w:rsid w:val="00116390"/>
    <w:rsid w:val="00116531"/>
    <w:rsid w:val="001165B9"/>
    <w:rsid w:val="001167B8"/>
    <w:rsid w:val="00116983"/>
    <w:rsid w:val="00116D70"/>
    <w:rsid w:val="00116E32"/>
    <w:rsid w:val="00116E54"/>
    <w:rsid w:val="001171AD"/>
    <w:rsid w:val="00117550"/>
    <w:rsid w:val="00117736"/>
    <w:rsid w:val="00117852"/>
    <w:rsid w:val="001179C2"/>
    <w:rsid w:val="00117D76"/>
    <w:rsid w:val="00120066"/>
    <w:rsid w:val="00120287"/>
    <w:rsid w:val="001206F3"/>
    <w:rsid w:val="00120817"/>
    <w:rsid w:val="00120B22"/>
    <w:rsid w:val="00120BF5"/>
    <w:rsid w:val="0012126C"/>
    <w:rsid w:val="00121491"/>
    <w:rsid w:val="00121AE5"/>
    <w:rsid w:val="00121F5E"/>
    <w:rsid w:val="0012229B"/>
    <w:rsid w:val="0012274D"/>
    <w:rsid w:val="001227E4"/>
    <w:rsid w:val="0012298C"/>
    <w:rsid w:val="0012386F"/>
    <w:rsid w:val="00123AB5"/>
    <w:rsid w:val="00123ACF"/>
    <w:rsid w:val="00123DAB"/>
    <w:rsid w:val="00123DDC"/>
    <w:rsid w:val="00123F64"/>
    <w:rsid w:val="001240DE"/>
    <w:rsid w:val="001241D6"/>
    <w:rsid w:val="0012437C"/>
    <w:rsid w:val="001245B0"/>
    <w:rsid w:val="001246D4"/>
    <w:rsid w:val="0012549D"/>
    <w:rsid w:val="001255CF"/>
    <w:rsid w:val="0012563C"/>
    <w:rsid w:val="0012597E"/>
    <w:rsid w:val="00125E03"/>
    <w:rsid w:val="00125E5F"/>
    <w:rsid w:val="0012624F"/>
    <w:rsid w:val="00126287"/>
    <w:rsid w:val="00126B38"/>
    <w:rsid w:val="00126DDB"/>
    <w:rsid w:val="00126ECD"/>
    <w:rsid w:val="00126EFC"/>
    <w:rsid w:val="0012721B"/>
    <w:rsid w:val="00127365"/>
    <w:rsid w:val="00127B60"/>
    <w:rsid w:val="00127DA4"/>
    <w:rsid w:val="00127FA8"/>
    <w:rsid w:val="001300CC"/>
    <w:rsid w:val="00130343"/>
    <w:rsid w:val="00130481"/>
    <w:rsid w:val="001306F3"/>
    <w:rsid w:val="00130705"/>
    <w:rsid w:val="001307EF"/>
    <w:rsid w:val="001309F9"/>
    <w:rsid w:val="001310BD"/>
    <w:rsid w:val="001310C2"/>
    <w:rsid w:val="00131162"/>
    <w:rsid w:val="00131D18"/>
    <w:rsid w:val="00132DC1"/>
    <w:rsid w:val="00132E37"/>
    <w:rsid w:val="00132FFE"/>
    <w:rsid w:val="001330B2"/>
    <w:rsid w:val="001332EA"/>
    <w:rsid w:val="00133430"/>
    <w:rsid w:val="001339D0"/>
    <w:rsid w:val="00133AFD"/>
    <w:rsid w:val="00133B06"/>
    <w:rsid w:val="001342E2"/>
    <w:rsid w:val="001344CC"/>
    <w:rsid w:val="00134685"/>
    <w:rsid w:val="00134712"/>
    <w:rsid w:val="00134797"/>
    <w:rsid w:val="00134A8F"/>
    <w:rsid w:val="00134CB1"/>
    <w:rsid w:val="001354A1"/>
    <w:rsid w:val="0013551B"/>
    <w:rsid w:val="00135753"/>
    <w:rsid w:val="00135885"/>
    <w:rsid w:val="00135A73"/>
    <w:rsid w:val="00135DEC"/>
    <w:rsid w:val="001367C9"/>
    <w:rsid w:val="0013694E"/>
    <w:rsid w:val="00136A27"/>
    <w:rsid w:val="00136BA5"/>
    <w:rsid w:val="00136EEC"/>
    <w:rsid w:val="0013729E"/>
    <w:rsid w:val="00137384"/>
    <w:rsid w:val="00137B64"/>
    <w:rsid w:val="00140298"/>
    <w:rsid w:val="00140317"/>
    <w:rsid w:val="0014038E"/>
    <w:rsid w:val="001406A6"/>
    <w:rsid w:val="0014100A"/>
    <w:rsid w:val="0014111C"/>
    <w:rsid w:val="001414C6"/>
    <w:rsid w:val="0014176E"/>
    <w:rsid w:val="00142026"/>
    <w:rsid w:val="00142482"/>
    <w:rsid w:val="001424B4"/>
    <w:rsid w:val="00142916"/>
    <w:rsid w:val="00142A54"/>
    <w:rsid w:val="00142ACB"/>
    <w:rsid w:val="00142B2B"/>
    <w:rsid w:val="00142D00"/>
    <w:rsid w:val="001432AF"/>
    <w:rsid w:val="001433F4"/>
    <w:rsid w:val="00143410"/>
    <w:rsid w:val="00143449"/>
    <w:rsid w:val="00143571"/>
    <w:rsid w:val="00143B77"/>
    <w:rsid w:val="00143D5E"/>
    <w:rsid w:val="0014527F"/>
    <w:rsid w:val="00145573"/>
    <w:rsid w:val="00145776"/>
    <w:rsid w:val="0014597B"/>
    <w:rsid w:val="00145BDB"/>
    <w:rsid w:val="001461D2"/>
    <w:rsid w:val="0014630C"/>
    <w:rsid w:val="001463C4"/>
    <w:rsid w:val="00146660"/>
    <w:rsid w:val="001467CF"/>
    <w:rsid w:val="00146C32"/>
    <w:rsid w:val="00147037"/>
    <w:rsid w:val="0014711E"/>
    <w:rsid w:val="0014746A"/>
    <w:rsid w:val="00147653"/>
    <w:rsid w:val="001476A8"/>
    <w:rsid w:val="00147793"/>
    <w:rsid w:val="001503A0"/>
    <w:rsid w:val="00150688"/>
    <w:rsid w:val="00150889"/>
    <w:rsid w:val="0015131F"/>
    <w:rsid w:val="001513FC"/>
    <w:rsid w:val="001517AA"/>
    <w:rsid w:val="00151911"/>
    <w:rsid w:val="0015199D"/>
    <w:rsid w:val="00151BCD"/>
    <w:rsid w:val="00151E81"/>
    <w:rsid w:val="00152053"/>
    <w:rsid w:val="00152059"/>
    <w:rsid w:val="00152204"/>
    <w:rsid w:val="001526B5"/>
    <w:rsid w:val="00152C2B"/>
    <w:rsid w:val="00152E1F"/>
    <w:rsid w:val="00152F27"/>
    <w:rsid w:val="00153022"/>
    <w:rsid w:val="001530CA"/>
    <w:rsid w:val="001530E8"/>
    <w:rsid w:val="001531B0"/>
    <w:rsid w:val="001534AD"/>
    <w:rsid w:val="001534E1"/>
    <w:rsid w:val="00153539"/>
    <w:rsid w:val="00153871"/>
    <w:rsid w:val="0015393C"/>
    <w:rsid w:val="00153A09"/>
    <w:rsid w:val="00154B73"/>
    <w:rsid w:val="00154BD4"/>
    <w:rsid w:val="00154EB7"/>
    <w:rsid w:val="0015513F"/>
    <w:rsid w:val="001557C0"/>
    <w:rsid w:val="00155B42"/>
    <w:rsid w:val="001560F4"/>
    <w:rsid w:val="001567C1"/>
    <w:rsid w:val="00156AB6"/>
    <w:rsid w:val="00156DE9"/>
    <w:rsid w:val="00156E5B"/>
    <w:rsid w:val="00157687"/>
    <w:rsid w:val="00157697"/>
    <w:rsid w:val="00157CE3"/>
    <w:rsid w:val="00157E7E"/>
    <w:rsid w:val="0016003C"/>
    <w:rsid w:val="00160374"/>
    <w:rsid w:val="001607FD"/>
    <w:rsid w:val="00160CFA"/>
    <w:rsid w:val="00161067"/>
    <w:rsid w:val="00161CB1"/>
    <w:rsid w:val="001621A2"/>
    <w:rsid w:val="0016245F"/>
    <w:rsid w:val="0016285E"/>
    <w:rsid w:val="001628E7"/>
    <w:rsid w:val="00162DFE"/>
    <w:rsid w:val="0016382C"/>
    <w:rsid w:val="00163ADC"/>
    <w:rsid w:val="00164506"/>
    <w:rsid w:val="00164608"/>
    <w:rsid w:val="001646EE"/>
    <w:rsid w:val="00164720"/>
    <w:rsid w:val="00164C23"/>
    <w:rsid w:val="00164C52"/>
    <w:rsid w:val="001651F8"/>
    <w:rsid w:val="0016540B"/>
    <w:rsid w:val="0016593B"/>
    <w:rsid w:val="00165B36"/>
    <w:rsid w:val="00165B7D"/>
    <w:rsid w:val="00165CD2"/>
    <w:rsid w:val="00165F32"/>
    <w:rsid w:val="0016618F"/>
    <w:rsid w:val="001663B5"/>
    <w:rsid w:val="0016653A"/>
    <w:rsid w:val="0016653F"/>
    <w:rsid w:val="0016659D"/>
    <w:rsid w:val="0016673A"/>
    <w:rsid w:val="00166866"/>
    <w:rsid w:val="00166CF1"/>
    <w:rsid w:val="00167139"/>
    <w:rsid w:val="001672FA"/>
    <w:rsid w:val="00167343"/>
    <w:rsid w:val="001675EE"/>
    <w:rsid w:val="00167625"/>
    <w:rsid w:val="00167AF0"/>
    <w:rsid w:val="00167BB5"/>
    <w:rsid w:val="00167D03"/>
    <w:rsid w:val="00170923"/>
    <w:rsid w:val="00170979"/>
    <w:rsid w:val="00170F43"/>
    <w:rsid w:val="00170FC1"/>
    <w:rsid w:val="0017113C"/>
    <w:rsid w:val="001711F0"/>
    <w:rsid w:val="00171AA9"/>
    <w:rsid w:val="00171D80"/>
    <w:rsid w:val="00171E74"/>
    <w:rsid w:val="00171F95"/>
    <w:rsid w:val="00172223"/>
    <w:rsid w:val="00172627"/>
    <w:rsid w:val="00172DA9"/>
    <w:rsid w:val="00172F94"/>
    <w:rsid w:val="001732C0"/>
    <w:rsid w:val="00173497"/>
    <w:rsid w:val="001740DC"/>
    <w:rsid w:val="00174835"/>
    <w:rsid w:val="001749F2"/>
    <w:rsid w:val="00174ADE"/>
    <w:rsid w:val="00174B71"/>
    <w:rsid w:val="00174BD2"/>
    <w:rsid w:val="00174E3B"/>
    <w:rsid w:val="00175154"/>
    <w:rsid w:val="0017521C"/>
    <w:rsid w:val="00175388"/>
    <w:rsid w:val="001753FB"/>
    <w:rsid w:val="00175D0C"/>
    <w:rsid w:val="00175D7D"/>
    <w:rsid w:val="001764C2"/>
    <w:rsid w:val="00176541"/>
    <w:rsid w:val="00176ADA"/>
    <w:rsid w:val="00176C86"/>
    <w:rsid w:val="00177217"/>
    <w:rsid w:val="0017726D"/>
    <w:rsid w:val="0017737B"/>
    <w:rsid w:val="00177550"/>
    <w:rsid w:val="00177A41"/>
    <w:rsid w:val="00177B42"/>
    <w:rsid w:val="00177B57"/>
    <w:rsid w:val="0018092C"/>
    <w:rsid w:val="001809DE"/>
    <w:rsid w:val="0018154D"/>
    <w:rsid w:val="00181862"/>
    <w:rsid w:val="0018189C"/>
    <w:rsid w:val="00181C9B"/>
    <w:rsid w:val="00181E64"/>
    <w:rsid w:val="00181F5A"/>
    <w:rsid w:val="00182081"/>
    <w:rsid w:val="00182152"/>
    <w:rsid w:val="001822CB"/>
    <w:rsid w:val="00182A26"/>
    <w:rsid w:val="001833E2"/>
    <w:rsid w:val="00183848"/>
    <w:rsid w:val="00183A1D"/>
    <w:rsid w:val="00183D9C"/>
    <w:rsid w:val="00183ECF"/>
    <w:rsid w:val="00183FBD"/>
    <w:rsid w:val="001843C5"/>
    <w:rsid w:val="001844B3"/>
    <w:rsid w:val="00184CE2"/>
    <w:rsid w:val="00185851"/>
    <w:rsid w:val="0018588C"/>
    <w:rsid w:val="00185B6C"/>
    <w:rsid w:val="0018622C"/>
    <w:rsid w:val="0018658C"/>
    <w:rsid w:val="001866AF"/>
    <w:rsid w:val="00186B79"/>
    <w:rsid w:val="00186EB5"/>
    <w:rsid w:val="001870FB"/>
    <w:rsid w:val="00187198"/>
    <w:rsid w:val="0018777F"/>
    <w:rsid w:val="00187DBE"/>
    <w:rsid w:val="00187FCB"/>
    <w:rsid w:val="00187FF2"/>
    <w:rsid w:val="0018FFF8"/>
    <w:rsid w:val="00190095"/>
    <w:rsid w:val="0019014A"/>
    <w:rsid w:val="001904BE"/>
    <w:rsid w:val="0019053C"/>
    <w:rsid w:val="001908DA"/>
    <w:rsid w:val="00191176"/>
    <w:rsid w:val="0019140F"/>
    <w:rsid w:val="0019157C"/>
    <w:rsid w:val="001917FA"/>
    <w:rsid w:val="00191BB5"/>
    <w:rsid w:val="00191E9A"/>
    <w:rsid w:val="00192413"/>
    <w:rsid w:val="00192635"/>
    <w:rsid w:val="00192924"/>
    <w:rsid w:val="00192941"/>
    <w:rsid w:val="00192AC2"/>
    <w:rsid w:val="00192E71"/>
    <w:rsid w:val="00192E7A"/>
    <w:rsid w:val="00193213"/>
    <w:rsid w:val="001932CB"/>
    <w:rsid w:val="00193302"/>
    <w:rsid w:val="00193308"/>
    <w:rsid w:val="001935F6"/>
    <w:rsid w:val="001937DD"/>
    <w:rsid w:val="00193D85"/>
    <w:rsid w:val="00194184"/>
    <w:rsid w:val="001943EF"/>
    <w:rsid w:val="001946F8"/>
    <w:rsid w:val="001949DE"/>
    <w:rsid w:val="00194AD6"/>
    <w:rsid w:val="00194BB9"/>
    <w:rsid w:val="00194BD5"/>
    <w:rsid w:val="00194C97"/>
    <w:rsid w:val="00195797"/>
    <w:rsid w:val="001958AB"/>
    <w:rsid w:val="0019601E"/>
    <w:rsid w:val="00196291"/>
    <w:rsid w:val="001964B5"/>
    <w:rsid w:val="00196BB8"/>
    <w:rsid w:val="00196D10"/>
    <w:rsid w:val="0019713A"/>
    <w:rsid w:val="001977F4"/>
    <w:rsid w:val="001A03A7"/>
    <w:rsid w:val="001A0616"/>
    <w:rsid w:val="001A0E03"/>
    <w:rsid w:val="001A1703"/>
    <w:rsid w:val="001A1AD8"/>
    <w:rsid w:val="001A1D55"/>
    <w:rsid w:val="001A234F"/>
    <w:rsid w:val="001A2E80"/>
    <w:rsid w:val="001A31A7"/>
    <w:rsid w:val="001A3498"/>
    <w:rsid w:val="001A3855"/>
    <w:rsid w:val="001A3988"/>
    <w:rsid w:val="001A3C23"/>
    <w:rsid w:val="001A4025"/>
    <w:rsid w:val="001A4625"/>
    <w:rsid w:val="001A4883"/>
    <w:rsid w:val="001A5C7D"/>
    <w:rsid w:val="001A5CCE"/>
    <w:rsid w:val="001A5EDC"/>
    <w:rsid w:val="001A60AC"/>
    <w:rsid w:val="001A6323"/>
    <w:rsid w:val="001A635D"/>
    <w:rsid w:val="001A642A"/>
    <w:rsid w:val="001A6622"/>
    <w:rsid w:val="001A6885"/>
    <w:rsid w:val="001A6D44"/>
    <w:rsid w:val="001A7157"/>
    <w:rsid w:val="001A72C9"/>
    <w:rsid w:val="001A7334"/>
    <w:rsid w:val="001A7337"/>
    <w:rsid w:val="001B07BA"/>
    <w:rsid w:val="001B0E40"/>
    <w:rsid w:val="001B0F96"/>
    <w:rsid w:val="001B109D"/>
    <w:rsid w:val="001B115D"/>
    <w:rsid w:val="001B148E"/>
    <w:rsid w:val="001B1535"/>
    <w:rsid w:val="001B164D"/>
    <w:rsid w:val="001B16D8"/>
    <w:rsid w:val="001B2053"/>
    <w:rsid w:val="001B20D4"/>
    <w:rsid w:val="001B2143"/>
    <w:rsid w:val="001B257D"/>
    <w:rsid w:val="001B27D4"/>
    <w:rsid w:val="001B27E3"/>
    <w:rsid w:val="001B2871"/>
    <w:rsid w:val="001B2D75"/>
    <w:rsid w:val="001B31CC"/>
    <w:rsid w:val="001B3419"/>
    <w:rsid w:val="001B3796"/>
    <w:rsid w:val="001B3EE4"/>
    <w:rsid w:val="001B3FF9"/>
    <w:rsid w:val="001B4DB1"/>
    <w:rsid w:val="001B4F9F"/>
    <w:rsid w:val="001B5149"/>
    <w:rsid w:val="001B5243"/>
    <w:rsid w:val="001B57D7"/>
    <w:rsid w:val="001B5F50"/>
    <w:rsid w:val="001B5FC7"/>
    <w:rsid w:val="001B6959"/>
    <w:rsid w:val="001B6CC5"/>
    <w:rsid w:val="001B6D7D"/>
    <w:rsid w:val="001B6E51"/>
    <w:rsid w:val="001B6F8A"/>
    <w:rsid w:val="001B761B"/>
    <w:rsid w:val="001B7732"/>
    <w:rsid w:val="001B77DC"/>
    <w:rsid w:val="001B790E"/>
    <w:rsid w:val="001B79AF"/>
    <w:rsid w:val="001B7E55"/>
    <w:rsid w:val="001B7F12"/>
    <w:rsid w:val="001C0211"/>
    <w:rsid w:val="001C0407"/>
    <w:rsid w:val="001C0785"/>
    <w:rsid w:val="001C085F"/>
    <w:rsid w:val="001C0A18"/>
    <w:rsid w:val="001C0CFC"/>
    <w:rsid w:val="001C0D00"/>
    <w:rsid w:val="001C1695"/>
    <w:rsid w:val="001C1A2A"/>
    <w:rsid w:val="001C1A5D"/>
    <w:rsid w:val="001C2055"/>
    <w:rsid w:val="001C2411"/>
    <w:rsid w:val="001C2771"/>
    <w:rsid w:val="001C29A0"/>
    <w:rsid w:val="001C3473"/>
    <w:rsid w:val="001C4148"/>
    <w:rsid w:val="001C4543"/>
    <w:rsid w:val="001C4B9F"/>
    <w:rsid w:val="001C4E6B"/>
    <w:rsid w:val="001C543B"/>
    <w:rsid w:val="001C57DD"/>
    <w:rsid w:val="001C5986"/>
    <w:rsid w:val="001C5BFA"/>
    <w:rsid w:val="001C5CE7"/>
    <w:rsid w:val="001C643E"/>
    <w:rsid w:val="001C6512"/>
    <w:rsid w:val="001C66D5"/>
    <w:rsid w:val="001C67D0"/>
    <w:rsid w:val="001C696F"/>
    <w:rsid w:val="001C6984"/>
    <w:rsid w:val="001C731D"/>
    <w:rsid w:val="001D0323"/>
    <w:rsid w:val="001D075A"/>
    <w:rsid w:val="001D1713"/>
    <w:rsid w:val="001D1A32"/>
    <w:rsid w:val="001D1A74"/>
    <w:rsid w:val="001D1C1A"/>
    <w:rsid w:val="001D1DDC"/>
    <w:rsid w:val="001D2705"/>
    <w:rsid w:val="001D2971"/>
    <w:rsid w:val="001D2A8B"/>
    <w:rsid w:val="001D2B0C"/>
    <w:rsid w:val="001D3D5A"/>
    <w:rsid w:val="001D3D6B"/>
    <w:rsid w:val="001D3F8A"/>
    <w:rsid w:val="001D4051"/>
    <w:rsid w:val="001D46C0"/>
    <w:rsid w:val="001D481F"/>
    <w:rsid w:val="001D49AF"/>
    <w:rsid w:val="001D4E51"/>
    <w:rsid w:val="001D4FE2"/>
    <w:rsid w:val="001D5368"/>
    <w:rsid w:val="001D5669"/>
    <w:rsid w:val="001D5A2D"/>
    <w:rsid w:val="001D5AA5"/>
    <w:rsid w:val="001D6247"/>
    <w:rsid w:val="001D6C7D"/>
    <w:rsid w:val="001D6F5E"/>
    <w:rsid w:val="001D71D5"/>
    <w:rsid w:val="001D76B2"/>
    <w:rsid w:val="001D798B"/>
    <w:rsid w:val="001D7A57"/>
    <w:rsid w:val="001D7A85"/>
    <w:rsid w:val="001D7F69"/>
    <w:rsid w:val="001E023A"/>
    <w:rsid w:val="001E034B"/>
    <w:rsid w:val="001E127A"/>
    <w:rsid w:val="001E1584"/>
    <w:rsid w:val="001E175E"/>
    <w:rsid w:val="001E1787"/>
    <w:rsid w:val="001E1871"/>
    <w:rsid w:val="001E1AD6"/>
    <w:rsid w:val="001E1D7B"/>
    <w:rsid w:val="001E1FD6"/>
    <w:rsid w:val="001E232E"/>
    <w:rsid w:val="001E25ED"/>
    <w:rsid w:val="001E26BB"/>
    <w:rsid w:val="001E2A49"/>
    <w:rsid w:val="001E2A87"/>
    <w:rsid w:val="001E2E00"/>
    <w:rsid w:val="001E2E96"/>
    <w:rsid w:val="001E2F95"/>
    <w:rsid w:val="001E30AF"/>
    <w:rsid w:val="001E318F"/>
    <w:rsid w:val="001E32AD"/>
    <w:rsid w:val="001E342B"/>
    <w:rsid w:val="001E3685"/>
    <w:rsid w:val="001E3697"/>
    <w:rsid w:val="001E3CA4"/>
    <w:rsid w:val="001E4082"/>
    <w:rsid w:val="001E426C"/>
    <w:rsid w:val="001E4785"/>
    <w:rsid w:val="001E4BA7"/>
    <w:rsid w:val="001E4CBF"/>
    <w:rsid w:val="001E4EB8"/>
    <w:rsid w:val="001E4F33"/>
    <w:rsid w:val="001E5125"/>
    <w:rsid w:val="001E5640"/>
    <w:rsid w:val="001E5EA7"/>
    <w:rsid w:val="001E6937"/>
    <w:rsid w:val="001E6D9B"/>
    <w:rsid w:val="001E7209"/>
    <w:rsid w:val="001E7244"/>
    <w:rsid w:val="001E779E"/>
    <w:rsid w:val="001E7E6E"/>
    <w:rsid w:val="001E7EE0"/>
    <w:rsid w:val="001E7F33"/>
    <w:rsid w:val="001F00FF"/>
    <w:rsid w:val="001F0608"/>
    <w:rsid w:val="001F0718"/>
    <w:rsid w:val="001F0BC3"/>
    <w:rsid w:val="001F0D76"/>
    <w:rsid w:val="001F0F22"/>
    <w:rsid w:val="001F1183"/>
    <w:rsid w:val="001F1201"/>
    <w:rsid w:val="001F1332"/>
    <w:rsid w:val="001F16F0"/>
    <w:rsid w:val="001F17AC"/>
    <w:rsid w:val="001F18D4"/>
    <w:rsid w:val="001F1DE0"/>
    <w:rsid w:val="001F21A8"/>
    <w:rsid w:val="001F3150"/>
    <w:rsid w:val="001F32C1"/>
    <w:rsid w:val="001F3469"/>
    <w:rsid w:val="001F3553"/>
    <w:rsid w:val="001F35AD"/>
    <w:rsid w:val="001F3866"/>
    <w:rsid w:val="001F3976"/>
    <w:rsid w:val="001F4084"/>
    <w:rsid w:val="001F40BB"/>
    <w:rsid w:val="001F4244"/>
    <w:rsid w:val="001F46FF"/>
    <w:rsid w:val="001F48C5"/>
    <w:rsid w:val="001F491C"/>
    <w:rsid w:val="001F4D06"/>
    <w:rsid w:val="001F5017"/>
    <w:rsid w:val="001F5164"/>
    <w:rsid w:val="001F5534"/>
    <w:rsid w:val="001F58A1"/>
    <w:rsid w:val="001F6009"/>
    <w:rsid w:val="001F63EE"/>
    <w:rsid w:val="001F66F1"/>
    <w:rsid w:val="001F6B23"/>
    <w:rsid w:val="001F6C63"/>
    <w:rsid w:val="001F7226"/>
    <w:rsid w:val="001F729F"/>
    <w:rsid w:val="001F749D"/>
    <w:rsid w:val="001F786A"/>
    <w:rsid w:val="001F7D1D"/>
    <w:rsid w:val="00200396"/>
    <w:rsid w:val="00200463"/>
    <w:rsid w:val="0020066B"/>
    <w:rsid w:val="00200743"/>
    <w:rsid w:val="002007B3"/>
    <w:rsid w:val="00200843"/>
    <w:rsid w:val="00200B77"/>
    <w:rsid w:val="00200EC7"/>
    <w:rsid w:val="00200F2A"/>
    <w:rsid w:val="00201169"/>
    <w:rsid w:val="002018C5"/>
    <w:rsid w:val="00201CBC"/>
    <w:rsid w:val="00201E81"/>
    <w:rsid w:val="00201EB1"/>
    <w:rsid w:val="00202177"/>
    <w:rsid w:val="0020230F"/>
    <w:rsid w:val="002027BD"/>
    <w:rsid w:val="0020296C"/>
    <w:rsid w:val="00202CEA"/>
    <w:rsid w:val="002033D0"/>
    <w:rsid w:val="00203638"/>
    <w:rsid w:val="002036D5"/>
    <w:rsid w:val="00203983"/>
    <w:rsid w:val="00203DB0"/>
    <w:rsid w:val="00203ED7"/>
    <w:rsid w:val="002040BC"/>
    <w:rsid w:val="00204690"/>
    <w:rsid w:val="00204813"/>
    <w:rsid w:val="00204DC5"/>
    <w:rsid w:val="00205C7B"/>
    <w:rsid w:val="0020687F"/>
    <w:rsid w:val="002069D6"/>
    <w:rsid w:val="00206A4B"/>
    <w:rsid w:val="00206ADB"/>
    <w:rsid w:val="002078BD"/>
    <w:rsid w:val="00207C23"/>
    <w:rsid w:val="00207C8E"/>
    <w:rsid w:val="00207EBA"/>
    <w:rsid w:val="00207FE4"/>
    <w:rsid w:val="00210365"/>
    <w:rsid w:val="0021047D"/>
    <w:rsid w:val="00210C47"/>
    <w:rsid w:val="00210F01"/>
    <w:rsid w:val="002112CA"/>
    <w:rsid w:val="002112D4"/>
    <w:rsid w:val="00211419"/>
    <w:rsid w:val="00211A01"/>
    <w:rsid w:val="00211E95"/>
    <w:rsid w:val="00211FD8"/>
    <w:rsid w:val="002122DC"/>
    <w:rsid w:val="00212485"/>
    <w:rsid w:val="00212532"/>
    <w:rsid w:val="00212A72"/>
    <w:rsid w:val="00212BAE"/>
    <w:rsid w:val="00212C9B"/>
    <w:rsid w:val="00212E26"/>
    <w:rsid w:val="002132A2"/>
    <w:rsid w:val="00213368"/>
    <w:rsid w:val="002136C2"/>
    <w:rsid w:val="002137B4"/>
    <w:rsid w:val="00213D95"/>
    <w:rsid w:val="0021410A"/>
    <w:rsid w:val="00214357"/>
    <w:rsid w:val="00214876"/>
    <w:rsid w:val="00214BE5"/>
    <w:rsid w:val="0021516F"/>
    <w:rsid w:val="002158C0"/>
    <w:rsid w:val="002162AE"/>
    <w:rsid w:val="0021630F"/>
    <w:rsid w:val="002165F5"/>
    <w:rsid w:val="002167D6"/>
    <w:rsid w:val="00216FDB"/>
    <w:rsid w:val="002171B3"/>
    <w:rsid w:val="00217699"/>
    <w:rsid w:val="00217F24"/>
    <w:rsid w:val="0021BF66"/>
    <w:rsid w:val="002204DA"/>
    <w:rsid w:val="00220618"/>
    <w:rsid w:val="00220E64"/>
    <w:rsid w:val="0022142B"/>
    <w:rsid w:val="002217E1"/>
    <w:rsid w:val="00221867"/>
    <w:rsid w:val="00221CC0"/>
    <w:rsid w:val="00221CD8"/>
    <w:rsid w:val="00221CE5"/>
    <w:rsid w:val="00221E8A"/>
    <w:rsid w:val="0022205A"/>
    <w:rsid w:val="002222E6"/>
    <w:rsid w:val="00222565"/>
    <w:rsid w:val="00222F91"/>
    <w:rsid w:val="00223240"/>
    <w:rsid w:val="0022333F"/>
    <w:rsid w:val="00223D48"/>
    <w:rsid w:val="00224954"/>
    <w:rsid w:val="00224EC2"/>
    <w:rsid w:val="00225210"/>
    <w:rsid w:val="0022569D"/>
    <w:rsid w:val="00225725"/>
    <w:rsid w:val="0022597D"/>
    <w:rsid w:val="00226045"/>
    <w:rsid w:val="002261F8"/>
    <w:rsid w:val="0022638C"/>
    <w:rsid w:val="002264CA"/>
    <w:rsid w:val="002265F4"/>
    <w:rsid w:val="00226E06"/>
    <w:rsid w:val="00226E49"/>
    <w:rsid w:val="00226E95"/>
    <w:rsid w:val="0022704A"/>
    <w:rsid w:val="00227BFA"/>
    <w:rsid w:val="00230944"/>
    <w:rsid w:val="002312A5"/>
    <w:rsid w:val="002315A8"/>
    <w:rsid w:val="00231856"/>
    <w:rsid w:val="00231A6B"/>
    <w:rsid w:val="00232135"/>
    <w:rsid w:val="0023262B"/>
    <w:rsid w:val="00232710"/>
    <w:rsid w:val="0023277F"/>
    <w:rsid w:val="00232A5E"/>
    <w:rsid w:val="00232B5F"/>
    <w:rsid w:val="002330CF"/>
    <w:rsid w:val="00233627"/>
    <w:rsid w:val="00233668"/>
    <w:rsid w:val="002338E1"/>
    <w:rsid w:val="002339F0"/>
    <w:rsid w:val="00233AC7"/>
    <w:rsid w:val="002342EF"/>
    <w:rsid w:val="002343B4"/>
    <w:rsid w:val="002345D4"/>
    <w:rsid w:val="0023465A"/>
    <w:rsid w:val="00234705"/>
    <w:rsid w:val="00234A76"/>
    <w:rsid w:val="00234C1D"/>
    <w:rsid w:val="00235CDA"/>
    <w:rsid w:val="00235E40"/>
    <w:rsid w:val="00235E8F"/>
    <w:rsid w:val="002362F3"/>
    <w:rsid w:val="00236492"/>
    <w:rsid w:val="00236600"/>
    <w:rsid w:val="00236B9F"/>
    <w:rsid w:val="00236CAF"/>
    <w:rsid w:val="00236EE8"/>
    <w:rsid w:val="002370B2"/>
    <w:rsid w:val="0023712F"/>
    <w:rsid w:val="002371D5"/>
    <w:rsid w:val="00237201"/>
    <w:rsid w:val="0023729A"/>
    <w:rsid w:val="00237E2C"/>
    <w:rsid w:val="00237E3F"/>
    <w:rsid w:val="002401C3"/>
    <w:rsid w:val="002402E8"/>
    <w:rsid w:val="00240340"/>
    <w:rsid w:val="00240E44"/>
    <w:rsid w:val="00241073"/>
    <w:rsid w:val="002410B7"/>
    <w:rsid w:val="0024179E"/>
    <w:rsid w:val="002418F8"/>
    <w:rsid w:val="00241FE0"/>
    <w:rsid w:val="002421CB"/>
    <w:rsid w:val="0024227E"/>
    <w:rsid w:val="002422D9"/>
    <w:rsid w:val="002427B0"/>
    <w:rsid w:val="00242872"/>
    <w:rsid w:val="00242A72"/>
    <w:rsid w:val="00242D77"/>
    <w:rsid w:val="00243012"/>
    <w:rsid w:val="0024311E"/>
    <w:rsid w:val="00243136"/>
    <w:rsid w:val="0024323F"/>
    <w:rsid w:val="00243440"/>
    <w:rsid w:val="002435D7"/>
    <w:rsid w:val="00243CF4"/>
    <w:rsid w:val="00243E8D"/>
    <w:rsid w:val="00244141"/>
    <w:rsid w:val="00244204"/>
    <w:rsid w:val="00244772"/>
    <w:rsid w:val="00244A55"/>
    <w:rsid w:val="00244D8F"/>
    <w:rsid w:val="00244DB3"/>
    <w:rsid w:val="00244DDC"/>
    <w:rsid w:val="00245184"/>
    <w:rsid w:val="002452FB"/>
    <w:rsid w:val="0024536D"/>
    <w:rsid w:val="00245491"/>
    <w:rsid w:val="002455E7"/>
    <w:rsid w:val="0024575A"/>
    <w:rsid w:val="002458E4"/>
    <w:rsid w:val="00245A51"/>
    <w:rsid w:val="00246544"/>
    <w:rsid w:val="002465E5"/>
    <w:rsid w:val="002466CB"/>
    <w:rsid w:val="00246704"/>
    <w:rsid w:val="002468A1"/>
    <w:rsid w:val="00247B55"/>
    <w:rsid w:val="00247DF3"/>
    <w:rsid w:val="002500DC"/>
    <w:rsid w:val="0025015E"/>
    <w:rsid w:val="0025033B"/>
    <w:rsid w:val="0025035B"/>
    <w:rsid w:val="0025059A"/>
    <w:rsid w:val="00251396"/>
    <w:rsid w:val="0025154F"/>
    <w:rsid w:val="002515F4"/>
    <w:rsid w:val="002518AB"/>
    <w:rsid w:val="002519C0"/>
    <w:rsid w:val="00252127"/>
    <w:rsid w:val="00252211"/>
    <w:rsid w:val="002523E4"/>
    <w:rsid w:val="00252479"/>
    <w:rsid w:val="0025264D"/>
    <w:rsid w:val="00252971"/>
    <w:rsid w:val="00253224"/>
    <w:rsid w:val="0025369E"/>
    <w:rsid w:val="002538F9"/>
    <w:rsid w:val="00253D8E"/>
    <w:rsid w:val="002540D5"/>
    <w:rsid w:val="002543CE"/>
    <w:rsid w:val="00254F1A"/>
    <w:rsid w:val="002552A1"/>
    <w:rsid w:val="002555F6"/>
    <w:rsid w:val="00255653"/>
    <w:rsid w:val="002556A4"/>
    <w:rsid w:val="00255B25"/>
    <w:rsid w:val="00255D25"/>
    <w:rsid w:val="00255ECC"/>
    <w:rsid w:val="0025646F"/>
    <w:rsid w:val="00256A98"/>
    <w:rsid w:val="00256B23"/>
    <w:rsid w:val="00257293"/>
    <w:rsid w:val="0025731D"/>
    <w:rsid w:val="00257403"/>
    <w:rsid w:val="002574D8"/>
    <w:rsid w:val="00257C15"/>
    <w:rsid w:val="00257C20"/>
    <w:rsid w:val="00257D6D"/>
    <w:rsid w:val="002600C3"/>
    <w:rsid w:val="002602B5"/>
    <w:rsid w:val="00260F8F"/>
    <w:rsid w:val="002610AE"/>
    <w:rsid w:val="002611E2"/>
    <w:rsid w:val="002614BF"/>
    <w:rsid w:val="00261AE6"/>
    <w:rsid w:val="00261E75"/>
    <w:rsid w:val="00261F9C"/>
    <w:rsid w:val="002621BE"/>
    <w:rsid w:val="002628B5"/>
    <w:rsid w:val="00262CA5"/>
    <w:rsid w:val="0026335D"/>
    <w:rsid w:val="0026374F"/>
    <w:rsid w:val="00263AF1"/>
    <w:rsid w:val="002642C8"/>
    <w:rsid w:val="00264394"/>
    <w:rsid w:val="0026470C"/>
    <w:rsid w:val="002651B0"/>
    <w:rsid w:val="002652F4"/>
    <w:rsid w:val="00265736"/>
    <w:rsid w:val="00265859"/>
    <w:rsid w:val="00265E07"/>
    <w:rsid w:val="0026632B"/>
    <w:rsid w:val="002663B8"/>
    <w:rsid w:val="002667E7"/>
    <w:rsid w:val="00266B5A"/>
    <w:rsid w:val="0026712A"/>
    <w:rsid w:val="002676AF"/>
    <w:rsid w:val="00267C19"/>
    <w:rsid w:val="00267F6A"/>
    <w:rsid w:val="0026841D"/>
    <w:rsid w:val="00270026"/>
    <w:rsid w:val="00270149"/>
    <w:rsid w:val="0027018C"/>
    <w:rsid w:val="0027020F"/>
    <w:rsid w:val="002703A2"/>
    <w:rsid w:val="002706F3"/>
    <w:rsid w:val="00270BC0"/>
    <w:rsid w:val="00270CD5"/>
    <w:rsid w:val="00270E2F"/>
    <w:rsid w:val="00271A38"/>
    <w:rsid w:val="0027207D"/>
    <w:rsid w:val="0027209D"/>
    <w:rsid w:val="00272360"/>
    <w:rsid w:val="00272678"/>
    <w:rsid w:val="00272683"/>
    <w:rsid w:val="0027280F"/>
    <w:rsid w:val="00272B5F"/>
    <w:rsid w:val="00272C4B"/>
    <w:rsid w:val="002735B4"/>
    <w:rsid w:val="002738E2"/>
    <w:rsid w:val="002738EF"/>
    <w:rsid w:val="00273B12"/>
    <w:rsid w:val="00273ED9"/>
    <w:rsid w:val="002740EF"/>
    <w:rsid w:val="002741BE"/>
    <w:rsid w:val="00275142"/>
    <w:rsid w:val="00275213"/>
    <w:rsid w:val="0027568C"/>
    <w:rsid w:val="002756FF"/>
    <w:rsid w:val="00275D8D"/>
    <w:rsid w:val="00275E70"/>
    <w:rsid w:val="00275F99"/>
    <w:rsid w:val="002760C4"/>
    <w:rsid w:val="0027682E"/>
    <w:rsid w:val="00276A82"/>
    <w:rsid w:val="00276C14"/>
    <w:rsid w:val="00276F69"/>
    <w:rsid w:val="0027708D"/>
    <w:rsid w:val="0027716C"/>
    <w:rsid w:val="0027744F"/>
    <w:rsid w:val="00277518"/>
    <w:rsid w:val="0028003B"/>
    <w:rsid w:val="00280397"/>
    <w:rsid w:val="002803BB"/>
    <w:rsid w:val="002803E8"/>
    <w:rsid w:val="0028044F"/>
    <w:rsid w:val="002804F2"/>
    <w:rsid w:val="0028057E"/>
    <w:rsid w:val="00280A20"/>
    <w:rsid w:val="00280AD8"/>
    <w:rsid w:val="00280C97"/>
    <w:rsid w:val="00280FD1"/>
    <w:rsid w:val="00281019"/>
    <w:rsid w:val="00281503"/>
    <w:rsid w:val="002815A3"/>
    <w:rsid w:val="00281AEF"/>
    <w:rsid w:val="00281B15"/>
    <w:rsid w:val="00281BD5"/>
    <w:rsid w:val="00282044"/>
    <w:rsid w:val="002820D0"/>
    <w:rsid w:val="00282350"/>
    <w:rsid w:val="00282B62"/>
    <w:rsid w:val="00282C1F"/>
    <w:rsid w:val="00282C35"/>
    <w:rsid w:val="00282CB6"/>
    <w:rsid w:val="00282FEC"/>
    <w:rsid w:val="00283493"/>
    <w:rsid w:val="00283720"/>
    <w:rsid w:val="002837AA"/>
    <w:rsid w:val="00283C35"/>
    <w:rsid w:val="00283D01"/>
    <w:rsid w:val="0028454C"/>
    <w:rsid w:val="00284871"/>
    <w:rsid w:val="00284BB6"/>
    <w:rsid w:val="00284ED9"/>
    <w:rsid w:val="002853CF"/>
    <w:rsid w:val="0028540E"/>
    <w:rsid w:val="002854EC"/>
    <w:rsid w:val="00285654"/>
    <w:rsid w:val="00285ED7"/>
    <w:rsid w:val="002862BA"/>
    <w:rsid w:val="0028630E"/>
    <w:rsid w:val="00286520"/>
    <w:rsid w:val="00286630"/>
    <w:rsid w:val="00286C13"/>
    <w:rsid w:val="002872CD"/>
    <w:rsid w:val="0028751C"/>
    <w:rsid w:val="00287A45"/>
    <w:rsid w:val="00287E32"/>
    <w:rsid w:val="00287E78"/>
    <w:rsid w:val="002900F1"/>
    <w:rsid w:val="002901BA"/>
    <w:rsid w:val="002908DF"/>
    <w:rsid w:val="0029098C"/>
    <w:rsid w:val="00290B60"/>
    <w:rsid w:val="00290F0B"/>
    <w:rsid w:val="00290F2F"/>
    <w:rsid w:val="00291197"/>
    <w:rsid w:val="00291284"/>
    <w:rsid w:val="002912BA"/>
    <w:rsid w:val="00291DA5"/>
    <w:rsid w:val="00291F68"/>
    <w:rsid w:val="00292031"/>
    <w:rsid w:val="0029222B"/>
    <w:rsid w:val="002922A6"/>
    <w:rsid w:val="0029247C"/>
    <w:rsid w:val="00292A20"/>
    <w:rsid w:val="00293369"/>
    <w:rsid w:val="0029337B"/>
    <w:rsid w:val="002935F1"/>
    <w:rsid w:val="002939C7"/>
    <w:rsid w:val="00293EDC"/>
    <w:rsid w:val="00294734"/>
    <w:rsid w:val="00294F95"/>
    <w:rsid w:val="00295043"/>
    <w:rsid w:val="00295680"/>
    <w:rsid w:val="0029590E"/>
    <w:rsid w:val="00295962"/>
    <w:rsid w:val="00295B5A"/>
    <w:rsid w:val="00295F36"/>
    <w:rsid w:val="00296298"/>
    <w:rsid w:val="00296454"/>
    <w:rsid w:val="002966ED"/>
    <w:rsid w:val="00297067"/>
    <w:rsid w:val="00297324"/>
    <w:rsid w:val="00297899"/>
    <w:rsid w:val="00297E45"/>
    <w:rsid w:val="00297E68"/>
    <w:rsid w:val="002A060D"/>
    <w:rsid w:val="002A0669"/>
    <w:rsid w:val="002A0A11"/>
    <w:rsid w:val="002A0DA4"/>
    <w:rsid w:val="002A134A"/>
    <w:rsid w:val="002A1990"/>
    <w:rsid w:val="002A1DC8"/>
    <w:rsid w:val="002A1E8A"/>
    <w:rsid w:val="002A2088"/>
    <w:rsid w:val="002A255D"/>
    <w:rsid w:val="002A2AB3"/>
    <w:rsid w:val="002A2CC8"/>
    <w:rsid w:val="002A2FE0"/>
    <w:rsid w:val="002A34F4"/>
    <w:rsid w:val="002A3967"/>
    <w:rsid w:val="002A3A1B"/>
    <w:rsid w:val="002A3A84"/>
    <w:rsid w:val="002A4706"/>
    <w:rsid w:val="002A47F8"/>
    <w:rsid w:val="002A48B6"/>
    <w:rsid w:val="002A4C52"/>
    <w:rsid w:val="002A4DF8"/>
    <w:rsid w:val="002A4E1F"/>
    <w:rsid w:val="002A4ED1"/>
    <w:rsid w:val="002A4F18"/>
    <w:rsid w:val="002A504D"/>
    <w:rsid w:val="002A546D"/>
    <w:rsid w:val="002A5476"/>
    <w:rsid w:val="002A5572"/>
    <w:rsid w:val="002A569C"/>
    <w:rsid w:val="002A56CE"/>
    <w:rsid w:val="002A5C5B"/>
    <w:rsid w:val="002A6037"/>
    <w:rsid w:val="002A610A"/>
    <w:rsid w:val="002A6906"/>
    <w:rsid w:val="002A6DA8"/>
    <w:rsid w:val="002A6EB9"/>
    <w:rsid w:val="002A7AF5"/>
    <w:rsid w:val="002A7ED0"/>
    <w:rsid w:val="002B00D3"/>
    <w:rsid w:val="002B016C"/>
    <w:rsid w:val="002B0179"/>
    <w:rsid w:val="002B0311"/>
    <w:rsid w:val="002B062B"/>
    <w:rsid w:val="002B0905"/>
    <w:rsid w:val="002B0D0B"/>
    <w:rsid w:val="002B0F12"/>
    <w:rsid w:val="002B17EE"/>
    <w:rsid w:val="002B182F"/>
    <w:rsid w:val="002B1A8E"/>
    <w:rsid w:val="002B2AB8"/>
    <w:rsid w:val="002B2AE2"/>
    <w:rsid w:val="002B2F5E"/>
    <w:rsid w:val="002B3011"/>
    <w:rsid w:val="002B3BD2"/>
    <w:rsid w:val="002B3D41"/>
    <w:rsid w:val="002B3EAE"/>
    <w:rsid w:val="002B437E"/>
    <w:rsid w:val="002B447A"/>
    <w:rsid w:val="002B468E"/>
    <w:rsid w:val="002B4899"/>
    <w:rsid w:val="002B4933"/>
    <w:rsid w:val="002B4D06"/>
    <w:rsid w:val="002B4D50"/>
    <w:rsid w:val="002B537D"/>
    <w:rsid w:val="002B5443"/>
    <w:rsid w:val="002B5543"/>
    <w:rsid w:val="002B566F"/>
    <w:rsid w:val="002B56B1"/>
    <w:rsid w:val="002B588D"/>
    <w:rsid w:val="002B5A9D"/>
    <w:rsid w:val="002B5AD1"/>
    <w:rsid w:val="002B5C9F"/>
    <w:rsid w:val="002B5DBB"/>
    <w:rsid w:val="002B61B0"/>
    <w:rsid w:val="002B627F"/>
    <w:rsid w:val="002B6721"/>
    <w:rsid w:val="002B673C"/>
    <w:rsid w:val="002B67B6"/>
    <w:rsid w:val="002B67F3"/>
    <w:rsid w:val="002B6F45"/>
    <w:rsid w:val="002B78E7"/>
    <w:rsid w:val="002B7C36"/>
    <w:rsid w:val="002B7F4C"/>
    <w:rsid w:val="002C017B"/>
    <w:rsid w:val="002C0686"/>
    <w:rsid w:val="002C06FE"/>
    <w:rsid w:val="002C0AD1"/>
    <w:rsid w:val="002C0F33"/>
    <w:rsid w:val="002C130A"/>
    <w:rsid w:val="002C1318"/>
    <w:rsid w:val="002C13A8"/>
    <w:rsid w:val="002C1448"/>
    <w:rsid w:val="002C16D7"/>
    <w:rsid w:val="002C1A7D"/>
    <w:rsid w:val="002C1CF9"/>
    <w:rsid w:val="002C1FEC"/>
    <w:rsid w:val="002C22B7"/>
    <w:rsid w:val="002C2607"/>
    <w:rsid w:val="002C2894"/>
    <w:rsid w:val="002C28A2"/>
    <w:rsid w:val="002C3173"/>
    <w:rsid w:val="002C321B"/>
    <w:rsid w:val="002C3FD6"/>
    <w:rsid w:val="002C4435"/>
    <w:rsid w:val="002C47A9"/>
    <w:rsid w:val="002C4FFF"/>
    <w:rsid w:val="002C501A"/>
    <w:rsid w:val="002C5377"/>
    <w:rsid w:val="002C547D"/>
    <w:rsid w:val="002C56CF"/>
    <w:rsid w:val="002C5771"/>
    <w:rsid w:val="002C59D0"/>
    <w:rsid w:val="002C5CE0"/>
    <w:rsid w:val="002C62BE"/>
    <w:rsid w:val="002C683E"/>
    <w:rsid w:val="002C685F"/>
    <w:rsid w:val="002C68F3"/>
    <w:rsid w:val="002C6A08"/>
    <w:rsid w:val="002C6ABA"/>
    <w:rsid w:val="002C6FAA"/>
    <w:rsid w:val="002C74CC"/>
    <w:rsid w:val="002C7609"/>
    <w:rsid w:val="002C777D"/>
    <w:rsid w:val="002C7B26"/>
    <w:rsid w:val="002C7B60"/>
    <w:rsid w:val="002C8100"/>
    <w:rsid w:val="002D008A"/>
    <w:rsid w:val="002D0258"/>
    <w:rsid w:val="002D05B7"/>
    <w:rsid w:val="002D0716"/>
    <w:rsid w:val="002D07C6"/>
    <w:rsid w:val="002D0D87"/>
    <w:rsid w:val="002D0DCD"/>
    <w:rsid w:val="002D0FAC"/>
    <w:rsid w:val="002D11D0"/>
    <w:rsid w:val="002D17DF"/>
    <w:rsid w:val="002D199D"/>
    <w:rsid w:val="002D20B6"/>
    <w:rsid w:val="002D27E1"/>
    <w:rsid w:val="002D27EC"/>
    <w:rsid w:val="002D28CB"/>
    <w:rsid w:val="002D2C07"/>
    <w:rsid w:val="002D3A61"/>
    <w:rsid w:val="002D4AAF"/>
    <w:rsid w:val="002D4D6C"/>
    <w:rsid w:val="002D505B"/>
    <w:rsid w:val="002D54B5"/>
    <w:rsid w:val="002D5563"/>
    <w:rsid w:val="002D595B"/>
    <w:rsid w:val="002D5C06"/>
    <w:rsid w:val="002D5C1D"/>
    <w:rsid w:val="002D63FD"/>
    <w:rsid w:val="002D6435"/>
    <w:rsid w:val="002D680A"/>
    <w:rsid w:val="002D6987"/>
    <w:rsid w:val="002D6D61"/>
    <w:rsid w:val="002D7166"/>
    <w:rsid w:val="002D727C"/>
    <w:rsid w:val="002D76A1"/>
    <w:rsid w:val="002D76BA"/>
    <w:rsid w:val="002D7E9B"/>
    <w:rsid w:val="002D7F67"/>
    <w:rsid w:val="002E0166"/>
    <w:rsid w:val="002E0520"/>
    <w:rsid w:val="002E0636"/>
    <w:rsid w:val="002E08C9"/>
    <w:rsid w:val="002E13F4"/>
    <w:rsid w:val="002E1433"/>
    <w:rsid w:val="002E1484"/>
    <w:rsid w:val="002E1489"/>
    <w:rsid w:val="002E14EA"/>
    <w:rsid w:val="002E1B9C"/>
    <w:rsid w:val="002E1E17"/>
    <w:rsid w:val="002E20AF"/>
    <w:rsid w:val="002E241E"/>
    <w:rsid w:val="002E24D2"/>
    <w:rsid w:val="002E2EE9"/>
    <w:rsid w:val="002E364F"/>
    <w:rsid w:val="002E3747"/>
    <w:rsid w:val="002E3837"/>
    <w:rsid w:val="002E3989"/>
    <w:rsid w:val="002E3F42"/>
    <w:rsid w:val="002E460A"/>
    <w:rsid w:val="002E53A7"/>
    <w:rsid w:val="002E580E"/>
    <w:rsid w:val="002E5E58"/>
    <w:rsid w:val="002E63FC"/>
    <w:rsid w:val="002E67C8"/>
    <w:rsid w:val="002E72BB"/>
    <w:rsid w:val="002E7432"/>
    <w:rsid w:val="002E7914"/>
    <w:rsid w:val="002E7C69"/>
    <w:rsid w:val="002E7E36"/>
    <w:rsid w:val="002E7F7A"/>
    <w:rsid w:val="002F0921"/>
    <w:rsid w:val="002F0B2C"/>
    <w:rsid w:val="002F0B5D"/>
    <w:rsid w:val="002F0F25"/>
    <w:rsid w:val="002F0FB5"/>
    <w:rsid w:val="002F15FB"/>
    <w:rsid w:val="002F1654"/>
    <w:rsid w:val="002F1C59"/>
    <w:rsid w:val="002F1CE9"/>
    <w:rsid w:val="002F21B5"/>
    <w:rsid w:val="002F2238"/>
    <w:rsid w:val="002F245D"/>
    <w:rsid w:val="002F2A50"/>
    <w:rsid w:val="002F31E3"/>
    <w:rsid w:val="002F37E7"/>
    <w:rsid w:val="002F3AD7"/>
    <w:rsid w:val="002F3AE3"/>
    <w:rsid w:val="002F3DF6"/>
    <w:rsid w:val="002F3E62"/>
    <w:rsid w:val="002F4132"/>
    <w:rsid w:val="002F44CB"/>
    <w:rsid w:val="002F4B17"/>
    <w:rsid w:val="002F4C40"/>
    <w:rsid w:val="002F4F83"/>
    <w:rsid w:val="002F50A5"/>
    <w:rsid w:val="002F5207"/>
    <w:rsid w:val="002F5329"/>
    <w:rsid w:val="002F58AA"/>
    <w:rsid w:val="002F6022"/>
    <w:rsid w:val="002F6161"/>
    <w:rsid w:val="002F654F"/>
    <w:rsid w:val="002F655F"/>
    <w:rsid w:val="002F6618"/>
    <w:rsid w:val="002F6A6C"/>
    <w:rsid w:val="002F6AA3"/>
    <w:rsid w:val="002F6B7F"/>
    <w:rsid w:val="002F6ECA"/>
    <w:rsid w:val="002F6EE6"/>
    <w:rsid w:val="002F7850"/>
    <w:rsid w:val="002F78E9"/>
    <w:rsid w:val="002F7A6E"/>
    <w:rsid w:val="002F7BF2"/>
    <w:rsid w:val="00300316"/>
    <w:rsid w:val="003006A1"/>
    <w:rsid w:val="003007EF"/>
    <w:rsid w:val="00300D5E"/>
    <w:rsid w:val="003012C9"/>
    <w:rsid w:val="003013EE"/>
    <w:rsid w:val="00301709"/>
    <w:rsid w:val="003019EE"/>
    <w:rsid w:val="00301FBB"/>
    <w:rsid w:val="00302243"/>
    <w:rsid w:val="003023C3"/>
    <w:rsid w:val="0030250D"/>
    <w:rsid w:val="00302848"/>
    <w:rsid w:val="003028F1"/>
    <w:rsid w:val="003029F9"/>
    <w:rsid w:val="00302A97"/>
    <w:rsid w:val="00302BF7"/>
    <w:rsid w:val="00302C11"/>
    <w:rsid w:val="00302F3A"/>
    <w:rsid w:val="00303179"/>
    <w:rsid w:val="003036E7"/>
    <w:rsid w:val="0030464B"/>
    <w:rsid w:val="003046FC"/>
    <w:rsid w:val="00304958"/>
    <w:rsid w:val="00304A54"/>
    <w:rsid w:val="00305508"/>
    <w:rsid w:val="0030559D"/>
    <w:rsid w:val="0030580F"/>
    <w:rsid w:val="00306163"/>
    <w:rsid w:val="0030645D"/>
    <w:rsid w:val="003064DB"/>
    <w:rsid w:val="00306B49"/>
    <w:rsid w:val="003071D4"/>
    <w:rsid w:val="00307411"/>
    <w:rsid w:val="00307767"/>
    <w:rsid w:val="00307975"/>
    <w:rsid w:val="00307A71"/>
    <w:rsid w:val="00307B76"/>
    <w:rsid w:val="00307E6F"/>
    <w:rsid w:val="003102D6"/>
    <w:rsid w:val="003105D8"/>
    <w:rsid w:val="003106C5"/>
    <w:rsid w:val="0031074C"/>
    <w:rsid w:val="00310853"/>
    <w:rsid w:val="00310A0A"/>
    <w:rsid w:val="00310C7D"/>
    <w:rsid w:val="00311047"/>
    <w:rsid w:val="00311362"/>
    <w:rsid w:val="00311604"/>
    <w:rsid w:val="0031188C"/>
    <w:rsid w:val="003118C5"/>
    <w:rsid w:val="00311AA8"/>
    <w:rsid w:val="0031236D"/>
    <w:rsid w:val="0031285D"/>
    <w:rsid w:val="00312925"/>
    <w:rsid w:val="0031301D"/>
    <w:rsid w:val="003130AF"/>
    <w:rsid w:val="003130FF"/>
    <w:rsid w:val="0031329A"/>
    <w:rsid w:val="00313ECC"/>
    <w:rsid w:val="00314048"/>
    <w:rsid w:val="003142DA"/>
    <w:rsid w:val="0031447D"/>
    <w:rsid w:val="003144A4"/>
    <w:rsid w:val="003147FD"/>
    <w:rsid w:val="00314C47"/>
    <w:rsid w:val="003151A1"/>
    <w:rsid w:val="003155AC"/>
    <w:rsid w:val="00315A70"/>
    <w:rsid w:val="00315C4D"/>
    <w:rsid w:val="00315D25"/>
    <w:rsid w:val="00316000"/>
    <w:rsid w:val="00316255"/>
    <w:rsid w:val="003162FD"/>
    <w:rsid w:val="00316349"/>
    <w:rsid w:val="00316A0F"/>
    <w:rsid w:val="00316C90"/>
    <w:rsid w:val="003173E6"/>
    <w:rsid w:val="003176DF"/>
    <w:rsid w:val="00317B3E"/>
    <w:rsid w:val="00317C3A"/>
    <w:rsid w:val="00317D11"/>
    <w:rsid w:val="003202A1"/>
    <w:rsid w:val="00320350"/>
    <w:rsid w:val="00320B12"/>
    <w:rsid w:val="00320DD3"/>
    <w:rsid w:val="00321004"/>
    <w:rsid w:val="00321113"/>
    <w:rsid w:val="0032188E"/>
    <w:rsid w:val="00321F3D"/>
    <w:rsid w:val="00321FEF"/>
    <w:rsid w:val="0032208C"/>
    <w:rsid w:val="00322181"/>
    <w:rsid w:val="0032234D"/>
    <w:rsid w:val="003229F2"/>
    <w:rsid w:val="00322C70"/>
    <w:rsid w:val="00323333"/>
    <w:rsid w:val="00323418"/>
    <w:rsid w:val="00323678"/>
    <w:rsid w:val="00323782"/>
    <w:rsid w:val="00323790"/>
    <w:rsid w:val="003238D3"/>
    <w:rsid w:val="003240E4"/>
    <w:rsid w:val="003247AD"/>
    <w:rsid w:val="003247CC"/>
    <w:rsid w:val="00324B9D"/>
    <w:rsid w:val="003250FB"/>
    <w:rsid w:val="00325168"/>
    <w:rsid w:val="003252AC"/>
    <w:rsid w:val="003258B4"/>
    <w:rsid w:val="00325CA2"/>
    <w:rsid w:val="00325ED5"/>
    <w:rsid w:val="003265F2"/>
    <w:rsid w:val="00326611"/>
    <w:rsid w:val="00326B58"/>
    <w:rsid w:val="0032713D"/>
    <w:rsid w:val="0032770C"/>
    <w:rsid w:val="00327937"/>
    <w:rsid w:val="00327AD4"/>
    <w:rsid w:val="00327BF0"/>
    <w:rsid w:val="00327C32"/>
    <w:rsid w:val="00327D3B"/>
    <w:rsid w:val="00330367"/>
    <w:rsid w:val="003307B1"/>
    <w:rsid w:val="0033124B"/>
    <w:rsid w:val="003314BD"/>
    <w:rsid w:val="003314C4"/>
    <w:rsid w:val="00331537"/>
    <w:rsid w:val="0033156D"/>
    <w:rsid w:val="003315DD"/>
    <w:rsid w:val="00331E1B"/>
    <w:rsid w:val="00331FBF"/>
    <w:rsid w:val="003322D3"/>
    <w:rsid w:val="003325B2"/>
    <w:rsid w:val="00332A70"/>
    <w:rsid w:val="00332AE4"/>
    <w:rsid w:val="00332DFB"/>
    <w:rsid w:val="0033329B"/>
    <w:rsid w:val="003333CC"/>
    <w:rsid w:val="00333BF8"/>
    <w:rsid w:val="00333DA0"/>
    <w:rsid w:val="00333F85"/>
    <w:rsid w:val="003340ED"/>
    <w:rsid w:val="003347BD"/>
    <w:rsid w:val="003349EA"/>
    <w:rsid w:val="00334A5E"/>
    <w:rsid w:val="00334DB5"/>
    <w:rsid w:val="00335213"/>
    <w:rsid w:val="00335385"/>
    <w:rsid w:val="00335567"/>
    <w:rsid w:val="00335814"/>
    <w:rsid w:val="00335919"/>
    <w:rsid w:val="00335DAD"/>
    <w:rsid w:val="00336AEC"/>
    <w:rsid w:val="00336FD8"/>
    <w:rsid w:val="0033743B"/>
    <w:rsid w:val="00337624"/>
    <w:rsid w:val="003376FE"/>
    <w:rsid w:val="0033780E"/>
    <w:rsid w:val="0033799C"/>
    <w:rsid w:val="00337C44"/>
    <w:rsid w:val="00337D62"/>
    <w:rsid w:val="00337E41"/>
    <w:rsid w:val="0034035C"/>
    <w:rsid w:val="00340588"/>
    <w:rsid w:val="003409E5"/>
    <w:rsid w:val="003410C4"/>
    <w:rsid w:val="003414E7"/>
    <w:rsid w:val="00341600"/>
    <w:rsid w:val="003416EF"/>
    <w:rsid w:val="00341CFD"/>
    <w:rsid w:val="00341EA7"/>
    <w:rsid w:val="003422A5"/>
    <w:rsid w:val="00342A3B"/>
    <w:rsid w:val="003437D0"/>
    <w:rsid w:val="00343A4E"/>
    <w:rsid w:val="00343AC4"/>
    <w:rsid w:val="00343D27"/>
    <w:rsid w:val="00343DAE"/>
    <w:rsid w:val="00344203"/>
    <w:rsid w:val="003448BE"/>
    <w:rsid w:val="00344CB4"/>
    <w:rsid w:val="0034521D"/>
    <w:rsid w:val="0034567C"/>
    <w:rsid w:val="00345B2B"/>
    <w:rsid w:val="00345BC2"/>
    <w:rsid w:val="00345EB4"/>
    <w:rsid w:val="003464DE"/>
    <w:rsid w:val="0034653B"/>
    <w:rsid w:val="00346BAF"/>
    <w:rsid w:val="00346C76"/>
    <w:rsid w:val="00346D86"/>
    <w:rsid w:val="00346DF1"/>
    <w:rsid w:val="00346E17"/>
    <w:rsid w:val="00347910"/>
    <w:rsid w:val="00347980"/>
    <w:rsid w:val="00347B36"/>
    <w:rsid w:val="00347E34"/>
    <w:rsid w:val="00350851"/>
    <w:rsid w:val="00350C2D"/>
    <w:rsid w:val="0035134F"/>
    <w:rsid w:val="00351866"/>
    <w:rsid w:val="00351AA4"/>
    <w:rsid w:val="003529FC"/>
    <w:rsid w:val="00352DB4"/>
    <w:rsid w:val="00352FCD"/>
    <w:rsid w:val="00353633"/>
    <w:rsid w:val="00353912"/>
    <w:rsid w:val="00353B96"/>
    <w:rsid w:val="00353DB4"/>
    <w:rsid w:val="00353F51"/>
    <w:rsid w:val="00354869"/>
    <w:rsid w:val="00354A2C"/>
    <w:rsid w:val="00354C77"/>
    <w:rsid w:val="00354CC4"/>
    <w:rsid w:val="00354DA1"/>
    <w:rsid w:val="003558C1"/>
    <w:rsid w:val="003564DE"/>
    <w:rsid w:val="00356625"/>
    <w:rsid w:val="00356A97"/>
    <w:rsid w:val="00356C06"/>
    <w:rsid w:val="00356D64"/>
    <w:rsid w:val="003574E8"/>
    <w:rsid w:val="003575FB"/>
    <w:rsid w:val="0035795F"/>
    <w:rsid w:val="00360368"/>
    <w:rsid w:val="003603E2"/>
    <w:rsid w:val="00361926"/>
    <w:rsid w:val="003627DD"/>
    <w:rsid w:val="00362A37"/>
    <w:rsid w:val="00362F9F"/>
    <w:rsid w:val="00363117"/>
    <w:rsid w:val="00363571"/>
    <w:rsid w:val="00363E53"/>
    <w:rsid w:val="00363F8D"/>
    <w:rsid w:val="00363FB0"/>
    <w:rsid w:val="003643D7"/>
    <w:rsid w:val="00364431"/>
    <w:rsid w:val="00364580"/>
    <w:rsid w:val="00364635"/>
    <w:rsid w:val="003647F1"/>
    <w:rsid w:val="00364B4E"/>
    <w:rsid w:val="00364C40"/>
    <w:rsid w:val="00364CA4"/>
    <w:rsid w:val="00364DE9"/>
    <w:rsid w:val="0036506E"/>
    <w:rsid w:val="00365129"/>
    <w:rsid w:val="0036548C"/>
    <w:rsid w:val="003655BC"/>
    <w:rsid w:val="00365CCD"/>
    <w:rsid w:val="00365D54"/>
    <w:rsid w:val="003662CF"/>
    <w:rsid w:val="0036722B"/>
    <w:rsid w:val="00367755"/>
    <w:rsid w:val="0036786A"/>
    <w:rsid w:val="00367BAD"/>
    <w:rsid w:val="00367E38"/>
    <w:rsid w:val="00367FC2"/>
    <w:rsid w:val="0037001C"/>
    <w:rsid w:val="003702B1"/>
    <w:rsid w:val="0037034E"/>
    <w:rsid w:val="00370488"/>
    <w:rsid w:val="003705C4"/>
    <w:rsid w:val="00370A39"/>
    <w:rsid w:val="003711AE"/>
    <w:rsid w:val="0037137A"/>
    <w:rsid w:val="00371C9D"/>
    <w:rsid w:val="00371ED6"/>
    <w:rsid w:val="0037214B"/>
    <w:rsid w:val="0037251E"/>
    <w:rsid w:val="00372844"/>
    <w:rsid w:val="00372C4B"/>
    <w:rsid w:val="00372FD7"/>
    <w:rsid w:val="00373117"/>
    <w:rsid w:val="00373474"/>
    <w:rsid w:val="00373549"/>
    <w:rsid w:val="003736FA"/>
    <w:rsid w:val="003738A3"/>
    <w:rsid w:val="003738CD"/>
    <w:rsid w:val="00373B78"/>
    <w:rsid w:val="00373EDA"/>
    <w:rsid w:val="00373FD8"/>
    <w:rsid w:val="00373FF6"/>
    <w:rsid w:val="00374159"/>
    <w:rsid w:val="0037417D"/>
    <w:rsid w:val="00374AA2"/>
    <w:rsid w:val="00374AD9"/>
    <w:rsid w:val="00374B5C"/>
    <w:rsid w:val="00374B90"/>
    <w:rsid w:val="00374B93"/>
    <w:rsid w:val="00375075"/>
    <w:rsid w:val="003754F5"/>
    <w:rsid w:val="00376408"/>
    <w:rsid w:val="003764B2"/>
    <w:rsid w:val="003769EC"/>
    <w:rsid w:val="00376DDE"/>
    <w:rsid w:val="003772C9"/>
    <w:rsid w:val="003775D7"/>
    <w:rsid w:val="00377A88"/>
    <w:rsid w:val="00377BDD"/>
    <w:rsid w:val="00380432"/>
    <w:rsid w:val="0038045A"/>
    <w:rsid w:val="00380730"/>
    <w:rsid w:val="00380B0C"/>
    <w:rsid w:val="00380B3A"/>
    <w:rsid w:val="0038131B"/>
    <w:rsid w:val="00381459"/>
    <w:rsid w:val="00381680"/>
    <w:rsid w:val="0038170C"/>
    <w:rsid w:val="00381999"/>
    <w:rsid w:val="00382112"/>
    <w:rsid w:val="00382114"/>
    <w:rsid w:val="00382336"/>
    <w:rsid w:val="00382384"/>
    <w:rsid w:val="0038246B"/>
    <w:rsid w:val="00382AF5"/>
    <w:rsid w:val="00382D8A"/>
    <w:rsid w:val="00382F36"/>
    <w:rsid w:val="00383053"/>
    <w:rsid w:val="003832A0"/>
    <w:rsid w:val="003833C9"/>
    <w:rsid w:val="00383548"/>
    <w:rsid w:val="00383B17"/>
    <w:rsid w:val="00384638"/>
    <w:rsid w:val="0038480A"/>
    <w:rsid w:val="00384F15"/>
    <w:rsid w:val="00384F18"/>
    <w:rsid w:val="0038532C"/>
    <w:rsid w:val="0038534E"/>
    <w:rsid w:val="0038552F"/>
    <w:rsid w:val="00385D60"/>
    <w:rsid w:val="00385F1C"/>
    <w:rsid w:val="00385F5B"/>
    <w:rsid w:val="0038613F"/>
    <w:rsid w:val="003861B4"/>
    <w:rsid w:val="003862B1"/>
    <w:rsid w:val="00386678"/>
    <w:rsid w:val="0038692D"/>
    <w:rsid w:val="00386970"/>
    <w:rsid w:val="00386B3E"/>
    <w:rsid w:val="00386F3A"/>
    <w:rsid w:val="00387712"/>
    <w:rsid w:val="003878F8"/>
    <w:rsid w:val="00387CD7"/>
    <w:rsid w:val="00387E00"/>
    <w:rsid w:val="00390CF1"/>
    <w:rsid w:val="0039162B"/>
    <w:rsid w:val="00391AEC"/>
    <w:rsid w:val="00391DA8"/>
    <w:rsid w:val="003921CE"/>
    <w:rsid w:val="00392BC5"/>
    <w:rsid w:val="00392C7A"/>
    <w:rsid w:val="00392CAC"/>
    <w:rsid w:val="00392D1C"/>
    <w:rsid w:val="00392F1A"/>
    <w:rsid w:val="0039320E"/>
    <w:rsid w:val="00393328"/>
    <w:rsid w:val="00393ECE"/>
    <w:rsid w:val="003940C3"/>
    <w:rsid w:val="00394111"/>
    <w:rsid w:val="0039474F"/>
    <w:rsid w:val="0039486B"/>
    <w:rsid w:val="00394CBF"/>
    <w:rsid w:val="003953AB"/>
    <w:rsid w:val="00395C9C"/>
    <w:rsid w:val="00395CB7"/>
    <w:rsid w:val="00395CE4"/>
    <w:rsid w:val="00395D5B"/>
    <w:rsid w:val="0039639E"/>
    <w:rsid w:val="00396C7F"/>
    <w:rsid w:val="00396D58"/>
    <w:rsid w:val="00396F36"/>
    <w:rsid w:val="00397033"/>
    <w:rsid w:val="00397506"/>
    <w:rsid w:val="00397A47"/>
    <w:rsid w:val="00397C78"/>
    <w:rsid w:val="00397E41"/>
    <w:rsid w:val="003A00A4"/>
    <w:rsid w:val="003A02CB"/>
    <w:rsid w:val="003A053C"/>
    <w:rsid w:val="003A07F7"/>
    <w:rsid w:val="003A0B68"/>
    <w:rsid w:val="003A0BA9"/>
    <w:rsid w:val="003A11AD"/>
    <w:rsid w:val="003A11EA"/>
    <w:rsid w:val="003A122C"/>
    <w:rsid w:val="003A1A96"/>
    <w:rsid w:val="003A1EAB"/>
    <w:rsid w:val="003A1ED1"/>
    <w:rsid w:val="003A1F36"/>
    <w:rsid w:val="003A31F3"/>
    <w:rsid w:val="003A375E"/>
    <w:rsid w:val="003A37E0"/>
    <w:rsid w:val="003A3905"/>
    <w:rsid w:val="003A3E7A"/>
    <w:rsid w:val="003A4056"/>
    <w:rsid w:val="003A4162"/>
    <w:rsid w:val="003A4872"/>
    <w:rsid w:val="003A4FF4"/>
    <w:rsid w:val="003A574A"/>
    <w:rsid w:val="003A6228"/>
    <w:rsid w:val="003A6852"/>
    <w:rsid w:val="003A6E56"/>
    <w:rsid w:val="003A6F69"/>
    <w:rsid w:val="003A73B9"/>
    <w:rsid w:val="003A7C51"/>
    <w:rsid w:val="003A7CBA"/>
    <w:rsid w:val="003A7DD7"/>
    <w:rsid w:val="003B024D"/>
    <w:rsid w:val="003B02DC"/>
    <w:rsid w:val="003B0759"/>
    <w:rsid w:val="003B08CB"/>
    <w:rsid w:val="003B095E"/>
    <w:rsid w:val="003B0D0F"/>
    <w:rsid w:val="003B0D38"/>
    <w:rsid w:val="003B11C3"/>
    <w:rsid w:val="003B11FE"/>
    <w:rsid w:val="003B1609"/>
    <w:rsid w:val="003B1743"/>
    <w:rsid w:val="003B17F3"/>
    <w:rsid w:val="003B1B34"/>
    <w:rsid w:val="003B2265"/>
    <w:rsid w:val="003B2854"/>
    <w:rsid w:val="003B28D5"/>
    <w:rsid w:val="003B2C8E"/>
    <w:rsid w:val="003B2E8F"/>
    <w:rsid w:val="003B313D"/>
    <w:rsid w:val="003B3319"/>
    <w:rsid w:val="003B341D"/>
    <w:rsid w:val="003B3473"/>
    <w:rsid w:val="003B357A"/>
    <w:rsid w:val="003B35A8"/>
    <w:rsid w:val="003B371A"/>
    <w:rsid w:val="003B3A3E"/>
    <w:rsid w:val="003B3AAF"/>
    <w:rsid w:val="003B4613"/>
    <w:rsid w:val="003B4755"/>
    <w:rsid w:val="003B47C1"/>
    <w:rsid w:val="003B483A"/>
    <w:rsid w:val="003B49D0"/>
    <w:rsid w:val="003B5258"/>
    <w:rsid w:val="003B56D1"/>
    <w:rsid w:val="003B5739"/>
    <w:rsid w:val="003B5AC2"/>
    <w:rsid w:val="003B606D"/>
    <w:rsid w:val="003B6516"/>
    <w:rsid w:val="003B652E"/>
    <w:rsid w:val="003B6676"/>
    <w:rsid w:val="003B68DA"/>
    <w:rsid w:val="003B7CD6"/>
    <w:rsid w:val="003C00E4"/>
    <w:rsid w:val="003C06B7"/>
    <w:rsid w:val="003C0777"/>
    <w:rsid w:val="003C0B30"/>
    <w:rsid w:val="003C0EF4"/>
    <w:rsid w:val="003C1607"/>
    <w:rsid w:val="003C18C2"/>
    <w:rsid w:val="003C18CA"/>
    <w:rsid w:val="003C1A5F"/>
    <w:rsid w:val="003C1B51"/>
    <w:rsid w:val="003C1CC2"/>
    <w:rsid w:val="003C1D57"/>
    <w:rsid w:val="003C2030"/>
    <w:rsid w:val="003C217F"/>
    <w:rsid w:val="003C2A9E"/>
    <w:rsid w:val="003C2C62"/>
    <w:rsid w:val="003C2CD5"/>
    <w:rsid w:val="003C2DB0"/>
    <w:rsid w:val="003C324A"/>
    <w:rsid w:val="003C339E"/>
    <w:rsid w:val="003C346E"/>
    <w:rsid w:val="003C355C"/>
    <w:rsid w:val="003C3642"/>
    <w:rsid w:val="003C37EB"/>
    <w:rsid w:val="003C3F25"/>
    <w:rsid w:val="003C4328"/>
    <w:rsid w:val="003C4400"/>
    <w:rsid w:val="003C44A7"/>
    <w:rsid w:val="003C4720"/>
    <w:rsid w:val="003C47DD"/>
    <w:rsid w:val="003C5196"/>
    <w:rsid w:val="003C5BDA"/>
    <w:rsid w:val="003C61AC"/>
    <w:rsid w:val="003C6AC2"/>
    <w:rsid w:val="003C6CB0"/>
    <w:rsid w:val="003C6EC1"/>
    <w:rsid w:val="003C72CF"/>
    <w:rsid w:val="003C72F2"/>
    <w:rsid w:val="003C7BA3"/>
    <w:rsid w:val="003C7D8A"/>
    <w:rsid w:val="003D038B"/>
    <w:rsid w:val="003D0548"/>
    <w:rsid w:val="003D05C0"/>
    <w:rsid w:val="003D05E5"/>
    <w:rsid w:val="003D0837"/>
    <w:rsid w:val="003D0AE5"/>
    <w:rsid w:val="003D0C74"/>
    <w:rsid w:val="003D0D30"/>
    <w:rsid w:val="003D0E23"/>
    <w:rsid w:val="003D14C1"/>
    <w:rsid w:val="003D1C44"/>
    <w:rsid w:val="003D1D3F"/>
    <w:rsid w:val="003D2499"/>
    <w:rsid w:val="003D24CC"/>
    <w:rsid w:val="003D2771"/>
    <w:rsid w:val="003D31FC"/>
    <w:rsid w:val="003D32DF"/>
    <w:rsid w:val="003D32E2"/>
    <w:rsid w:val="003D3441"/>
    <w:rsid w:val="003D3872"/>
    <w:rsid w:val="003D3B4F"/>
    <w:rsid w:val="003D3F27"/>
    <w:rsid w:val="003D41F7"/>
    <w:rsid w:val="003D4289"/>
    <w:rsid w:val="003D472C"/>
    <w:rsid w:val="003D478C"/>
    <w:rsid w:val="003D49F4"/>
    <w:rsid w:val="003D4A5B"/>
    <w:rsid w:val="003D4F91"/>
    <w:rsid w:val="003D51A6"/>
    <w:rsid w:val="003D51F6"/>
    <w:rsid w:val="003D52DC"/>
    <w:rsid w:val="003D549B"/>
    <w:rsid w:val="003D5775"/>
    <w:rsid w:val="003D5C31"/>
    <w:rsid w:val="003D6294"/>
    <w:rsid w:val="003D6412"/>
    <w:rsid w:val="003D64B2"/>
    <w:rsid w:val="003D723A"/>
    <w:rsid w:val="003D74CF"/>
    <w:rsid w:val="003E049C"/>
    <w:rsid w:val="003E0A5D"/>
    <w:rsid w:val="003E0BDD"/>
    <w:rsid w:val="003E0EC0"/>
    <w:rsid w:val="003E117D"/>
    <w:rsid w:val="003E119C"/>
    <w:rsid w:val="003E22A3"/>
    <w:rsid w:val="003E23EC"/>
    <w:rsid w:val="003E2426"/>
    <w:rsid w:val="003E2807"/>
    <w:rsid w:val="003E2869"/>
    <w:rsid w:val="003E2B15"/>
    <w:rsid w:val="003E2BDC"/>
    <w:rsid w:val="003E2E5E"/>
    <w:rsid w:val="003E2F03"/>
    <w:rsid w:val="003E3164"/>
    <w:rsid w:val="003E321D"/>
    <w:rsid w:val="003E3316"/>
    <w:rsid w:val="003E34F8"/>
    <w:rsid w:val="003E3548"/>
    <w:rsid w:val="003E41FD"/>
    <w:rsid w:val="003E4564"/>
    <w:rsid w:val="003E463A"/>
    <w:rsid w:val="003E46AB"/>
    <w:rsid w:val="003E485F"/>
    <w:rsid w:val="003E48D1"/>
    <w:rsid w:val="003E4904"/>
    <w:rsid w:val="003E4EB3"/>
    <w:rsid w:val="003E4F6A"/>
    <w:rsid w:val="003E50DC"/>
    <w:rsid w:val="003E56A7"/>
    <w:rsid w:val="003E600E"/>
    <w:rsid w:val="003E60C2"/>
    <w:rsid w:val="003E64FC"/>
    <w:rsid w:val="003E6630"/>
    <w:rsid w:val="003E69E6"/>
    <w:rsid w:val="003E6D9A"/>
    <w:rsid w:val="003E7184"/>
    <w:rsid w:val="003E7A0B"/>
    <w:rsid w:val="003E7D16"/>
    <w:rsid w:val="003E7E18"/>
    <w:rsid w:val="003E7E8C"/>
    <w:rsid w:val="003F0032"/>
    <w:rsid w:val="003F1484"/>
    <w:rsid w:val="003F170D"/>
    <w:rsid w:val="003F1866"/>
    <w:rsid w:val="003F1B9B"/>
    <w:rsid w:val="003F1EFD"/>
    <w:rsid w:val="003F2085"/>
    <w:rsid w:val="003F228F"/>
    <w:rsid w:val="003F23B4"/>
    <w:rsid w:val="003F240E"/>
    <w:rsid w:val="003F2C3F"/>
    <w:rsid w:val="003F2CF4"/>
    <w:rsid w:val="003F2F71"/>
    <w:rsid w:val="003F30F8"/>
    <w:rsid w:val="003F338F"/>
    <w:rsid w:val="003F3685"/>
    <w:rsid w:val="003F37EB"/>
    <w:rsid w:val="003F3A0E"/>
    <w:rsid w:val="003F3FB9"/>
    <w:rsid w:val="003F3FDA"/>
    <w:rsid w:val="003F4439"/>
    <w:rsid w:val="003F447C"/>
    <w:rsid w:val="003F4C58"/>
    <w:rsid w:val="003F4D77"/>
    <w:rsid w:val="003F4ECE"/>
    <w:rsid w:val="003F51C3"/>
    <w:rsid w:val="003F51EA"/>
    <w:rsid w:val="003F5240"/>
    <w:rsid w:val="003F5560"/>
    <w:rsid w:val="003F5641"/>
    <w:rsid w:val="003F5E7F"/>
    <w:rsid w:val="003F6198"/>
    <w:rsid w:val="003F6249"/>
    <w:rsid w:val="003F6448"/>
    <w:rsid w:val="003F664E"/>
    <w:rsid w:val="003F68EA"/>
    <w:rsid w:val="003F75FE"/>
    <w:rsid w:val="003F7D08"/>
    <w:rsid w:val="003F7E41"/>
    <w:rsid w:val="003F7F75"/>
    <w:rsid w:val="004001F5"/>
    <w:rsid w:val="0040037B"/>
    <w:rsid w:val="0040054E"/>
    <w:rsid w:val="00400737"/>
    <w:rsid w:val="0040098A"/>
    <w:rsid w:val="00400DC2"/>
    <w:rsid w:val="004015A2"/>
    <w:rsid w:val="00401FED"/>
    <w:rsid w:val="00402181"/>
    <w:rsid w:val="00402569"/>
    <w:rsid w:val="0040259D"/>
    <w:rsid w:val="0040262C"/>
    <w:rsid w:val="004030A3"/>
    <w:rsid w:val="00403117"/>
    <w:rsid w:val="0040344F"/>
    <w:rsid w:val="00403542"/>
    <w:rsid w:val="00403629"/>
    <w:rsid w:val="004037A1"/>
    <w:rsid w:val="0040399E"/>
    <w:rsid w:val="00403DB1"/>
    <w:rsid w:val="00403EE3"/>
    <w:rsid w:val="00403F8E"/>
    <w:rsid w:val="0040431E"/>
    <w:rsid w:val="00404FB7"/>
    <w:rsid w:val="00405023"/>
    <w:rsid w:val="00405531"/>
    <w:rsid w:val="00405667"/>
    <w:rsid w:val="00405991"/>
    <w:rsid w:val="00405E43"/>
    <w:rsid w:val="004063D1"/>
    <w:rsid w:val="004063E0"/>
    <w:rsid w:val="004064D9"/>
    <w:rsid w:val="004068B1"/>
    <w:rsid w:val="00406B05"/>
    <w:rsid w:val="00406C3C"/>
    <w:rsid w:val="00407BB4"/>
    <w:rsid w:val="0041000D"/>
    <w:rsid w:val="00410F9B"/>
    <w:rsid w:val="0041141A"/>
    <w:rsid w:val="00411454"/>
    <w:rsid w:val="00411AB6"/>
    <w:rsid w:val="00411B09"/>
    <w:rsid w:val="00411C07"/>
    <w:rsid w:val="00411D1B"/>
    <w:rsid w:val="00411E79"/>
    <w:rsid w:val="0041202C"/>
    <w:rsid w:val="004128CD"/>
    <w:rsid w:val="00412BCF"/>
    <w:rsid w:val="00412CBC"/>
    <w:rsid w:val="00412CDD"/>
    <w:rsid w:val="00412D90"/>
    <w:rsid w:val="0041319E"/>
    <w:rsid w:val="0041341C"/>
    <w:rsid w:val="004135BD"/>
    <w:rsid w:val="00413B6E"/>
    <w:rsid w:val="00413F53"/>
    <w:rsid w:val="00413FC8"/>
    <w:rsid w:val="0041480D"/>
    <w:rsid w:val="00414C27"/>
    <w:rsid w:val="00414F2D"/>
    <w:rsid w:val="00414FA2"/>
    <w:rsid w:val="004150D3"/>
    <w:rsid w:val="004151BA"/>
    <w:rsid w:val="004156EE"/>
    <w:rsid w:val="00415972"/>
    <w:rsid w:val="00416116"/>
    <w:rsid w:val="0041667F"/>
    <w:rsid w:val="0041669C"/>
    <w:rsid w:val="00416BB4"/>
    <w:rsid w:val="00417AA8"/>
    <w:rsid w:val="00417C97"/>
    <w:rsid w:val="00417CA6"/>
    <w:rsid w:val="0042073F"/>
    <w:rsid w:val="0042078A"/>
    <w:rsid w:val="00420AD9"/>
    <w:rsid w:val="00420AE0"/>
    <w:rsid w:val="00420D09"/>
    <w:rsid w:val="004214AC"/>
    <w:rsid w:val="00421519"/>
    <w:rsid w:val="004215A8"/>
    <w:rsid w:val="00421617"/>
    <w:rsid w:val="004219FA"/>
    <w:rsid w:val="00421CF3"/>
    <w:rsid w:val="00421DD0"/>
    <w:rsid w:val="00421DF6"/>
    <w:rsid w:val="00421E75"/>
    <w:rsid w:val="00421EF8"/>
    <w:rsid w:val="00422133"/>
    <w:rsid w:val="004221BB"/>
    <w:rsid w:val="004223D0"/>
    <w:rsid w:val="0042270D"/>
    <w:rsid w:val="00422A14"/>
    <w:rsid w:val="004235E7"/>
    <w:rsid w:val="00423748"/>
    <w:rsid w:val="00423770"/>
    <w:rsid w:val="00423DD3"/>
    <w:rsid w:val="00423E30"/>
    <w:rsid w:val="00423E3C"/>
    <w:rsid w:val="00423E88"/>
    <w:rsid w:val="004241B5"/>
    <w:rsid w:val="0042438C"/>
    <w:rsid w:val="00424B4B"/>
    <w:rsid w:val="00424C7E"/>
    <w:rsid w:val="00424EC0"/>
    <w:rsid w:val="00425083"/>
    <w:rsid w:val="00425327"/>
    <w:rsid w:val="00425484"/>
    <w:rsid w:val="00425600"/>
    <w:rsid w:val="00425AB1"/>
    <w:rsid w:val="00425C93"/>
    <w:rsid w:val="00426149"/>
    <w:rsid w:val="00426388"/>
    <w:rsid w:val="00426A74"/>
    <w:rsid w:val="00426EC4"/>
    <w:rsid w:val="00426EF9"/>
    <w:rsid w:val="0042726D"/>
    <w:rsid w:val="00427322"/>
    <w:rsid w:val="00427618"/>
    <w:rsid w:val="00427B57"/>
    <w:rsid w:val="004301F3"/>
    <w:rsid w:val="0043028F"/>
    <w:rsid w:val="004305BE"/>
    <w:rsid w:val="004305D3"/>
    <w:rsid w:val="00430EAD"/>
    <w:rsid w:val="004311AC"/>
    <w:rsid w:val="00431C78"/>
    <w:rsid w:val="00431CC4"/>
    <w:rsid w:val="00431FEA"/>
    <w:rsid w:val="004324E8"/>
    <w:rsid w:val="0043253A"/>
    <w:rsid w:val="00432808"/>
    <w:rsid w:val="00432E06"/>
    <w:rsid w:val="00432EFE"/>
    <w:rsid w:val="00433118"/>
    <w:rsid w:val="00433435"/>
    <w:rsid w:val="00433740"/>
    <w:rsid w:val="004339BD"/>
    <w:rsid w:val="00433D79"/>
    <w:rsid w:val="00433E7A"/>
    <w:rsid w:val="00433F9F"/>
    <w:rsid w:val="00433FA2"/>
    <w:rsid w:val="0043462F"/>
    <w:rsid w:val="00434C68"/>
    <w:rsid w:val="00434C6E"/>
    <w:rsid w:val="00434DE0"/>
    <w:rsid w:val="00434DF7"/>
    <w:rsid w:val="0043509D"/>
    <w:rsid w:val="00435330"/>
    <w:rsid w:val="00435463"/>
    <w:rsid w:val="004356EC"/>
    <w:rsid w:val="0043579E"/>
    <w:rsid w:val="0043586F"/>
    <w:rsid w:val="004358F9"/>
    <w:rsid w:val="00435D2F"/>
    <w:rsid w:val="00436213"/>
    <w:rsid w:val="00436550"/>
    <w:rsid w:val="00436972"/>
    <w:rsid w:val="00436F4D"/>
    <w:rsid w:val="00437B89"/>
    <w:rsid w:val="00437C25"/>
    <w:rsid w:val="0044007C"/>
    <w:rsid w:val="0044031A"/>
    <w:rsid w:val="00440478"/>
    <w:rsid w:val="0044068A"/>
    <w:rsid w:val="00440AF7"/>
    <w:rsid w:val="00440DEC"/>
    <w:rsid w:val="00441110"/>
    <w:rsid w:val="0044114A"/>
    <w:rsid w:val="00441571"/>
    <w:rsid w:val="0044195E"/>
    <w:rsid w:val="00441987"/>
    <w:rsid w:val="0044233C"/>
    <w:rsid w:val="004423F9"/>
    <w:rsid w:val="00443012"/>
    <w:rsid w:val="00443176"/>
    <w:rsid w:val="004431D2"/>
    <w:rsid w:val="004432B7"/>
    <w:rsid w:val="0044331E"/>
    <w:rsid w:val="004434A0"/>
    <w:rsid w:val="004435B7"/>
    <w:rsid w:val="004436E2"/>
    <w:rsid w:val="00443712"/>
    <w:rsid w:val="00443ADF"/>
    <w:rsid w:val="00443E16"/>
    <w:rsid w:val="0044476C"/>
    <w:rsid w:val="0044484D"/>
    <w:rsid w:val="00444C39"/>
    <w:rsid w:val="00444D2E"/>
    <w:rsid w:val="00444DCF"/>
    <w:rsid w:val="0044562C"/>
    <w:rsid w:val="00445658"/>
    <w:rsid w:val="0044565B"/>
    <w:rsid w:val="00446175"/>
    <w:rsid w:val="00446393"/>
    <w:rsid w:val="00446619"/>
    <w:rsid w:val="00446677"/>
    <w:rsid w:val="004468D5"/>
    <w:rsid w:val="0044690D"/>
    <w:rsid w:val="00446DBD"/>
    <w:rsid w:val="00446F26"/>
    <w:rsid w:val="0044700E"/>
    <w:rsid w:val="00447402"/>
    <w:rsid w:val="00447708"/>
    <w:rsid w:val="00447902"/>
    <w:rsid w:val="00447B96"/>
    <w:rsid w:val="00447C07"/>
    <w:rsid w:val="00447EA5"/>
    <w:rsid w:val="00450280"/>
    <w:rsid w:val="00450285"/>
    <w:rsid w:val="004507CC"/>
    <w:rsid w:val="00450F0E"/>
    <w:rsid w:val="00450F6B"/>
    <w:rsid w:val="004510F3"/>
    <w:rsid w:val="004511BB"/>
    <w:rsid w:val="00451BF3"/>
    <w:rsid w:val="0045206D"/>
    <w:rsid w:val="0045244B"/>
    <w:rsid w:val="004525C0"/>
    <w:rsid w:val="00452C62"/>
    <w:rsid w:val="00452DA3"/>
    <w:rsid w:val="00453259"/>
    <w:rsid w:val="0045333F"/>
    <w:rsid w:val="004534D3"/>
    <w:rsid w:val="00453553"/>
    <w:rsid w:val="00453853"/>
    <w:rsid w:val="00453F3F"/>
    <w:rsid w:val="00454044"/>
    <w:rsid w:val="004548D9"/>
    <w:rsid w:val="0045519C"/>
    <w:rsid w:val="0045543B"/>
    <w:rsid w:val="00455700"/>
    <w:rsid w:val="00455809"/>
    <w:rsid w:val="004558D4"/>
    <w:rsid w:val="00455901"/>
    <w:rsid w:val="00455AAD"/>
    <w:rsid w:val="00455E3F"/>
    <w:rsid w:val="00456293"/>
    <w:rsid w:val="004563E0"/>
    <w:rsid w:val="004567A6"/>
    <w:rsid w:val="00456C16"/>
    <w:rsid w:val="00456D60"/>
    <w:rsid w:val="0045701F"/>
    <w:rsid w:val="004573C5"/>
    <w:rsid w:val="004573E8"/>
    <w:rsid w:val="00457641"/>
    <w:rsid w:val="00457888"/>
    <w:rsid w:val="00457DBD"/>
    <w:rsid w:val="00457EF7"/>
    <w:rsid w:val="004608B0"/>
    <w:rsid w:val="00460A80"/>
    <w:rsid w:val="00460CAB"/>
    <w:rsid w:val="00460F0B"/>
    <w:rsid w:val="00460F76"/>
    <w:rsid w:val="00461355"/>
    <w:rsid w:val="00461703"/>
    <w:rsid w:val="0046256D"/>
    <w:rsid w:val="00462742"/>
    <w:rsid w:val="00462DAD"/>
    <w:rsid w:val="00463334"/>
    <w:rsid w:val="004639D4"/>
    <w:rsid w:val="00463A3A"/>
    <w:rsid w:val="00463B67"/>
    <w:rsid w:val="00463D73"/>
    <w:rsid w:val="0046451C"/>
    <w:rsid w:val="0046466B"/>
    <w:rsid w:val="00464911"/>
    <w:rsid w:val="00464DC7"/>
    <w:rsid w:val="00465058"/>
    <w:rsid w:val="0046520A"/>
    <w:rsid w:val="00465AA1"/>
    <w:rsid w:val="00465B1D"/>
    <w:rsid w:val="00465B89"/>
    <w:rsid w:val="00465FD9"/>
    <w:rsid w:val="004668E8"/>
    <w:rsid w:val="00466C25"/>
    <w:rsid w:val="00466D1D"/>
    <w:rsid w:val="00466FE7"/>
    <w:rsid w:val="0046717E"/>
    <w:rsid w:val="004675CE"/>
    <w:rsid w:val="004678FC"/>
    <w:rsid w:val="00467A8F"/>
    <w:rsid w:val="00467DAB"/>
    <w:rsid w:val="0047002A"/>
    <w:rsid w:val="00470473"/>
    <w:rsid w:val="00470611"/>
    <w:rsid w:val="00471727"/>
    <w:rsid w:val="00471906"/>
    <w:rsid w:val="00471F5C"/>
    <w:rsid w:val="00471FA3"/>
    <w:rsid w:val="004728E9"/>
    <w:rsid w:val="004728FA"/>
    <w:rsid w:val="00472A7D"/>
    <w:rsid w:val="00472B71"/>
    <w:rsid w:val="00472EEF"/>
    <w:rsid w:val="0047340A"/>
    <w:rsid w:val="0047384C"/>
    <w:rsid w:val="004738CD"/>
    <w:rsid w:val="00473D28"/>
    <w:rsid w:val="00473DC3"/>
    <w:rsid w:val="0047415B"/>
    <w:rsid w:val="004741E6"/>
    <w:rsid w:val="004741FA"/>
    <w:rsid w:val="00474430"/>
    <w:rsid w:val="004744E7"/>
    <w:rsid w:val="00474862"/>
    <w:rsid w:val="00474A18"/>
    <w:rsid w:val="00474F24"/>
    <w:rsid w:val="00475370"/>
    <w:rsid w:val="00475445"/>
    <w:rsid w:val="004759F0"/>
    <w:rsid w:val="00475A34"/>
    <w:rsid w:val="00475AB0"/>
    <w:rsid w:val="00475AB7"/>
    <w:rsid w:val="00476050"/>
    <w:rsid w:val="0047654C"/>
    <w:rsid w:val="00476899"/>
    <w:rsid w:val="004769C0"/>
    <w:rsid w:val="00476B2F"/>
    <w:rsid w:val="00476D22"/>
    <w:rsid w:val="00477259"/>
    <w:rsid w:val="00477445"/>
    <w:rsid w:val="0047752B"/>
    <w:rsid w:val="00477B8B"/>
    <w:rsid w:val="00477D7C"/>
    <w:rsid w:val="00477D8D"/>
    <w:rsid w:val="00477DF8"/>
    <w:rsid w:val="00480230"/>
    <w:rsid w:val="0048025C"/>
    <w:rsid w:val="004803E8"/>
    <w:rsid w:val="0048072D"/>
    <w:rsid w:val="004808C2"/>
    <w:rsid w:val="00480A0F"/>
    <w:rsid w:val="00480CF0"/>
    <w:rsid w:val="00480DA2"/>
    <w:rsid w:val="004814CB"/>
    <w:rsid w:val="00481786"/>
    <w:rsid w:val="004818C0"/>
    <w:rsid w:val="00481929"/>
    <w:rsid w:val="004819EC"/>
    <w:rsid w:val="00481D08"/>
    <w:rsid w:val="00481F6F"/>
    <w:rsid w:val="004821F8"/>
    <w:rsid w:val="004828B5"/>
    <w:rsid w:val="00482DF0"/>
    <w:rsid w:val="00482EBE"/>
    <w:rsid w:val="00483317"/>
    <w:rsid w:val="0048360B"/>
    <w:rsid w:val="00483A86"/>
    <w:rsid w:val="00483D06"/>
    <w:rsid w:val="0048407C"/>
    <w:rsid w:val="0048425C"/>
    <w:rsid w:val="004849E3"/>
    <w:rsid w:val="00485330"/>
    <w:rsid w:val="00485654"/>
    <w:rsid w:val="0048567F"/>
    <w:rsid w:val="00485739"/>
    <w:rsid w:val="00485DB0"/>
    <w:rsid w:val="004861D3"/>
    <w:rsid w:val="00486460"/>
    <w:rsid w:val="00486961"/>
    <w:rsid w:val="004869DD"/>
    <w:rsid w:val="00486DC0"/>
    <w:rsid w:val="00486ED5"/>
    <w:rsid w:val="0048715F"/>
    <w:rsid w:val="004872B5"/>
    <w:rsid w:val="004879FF"/>
    <w:rsid w:val="00487F8D"/>
    <w:rsid w:val="00490088"/>
    <w:rsid w:val="00490274"/>
    <w:rsid w:val="0049064B"/>
    <w:rsid w:val="0049078F"/>
    <w:rsid w:val="004907EB"/>
    <w:rsid w:val="00490A46"/>
    <w:rsid w:val="00491434"/>
    <w:rsid w:val="00491F2B"/>
    <w:rsid w:val="004922C5"/>
    <w:rsid w:val="004925F4"/>
    <w:rsid w:val="004927BB"/>
    <w:rsid w:val="004929F4"/>
    <w:rsid w:val="00492DA8"/>
    <w:rsid w:val="00492EC3"/>
    <w:rsid w:val="0049312E"/>
    <w:rsid w:val="004933A7"/>
    <w:rsid w:val="004934DA"/>
    <w:rsid w:val="004935B3"/>
    <w:rsid w:val="004935CE"/>
    <w:rsid w:val="004937A9"/>
    <w:rsid w:val="004939A5"/>
    <w:rsid w:val="00493ACA"/>
    <w:rsid w:val="00493B8E"/>
    <w:rsid w:val="00493FE4"/>
    <w:rsid w:val="00494496"/>
    <w:rsid w:val="00494A5E"/>
    <w:rsid w:val="00494CE0"/>
    <w:rsid w:val="00494CE6"/>
    <w:rsid w:val="00494EB4"/>
    <w:rsid w:val="0049510B"/>
    <w:rsid w:val="0049527F"/>
    <w:rsid w:val="004952FF"/>
    <w:rsid w:val="00495315"/>
    <w:rsid w:val="0049545B"/>
    <w:rsid w:val="004955A9"/>
    <w:rsid w:val="004955D7"/>
    <w:rsid w:val="00495C06"/>
    <w:rsid w:val="00495C83"/>
    <w:rsid w:val="0049608C"/>
    <w:rsid w:val="0049623F"/>
    <w:rsid w:val="004965EF"/>
    <w:rsid w:val="00497631"/>
    <w:rsid w:val="00497681"/>
    <w:rsid w:val="0049768F"/>
    <w:rsid w:val="004977E6"/>
    <w:rsid w:val="0049780C"/>
    <w:rsid w:val="004A02F4"/>
    <w:rsid w:val="004A0672"/>
    <w:rsid w:val="004A0937"/>
    <w:rsid w:val="004A0BEE"/>
    <w:rsid w:val="004A1137"/>
    <w:rsid w:val="004A14CC"/>
    <w:rsid w:val="004A1588"/>
    <w:rsid w:val="004A218F"/>
    <w:rsid w:val="004A260E"/>
    <w:rsid w:val="004A2997"/>
    <w:rsid w:val="004A29E1"/>
    <w:rsid w:val="004A29FC"/>
    <w:rsid w:val="004A2D1E"/>
    <w:rsid w:val="004A376E"/>
    <w:rsid w:val="004A3919"/>
    <w:rsid w:val="004A3AB7"/>
    <w:rsid w:val="004A3C4D"/>
    <w:rsid w:val="004A3E39"/>
    <w:rsid w:val="004A437C"/>
    <w:rsid w:val="004A46DF"/>
    <w:rsid w:val="004A4820"/>
    <w:rsid w:val="004A4CEF"/>
    <w:rsid w:val="004A5006"/>
    <w:rsid w:val="004A500B"/>
    <w:rsid w:val="004A55C1"/>
    <w:rsid w:val="004A59F2"/>
    <w:rsid w:val="004A5F28"/>
    <w:rsid w:val="004A6202"/>
    <w:rsid w:val="004A6619"/>
    <w:rsid w:val="004A6A4E"/>
    <w:rsid w:val="004A6BF0"/>
    <w:rsid w:val="004A6C83"/>
    <w:rsid w:val="004A6E5E"/>
    <w:rsid w:val="004A6EEE"/>
    <w:rsid w:val="004A7056"/>
    <w:rsid w:val="004A768B"/>
    <w:rsid w:val="004A7997"/>
    <w:rsid w:val="004A7A08"/>
    <w:rsid w:val="004B0247"/>
    <w:rsid w:val="004B0AAE"/>
    <w:rsid w:val="004B0CDF"/>
    <w:rsid w:val="004B0CF7"/>
    <w:rsid w:val="004B0EAF"/>
    <w:rsid w:val="004B1165"/>
    <w:rsid w:val="004B1192"/>
    <w:rsid w:val="004B125C"/>
    <w:rsid w:val="004B179C"/>
    <w:rsid w:val="004B1864"/>
    <w:rsid w:val="004B1EC9"/>
    <w:rsid w:val="004B2259"/>
    <w:rsid w:val="004B2267"/>
    <w:rsid w:val="004B28A4"/>
    <w:rsid w:val="004B28F4"/>
    <w:rsid w:val="004B2C4E"/>
    <w:rsid w:val="004B2EA4"/>
    <w:rsid w:val="004B340F"/>
    <w:rsid w:val="004B3527"/>
    <w:rsid w:val="004B388F"/>
    <w:rsid w:val="004B3A8F"/>
    <w:rsid w:val="004B3D16"/>
    <w:rsid w:val="004B4256"/>
    <w:rsid w:val="004B4319"/>
    <w:rsid w:val="004B459C"/>
    <w:rsid w:val="004B46E5"/>
    <w:rsid w:val="004B4BA1"/>
    <w:rsid w:val="004B5837"/>
    <w:rsid w:val="004B5B8B"/>
    <w:rsid w:val="004B5C13"/>
    <w:rsid w:val="004B5D1E"/>
    <w:rsid w:val="004B67E7"/>
    <w:rsid w:val="004B68BE"/>
    <w:rsid w:val="004B6DCB"/>
    <w:rsid w:val="004B7A97"/>
    <w:rsid w:val="004B7B7E"/>
    <w:rsid w:val="004C01C6"/>
    <w:rsid w:val="004C047A"/>
    <w:rsid w:val="004C04C7"/>
    <w:rsid w:val="004C0E9E"/>
    <w:rsid w:val="004C12B3"/>
    <w:rsid w:val="004C1808"/>
    <w:rsid w:val="004C18EC"/>
    <w:rsid w:val="004C1AB9"/>
    <w:rsid w:val="004C272D"/>
    <w:rsid w:val="004C2DFB"/>
    <w:rsid w:val="004C3037"/>
    <w:rsid w:val="004C311B"/>
    <w:rsid w:val="004C3787"/>
    <w:rsid w:val="004C37C5"/>
    <w:rsid w:val="004C37C8"/>
    <w:rsid w:val="004C386A"/>
    <w:rsid w:val="004C431A"/>
    <w:rsid w:val="004C4596"/>
    <w:rsid w:val="004C47A5"/>
    <w:rsid w:val="004C49D0"/>
    <w:rsid w:val="004C49D5"/>
    <w:rsid w:val="004C57ED"/>
    <w:rsid w:val="004C5A41"/>
    <w:rsid w:val="004C5AEF"/>
    <w:rsid w:val="004C5B5C"/>
    <w:rsid w:val="004C5D6D"/>
    <w:rsid w:val="004C691C"/>
    <w:rsid w:val="004C6B62"/>
    <w:rsid w:val="004C71D8"/>
    <w:rsid w:val="004C72F2"/>
    <w:rsid w:val="004C9133"/>
    <w:rsid w:val="004D0A6B"/>
    <w:rsid w:val="004D0CFB"/>
    <w:rsid w:val="004D0F40"/>
    <w:rsid w:val="004D1026"/>
    <w:rsid w:val="004D1432"/>
    <w:rsid w:val="004D1ACB"/>
    <w:rsid w:val="004D1EFC"/>
    <w:rsid w:val="004D1F4A"/>
    <w:rsid w:val="004D2110"/>
    <w:rsid w:val="004D22AA"/>
    <w:rsid w:val="004D2577"/>
    <w:rsid w:val="004D26E0"/>
    <w:rsid w:val="004D2A7E"/>
    <w:rsid w:val="004D2EAD"/>
    <w:rsid w:val="004D3177"/>
    <w:rsid w:val="004D31A2"/>
    <w:rsid w:val="004D321D"/>
    <w:rsid w:val="004D32D9"/>
    <w:rsid w:val="004D34CE"/>
    <w:rsid w:val="004D37F6"/>
    <w:rsid w:val="004D3892"/>
    <w:rsid w:val="004D38AF"/>
    <w:rsid w:val="004D3D70"/>
    <w:rsid w:val="004D3E93"/>
    <w:rsid w:val="004D3E9B"/>
    <w:rsid w:val="004D3F09"/>
    <w:rsid w:val="004D44D3"/>
    <w:rsid w:val="004D45A5"/>
    <w:rsid w:val="004D46DE"/>
    <w:rsid w:val="004D46E7"/>
    <w:rsid w:val="004D4AE1"/>
    <w:rsid w:val="004D4C31"/>
    <w:rsid w:val="004D4E00"/>
    <w:rsid w:val="004D5136"/>
    <w:rsid w:val="004D52C5"/>
    <w:rsid w:val="004D53C9"/>
    <w:rsid w:val="004D58DC"/>
    <w:rsid w:val="004D5D6D"/>
    <w:rsid w:val="004D6050"/>
    <w:rsid w:val="004D621C"/>
    <w:rsid w:val="004D62B1"/>
    <w:rsid w:val="004D6345"/>
    <w:rsid w:val="004D66FB"/>
    <w:rsid w:val="004D67E3"/>
    <w:rsid w:val="004D6C7C"/>
    <w:rsid w:val="004D6DAC"/>
    <w:rsid w:val="004D73AC"/>
    <w:rsid w:val="004D79F7"/>
    <w:rsid w:val="004E03A1"/>
    <w:rsid w:val="004E056E"/>
    <w:rsid w:val="004E0C36"/>
    <w:rsid w:val="004E1117"/>
    <w:rsid w:val="004E15AB"/>
    <w:rsid w:val="004E2933"/>
    <w:rsid w:val="004E2CA4"/>
    <w:rsid w:val="004E2DEC"/>
    <w:rsid w:val="004E2E95"/>
    <w:rsid w:val="004E2F4C"/>
    <w:rsid w:val="004E300E"/>
    <w:rsid w:val="004E318A"/>
    <w:rsid w:val="004E3888"/>
    <w:rsid w:val="004E3FBA"/>
    <w:rsid w:val="004E40EE"/>
    <w:rsid w:val="004E4659"/>
    <w:rsid w:val="004E4702"/>
    <w:rsid w:val="004E4B23"/>
    <w:rsid w:val="004E4D4B"/>
    <w:rsid w:val="004E4D55"/>
    <w:rsid w:val="004E4E2B"/>
    <w:rsid w:val="004E4F1F"/>
    <w:rsid w:val="004E5059"/>
    <w:rsid w:val="004E5075"/>
    <w:rsid w:val="004E51F5"/>
    <w:rsid w:val="004E55D4"/>
    <w:rsid w:val="004E57A0"/>
    <w:rsid w:val="004E5B07"/>
    <w:rsid w:val="004E6B1A"/>
    <w:rsid w:val="004E6D03"/>
    <w:rsid w:val="004E7375"/>
    <w:rsid w:val="004E7419"/>
    <w:rsid w:val="004E7724"/>
    <w:rsid w:val="004E7A44"/>
    <w:rsid w:val="004F0649"/>
    <w:rsid w:val="004F06C8"/>
    <w:rsid w:val="004F07AD"/>
    <w:rsid w:val="004F0C72"/>
    <w:rsid w:val="004F0ECA"/>
    <w:rsid w:val="004F10E1"/>
    <w:rsid w:val="004F1711"/>
    <w:rsid w:val="004F1920"/>
    <w:rsid w:val="004F1FFC"/>
    <w:rsid w:val="004F237E"/>
    <w:rsid w:val="004F2757"/>
    <w:rsid w:val="004F275B"/>
    <w:rsid w:val="004F2989"/>
    <w:rsid w:val="004F2A46"/>
    <w:rsid w:val="004F2BB7"/>
    <w:rsid w:val="004F2CAA"/>
    <w:rsid w:val="004F358C"/>
    <w:rsid w:val="004F35C2"/>
    <w:rsid w:val="004F3ED6"/>
    <w:rsid w:val="004F4603"/>
    <w:rsid w:val="004F47A0"/>
    <w:rsid w:val="004F498E"/>
    <w:rsid w:val="004F4C45"/>
    <w:rsid w:val="004F5212"/>
    <w:rsid w:val="004F63F8"/>
    <w:rsid w:val="004F68FC"/>
    <w:rsid w:val="004F6A9E"/>
    <w:rsid w:val="004F6E77"/>
    <w:rsid w:val="004F7069"/>
    <w:rsid w:val="004F709E"/>
    <w:rsid w:val="004F726C"/>
    <w:rsid w:val="004F734D"/>
    <w:rsid w:val="004F7497"/>
    <w:rsid w:val="004F763E"/>
    <w:rsid w:val="004F770D"/>
    <w:rsid w:val="004F77EB"/>
    <w:rsid w:val="004F78BE"/>
    <w:rsid w:val="004F7FE0"/>
    <w:rsid w:val="005002C4"/>
    <w:rsid w:val="0050036E"/>
    <w:rsid w:val="0050067B"/>
    <w:rsid w:val="00500B99"/>
    <w:rsid w:val="00501A44"/>
    <w:rsid w:val="00501DE4"/>
    <w:rsid w:val="0050229D"/>
    <w:rsid w:val="0050240C"/>
    <w:rsid w:val="005024E1"/>
    <w:rsid w:val="00502D40"/>
    <w:rsid w:val="0050314A"/>
    <w:rsid w:val="00503393"/>
    <w:rsid w:val="005038B2"/>
    <w:rsid w:val="00503E0E"/>
    <w:rsid w:val="00504588"/>
    <w:rsid w:val="005048EA"/>
    <w:rsid w:val="00504B8C"/>
    <w:rsid w:val="00504D6C"/>
    <w:rsid w:val="00504E5E"/>
    <w:rsid w:val="00504ED4"/>
    <w:rsid w:val="00505652"/>
    <w:rsid w:val="00505ACA"/>
    <w:rsid w:val="0050600E"/>
    <w:rsid w:val="00506256"/>
    <w:rsid w:val="0050637A"/>
    <w:rsid w:val="0050642E"/>
    <w:rsid w:val="005064F4"/>
    <w:rsid w:val="00506603"/>
    <w:rsid w:val="00506799"/>
    <w:rsid w:val="005068F4"/>
    <w:rsid w:val="00506C10"/>
    <w:rsid w:val="00506F39"/>
    <w:rsid w:val="00506FE6"/>
    <w:rsid w:val="005070D7"/>
    <w:rsid w:val="0050749A"/>
    <w:rsid w:val="0050753A"/>
    <w:rsid w:val="005075B3"/>
    <w:rsid w:val="005077A7"/>
    <w:rsid w:val="005078EC"/>
    <w:rsid w:val="00507C08"/>
    <w:rsid w:val="00510318"/>
    <w:rsid w:val="0051047F"/>
    <w:rsid w:val="0051048F"/>
    <w:rsid w:val="00510512"/>
    <w:rsid w:val="005109A3"/>
    <w:rsid w:val="00510B35"/>
    <w:rsid w:val="00510EA6"/>
    <w:rsid w:val="00511220"/>
    <w:rsid w:val="00511633"/>
    <w:rsid w:val="00511C10"/>
    <w:rsid w:val="0051203C"/>
    <w:rsid w:val="00512839"/>
    <w:rsid w:val="00512A6A"/>
    <w:rsid w:val="00513052"/>
    <w:rsid w:val="00513477"/>
    <w:rsid w:val="0051387A"/>
    <w:rsid w:val="00513AAC"/>
    <w:rsid w:val="00513BC9"/>
    <w:rsid w:val="00513C0A"/>
    <w:rsid w:val="00514229"/>
    <w:rsid w:val="005143C8"/>
    <w:rsid w:val="005145A7"/>
    <w:rsid w:val="00514DAA"/>
    <w:rsid w:val="00514DC0"/>
    <w:rsid w:val="00514DFC"/>
    <w:rsid w:val="0051504D"/>
    <w:rsid w:val="00515B77"/>
    <w:rsid w:val="00515C67"/>
    <w:rsid w:val="00515CAB"/>
    <w:rsid w:val="00515F47"/>
    <w:rsid w:val="005162CE"/>
    <w:rsid w:val="0051666B"/>
    <w:rsid w:val="00516759"/>
    <w:rsid w:val="005168B5"/>
    <w:rsid w:val="00516A1F"/>
    <w:rsid w:val="00516CA8"/>
    <w:rsid w:val="00516D7E"/>
    <w:rsid w:val="00516F46"/>
    <w:rsid w:val="00517040"/>
    <w:rsid w:val="005170A0"/>
    <w:rsid w:val="0051726B"/>
    <w:rsid w:val="00517416"/>
    <w:rsid w:val="0051779E"/>
    <w:rsid w:val="00517841"/>
    <w:rsid w:val="00517EC5"/>
    <w:rsid w:val="0052011B"/>
    <w:rsid w:val="0052012D"/>
    <w:rsid w:val="00520431"/>
    <w:rsid w:val="00520650"/>
    <w:rsid w:val="00520B86"/>
    <w:rsid w:val="00520D19"/>
    <w:rsid w:val="00520D71"/>
    <w:rsid w:val="00521018"/>
    <w:rsid w:val="00521C70"/>
    <w:rsid w:val="00521E83"/>
    <w:rsid w:val="00521ED1"/>
    <w:rsid w:val="0052203F"/>
    <w:rsid w:val="005220AD"/>
    <w:rsid w:val="00522138"/>
    <w:rsid w:val="00522178"/>
    <w:rsid w:val="00522C3D"/>
    <w:rsid w:val="005233A8"/>
    <w:rsid w:val="005235E5"/>
    <w:rsid w:val="00523E3D"/>
    <w:rsid w:val="0052409A"/>
    <w:rsid w:val="005241D0"/>
    <w:rsid w:val="005243D6"/>
    <w:rsid w:val="00525255"/>
    <w:rsid w:val="00525791"/>
    <w:rsid w:val="00525AA4"/>
    <w:rsid w:val="00525F24"/>
    <w:rsid w:val="005264E4"/>
    <w:rsid w:val="00526727"/>
    <w:rsid w:val="00526B1E"/>
    <w:rsid w:val="00526BF2"/>
    <w:rsid w:val="00526FC2"/>
    <w:rsid w:val="00527252"/>
    <w:rsid w:val="0052730B"/>
    <w:rsid w:val="0052742D"/>
    <w:rsid w:val="0052769E"/>
    <w:rsid w:val="0052774F"/>
    <w:rsid w:val="00527899"/>
    <w:rsid w:val="005278F6"/>
    <w:rsid w:val="00527DD4"/>
    <w:rsid w:val="00527F15"/>
    <w:rsid w:val="00530667"/>
    <w:rsid w:val="005308BC"/>
    <w:rsid w:val="00530AD6"/>
    <w:rsid w:val="00531053"/>
    <w:rsid w:val="005310A1"/>
    <w:rsid w:val="00531842"/>
    <w:rsid w:val="005321CB"/>
    <w:rsid w:val="005322BF"/>
    <w:rsid w:val="00532503"/>
    <w:rsid w:val="00532C06"/>
    <w:rsid w:val="00532DF3"/>
    <w:rsid w:val="0053323F"/>
    <w:rsid w:val="0053369B"/>
    <w:rsid w:val="00533891"/>
    <w:rsid w:val="00533956"/>
    <w:rsid w:val="00533AE2"/>
    <w:rsid w:val="00533C29"/>
    <w:rsid w:val="00533CB9"/>
    <w:rsid w:val="00533E02"/>
    <w:rsid w:val="00533EB3"/>
    <w:rsid w:val="00533F72"/>
    <w:rsid w:val="005341C7"/>
    <w:rsid w:val="0053443A"/>
    <w:rsid w:val="00534725"/>
    <w:rsid w:val="005347A1"/>
    <w:rsid w:val="005348D9"/>
    <w:rsid w:val="005350EF"/>
    <w:rsid w:val="00535220"/>
    <w:rsid w:val="00535237"/>
    <w:rsid w:val="005353F2"/>
    <w:rsid w:val="005367D8"/>
    <w:rsid w:val="00536B8A"/>
    <w:rsid w:val="00536BBA"/>
    <w:rsid w:val="00536BFD"/>
    <w:rsid w:val="0053729D"/>
    <w:rsid w:val="00537C79"/>
    <w:rsid w:val="00537DB7"/>
    <w:rsid w:val="005405BF"/>
    <w:rsid w:val="0054093B"/>
    <w:rsid w:val="00540BE1"/>
    <w:rsid w:val="00541285"/>
    <w:rsid w:val="00541C00"/>
    <w:rsid w:val="00541F37"/>
    <w:rsid w:val="005425E0"/>
    <w:rsid w:val="00542DF0"/>
    <w:rsid w:val="00543147"/>
    <w:rsid w:val="005432C3"/>
    <w:rsid w:val="00543348"/>
    <w:rsid w:val="00543714"/>
    <w:rsid w:val="00543791"/>
    <w:rsid w:val="005438A3"/>
    <w:rsid w:val="005439EA"/>
    <w:rsid w:val="00543A75"/>
    <w:rsid w:val="0054452E"/>
    <w:rsid w:val="005448EE"/>
    <w:rsid w:val="00544C99"/>
    <w:rsid w:val="00544DD6"/>
    <w:rsid w:val="0054554A"/>
    <w:rsid w:val="00545A66"/>
    <w:rsid w:val="00545D8F"/>
    <w:rsid w:val="0054600C"/>
    <w:rsid w:val="005463CB"/>
    <w:rsid w:val="00546852"/>
    <w:rsid w:val="00546864"/>
    <w:rsid w:val="00546B4B"/>
    <w:rsid w:val="00546CEB"/>
    <w:rsid w:val="00546DCF"/>
    <w:rsid w:val="00546E2E"/>
    <w:rsid w:val="00546F1B"/>
    <w:rsid w:val="005474F4"/>
    <w:rsid w:val="0054757B"/>
    <w:rsid w:val="0054759E"/>
    <w:rsid w:val="00547A18"/>
    <w:rsid w:val="00547BAC"/>
    <w:rsid w:val="00547D73"/>
    <w:rsid w:val="00547F6F"/>
    <w:rsid w:val="005506B3"/>
    <w:rsid w:val="00550865"/>
    <w:rsid w:val="00550B0D"/>
    <w:rsid w:val="00551318"/>
    <w:rsid w:val="005515F2"/>
    <w:rsid w:val="00551C80"/>
    <w:rsid w:val="0055262B"/>
    <w:rsid w:val="005529F5"/>
    <w:rsid w:val="00552D40"/>
    <w:rsid w:val="00552D8F"/>
    <w:rsid w:val="00552F39"/>
    <w:rsid w:val="005531ED"/>
    <w:rsid w:val="005532F6"/>
    <w:rsid w:val="005539C7"/>
    <w:rsid w:val="00553B0C"/>
    <w:rsid w:val="00553F0E"/>
    <w:rsid w:val="005540B4"/>
    <w:rsid w:val="00554208"/>
    <w:rsid w:val="0055426A"/>
    <w:rsid w:val="0055429D"/>
    <w:rsid w:val="00554616"/>
    <w:rsid w:val="005547DE"/>
    <w:rsid w:val="00554B2F"/>
    <w:rsid w:val="00554C37"/>
    <w:rsid w:val="0055500D"/>
    <w:rsid w:val="005550CB"/>
    <w:rsid w:val="0055567A"/>
    <w:rsid w:val="00555978"/>
    <w:rsid w:val="00556214"/>
    <w:rsid w:val="005563F1"/>
    <w:rsid w:val="00556419"/>
    <w:rsid w:val="00556658"/>
    <w:rsid w:val="0055679D"/>
    <w:rsid w:val="005567AD"/>
    <w:rsid w:val="005568EC"/>
    <w:rsid w:val="00556ED8"/>
    <w:rsid w:val="00557227"/>
    <w:rsid w:val="0055780D"/>
    <w:rsid w:val="00557A4B"/>
    <w:rsid w:val="00557D33"/>
    <w:rsid w:val="005600D4"/>
    <w:rsid w:val="0056072D"/>
    <w:rsid w:val="00561293"/>
    <w:rsid w:val="0056145B"/>
    <w:rsid w:val="005617BC"/>
    <w:rsid w:val="00561880"/>
    <w:rsid w:val="00561900"/>
    <w:rsid w:val="00561CAC"/>
    <w:rsid w:val="00561DFF"/>
    <w:rsid w:val="00562168"/>
    <w:rsid w:val="0056219D"/>
    <w:rsid w:val="0056275C"/>
    <w:rsid w:val="00562925"/>
    <w:rsid w:val="00562A10"/>
    <w:rsid w:val="00562D8B"/>
    <w:rsid w:val="005630C1"/>
    <w:rsid w:val="00563157"/>
    <w:rsid w:val="00563524"/>
    <w:rsid w:val="0056360F"/>
    <w:rsid w:val="005637DF"/>
    <w:rsid w:val="00563C96"/>
    <w:rsid w:val="00564682"/>
    <w:rsid w:val="00564B68"/>
    <w:rsid w:val="00564DF2"/>
    <w:rsid w:val="005651BB"/>
    <w:rsid w:val="0056524D"/>
    <w:rsid w:val="005652CB"/>
    <w:rsid w:val="00565433"/>
    <w:rsid w:val="00565502"/>
    <w:rsid w:val="00565606"/>
    <w:rsid w:val="0056575A"/>
    <w:rsid w:val="005658BF"/>
    <w:rsid w:val="00565A7B"/>
    <w:rsid w:val="00566119"/>
    <w:rsid w:val="005665FB"/>
    <w:rsid w:val="00566665"/>
    <w:rsid w:val="0056667E"/>
    <w:rsid w:val="00566751"/>
    <w:rsid w:val="00566AB1"/>
    <w:rsid w:val="00566AF7"/>
    <w:rsid w:val="00566B9D"/>
    <w:rsid w:val="00566C0E"/>
    <w:rsid w:val="00566E83"/>
    <w:rsid w:val="00567278"/>
    <w:rsid w:val="00567826"/>
    <w:rsid w:val="0056785D"/>
    <w:rsid w:val="00567CBE"/>
    <w:rsid w:val="00567DEF"/>
    <w:rsid w:val="00567E5E"/>
    <w:rsid w:val="00570283"/>
    <w:rsid w:val="005706DB"/>
    <w:rsid w:val="005707C5"/>
    <w:rsid w:val="00570A3D"/>
    <w:rsid w:val="00570B18"/>
    <w:rsid w:val="00570B5F"/>
    <w:rsid w:val="00571156"/>
    <w:rsid w:val="00571280"/>
    <w:rsid w:val="005713A3"/>
    <w:rsid w:val="00571535"/>
    <w:rsid w:val="0057169C"/>
    <w:rsid w:val="00571808"/>
    <w:rsid w:val="00571816"/>
    <w:rsid w:val="00571E62"/>
    <w:rsid w:val="005725EA"/>
    <w:rsid w:val="0057264D"/>
    <w:rsid w:val="0057267D"/>
    <w:rsid w:val="00572746"/>
    <w:rsid w:val="0057288E"/>
    <w:rsid w:val="00572A01"/>
    <w:rsid w:val="00572C73"/>
    <w:rsid w:val="005732B8"/>
    <w:rsid w:val="005737F5"/>
    <w:rsid w:val="0057387B"/>
    <w:rsid w:val="00573B67"/>
    <w:rsid w:val="00573E11"/>
    <w:rsid w:val="005740B8"/>
    <w:rsid w:val="0057415B"/>
    <w:rsid w:val="00574606"/>
    <w:rsid w:val="005746E7"/>
    <w:rsid w:val="00574BDA"/>
    <w:rsid w:val="00574FB0"/>
    <w:rsid w:val="0057523B"/>
    <w:rsid w:val="005759EF"/>
    <w:rsid w:val="00575E00"/>
    <w:rsid w:val="00575F10"/>
    <w:rsid w:val="00576082"/>
    <w:rsid w:val="005760E0"/>
    <w:rsid w:val="00576554"/>
    <w:rsid w:val="00576C77"/>
    <w:rsid w:val="00576E58"/>
    <w:rsid w:val="00576F49"/>
    <w:rsid w:val="00576FE0"/>
    <w:rsid w:val="00577041"/>
    <w:rsid w:val="00577295"/>
    <w:rsid w:val="005774FD"/>
    <w:rsid w:val="00577A60"/>
    <w:rsid w:val="00577B7D"/>
    <w:rsid w:val="00577C8D"/>
    <w:rsid w:val="00577D8C"/>
    <w:rsid w:val="00577ED5"/>
    <w:rsid w:val="005800C8"/>
    <w:rsid w:val="005807EB"/>
    <w:rsid w:val="005808FE"/>
    <w:rsid w:val="005809D8"/>
    <w:rsid w:val="00580BFB"/>
    <w:rsid w:val="00580E17"/>
    <w:rsid w:val="005811D6"/>
    <w:rsid w:val="0058131A"/>
    <w:rsid w:val="00581D01"/>
    <w:rsid w:val="005832DC"/>
    <w:rsid w:val="00583801"/>
    <w:rsid w:val="00583B81"/>
    <w:rsid w:val="0058468C"/>
    <w:rsid w:val="0058492B"/>
    <w:rsid w:val="00584979"/>
    <w:rsid w:val="00584DE9"/>
    <w:rsid w:val="00584EDD"/>
    <w:rsid w:val="0058551C"/>
    <w:rsid w:val="00585810"/>
    <w:rsid w:val="005858C6"/>
    <w:rsid w:val="00585AB4"/>
    <w:rsid w:val="00585B3C"/>
    <w:rsid w:val="00585BCB"/>
    <w:rsid w:val="0058695A"/>
    <w:rsid w:val="00586DE3"/>
    <w:rsid w:val="0058746C"/>
    <w:rsid w:val="00587630"/>
    <w:rsid w:val="00587890"/>
    <w:rsid w:val="00587B74"/>
    <w:rsid w:val="00587EBB"/>
    <w:rsid w:val="00590134"/>
    <w:rsid w:val="00590E7A"/>
    <w:rsid w:val="00591066"/>
    <w:rsid w:val="00591362"/>
    <w:rsid w:val="00591695"/>
    <w:rsid w:val="00591748"/>
    <w:rsid w:val="00591E86"/>
    <w:rsid w:val="00591F32"/>
    <w:rsid w:val="005925CA"/>
    <w:rsid w:val="005925D7"/>
    <w:rsid w:val="005928E0"/>
    <w:rsid w:val="00592DC7"/>
    <w:rsid w:val="00592EB1"/>
    <w:rsid w:val="005930AF"/>
    <w:rsid w:val="005932AB"/>
    <w:rsid w:val="005937DE"/>
    <w:rsid w:val="00593847"/>
    <w:rsid w:val="0059392C"/>
    <w:rsid w:val="00593931"/>
    <w:rsid w:val="00593C61"/>
    <w:rsid w:val="00593DB3"/>
    <w:rsid w:val="00593F45"/>
    <w:rsid w:val="005942EB"/>
    <w:rsid w:val="00594774"/>
    <w:rsid w:val="005947FD"/>
    <w:rsid w:val="00594885"/>
    <w:rsid w:val="00594FB7"/>
    <w:rsid w:val="005950CC"/>
    <w:rsid w:val="005953AB"/>
    <w:rsid w:val="005959BD"/>
    <w:rsid w:val="005959FA"/>
    <w:rsid w:val="00596278"/>
    <w:rsid w:val="00596336"/>
    <w:rsid w:val="00596442"/>
    <w:rsid w:val="00596A6F"/>
    <w:rsid w:val="0059714B"/>
    <w:rsid w:val="0059786A"/>
    <w:rsid w:val="005978D9"/>
    <w:rsid w:val="005979DC"/>
    <w:rsid w:val="00597C8B"/>
    <w:rsid w:val="005A00C5"/>
    <w:rsid w:val="005A04DF"/>
    <w:rsid w:val="005A0969"/>
    <w:rsid w:val="005A0C51"/>
    <w:rsid w:val="005A0EA2"/>
    <w:rsid w:val="005A0F53"/>
    <w:rsid w:val="005A0FD4"/>
    <w:rsid w:val="005A13FF"/>
    <w:rsid w:val="005A1E35"/>
    <w:rsid w:val="005A20EF"/>
    <w:rsid w:val="005A24B3"/>
    <w:rsid w:val="005A25E4"/>
    <w:rsid w:val="005A2744"/>
    <w:rsid w:val="005A277D"/>
    <w:rsid w:val="005A2E66"/>
    <w:rsid w:val="005A2F93"/>
    <w:rsid w:val="005A3008"/>
    <w:rsid w:val="005A3243"/>
    <w:rsid w:val="005A32BB"/>
    <w:rsid w:val="005A3C7A"/>
    <w:rsid w:val="005A4A8F"/>
    <w:rsid w:val="005A4FA3"/>
    <w:rsid w:val="005A50AF"/>
    <w:rsid w:val="005A5180"/>
    <w:rsid w:val="005A568B"/>
    <w:rsid w:val="005A58C0"/>
    <w:rsid w:val="005A5B9E"/>
    <w:rsid w:val="005A5CCD"/>
    <w:rsid w:val="005A5D05"/>
    <w:rsid w:val="005A5DFE"/>
    <w:rsid w:val="005A6027"/>
    <w:rsid w:val="005A624A"/>
    <w:rsid w:val="005A65AD"/>
    <w:rsid w:val="005A69B7"/>
    <w:rsid w:val="005A6B4A"/>
    <w:rsid w:val="005A6F71"/>
    <w:rsid w:val="005A72A7"/>
    <w:rsid w:val="005A791E"/>
    <w:rsid w:val="005A795E"/>
    <w:rsid w:val="005A7ADB"/>
    <w:rsid w:val="005A7B6C"/>
    <w:rsid w:val="005B0232"/>
    <w:rsid w:val="005B0D16"/>
    <w:rsid w:val="005B10A8"/>
    <w:rsid w:val="005B133C"/>
    <w:rsid w:val="005B1614"/>
    <w:rsid w:val="005B19F5"/>
    <w:rsid w:val="005B1A48"/>
    <w:rsid w:val="005B1BAE"/>
    <w:rsid w:val="005B1C09"/>
    <w:rsid w:val="005B1E08"/>
    <w:rsid w:val="005B2268"/>
    <w:rsid w:val="005B25CB"/>
    <w:rsid w:val="005B2969"/>
    <w:rsid w:val="005B2A92"/>
    <w:rsid w:val="005B2C5A"/>
    <w:rsid w:val="005B2D2C"/>
    <w:rsid w:val="005B363B"/>
    <w:rsid w:val="005B3C60"/>
    <w:rsid w:val="005B3D4D"/>
    <w:rsid w:val="005B3D92"/>
    <w:rsid w:val="005B3E21"/>
    <w:rsid w:val="005B3E46"/>
    <w:rsid w:val="005B4885"/>
    <w:rsid w:val="005B498F"/>
    <w:rsid w:val="005B49A0"/>
    <w:rsid w:val="005B4BB8"/>
    <w:rsid w:val="005B4C78"/>
    <w:rsid w:val="005B5190"/>
    <w:rsid w:val="005B52C2"/>
    <w:rsid w:val="005B543D"/>
    <w:rsid w:val="005B545B"/>
    <w:rsid w:val="005B55D6"/>
    <w:rsid w:val="005B5683"/>
    <w:rsid w:val="005B5815"/>
    <w:rsid w:val="005B5873"/>
    <w:rsid w:val="005B58E6"/>
    <w:rsid w:val="005B5976"/>
    <w:rsid w:val="005B5C25"/>
    <w:rsid w:val="005B5F86"/>
    <w:rsid w:val="005B6078"/>
    <w:rsid w:val="005B6B9B"/>
    <w:rsid w:val="005B870F"/>
    <w:rsid w:val="005C0091"/>
    <w:rsid w:val="005C023D"/>
    <w:rsid w:val="005C038D"/>
    <w:rsid w:val="005C056D"/>
    <w:rsid w:val="005C0A00"/>
    <w:rsid w:val="005C0B44"/>
    <w:rsid w:val="005C0BFB"/>
    <w:rsid w:val="005C0F0C"/>
    <w:rsid w:val="005C10C2"/>
    <w:rsid w:val="005C1165"/>
    <w:rsid w:val="005C1376"/>
    <w:rsid w:val="005C188D"/>
    <w:rsid w:val="005C1FD3"/>
    <w:rsid w:val="005C2127"/>
    <w:rsid w:val="005C223D"/>
    <w:rsid w:val="005C244F"/>
    <w:rsid w:val="005C2BC8"/>
    <w:rsid w:val="005C335F"/>
    <w:rsid w:val="005C34F0"/>
    <w:rsid w:val="005C35DC"/>
    <w:rsid w:val="005C36F1"/>
    <w:rsid w:val="005C37C7"/>
    <w:rsid w:val="005C38D1"/>
    <w:rsid w:val="005C3905"/>
    <w:rsid w:val="005C3C36"/>
    <w:rsid w:val="005C4A46"/>
    <w:rsid w:val="005C4A8D"/>
    <w:rsid w:val="005C4AD6"/>
    <w:rsid w:val="005C4B35"/>
    <w:rsid w:val="005C4E48"/>
    <w:rsid w:val="005C526E"/>
    <w:rsid w:val="005C58AA"/>
    <w:rsid w:val="005C5943"/>
    <w:rsid w:val="005C5EB7"/>
    <w:rsid w:val="005C6A6E"/>
    <w:rsid w:val="005C7216"/>
    <w:rsid w:val="005C7419"/>
    <w:rsid w:val="005C7539"/>
    <w:rsid w:val="005C78EC"/>
    <w:rsid w:val="005C7AB1"/>
    <w:rsid w:val="005C7D5F"/>
    <w:rsid w:val="005D057C"/>
    <w:rsid w:val="005D093E"/>
    <w:rsid w:val="005D0B57"/>
    <w:rsid w:val="005D0E10"/>
    <w:rsid w:val="005D0FB9"/>
    <w:rsid w:val="005D139C"/>
    <w:rsid w:val="005D14DD"/>
    <w:rsid w:val="005D15E5"/>
    <w:rsid w:val="005D1603"/>
    <w:rsid w:val="005D1763"/>
    <w:rsid w:val="005D1897"/>
    <w:rsid w:val="005D1B52"/>
    <w:rsid w:val="005D1BA2"/>
    <w:rsid w:val="005D22E8"/>
    <w:rsid w:val="005D2A7E"/>
    <w:rsid w:val="005D2F46"/>
    <w:rsid w:val="005D38FF"/>
    <w:rsid w:val="005D39F7"/>
    <w:rsid w:val="005D3C94"/>
    <w:rsid w:val="005D3CA8"/>
    <w:rsid w:val="005D3D79"/>
    <w:rsid w:val="005D3DD3"/>
    <w:rsid w:val="005D3F9C"/>
    <w:rsid w:val="005D4932"/>
    <w:rsid w:val="005D496B"/>
    <w:rsid w:val="005D4C07"/>
    <w:rsid w:val="005D55FB"/>
    <w:rsid w:val="005D569B"/>
    <w:rsid w:val="005D5C3D"/>
    <w:rsid w:val="005D5C3E"/>
    <w:rsid w:val="005D6057"/>
    <w:rsid w:val="005D6275"/>
    <w:rsid w:val="005D65A0"/>
    <w:rsid w:val="005D66A2"/>
    <w:rsid w:val="005D6994"/>
    <w:rsid w:val="005D6F98"/>
    <w:rsid w:val="005D71D6"/>
    <w:rsid w:val="005D7324"/>
    <w:rsid w:val="005D735D"/>
    <w:rsid w:val="005D749E"/>
    <w:rsid w:val="005D7929"/>
    <w:rsid w:val="005D7D5D"/>
    <w:rsid w:val="005E01A4"/>
    <w:rsid w:val="005E03E9"/>
    <w:rsid w:val="005E0571"/>
    <w:rsid w:val="005E05EF"/>
    <w:rsid w:val="005E0600"/>
    <w:rsid w:val="005E0A4F"/>
    <w:rsid w:val="005E0B59"/>
    <w:rsid w:val="005E0F11"/>
    <w:rsid w:val="005E1489"/>
    <w:rsid w:val="005E1622"/>
    <w:rsid w:val="005E192D"/>
    <w:rsid w:val="005E1963"/>
    <w:rsid w:val="005E22E5"/>
    <w:rsid w:val="005E22E8"/>
    <w:rsid w:val="005E23CC"/>
    <w:rsid w:val="005E23EC"/>
    <w:rsid w:val="005E2A3B"/>
    <w:rsid w:val="005E2F70"/>
    <w:rsid w:val="005E3181"/>
    <w:rsid w:val="005E333E"/>
    <w:rsid w:val="005E33FA"/>
    <w:rsid w:val="005E3408"/>
    <w:rsid w:val="005E3535"/>
    <w:rsid w:val="005E423B"/>
    <w:rsid w:val="005E4730"/>
    <w:rsid w:val="005E476C"/>
    <w:rsid w:val="005E4D80"/>
    <w:rsid w:val="005E5133"/>
    <w:rsid w:val="005E53B3"/>
    <w:rsid w:val="005E5BA5"/>
    <w:rsid w:val="005E61DD"/>
    <w:rsid w:val="005E6345"/>
    <w:rsid w:val="005E63C1"/>
    <w:rsid w:val="005E69F6"/>
    <w:rsid w:val="005E7742"/>
    <w:rsid w:val="005E78E0"/>
    <w:rsid w:val="005E7932"/>
    <w:rsid w:val="005E7976"/>
    <w:rsid w:val="005E7B37"/>
    <w:rsid w:val="005E7DF1"/>
    <w:rsid w:val="005E7E57"/>
    <w:rsid w:val="005F02F2"/>
    <w:rsid w:val="005F0342"/>
    <w:rsid w:val="005F182E"/>
    <w:rsid w:val="005F19BF"/>
    <w:rsid w:val="005F1F3D"/>
    <w:rsid w:val="005F2102"/>
    <w:rsid w:val="005F2CCE"/>
    <w:rsid w:val="005F30EC"/>
    <w:rsid w:val="005F3210"/>
    <w:rsid w:val="005F32E3"/>
    <w:rsid w:val="005F3542"/>
    <w:rsid w:val="005F36A1"/>
    <w:rsid w:val="005F3827"/>
    <w:rsid w:val="005F3909"/>
    <w:rsid w:val="005F3C78"/>
    <w:rsid w:val="005F3E82"/>
    <w:rsid w:val="005F48E5"/>
    <w:rsid w:val="005F54E1"/>
    <w:rsid w:val="005F56DC"/>
    <w:rsid w:val="005F56FF"/>
    <w:rsid w:val="005F57A3"/>
    <w:rsid w:val="005F59FF"/>
    <w:rsid w:val="005F5C0B"/>
    <w:rsid w:val="005F6026"/>
    <w:rsid w:val="005F60B5"/>
    <w:rsid w:val="005F63DC"/>
    <w:rsid w:val="005F6558"/>
    <w:rsid w:val="005F661C"/>
    <w:rsid w:val="005F66EC"/>
    <w:rsid w:val="005F6DC7"/>
    <w:rsid w:val="005F7113"/>
    <w:rsid w:val="005F72D5"/>
    <w:rsid w:val="005F7548"/>
    <w:rsid w:val="005F75B5"/>
    <w:rsid w:val="005F7711"/>
    <w:rsid w:val="005F78E6"/>
    <w:rsid w:val="005F7D42"/>
    <w:rsid w:val="005F7DB8"/>
    <w:rsid w:val="005F9FE1"/>
    <w:rsid w:val="005FA19E"/>
    <w:rsid w:val="005FA5F8"/>
    <w:rsid w:val="00600031"/>
    <w:rsid w:val="006000BE"/>
    <w:rsid w:val="00600152"/>
    <w:rsid w:val="00600319"/>
    <w:rsid w:val="0060055E"/>
    <w:rsid w:val="00600AE5"/>
    <w:rsid w:val="00600DC5"/>
    <w:rsid w:val="0060115B"/>
    <w:rsid w:val="00601329"/>
    <w:rsid w:val="0060165D"/>
    <w:rsid w:val="00601A9B"/>
    <w:rsid w:val="00601B42"/>
    <w:rsid w:val="00602759"/>
    <w:rsid w:val="00602990"/>
    <w:rsid w:val="00602AB2"/>
    <w:rsid w:val="00602B15"/>
    <w:rsid w:val="00602FB0"/>
    <w:rsid w:val="0060346E"/>
    <w:rsid w:val="006034B9"/>
    <w:rsid w:val="00603889"/>
    <w:rsid w:val="006039BD"/>
    <w:rsid w:val="00603A46"/>
    <w:rsid w:val="00603BFC"/>
    <w:rsid w:val="00603C63"/>
    <w:rsid w:val="006046AE"/>
    <w:rsid w:val="006047F8"/>
    <w:rsid w:val="00604AF3"/>
    <w:rsid w:val="00604E66"/>
    <w:rsid w:val="00604EFF"/>
    <w:rsid w:val="006051EA"/>
    <w:rsid w:val="006055FB"/>
    <w:rsid w:val="00605AF9"/>
    <w:rsid w:val="00605C8A"/>
    <w:rsid w:val="00605DEB"/>
    <w:rsid w:val="00605F1D"/>
    <w:rsid w:val="00606A07"/>
    <w:rsid w:val="00606AD5"/>
    <w:rsid w:val="00606E8F"/>
    <w:rsid w:val="00606F28"/>
    <w:rsid w:val="00607275"/>
    <w:rsid w:val="00607523"/>
    <w:rsid w:val="006075BC"/>
    <w:rsid w:val="00610065"/>
    <w:rsid w:val="00610462"/>
    <w:rsid w:val="006107FC"/>
    <w:rsid w:val="00611A95"/>
    <w:rsid w:val="00611B7E"/>
    <w:rsid w:val="00611DDF"/>
    <w:rsid w:val="00611F19"/>
    <w:rsid w:val="0061212A"/>
    <w:rsid w:val="00612815"/>
    <w:rsid w:val="00612894"/>
    <w:rsid w:val="00612AA9"/>
    <w:rsid w:val="00612C6F"/>
    <w:rsid w:val="00612DF8"/>
    <w:rsid w:val="00613572"/>
    <w:rsid w:val="006136C5"/>
    <w:rsid w:val="006137A5"/>
    <w:rsid w:val="0061394C"/>
    <w:rsid w:val="00613FC6"/>
    <w:rsid w:val="0061407A"/>
    <w:rsid w:val="00614172"/>
    <w:rsid w:val="00614348"/>
    <w:rsid w:val="00614C04"/>
    <w:rsid w:val="00614D34"/>
    <w:rsid w:val="00615124"/>
    <w:rsid w:val="0061572A"/>
    <w:rsid w:val="00615AE3"/>
    <w:rsid w:val="00615D81"/>
    <w:rsid w:val="0061640B"/>
    <w:rsid w:val="0061659D"/>
    <w:rsid w:val="006170F4"/>
    <w:rsid w:val="006172D4"/>
    <w:rsid w:val="006176EC"/>
    <w:rsid w:val="006177B1"/>
    <w:rsid w:val="006177DC"/>
    <w:rsid w:val="00617D9B"/>
    <w:rsid w:val="00617E96"/>
    <w:rsid w:val="00617F5A"/>
    <w:rsid w:val="00620A8E"/>
    <w:rsid w:val="00620C70"/>
    <w:rsid w:val="00621258"/>
    <w:rsid w:val="00621792"/>
    <w:rsid w:val="00621DE5"/>
    <w:rsid w:val="00622190"/>
    <w:rsid w:val="00622A69"/>
    <w:rsid w:val="00622AD2"/>
    <w:rsid w:val="00622B7C"/>
    <w:rsid w:val="00622E75"/>
    <w:rsid w:val="00622F6B"/>
    <w:rsid w:val="00622F8C"/>
    <w:rsid w:val="006233C1"/>
    <w:rsid w:val="006234CE"/>
    <w:rsid w:val="006234EB"/>
    <w:rsid w:val="00623573"/>
    <w:rsid w:val="006236C5"/>
    <w:rsid w:val="006237E4"/>
    <w:rsid w:val="00623B4C"/>
    <w:rsid w:val="00623CE8"/>
    <w:rsid w:val="00623E85"/>
    <w:rsid w:val="00624168"/>
    <w:rsid w:val="00624375"/>
    <w:rsid w:val="006247EF"/>
    <w:rsid w:val="0062480A"/>
    <w:rsid w:val="006249A6"/>
    <w:rsid w:val="00624BE5"/>
    <w:rsid w:val="00624C2C"/>
    <w:rsid w:val="006253C0"/>
    <w:rsid w:val="00625472"/>
    <w:rsid w:val="006254BF"/>
    <w:rsid w:val="00625696"/>
    <w:rsid w:val="006256DD"/>
    <w:rsid w:val="006257D6"/>
    <w:rsid w:val="00626752"/>
    <w:rsid w:val="006268F0"/>
    <w:rsid w:val="006269C4"/>
    <w:rsid w:val="00626E62"/>
    <w:rsid w:val="00626F60"/>
    <w:rsid w:val="00627016"/>
    <w:rsid w:val="0062764C"/>
    <w:rsid w:val="00627770"/>
    <w:rsid w:val="00627F32"/>
    <w:rsid w:val="006302E7"/>
    <w:rsid w:val="0063050E"/>
    <w:rsid w:val="00630AAF"/>
    <w:rsid w:val="00630B2C"/>
    <w:rsid w:val="00630EA1"/>
    <w:rsid w:val="0063115F"/>
    <w:rsid w:val="0063147C"/>
    <w:rsid w:val="00631DCD"/>
    <w:rsid w:val="006322EE"/>
    <w:rsid w:val="00632915"/>
    <w:rsid w:val="00632CAD"/>
    <w:rsid w:val="00632D3A"/>
    <w:rsid w:val="00633577"/>
    <w:rsid w:val="0063361E"/>
    <w:rsid w:val="00633F19"/>
    <w:rsid w:val="00633F81"/>
    <w:rsid w:val="00634164"/>
    <w:rsid w:val="00634965"/>
    <w:rsid w:val="00634BE0"/>
    <w:rsid w:val="006351A0"/>
    <w:rsid w:val="006352AA"/>
    <w:rsid w:val="006352D3"/>
    <w:rsid w:val="0063566E"/>
    <w:rsid w:val="0063578B"/>
    <w:rsid w:val="0063582A"/>
    <w:rsid w:val="006358B3"/>
    <w:rsid w:val="00635953"/>
    <w:rsid w:val="00636A5A"/>
    <w:rsid w:val="00636BED"/>
    <w:rsid w:val="00637167"/>
    <w:rsid w:val="006378B4"/>
    <w:rsid w:val="0064002D"/>
    <w:rsid w:val="006400D1"/>
    <w:rsid w:val="00640130"/>
    <w:rsid w:val="00640355"/>
    <w:rsid w:val="0064050E"/>
    <w:rsid w:val="00640575"/>
    <w:rsid w:val="00640A3E"/>
    <w:rsid w:val="00640E55"/>
    <w:rsid w:val="006417B6"/>
    <w:rsid w:val="006418A4"/>
    <w:rsid w:val="0064200B"/>
    <w:rsid w:val="00642070"/>
    <w:rsid w:val="0064217E"/>
    <w:rsid w:val="006424A7"/>
    <w:rsid w:val="006425A7"/>
    <w:rsid w:val="006427E9"/>
    <w:rsid w:val="00642AF2"/>
    <w:rsid w:val="0064309D"/>
    <w:rsid w:val="006430D9"/>
    <w:rsid w:val="00643410"/>
    <w:rsid w:val="006435D0"/>
    <w:rsid w:val="006439A5"/>
    <w:rsid w:val="00643E4E"/>
    <w:rsid w:val="00644098"/>
    <w:rsid w:val="00644850"/>
    <w:rsid w:val="00644A97"/>
    <w:rsid w:val="00644D32"/>
    <w:rsid w:val="00644E56"/>
    <w:rsid w:val="00645414"/>
    <w:rsid w:val="006455E2"/>
    <w:rsid w:val="00645631"/>
    <w:rsid w:val="00645693"/>
    <w:rsid w:val="00645FCE"/>
    <w:rsid w:val="006461F3"/>
    <w:rsid w:val="006467A9"/>
    <w:rsid w:val="0064698A"/>
    <w:rsid w:val="00646D94"/>
    <w:rsid w:val="006473DA"/>
    <w:rsid w:val="006477B7"/>
    <w:rsid w:val="00647AB2"/>
    <w:rsid w:val="00647D49"/>
    <w:rsid w:val="00647EFD"/>
    <w:rsid w:val="00650547"/>
    <w:rsid w:val="00650645"/>
    <w:rsid w:val="00650673"/>
    <w:rsid w:val="00650AC4"/>
    <w:rsid w:val="00650F2A"/>
    <w:rsid w:val="00651846"/>
    <w:rsid w:val="00651C15"/>
    <w:rsid w:val="00651FBA"/>
    <w:rsid w:val="006520FC"/>
    <w:rsid w:val="00652163"/>
    <w:rsid w:val="00652821"/>
    <w:rsid w:val="006528A0"/>
    <w:rsid w:val="0065334E"/>
    <w:rsid w:val="0065335C"/>
    <w:rsid w:val="00653442"/>
    <w:rsid w:val="0065346A"/>
    <w:rsid w:val="0065353E"/>
    <w:rsid w:val="00653909"/>
    <w:rsid w:val="00653AFA"/>
    <w:rsid w:val="00653CED"/>
    <w:rsid w:val="00653D58"/>
    <w:rsid w:val="00653F0D"/>
    <w:rsid w:val="0065484C"/>
    <w:rsid w:val="006549FC"/>
    <w:rsid w:val="00654C44"/>
    <w:rsid w:val="00655CC1"/>
    <w:rsid w:val="00656788"/>
    <w:rsid w:val="00656946"/>
    <w:rsid w:val="006569B7"/>
    <w:rsid w:val="006569F1"/>
    <w:rsid w:val="00656F84"/>
    <w:rsid w:val="00657099"/>
    <w:rsid w:val="00657228"/>
    <w:rsid w:val="006572F5"/>
    <w:rsid w:val="00657338"/>
    <w:rsid w:val="0065752A"/>
    <w:rsid w:val="0065764F"/>
    <w:rsid w:val="006576F9"/>
    <w:rsid w:val="00657C90"/>
    <w:rsid w:val="00657EE0"/>
    <w:rsid w:val="00657F8D"/>
    <w:rsid w:val="00660062"/>
    <w:rsid w:val="006600FB"/>
    <w:rsid w:val="00660651"/>
    <w:rsid w:val="006607AB"/>
    <w:rsid w:val="00660974"/>
    <w:rsid w:val="00661177"/>
    <w:rsid w:val="00661781"/>
    <w:rsid w:val="00661C62"/>
    <w:rsid w:val="00661E74"/>
    <w:rsid w:val="00662254"/>
    <w:rsid w:val="00662700"/>
    <w:rsid w:val="0066283E"/>
    <w:rsid w:val="00662905"/>
    <w:rsid w:val="006629F9"/>
    <w:rsid w:val="00663447"/>
    <w:rsid w:val="006635D8"/>
    <w:rsid w:val="0066366B"/>
    <w:rsid w:val="0066376D"/>
    <w:rsid w:val="0066423F"/>
    <w:rsid w:val="00664773"/>
    <w:rsid w:val="00664B8B"/>
    <w:rsid w:val="00665449"/>
    <w:rsid w:val="006654CC"/>
    <w:rsid w:val="0066596C"/>
    <w:rsid w:val="00665E02"/>
    <w:rsid w:val="00666AC9"/>
    <w:rsid w:val="00666E2A"/>
    <w:rsid w:val="00667341"/>
    <w:rsid w:val="00667373"/>
    <w:rsid w:val="00667AC3"/>
    <w:rsid w:val="00667F23"/>
    <w:rsid w:val="00670178"/>
    <w:rsid w:val="006701F2"/>
    <w:rsid w:val="006704FC"/>
    <w:rsid w:val="0067074E"/>
    <w:rsid w:val="00670AD0"/>
    <w:rsid w:val="00670B6C"/>
    <w:rsid w:val="00671137"/>
    <w:rsid w:val="00671390"/>
    <w:rsid w:val="006718E0"/>
    <w:rsid w:val="00671A48"/>
    <w:rsid w:val="00671AF9"/>
    <w:rsid w:val="00671CA8"/>
    <w:rsid w:val="006728B2"/>
    <w:rsid w:val="006729FD"/>
    <w:rsid w:val="00672A0D"/>
    <w:rsid w:val="00672CCB"/>
    <w:rsid w:val="00672D6E"/>
    <w:rsid w:val="00672D7F"/>
    <w:rsid w:val="0067328B"/>
    <w:rsid w:val="00673EAD"/>
    <w:rsid w:val="006742B9"/>
    <w:rsid w:val="006743B3"/>
    <w:rsid w:val="00674A7E"/>
    <w:rsid w:val="00674E01"/>
    <w:rsid w:val="00674EDA"/>
    <w:rsid w:val="006752F5"/>
    <w:rsid w:val="006755DB"/>
    <w:rsid w:val="00675600"/>
    <w:rsid w:val="00675B4E"/>
    <w:rsid w:val="00675C89"/>
    <w:rsid w:val="00676108"/>
    <w:rsid w:val="006765E4"/>
    <w:rsid w:val="006769BF"/>
    <w:rsid w:val="00676B81"/>
    <w:rsid w:val="00676C5C"/>
    <w:rsid w:val="00676CF2"/>
    <w:rsid w:val="00676ECC"/>
    <w:rsid w:val="00676F49"/>
    <w:rsid w:val="00677341"/>
    <w:rsid w:val="006777A3"/>
    <w:rsid w:val="006777F0"/>
    <w:rsid w:val="00677A7F"/>
    <w:rsid w:val="00677ECF"/>
    <w:rsid w:val="00679661"/>
    <w:rsid w:val="006800A2"/>
    <w:rsid w:val="006805D0"/>
    <w:rsid w:val="006805DE"/>
    <w:rsid w:val="0068073A"/>
    <w:rsid w:val="00680A72"/>
    <w:rsid w:val="00680D50"/>
    <w:rsid w:val="00680E2B"/>
    <w:rsid w:val="00681539"/>
    <w:rsid w:val="006815F9"/>
    <w:rsid w:val="0068188C"/>
    <w:rsid w:val="006818A8"/>
    <w:rsid w:val="00681B7C"/>
    <w:rsid w:val="00681DF2"/>
    <w:rsid w:val="006821EF"/>
    <w:rsid w:val="006823AB"/>
    <w:rsid w:val="00682931"/>
    <w:rsid w:val="00682BC2"/>
    <w:rsid w:val="00682CBB"/>
    <w:rsid w:val="00682DA7"/>
    <w:rsid w:val="00682FA5"/>
    <w:rsid w:val="00684043"/>
    <w:rsid w:val="00684116"/>
    <w:rsid w:val="00684470"/>
    <w:rsid w:val="006845D8"/>
    <w:rsid w:val="0068497C"/>
    <w:rsid w:val="00684C55"/>
    <w:rsid w:val="006850CA"/>
    <w:rsid w:val="00685146"/>
    <w:rsid w:val="00685219"/>
    <w:rsid w:val="006852D2"/>
    <w:rsid w:val="00685725"/>
    <w:rsid w:val="00685F1A"/>
    <w:rsid w:val="00686251"/>
    <w:rsid w:val="0068629D"/>
    <w:rsid w:val="00686383"/>
    <w:rsid w:val="00686488"/>
    <w:rsid w:val="00686637"/>
    <w:rsid w:val="00686835"/>
    <w:rsid w:val="006868B0"/>
    <w:rsid w:val="00686D74"/>
    <w:rsid w:val="00686E08"/>
    <w:rsid w:val="006871EA"/>
    <w:rsid w:val="00687205"/>
    <w:rsid w:val="0068748C"/>
    <w:rsid w:val="006900F5"/>
    <w:rsid w:val="00690327"/>
    <w:rsid w:val="006903C0"/>
    <w:rsid w:val="00690462"/>
    <w:rsid w:val="00690562"/>
    <w:rsid w:val="00691020"/>
    <w:rsid w:val="006910FB"/>
    <w:rsid w:val="00691490"/>
    <w:rsid w:val="00691509"/>
    <w:rsid w:val="0069192A"/>
    <w:rsid w:val="006919EB"/>
    <w:rsid w:val="00691B5D"/>
    <w:rsid w:val="00691D2D"/>
    <w:rsid w:val="00692BC4"/>
    <w:rsid w:val="00693119"/>
    <w:rsid w:val="006937AB"/>
    <w:rsid w:val="0069384A"/>
    <w:rsid w:val="006939D3"/>
    <w:rsid w:val="00693C2F"/>
    <w:rsid w:val="00694745"/>
    <w:rsid w:val="006947E6"/>
    <w:rsid w:val="00694B49"/>
    <w:rsid w:val="00694EDA"/>
    <w:rsid w:val="00695B79"/>
    <w:rsid w:val="00695B91"/>
    <w:rsid w:val="00696708"/>
    <w:rsid w:val="006967FB"/>
    <w:rsid w:val="00696B0F"/>
    <w:rsid w:val="00696B3D"/>
    <w:rsid w:val="00696C5E"/>
    <w:rsid w:val="006971AB"/>
    <w:rsid w:val="0069735A"/>
    <w:rsid w:val="00697376"/>
    <w:rsid w:val="006974B9"/>
    <w:rsid w:val="00697877"/>
    <w:rsid w:val="00697BD2"/>
    <w:rsid w:val="00697E8F"/>
    <w:rsid w:val="006A0017"/>
    <w:rsid w:val="006A039B"/>
    <w:rsid w:val="006A047C"/>
    <w:rsid w:val="006A1D58"/>
    <w:rsid w:val="006A1DA5"/>
    <w:rsid w:val="006A1F11"/>
    <w:rsid w:val="006A21DB"/>
    <w:rsid w:val="006A2342"/>
    <w:rsid w:val="006A234D"/>
    <w:rsid w:val="006A234F"/>
    <w:rsid w:val="006A2721"/>
    <w:rsid w:val="006A2971"/>
    <w:rsid w:val="006A2B9B"/>
    <w:rsid w:val="006A312F"/>
    <w:rsid w:val="006A3228"/>
    <w:rsid w:val="006A3A07"/>
    <w:rsid w:val="006A3DA9"/>
    <w:rsid w:val="006A4113"/>
    <w:rsid w:val="006A44B4"/>
    <w:rsid w:val="006A4DA1"/>
    <w:rsid w:val="006A4E37"/>
    <w:rsid w:val="006A5109"/>
    <w:rsid w:val="006A55CE"/>
    <w:rsid w:val="006A5938"/>
    <w:rsid w:val="006A5AF4"/>
    <w:rsid w:val="006A5BA0"/>
    <w:rsid w:val="006A6308"/>
    <w:rsid w:val="006A64C4"/>
    <w:rsid w:val="006A66A2"/>
    <w:rsid w:val="006A671A"/>
    <w:rsid w:val="006A75EE"/>
    <w:rsid w:val="006A7777"/>
    <w:rsid w:val="006A77C4"/>
    <w:rsid w:val="006A7876"/>
    <w:rsid w:val="006A78CE"/>
    <w:rsid w:val="006A78E3"/>
    <w:rsid w:val="006B0473"/>
    <w:rsid w:val="006B0669"/>
    <w:rsid w:val="006B178F"/>
    <w:rsid w:val="006B1D37"/>
    <w:rsid w:val="006B1D4C"/>
    <w:rsid w:val="006B1E78"/>
    <w:rsid w:val="006B21B6"/>
    <w:rsid w:val="006B2510"/>
    <w:rsid w:val="006B26A3"/>
    <w:rsid w:val="006B2960"/>
    <w:rsid w:val="006B2DEB"/>
    <w:rsid w:val="006B3121"/>
    <w:rsid w:val="006B33FC"/>
    <w:rsid w:val="006B37C2"/>
    <w:rsid w:val="006B3883"/>
    <w:rsid w:val="006B3898"/>
    <w:rsid w:val="006B3940"/>
    <w:rsid w:val="006B3D38"/>
    <w:rsid w:val="006B42B7"/>
    <w:rsid w:val="006B4A19"/>
    <w:rsid w:val="006B4BBB"/>
    <w:rsid w:val="006B4E7E"/>
    <w:rsid w:val="006B57AC"/>
    <w:rsid w:val="006B5914"/>
    <w:rsid w:val="006B5A4A"/>
    <w:rsid w:val="006B5F57"/>
    <w:rsid w:val="006B644A"/>
    <w:rsid w:val="006B64A3"/>
    <w:rsid w:val="006B663A"/>
    <w:rsid w:val="006B6F16"/>
    <w:rsid w:val="006B74EE"/>
    <w:rsid w:val="006B7ABE"/>
    <w:rsid w:val="006B7E29"/>
    <w:rsid w:val="006C05DB"/>
    <w:rsid w:val="006C0667"/>
    <w:rsid w:val="006C0732"/>
    <w:rsid w:val="006C0B1E"/>
    <w:rsid w:val="006C0C62"/>
    <w:rsid w:val="006C17B2"/>
    <w:rsid w:val="006C19E2"/>
    <w:rsid w:val="006C1E68"/>
    <w:rsid w:val="006C21B7"/>
    <w:rsid w:val="006C26F5"/>
    <w:rsid w:val="006C2AD3"/>
    <w:rsid w:val="006C2B94"/>
    <w:rsid w:val="006C2D43"/>
    <w:rsid w:val="006C30C2"/>
    <w:rsid w:val="006C3638"/>
    <w:rsid w:val="006C391D"/>
    <w:rsid w:val="006C3AE0"/>
    <w:rsid w:val="006C4320"/>
    <w:rsid w:val="006C48EE"/>
    <w:rsid w:val="006C4A5A"/>
    <w:rsid w:val="006C5174"/>
    <w:rsid w:val="006C542F"/>
    <w:rsid w:val="006C5B7A"/>
    <w:rsid w:val="006C5C1D"/>
    <w:rsid w:val="006C5DBC"/>
    <w:rsid w:val="006C5F3C"/>
    <w:rsid w:val="006C5F7E"/>
    <w:rsid w:val="006C6582"/>
    <w:rsid w:val="006C6C9B"/>
    <w:rsid w:val="006C6D53"/>
    <w:rsid w:val="006C7248"/>
    <w:rsid w:val="006C72BF"/>
    <w:rsid w:val="006C7350"/>
    <w:rsid w:val="006C754C"/>
    <w:rsid w:val="006C7647"/>
    <w:rsid w:val="006C7727"/>
    <w:rsid w:val="006D06CE"/>
    <w:rsid w:val="006D07F0"/>
    <w:rsid w:val="006D0AB2"/>
    <w:rsid w:val="006D0B0A"/>
    <w:rsid w:val="006D0CFA"/>
    <w:rsid w:val="006D0D92"/>
    <w:rsid w:val="006D0F67"/>
    <w:rsid w:val="006D1227"/>
    <w:rsid w:val="006D1C17"/>
    <w:rsid w:val="006D1DCB"/>
    <w:rsid w:val="006D2123"/>
    <w:rsid w:val="006D2393"/>
    <w:rsid w:val="006D2615"/>
    <w:rsid w:val="006D263E"/>
    <w:rsid w:val="006D2C03"/>
    <w:rsid w:val="006D2EB7"/>
    <w:rsid w:val="006D2F72"/>
    <w:rsid w:val="006D3293"/>
    <w:rsid w:val="006D33DE"/>
    <w:rsid w:val="006D34AC"/>
    <w:rsid w:val="006D3D77"/>
    <w:rsid w:val="006D3FCD"/>
    <w:rsid w:val="006D4E07"/>
    <w:rsid w:val="006D52BD"/>
    <w:rsid w:val="006D5B6A"/>
    <w:rsid w:val="006D616C"/>
    <w:rsid w:val="006D631F"/>
    <w:rsid w:val="006D6889"/>
    <w:rsid w:val="006D6A2B"/>
    <w:rsid w:val="006D6C5A"/>
    <w:rsid w:val="006D6F65"/>
    <w:rsid w:val="006D6FA5"/>
    <w:rsid w:val="006D73BD"/>
    <w:rsid w:val="006D7431"/>
    <w:rsid w:val="006E01D0"/>
    <w:rsid w:val="006E01D5"/>
    <w:rsid w:val="006E03E3"/>
    <w:rsid w:val="006E05B8"/>
    <w:rsid w:val="006E0659"/>
    <w:rsid w:val="006E080B"/>
    <w:rsid w:val="006E0AA1"/>
    <w:rsid w:val="006E13C4"/>
    <w:rsid w:val="006E16E0"/>
    <w:rsid w:val="006E171E"/>
    <w:rsid w:val="006E1915"/>
    <w:rsid w:val="006E1E6C"/>
    <w:rsid w:val="006E29C2"/>
    <w:rsid w:val="006E2BB9"/>
    <w:rsid w:val="006E2E55"/>
    <w:rsid w:val="006E3329"/>
    <w:rsid w:val="006E3686"/>
    <w:rsid w:val="006E3971"/>
    <w:rsid w:val="006E39E7"/>
    <w:rsid w:val="006E3DBB"/>
    <w:rsid w:val="006E41E5"/>
    <w:rsid w:val="006E4510"/>
    <w:rsid w:val="006E4BE2"/>
    <w:rsid w:val="006E4CA6"/>
    <w:rsid w:val="006E4F3E"/>
    <w:rsid w:val="006E5642"/>
    <w:rsid w:val="006E566A"/>
    <w:rsid w:val="006E5C55"/>
    <w:rsid w:val="006E5D98"/>
    <w:rsid w:val="006E6632"/>
    <w:rsid w:val="006E66FE"/>
    <w:rsid w:val="006E684E"/>
    <w:rsid w:val="006E68CB"/>
    <w:rsid w:val="006E6F75"/>
    <w:rsid w:val="006E702D"/>
    <w:rsid w:val="006E78EB"/>
    <w:rsid w:val="006E79A5"/>
    <w:rsid w:val="006E79BE"/>
    <w:rsid w:val="006E79C2"/>
    <w:rsid w:val="006E7A49"/>
    <w:rsid w:val="006E7BF0"/>
    <w:rsid w:val="006E7FC7"/>
    <w:rsid w:val="006F08E8"/>
    <w:rsid w:val="006F08F6"/>
    <w:rsid w:val="006F0B0D"/>
    <w:rsid w:val="006F0DF2"/>
    <w:rsid w:val="006F11E2"/>
    <w:rsid w:val="006F11E8"/>
    <w:rsid w:val="006F1398"/>
    <w:rsid w:val="006F1890"/>
    <w:rsid w:val="006F1F65"/>
    <w:rsid w:val="006F200B"/>
    <w:rsid w:val="006F2575"/>
    <w:rsid w:val="006F28E0"/>
    <w:rsid w:val="006F2E3E"/>
    <w:rsid w:val="006F3191"/>
    <w:rsid w:val="006F31F3"/>
    <w:rsid w:val="006F33C1"/>
    <w:rsid w:val="006F37A4"/>
    <w:rsid w:val="006F37D0"/>
    <w:rsid w:val="006F3B7C"/>
    <w:rsid w:val="006F400D"/>
    <w:rsid w:val="006F4403"/>
    <w:rsid w:val="006F4BC7"/>
    <w:rsid w:val="006F4E3B"/>
    <w:rsid w:val="006F5204"/>
    <w:rsid w:val="006F54B5"/>
    <w:rsid w:val="006F57C9"/>
    <w:rsid w:val="006F596D"/>
    <w:rsid w:val="006F6255"/>
    <w:rsid w:val="006F6739"/>
    <w:rsid w:val="006F71ED"/>
    <w:rsid w:val="006F7286"/>
    <w:rsid w:val="006F7587"/>
    <w:rsid w:val="006F776E"/>
    <w:rsid w:val="006F7A81"/>
    <w:rsid w:val="006F807D"/>
    <w:rsid w:val="0070034C"/>
    <w:rsid w:val="00700BEC"/>
    <w:rsid w:val="00700CA7"/>
    <w:rsid w:val="007011C9"/>
    <w:rsid w:val="00701334"/>
    <w:rsid w:val="00701587"/>
    <w:rsid w:val="00701C50"/>
    <w:rsid w:val="00701E0C"/>
    <w:rsid w:val="00701E9B"/>
    <w:rsid w:val="00702384"/>
    <w:rsid w:val="007024A6"/>
    <w:rsid w:val="00702577"/>
    <w:rsid w:val="0070274A"/>
    <w:rsid w:val="00702A38"/>
    <w:rsid w:val="00702E45"/>
    <w:rsid w:val="00703631"/>
    <w:rsid w:val="007036BC"/>
    <w:rsid w:val="007039D0"/>
    <w:rsid w:val="00703C3B"/>
    <w:rsid w:val="00704151"/>
    <w:rsid w:val="00704476"/>
    <w:rsid w:val="00704A0C"/>
    <w:rsid w:val="007054CB"/>
    <w:rsid w:val="00705C87"/>
    <w:rsid w:val="0070611F"/>
    <w:rsid w:val="00706AF7"/>
    <w:rsid w:val="00706C01"/>
    <w:rsid w:val="00706D83"/>
    <w:rsid w:val="00706DC1"/>
    <w:rsid w:val="00707BFC"/>
    <w:rsid w:val="00710036"/>
    <w:rsid w:val="00710203"/>
    <w:rsid w:val="007104A2"/>
    <w:rsid w:val="00710917"/>
    <w:rsid w:val="00710AFB"/>
    <w:rsid w:val="00711ABC"/>
    <w:rsid w:val="00711D71"/>
    <w:rsid w:val="00711DEE"/>
    <w:rsid w:val="007121A0"/>
    <w:rsid w:val="00712445"/>
    <w:rsid w:val="00712931"/>
    <w:rsid w:val="0071293D"/>
    <w:rsid w:val="0071297D"/>
    <w:rsid w:val="00712BD3"/>
    <w:rsid w:val="00712FEA"/>
    <w:rsid w:val="0071310B"/>
    <w:rsid w:val="00713283"/>
    <w:rsid w:val="00713451"/>
    <w:rsid w:val="007138C1"/>
    <w:rsid w:val="007138CB"/>
    <w:rsid w:val="00713B9C"/>
    <w:rsid w:val="00713C87"/>
    <w:rsid w:val="00714436"/>
    <w:rsid w:val="007147FF"/>
    <w:rsid w:val="00714F1A"/>
    <w:rsid w:val="00715296"/>
    <w:rsid w:val="00715857"/>
    <w:rsid w:val="00715A12"/>
    <w:rsid w:val="00715A70"/>
    <w:rsid w:val="00715FEF"/>
    <w:rsid w:val="0071602E"/>
    <w:rsid w:val="007161F7"/>
    <w:rsid w:val="00716611"/>
    <w:rsid w:val="00716985"/>
    <w:rsid w:val="00716D76"/>
    <w:rsid w:val="00716E4A"/>
    <w:rsid w:val="00716F75"/>
    <w:rsid w:val="00717AE9"/>
    <w:rsid w:val="0072030F"/>
    <w:rsid w:val="0072034C"/>
    <w:rsid w:val="00720496"/>
    <w:rsid w:val="00720B7F"/>
    <w:rsid w:val="007210F4"/>
    <w:rsid w:val="00721502"/>
    <w:rsid w:val="007218BD"/>
    <w:rsid w:val="00721ABE"/>
    <w:rsid w:val="00722505"/>
    <w:rsid w:val="007228A5"/>
    <w:rsid w:val="00722C2A"/>
    <w:rsid w:val="00722FC1"/>
    <w:rsid w:val="00722FCA"/>
    <w:rsid w:val="0072405C"/>
    <w:rsid w:val="00724745"/>
    <w:rsid w:val="00724749"/>
    <w:rsid w:val="00724A20"/>
    <w:rsid w:val="00725830"/>
    <w:rsid w:val="007260E8"/>
    <w:rsid w:val="00726256"/>
    <w:rsid w:val="007265D3"/>
    <w:rsid w:val="00726A58"/>
    <w:rsid w:val="00726C31"/>
    <w:rsid w:val="00726E10"/>
    <w:rsid w:val="00726F8D"/>
    <w:rsid w:val="007270F9"/>
    <w:rsid w:val="007271C1"/>
    <w:rsid w:val="00727369"/>
    <w:rsid w:val="00727810"/>
    <w:rsid w:val="00727826"/>
    <w:rsid w:val="00727A1E"/>
    <w:rsid w:val="00727A88"/>
    <w:rsid w:val="00730072"/>
    <w:rsid w:val="007303F1"/>
    <w:rsid w:val="00730406"/>
    <w:rsid w:val="00730C10"/>
    <w:rsid w:val="00731088"/>
    <w:rsid w:val="00731ABE"/>
    <w:rsid w:val="00731D98"/>
    <w:rsid w:val="00731F45"/>
    <w:rsid w:val="00731FAA"/>
    <w:rsid w:val="007320FF"/>
    <w:rsid w:val="0073221C"/>
    <w:rsid w:val="007324A6"/>
    <w:rsid w:val="0073273A"/>
    <w:rsid w:val="00732AF0"/>
    <w:rsid w:val="00732BAF"/>
    <w:rsid w:val="00732F57"/>
    <w:rsid w:val="00733227"/>
    <w:rsid w:val="007332A7"/>
    <w:rsid w:val="007334B5"/>
    <w:rsid w:val="00734133"/>
    <w:rsid w:val="007347CD"/>
    <w:rsid w:val="00734AFB"/>
    <w:rsid w:val="00734D15"/>
    <w:rsid w:val="00735304"/>
    <w:rsid w:val="00735346"/>
    <w:rsid w:val="00735B29"/>
    <w:rsid w:val="00736061"/>
    <w:rsid w:val="007360AD"/>
    <w:rsid w:val="00736246"/>
    <w:rsid w:val="0073629E"/>
    <w:rsid w:val="0073676E"/>
    <w:rsid w:val="00737121"/>
    <w:rsid w:val="00737C82"/>
    <w:rsid w:val="00737E17"/>
    <w:rsid w:val="00737F85"/>
    <w:rsid w:val="0074000C"/>
    <w:rsid w:val="00740142"/>
    <w:rsid w:val="00740237"/>
    <w:rsid w:val="0074052D"/>
    <w:rsid w:val="00740843"/>
    <w:rsid w:val="00740D70"/>
    <w:rsid w:val="00741B70"/>
    <w:rsid w:val="00741C01"/>
    <w:rsid w:val="00741E82"/>
    <w:rsid w:val="0074230F"/>
    <w:rsid w:val="007424A5"/>
    <w:rsid w:val="0074277D"/>
    <w:rsid w:val="00742796"/>
    <w:rsid w:val="0074283E"/>
    <w:rsid w:val="00742AC3"/>
    <w:rsid w:val="00743025"/>
    <w:rsid w:val="00743A55"/>
    <w:rsid w:val="00743BC6"/>
    <w:rsid w:val="0074432B"/>
    <w:rsid w:val="00744BD2"/>
    <w:rsid w:val="00745576"/>
    <w:rsid w:val="007455F5"/>
    <w:rsid w:val="00745FAA"/>
    <w:rsid w:val="0074612C"/>
    <w:rsid w:val="0074621E"/>
    <w:rsid w:val="007462DD"/>
    <w:rsid w:val="0074658D"/>
    <w:rsid w:val="00746618"/>
    <w:rsid w:val="00746807"/>
    <w:rsid w:val="007468E5"/>
    <w:rsid w:val="00746AD4"/>
    <w:rsid w:val="00746D42"/>
    <w:rsid w:val="00747057"/>
    <w:rsid w:val="00747651"/>
    <w:rsid w:val="007478AE"/>
    <w:rsid w:val="007479CB"/>
    <w:rsid w:val="00747ACE"/>
    <w:rsid w:val="0075011C"/>
    <w:rsid w:val="00750211"/>
    <w:rsid w:val="0075041B"/>
    <w:rsid w:val="007504F1"/>
    <w:rsid w:val="00750638"/>
    <w:rsid w:val="00750BF4"/>
    <w:rsid w:val="00750C19"/>
    <w:rsid w:val="007514CA"/>
    <w:rsid w:val="0075176E"/>
    <w:rsid w:val="007519C0"/>
    <w:rsid w:val="00751D6F"/>
    <w:rsid w:val="00752125"/>
    <w:rsid w:val="007521B1"/>
    <w:rsid w:val="00752CFF"/>
    <w:rsid w:val="00753117"/>
    <w:rsid w:val="00753244"/>
    <w:rsid w:val="00753573"/>
    <w:rsid w:val="00753E32"/>
    <w:rsid w:val="007541F4"/>
    <w:rsid w:val="007548B9"/>
    <w:rsid w:val="00754935"/>
    <w:rsid w:val="0075499E"/>
    <w:rsid w:val="00754AEB"/>
    <w:rsid w:val="00754DAD"/>
    <w:rsid w:val="00755342"/>
    <w:rsid w:val="00755E00"/>
    <w:rsid w:val="00755EB1"/>
    <w:rsid w:val="00756019"/>
    <w:rsid w:val="0075634C"/>
    <w:rsid w:val="00756769"/>
    <w:rsid w:val="007568F1"/>
    <w:rsid w:val="00756BCE"/>
    <w:rsid w:val="00757480"/>
    <w:rsid w:val="00757641"/>
    <w:rsid w:val="00757749"/>
    <w:rsid w:val="007578CB"/>
    <w:rsid w:val="00757E2F"/>
    <w:rsid w:val="00760498"/>
    <w:rsid w:val="007604FD"/>
    <w:rsid w:val="007606E2"/>
    <w:rsid w:val="007606F4"/>
    <w:rsid w:val="007607BB"/>
    <w:rsid w:val="00760BE3"/>
    <w:rsid w:val="00760C43"/>
    <w:rsid w:val="00760D00"/>
    <w:rsid w:val="007610F2"/>
    <w:rsid w:val="007611D9"/>
    <w:rsid w:val="0076131E"/>
    <w:rsid w:val="0076166C"/>
    <w:rsid w:val="00761A18"/>
    <w:rsid w:val="00761B6E"/>
    <w:rsid w:val="00761DAE"/>
    <w:rsid w:val="00761F65"/>
    <w:rsid w:val="007624E4"/>
    <w:rsid w:val="007624F0"/>
    <w:rsid w:val="00762582"/>
    <w:rsid w:val="0076274D"/>
    <w:rsid w:val="007629C4"/>
    <w:rsid w:val="00762B23"/>
    <w:rsid w:val="00762C0F"/>
    <w:rsid w:val="00763139"/>
    <w:rsid w:val="0076384A"/>
    <w:rsid w:val="00763A81"/>
    <w:rsid w:val="00763B5B"/>
    <w:rsid w:val="00763DFA"/>
    <w:rsid w:val="00763E0D"/>
    <w:rsid w:val="00763FA5"/>
    <w:rsid w:val="00764136"/>
    <w:rsid w:val="007644BD"/>
    <w:rsid w:val="0076453C"/>
    <w:rsid w:val="00765955"/>
    <w:rsid w:val="00765B2F"/>
    <w:rsid w:val="00765DC6"/>
    <w:rsid w:val="00766095"/>
    <w:rsid w:val="00766614"/>
    <w:rsid w:val="00766899"/>
    <w:rsid w:val="007668D8"/>
    <w:rsid w:val="00766BEB"/>
    <w:rsid w:val="00766F16"/>
    <w:rsid w:val="00767125"/>
    <w:rsid w:val="007674AA"/>
    <w:rsid w:val="00767538"/>
    <w:rsid w:val="0076754B"/>
    <w:rsid w:val="00767B1E"/>
    <w:rsid w:val="00767B39"/>
    <w:rsid w:val="00767FFE"/>
    <w:rsid w:val="007701DD"/>
    <w:rsid w:val="0077043F"/>
    <w:rsid w:val="00770D2E"/>
    <w:rsid w:val="00770E6B"/>
    <w:rsid w:val="00770F47"/>
    <w:rsid w:val="0077112A"/>
    <w:rsid w:val="0077116F"/>
    <w:rsid w:val="007711F2"/>
    <w:rsid w:val="00771E07"/>
    <w:rsid w:val="007722A9"/>
    <w:rsid w:val="00772A8F"/>
    <w:rsid w:val="00772AD1"/>
    <w:rsid w:val="00772B15"/>
    <w:rsid w:val="00772DA6"/>
    <w:rsid w:val="00773324"/>
    <w:rsid w:val="0077348B"/>
    <w:rsid w:val="007736C6"/>
    <w:rsid w:val="0077377B"/>
    <w:rsid w:val="00773838"/>
    <w:rsid w:val="0077391C"/>
    <w:rsid w:val="00773C8A"/>
    <w:rsid w:val="00773EA6"/>
    <w:rsid w:val="007740E7"/>
    <w:rsid w:val="0077434C"/>
    <w:rsid w:val="0077477B"/>
    <w:rsid w:val="00774B52"/>
    <w:rsid w:val="00775336"/>
    <w:rsid w:val="007754D0"/>
    <w:rsid w:val="0077565E"/>
    <w:rsid w:val="007759CB"/>
    <w:rsid w:val="00775AAF"/>
    <w:rsid w:val="00775BCA"/>
    <w:rsid w:val="00775FE3"/>
    <w:rsid w:val="007760CE"/>
    <w:rsid w:val="0077615D"/>
    <w:rsid w:val="00776DF8"/>
    <w:rsid w:val="00777097"/>
    <w:rsid w:val="007770F0"/>
    <w:rsid w:val="007771D9"/>
    <w:rsid w:val="007773A6"/>
    <w:rsid w:val="00777651"/>
    <w:rsid w:val="0077769D"/>
    <w:rsid w:val="00777839"/>
    <w:rsid w:val="00777CF4"/>
    <w:rsid w:val="00777D93"/>
    <w:rsid w:val="00780471"/>
    <w:rsid w:val="00780624"/>
    <w:rsid w:val="0078071E"/>
    <w:rsid w:val="00780D47"/>
    <w:rsid w:val="00780D78"/>
    <w:rsid w:val="00780DF3"/>
    <w:rsid w:val="00780F3D"/>
    <w:rsid w:val="007810AC"/>
    <w:rsid w:val="00781487"/>
    <w:rsid w:val="007815C1"/>
    <w:rsid w:val="00781B4F"/>
    <w:rsid w:val="00781BD8"/>
    <w:rsid w:val="00781E4B"/>
    <w:rsid w:val="00781EFF"/>
    <w:rsid w:val="00782998"/>
    <w:rsid w:val="007840B5"/>
    <w:rsid w:val="00784358"/>
    <w:rsid w:val="0078448E"/>
    <w:rsid w:val="007845B8"/>
    <w:rsid w:val="007848C5"/>
    <w:rsid w:val="0078509A"/>
    <w:rsid w:val="00785524"/>
    <w:rsid w:val="00785B56"/>
    <w:rsid w:val="007867BD"/>
    <w:rsid w:val="007867E8"/>
    <w:rsid w:val="0078682C"/>
    <w:rsid w:val="00786D55"/>
    <w:rsid w:val="00787040"/>
    <w:rsid w:val="0078772C"/>
    <w:rsid w:val="00787AB5"/>
    <w:rsid w:val="00787BBE"/>
    <w:rsid w:val="00787F29"/>
    <w:rsid w:val="00787F66"/>
    <w:rsid w:val="00790080"/>
    <w:rsid w:val="007904CB"/>
    <w:rsid w:val="00790611"/>
    <w:rsid w:val="00790B1E"/>
    <w:rsid w:val="00790BE9"/>
    <w:rsid w:val="00790D98"/>
    <w:rsid w:val="00790EBE"/>
    <w:rsid w:val="00791098"/>
    <w:rsid w:val="0079111B"/>
    <w:rsid w:val="00791409"/>
    <w:rsid w:val="00791466"/>
    <w:rsid w:val="00791BD7"/>
    <w:rsid w:val="0079212A"/>
    <w:rsid w:val="00792310"/>
    <w:rsid w:val="00792641"/>
    <w:rsid w:val="00792838"/>
    <w:rsid w:val="00792B69"/>
    <w:rsid w:val="00792E10"/>
    <w:rsid w:val="00792E2F"/>
    <w:rsid w:val="0079338F"/>
    <w:rsid w:val="00793582"/>
    <w:rsid w:val="0079374D"/>
    <w:rsid w:val="00793F74"/>
    <w:rsid w:val="0079427E"/>
    <w:rsid w:val="0079446A"/>
    <w:rsid w:val="007944F0"/>
    <w:rsid w:val="00794543"/>
    <w:rsid w:val="007947BC"/>
    <w:rsid w:val="00794B03"/>
    <w:rsid w:val="00794C1C"/>
    <w:rsid w:val="00794E37"/>
    <w:rsid w:val="007955C6"/>
    <w:rsid w:val="007957F2"/>
    <w:rsid w:val="00795B8E"/>
    <w:rsid w:val="00796124"/>
    <w:rsid w:val="00796260"/>
    <w:rsid w:val="0079631C"/>
    <w:rsid w:val="007963CF"/>
    <w:rsid w:val="00796585"/>
    <w:rsid w:val="00796814"/>
    <w:rsid w:val="00796DD0"/>
    <w:rsid w:val="00796E39"/>
    <w:rsid w:val="00797065"/>
    <w:rsid w:val="00797270"/>
    <w:rsid w:val="00797863"/>
    <w:rsid w:val="00797DD9"/>
    <w:rsid w:val="007A0080"/>
    <w:rsid w:val="007A0491"/>
    <w:rsid w:val="007A05EE"/>
    <w:rsid w:val="007A070B"/>
    <w:rsid w:val="007A0EAE"/>
    <w:rsid w:val="007A0EBF"/>
    <w:rsid w:val="007A101A"/>
    <w:rsid w:val="007A138C"/>
    <w:rsid w:val="007A1444"/>
    <w:rsid w:val="007A1718"/>
    <w:rsid w:val="007A1776"/>
    <w:rsid w:val="007A1882"/>
    <w:rsid w:val="007A18E1"/>
    <w:rsid w:val="007A1DE8"/>
    <w:rsid w:val="007A1E00"/>
    <w:rsid w:val="007A1E9E"/>
    <w:rsid w:val="007A1EF9"/>
    <w:rsid w:val="007A207C"/>
    <w:rsid w:val="007A23DF"/>
    <w:rsid w:val="007A25C3"/>
    <w:rsid w:val="007A2773"/>
    <w:rsid w:val="007A2BA5"/>
    <w:rsid w:val="007A2BD6"/>
    <w:rsid w:val="007A31E4"/>
    <w:rsid w:val="007A33AE"/>
    <w:rsid w:val="007A38B2"/>
    <w:rsid w:val="007A3D69"/>
    <w:rsid w:val="007A3DFB"/>
    <w:rsid w:val="007A4210"/>
    <w:rsid w:val="007A4508"/>
    <w:rsid w:val="007A4782"/>
    <w:rsid w:val="007A5038"/>
    <w:rsid w:val="007A5297"/>
    <w:rsid w:val="007A5536"/>
    <w:rsid w:val="007A5698"/>
    <w:rsid w:val="007A5FAE"/>
    <w:rsid w:val="007A601B"/>
    <w:rsid w:val="007A6193"/>
    <w:rsid w:val="007A6374"/>
    <w:rsid w:val="007A65BB"/>
    <w:rsid w:val="007A66AF"/>
    <w:rsid w:val="007A673C"/>
    <w:rsid w:val="007A6A1D"/>
    <w:rsid w:val="007A6A21"/>
    <w:rsid w:val="007A6A47"/>
    <w:rsid w:val="007A6C63"/>
    <w:rsid w:val="007A72EF"/>
    <w:rsid w:val="007A7360"/>
    <w:rsid w:val="007A7785"/>
    <w:rsid w:val="007A7AC7"/>
    <w:rsid w:val="007A7AD7"/>
    <w:rsid w:val="007A7EDB"/>
    <w:rsid w:val="007B0119"/>
    <w:rsid w:val="007B01C3"/>
    <w:rsid w:val="007B02FA"/>
    <w:rsid w:val="007B0768"/>
    <w:rsid w:val="007B07BC"/>
    <w:rsid w:val="007B1FB1"/>
    <w:rsid w:val="007B2111"/>
    <w:rsid w:val="007B22A1"/>
    <w:rsid w:val="007B26A0"/>
    <w:rsid w:val="007B294B"/>
    <w:rsid w:val="007B2A3E"/>
    <w:rsid w:val="007B2FE1"/>
    <w:rsid w:val="007B31B8"/>
    <w:rsid w:val="007B32C7"/>
    <w:rsid w:val="007B3485"/>
    <w:rsid w:val="007B3514"/>
    <w:rsid w:val="007B3914"/>
    <w:rsid w:val="007B4F63"/>
    <w:rsid w:val="007B502C"/>
    <w:rsid w:val="007B5034"/>
    <w:rsid w:val="007B503D"/>
    <w:rsid w:val="007B540A"/>
    <w:rsid w:val="007B58AB"/>
    <w:rsid w:val="007B5AB3"/>
    <w:rsid w:val="007B5C2B"/>
    <w:rsid w:val="007B5CA5"/>
    <w:rsid w:val="007B5D43"/>
    <w:rsid w:val="007B5DEF"/>
    <w:rsid w:val="007B5E96"/>
    <w:rsid w:val="007B61CA"/>
    <w:rsid w:val="007B62CC"/>
    <w:rsid w:val="007B6397"/>
    <w:rsid w:val="007B682C"/>
    <w:rsid w:val="007B6D3A"/>
    <w:rsid w:val="007B6F38"/>
    <w:rsid w:val="007B72B7"/>
    <w:rsid w:val="007B72EB"/>
    <w:rsid w:val="007B736D"/>
    <w:rsid w:val="007B737D"/>
    <w:rsid w:val="007B7387"/>
    <w:rsid w:val="007B7F08"/>
    <w:rsid w:val="007C00F9"/>
    <w:rsid w:val="007C01F6"/>
    <w:rsid w:val="007C03E4"/>
    <w:rsid w:val="007C0572"/>
    <w:rsid w:val="007C0FFA"/>
    <w:rsid w:val="007C16AB"/>
    <w:rsid w:val="007C1709"/>
    <w:rsid w:val="007C2480"/>
    <w:rsid w:val="007C2C42"/>
    <w:rsid w:val="007C2EF7"/>
    <w:rsid w:val="007C3030"/>
    <w:rsid w:val="007C3456"/>
    <w:rsid w:val="007C38E8"/>
    <w:rsid w:val="007C3A86"/>
    <w:rsid w:val="007C3AB2"/>
    <w:rsid w:val="007C3C22"/>
    <w:rsid w:val="007C3CBF"/>
    <w:rsid w:val="007C3E4F"/>
    <w:rsid w:val="007C4343"/>
    <w:rsid w:val="007C4494"/>
    <w:rsid w:val="007C4567"/>
    <w:rsid w:val="007C4706"/>
    <w:rsid w:val="007C4783"/>
    <w:rsid w:val="007C4958"/>
    <w:rsid w:val="007C4DBE"/>
    <w:rsid w:val="007C4DF5"/>
    <w:rsid w:val="007C4E4C"/>
    <w:rsid w:val="007C503B"/>
    <w:rsid w:val="007C5076"/>
    <w:rsid w:val="007C5197"/>
    <w:rsid w:val="007C596D"/>
    <w:rsid w:val="007C60B6"/>
    <w:rsid w:val="007C627A"/>
    <w:rsid w:val="007C67CB"/>
    <w:rsid w:val="007C68F9"/>
    <w:rsid w:val="007C6BF5"/>
    <w:rsid w:val="007C70EE"/>
    <w:rsid w:val="007C71A8"/>
    <w:rsid w:val="007C72A4"/>
    <w:rsid w:val="007C74FC"/>
    <w:rsid w:val="007C7F55"/>
    <w:rsid w:val="007D041F"/>
    <w:rsid w:val="007D0473"/>
    <w:rsid w:val="007D05B5"/>
    <w:rsid w:val="007D0621"/>
    <w:rsid w:val="007D0BDA"/>
    <w:rsid w:val="007D1035"/>
    <w:rsid w:val="007D1071"/>
    <w:rsid w:val="007D11AC"/>
    <w:rsid w:val="007D13C6"/>
    <w:rsid w:val="007D1985"/>
    <w:rsid w:val="007D218D"/>
    <w:rsid w:val="007D2434"/>
    <w:rsid w:val="007D25D7"/>
    <w:rsid w:val="007D276D"/>
    <w:rsid w:val="007D2A8D"/>
    <w:rsid w:val="007D2F67"/>
    <w:rsid w:val="007D33D6"/>
    <w:rsid w:val="007D3C33"/>
    <w:rsid w:val="007D4729"/>
    <w:rsid w:val="007D4B48"/>
    <w:rsid w:val="007D4C6D"/>
    <w:rsid w:val="007D4DAB"/>
    <w:rsid w:val="007D4E36"/>
    <w:rsid w:val="007D50D6"/>
    <w:rsid w:val="007D5204"/>
    <w:rsid w:val="007D5A1A"/>
    <w:rsid w:val="007D5ABC"/>
    <w:rsid w:val="007D6415"/>
    <w:rsid w:val="007D6521"/>
    <w:rsid w:val="007D6959"/>
    <w:rsid w:val="007D6DA5"/>
    <w:rsid w:val="007D7165"/>
    <w:rsid w:val="007D7ACF"/>
    <w:rsid w:val="007D7C20"/>
    <w:rsid w:val="007E0016"/>
    <w:rsid w:val="007E006C"/>
    <w:rsid w:val="007E0101"/>
    <w:rsid w:val="007E0112"/>
    <w:rsid w:val="007E090A"/>
    <w:rsid w:val="007E14F3"/>
    <w:rsid w:val="007E18D2"/>
    <w:rsid w:val="007E1986"/>
    <w:rsid w:val="007E1BF9"/>
    <w:rsid w:val="007E21BD"/>
    <w:rsid w:val="007E269D"/>
    <w:rsid w:val="007E2958"/>
    <w:rsid w:val="007E29AC"/>
    <w:rsid w:val="007E2A10"/>
    <w:rsid w:val="007E2ADD"/>
    <w:rsid w:val="007E3041"/>
    <w:rsid w:val="007E3BAC"/>
    <w:rsid w:val="007E40C7"/>
    <w:rsid w:val="007E42DF"/>
    <w:rsid w:val="007E43D6"/>
    <w:rsid w:val="007E4660"/>
    <w:rsid w:val="007E4FC1"/>
    <w:rsid w:val="007E5005"/>
    <w:rsid w:val="007E528A"/>
    <w:rsid w:val="007E5798"/>
    <w:rsid w:val="007E58D6"/>
    <w:rsid w:val="007E5A83"/>
    <w:rsid w:val="007E5B05"/>
    <w:rsid w:val="007E5E19"/>
    <w:rsid w:val="007E5FD2"/>
    <w:rsid w:val="007E6032"/>
    <w:rsid w:val="007E6425"/>
    <w:rsid w:val="007E6711"/>
    <w:rsid w:val="007E6856"/>
    <w:rsid w:val="007E6AC8"/>
    <w:rsid w:val="007E6BE9"/>
    <w:rsid w:val="007E6D74"/>
    <w:rsid w:val="007E712A"/>
    <w:rsid w:val="007E7278"/>
    <w:rsid w:val="007E72EE"/>
    <w:rsid w:val="007E73E1"/>
    <w:rsid w:val="007F0A37"/>
    <w:rsid w:val="007F0A71"/>
    <w:rsid w:val="007F0AC5"/>
    <w:rsid w:val="007F0AC6"/>
    <w:rsid w:val="007F0AE6"/>
    <w:rsid w:val="007F0E7C"/>
    <w:rsid w:val="007F0E85"/>
    <w:rsid w:val="007F0EFD"/>
    <w:rsid w:val="007F15ED"/>
    <w:rsid w:val="007F17C7"/>
    <w:rsid w:val="007F17E3"/>
    <w:rsid w:val="007F1C12"/>
    <w:rsid w:val="007F23B6"/>
    <w:rsid w:val="007F246B"/>
    <w:rsid w:val="007F24AF"/>
    <w:rsid w:val="007F24C8"/>
    <w:rsid w:val="007F2987"/>
    <w:rsid w:val="007F2AA7"/>
    <w:rsid w:val="007F2DF3"/>
    <w:rsid w:val="007F2E33"/>
    <w:rsid w:val="007F3023"/>
    <w:rsid w:val="007F37E1"/>
    <w:rsid w:val="007F3DB7"/>
    <w:rsid w:val="007F42EF"/>
    <w:rsid w:val="007F45B3"/>
    <w:rsid w:val="007F4707"/>
    <w:rsid w:val="007F47E9"/>
    <w:rsid w:val="007F4953"/>
    <w:rsid w:val="007F4B2D"/>
    <w:rsid w:val="007F4CB8"/>
    <w:rsid w:val="007F4D19"/>
    <w:rsid w:val="007F5902"/>
    <w:rsid w:val="007F5E32"/>
    <w:rsid w:val="007F5F7C"/>
    <w:rsid w:val="007F6496"/>
    <w:rsid w:val="007F6596"/>
    <w:rsid w:val="007F6B99"/>
    <w:rsid w:val="007F6D88"/>
    <w:rsid w:val="007F6F10"/>
    <w:rsid w:val="007F743F"/>
    <w:rsid w:val="007F7885"/>
    <w:rsid w:val="007F7908"/>
    <w:rsid w:val="007F7BC0"/>
    <w:rsid w:val="007F7E88"/>
    <w:rsid w:val="00800083"/>
    <w:rsid w:val="008003E8"/>
    <w:rsid w:val="00800B74"/>
    <w:rsid w:val="00800E1A"/>
    <w:rsid w:val="008013C0"/>
    <w:rsid w:val="008014B5"/>
    <w:rsid w:val="008017FD"/>
    <w:rsid w:val="008019EE"/>
    <w:rsid w:val="00801B06"/>
    <w:rsid w:val="00801C4C"/>
    <w:rsid w:val="00801C8B"/>
    <w:rsid w:val="00801F87"/>
    <w:rsid w:val="00802379"/>
    <w:rsid w:val="0080238E"/>
    <w:rsid w:val="008023F9"/>
    <w:rsid w:val="0080254A"/>
    <w:rsid w:val="008025FC"/>
    <w:rsid w:val="008028B0"/>
    <w:rsid w:val="00802EAC"/>
    <w:rsid w:val="0080349D"/>
    <w:rsid w:val="00803624"/>
    <w:rsid w:val="008037C3"/>
    <w:rsid w:val="00803827"/>
    <w:rsid w:val="00803D66"/>
    <w:rsid w:val="00804BA3"/>
    <w:rsid w:val="00804CFF"/>
    <w:rsid w:val="0080504B"/>
    <w:rsid w:val="00805097"/>
    <w:rsid w:val="008050B6"/>
    <w:rsid w:val="00805128"/>
    <w:rsid w:val="008053A7"/>
    <w:rsid w:val="00805A42"/>
    <w:rsid w:val="00805D78"/>
    <w:rsid w:val="008061F8"/>
    <w:rsid w:val="00806527"/>
    <w:rsid w:val="00806871"/>
    <w:rsid w:val="00806BEC"/>
    <w:rsid w:val="00806CB9"/>
    <w:rsid w:val="00806EF5"/>
    <w:rsid w:val="008076DA"/>
    <w:rsid w:val="00810191"/>
    <w:rsid w:val="00810B92"/>
    <w:rsid w:val="00810C27"/>
    <w:rsid w:val="00810C5A"/>
    <w:rsid w:val="008112E6"/>
    <w:rsid w:val="00811985"/>
    <w:rsid w:val="00811C4D"/>
    <w:rsid w:val="00811CA2"/>
    <w:rsid w:val="0081203D"/>
    <w:rsid w:val="008121D5"/>
    <w:rsid w:val="008122DA"/>
    <w:rsid w:val="00813641"/>
    <w:rsid w:val="00813A32"/>
    <w:rsid w:val="00813AE3"/>
    <w:rsid w:val="00813BC8"/>
    <w:rsid w:val="00813F3E"/>
    <w:rsid w:val="00813F46"/>
    <w:rsid w:val="008140A7"/>
    <w:rsid w:val="008142D1"/>
    <w:rsid w:val="0081440B"/>
    <w:rsid w:val="00814973"/>
    <w:rsid w:val="00814D08"/>
    <w:rsid w:val="00815506"/>
    <w:rsid w:val="00815B25"/>
    <w:rsid w:val="0081603C"/>
    <w:rsid w:val="008163B1"/>
    <w:rsid w:val="0081645A"/>
    <w:rsid w:val="0081666B"/>
    <w:rsid w:val="0081688E"/>
    <w:rsid w:val="00816A5E"/>
    <w:rsid w:val="00816C6F"/>
    <w:rsid w:val="00817BCA"/>
    <w:rsid w:val="00817CF9"/>
    <w:rsid w:val="008204CA"/>
    <w:rsid w:val="00820582"/>
    <w:rsid w:val="00820966"/>
    <w:rsid w:val="00820AD6"/>
    <w:rsid w:val="00820C37"/>
    <w:rsid w:val="00820CC9"/>
    <w:rsid w:val="00820D95"/>
    <w:rsid w:val="00820DB4"/>
    <w:rsid w:val="00820EC0"/>
    <w:rsid w:val="00821431"/>
    <w:rsid w:val="0082153F"/>
    <w:rsid w:val="008216E7"/>
    <w:rsid w:val="00821A50"/>
    <w:rsid w:val="00821B21"/>
    <w:rsid w:val="00821BA3"/>
    <w:rsid w:val="00822510"/>
    <w:rsid w:val="0082267A"/>
    <w:rsid w:val="00822873"/>
    <w:rsid w:val="0082297C"/>
    <w:rsid w:val="0082297E"/>
    <w:rsid w:val="00822991"/>
    <w:rsid w:val="00822BB4"/>
    <w:rsid w:val="00822C17"/>
    <w:rsid w:val="00822CCB"/>
    <w:rsid w:val="00823151"/>
    <w:rsid w:val="0082345A"/>
    <w:rsid w:val="00823A7B"/>
    <w:rsid w:val="00824648"/>
    <w:rsid w:val="008246F2"/>
    <w:rsid w:val="00824AB9"/>
    <w:rsid w:val="00824BB8"/>
    <w:rsid w:val="00824D0F"/>
    <w:rsid w:val="00825182"/>
    <w:rsid w:val="008259B7"/>
    <w:rsid w:val="00825A9B"/>
    <w:rsid w:val="00825D21"/>
    <w:rsid w:val="00825EB9"/>
    <w:rsid w:val="00826183"/>
    <w:rsid w:val="008263AB"/>
    <w:rsid w:val="008266F3"/>
    <w:rsid w:val="008268A0"/>
    <w:rsid w:val="0082700E"/>
    <w:rsid w:val="008271DA"/>
    <w:rsid w:val="00827788"/>
    <w:rsid w:val="008278F1"/>
    <w:rsid w:val="0082790C"/>
    <w:rsid w:val="00827948"/>
    <w:rsid w:val="00827E96"/>
    <w:rsid w:val="00827FE2"/>
    <w:rsid w:val="00830036"/>
    <w:rsid w:val="008300A6"/>
    <w:rsid w:val="0083012E"/>
    <w:rsid w:val="00830610"/>
    <w:rsid w:val="008312C1"/>
    <w:rsid w:val="0083177D"/>
    <w:rsid w:val="00831819"/>
    <w:rsid w:val="00831B07"/>
    <w:rsid w:val="00832124"/>
    <w:rsid w:val="00832516"/>
    <w:rsid w:val="00832E95"/>
    <w:rsid w:val="00833852"/>
    <w:rsid w:val="00833A59"/>
    <w:rsid w:val="00833AB9"/>
    <w:rsid w:val="00833E42"/>
    <w:rsid w:val="00833F63"/>
    <w:rsid w:val="00834019"/>
    <w:rsid w:val="008343B5"/>
    <w:rsid w:val="008343FC"/>
    <w:rsid w:val="008349DB"/>
    <w:rsid w:val="00834D20"/>
    <w:rsid w:val="0083515C"/>
    <w:rsid w:val="008351C3"/>
    <w:rsid w:val="00835325"/>
    <w:rsid w:val="00835358"/>
    <w:rsid w:val="008357BB"/>
    <w:rsid w:val="0083597B"/>
    <w:rsid w:val="00835CD4"/>
    <w:rsid w:val="0083657A"/>
    <w:rsid w:val="008365CF"/>
    <w:rsid w:val="00836B01"/>
    <w:rsid w:val="00836C61"/>
    <w:rsid w:val="00836F0E"/>
    <w:rsid w:val="00837E0B"/>
    <w:rsid w:val="00840276"/>
    <w:rsid w:val="00840363"/>
    <w:rsid w:val="00840535"/>
    <w:rsid w:val="00840656"/>
    <w:rsid w:val="00840A09"/>
    <w:rsid w:val="00840C7A"/>
    <w:rsid w:val="00840E1C"/>
    <w:rsid w:val="00840E5C"/>
    <w:rsid w:val="00840E7B"/>
    <w:rsid w:val="00841A7F"/>
    <w:rsid w:val="00841DB2"/>
    <w:rsid w:val="00841EE4"/>
    <w:rsid w:val="00842DEB"/>
    <w:rsid w:val="00842F67"/>
    <w:rsid w:val="00843110"/>
    <w:rsid w:val="00843B20"/>
    <w:rsid w:val="00844596"/>
    <w:rsid w:val="00844663"/>
    <w:rsid w:val="00845468"/>
    <w:rsid w:val="008456EC"/>
    <w:rsid w:val="00845A19"/>
    <w:rsid w:val="00846163"/>
    <w:rsid w:val="00846A6C"/>
    <w:rsid w:val="00846BB5"/>
    <w:rsid w:val="00846C71"/>
    <w:rsid w:val="00846FAC"/>
    <w:rsid w:val="008473D1"/>
    <w:rsid w:val="00847467"/>
    <w:rsid w:val="00847DB0"/>
    <w:rsid w:val="00850AC0"/>
    <w:rsid w:val="00850B59"/>
    <w:rsid w:val="00850B6D"/>
    <w:rsid w:val="008513C5"/>
    <w:rsid w:val="00851C6E"/>
    <w:rsid w:val="00852350"/>
    <w:rsid w:val="0085260E"/>
    <w:rsid w:val="008536EA"/>
    <w:rsid w:val="008537BB"/>
    <w:rsid w:val="00853A6B"/>
    <w:rsid w:val="00853FA1"/>
    <w:rsid w:val="0085475E"/>
    <w:rsid w:val="00854A63"/>
    <w:rsid w:val="00855329"/>
    <w:rsid w:val="0085599D"/>
    <w:rsid w:val="008560A2"/>
    <w:rsid w:val="008562A2"/>
    <w:rsid w:val="00856726"/>
    <w:rsid w:val="00856776"/>
    <w:rsid w:val="00856831"/>
    <w:rsid w:val="00856CAB"/>
    <w:rsid w:val="00856FB4"/>
    <w:rsid w:val="008570B6"/>
    <w:rsid w:val="008572F6"/>
    <w:rsid w:val="008604D6"/>
    <w:rsid w:val="008607A8"/>
    <w:rsid w:val="00860CDD"/>
    <w:rsid w:val="00860D1D"/>
    <w:rsid w:val="0086115D"/>
    <w:rsid w:val="008617CF"/>
    <w:rsid w:val="00861856"/>
    <w:rsid w:val="00861F67"/>
    <w:rsid w:val="0086220F"/>
    <w:rsid w:val="00862465"/>
    <w:rsid w:val="00862B18"/>
    <w:rsid w:val="008632D5"/>
    <w:rsid w:val="008635BE"/>
    <w:rsid w:val="008647CA"/>
    <w:rsid w:val="00864EDA"/>
    <w:rsid w:val="00865215"/>
    <w:rsid w:val="0086553B"/>
    <w:rsid w:val="00865ACB"/>
    <w:rsid w:val="00865E22"/>
    <w:rsid w:val="00865E31"/>
    <w:rsid w:val="00865E4C"/>
    <w:rsid w:val="008662EC"/>
    <w:rsid w:val="00866909"/>
    <w:rsid w:val="00866A69"/>
    <w:rsid w:val="00866AC5"/>
    <w:rsid w:val="00866B63"/>
    <w:rsid w:val="00866E56"/>
    <w:rsid w:val="00866FE6"/>
    <w:rsid w:val="0086774A"/>
    <w:rsid w:val="00867CF9"/>
    <w:rsid w:val="00867EB2"/>
    <w:rsid w:val="00867F33"/>
    <w:rsid w:val="008701DD"/>
    <w:rsid w:val="0087047C"/>
    <w:rsid w:val="00870852"/>
    <w:rsid w:val="008715DB"/>
    <w:rsid w:val="008717AE"/>
    <w:rsid w:val="0087188A"/>
    <w:rsid w:val="008721D7"/>
    <w:rsid w:val="008726AC"/>
    <w:rsid w:val="0087273A"/>
    <w:rsid w:val="00872A64"/>
    <w:rsid w:val="00872C23"/>
    <w:rsid w:val="00872C88"/>
    <w:rsid w:val="00872D17"/>
    <w:rsid w:val="00873126"/>
    <w:rsid w:val="008731B4"/>
    <w:rsid w:val="008732D4"/>
    <w:rsid w:val="00873B1A"/>
    <w:rsid w:val="00873B34"/>
    <w:rsid w:val="00873DF8"/>
    <w:rsid w:val="008741DB"/>
    <w:rsid w:val="00874B65"/>
    <w:rsid w:val="00874C70"/>
    <w:rsid w:val="00874DFF"/>
    <w:rsid w:val="00874FA2"/>
    <w:rsid w:val="008750A7"/>
    <w:rsid w:val="008755E8"/>
    <w:rsid w:val="00875891"/>
    <w:rsid w:val="00875A67"/>
    <w:rsid w:val="00875B80"/>
    <w:rsid w:val="00876596"/>
    <w:rsid w:val="008767E0"/>
    <w:rsid w:val="00876833"/>
    <w:rsid w:val="0087690B"/>
    <w:rsid w:val="0087695C"/>
    <w:rsid w:val="00877097"/>
    <w:rsid w:val="008771FF"/>
    <w:rsid w:val="0087789D"/>
    <w:rsid w:val="00877E29"/>
    <w:rsid w:val="008780A4"/>
    <w:rsid w:val="00879CF5"/>
    <w:rsid w:val="00880028"/>
    <w:rsid w:val="008801F0"/>
    <w:rsid w:val="00880743"/>
    <w:rsid w:val="00880B75"/>
    <w:rsid w:val="00880E39"/>
    <w:rsid w:val="0088109E"/>
    <w:rsid w:val="008818E5"/>
    <w:rsid w:val="00881A8B"/>
    <w:rsid w:val="00881BF7"/>
    <w:rsid w:val="00881DD7"/>
    <w:rsid w:val="00881EAA"/>
    <w:rsid w:val="00882538"/>
    <w:rsid w:val="00882642"/>
    <w:rsid w:val="008827F1"/>
    <w:rsid w:val="00882BAF"/>
    <w:rsid w:val="00882C61"/>
    <w:rsid w:val="00882CCE"/>
    <w:rsid w:val="00882E37"/>
    <w:rsid w:val="0088338F"/>
    <w:rsid w:val="008839D8"/>
    <w:rsid w:val="00883AAB"/>
    <w:rsid w:val="00883BB8"/>
    <w:rsid w:val="00883EE5"/>
    <w:rsid w:val="00884164"/>
    <w:rsid w:val="00884274"/>
    <w:rsid w:val="00884410"/>
    <w:rsid w:val="008844F3"/>
    <w:rsid w:val="00884745"/>
    <w:rsid w:val="00884839"/>
    <w:rsid w:val="00884E73"/>
    <w:rsid w:val="0088549B"/>
    <w:rsid w:val="0088574A"/>
    <w:rsid w:val="00885AB9"/>
    <w:rsid w:val="00886011"/>
    <w:rsid w:val="008866B5"/>
    <w:rsid w:val="00886F22"/>
    <w:rsid w:val="0088710A"/>
    <w:rsid w:val="00887B0C"/>
    <w:rsid w:val="00887B16"/>
    <w:rsid w:val="00887D40"/>
    <w:rsid w:val="0089054C"/>
    <w:rsid w:val="00890CE5"/>
    <w:rsid w:val="00890D6B"/>
    <w:rsid w:val="00890EA2"/>
    <w:rsid w:val="0089131D"/>
    <w:rsid w:val="00891D7B"/>
    <w:rsid w:val="00891DC9"/>
    <w:rsid w:val="0089203B"/>
    <w:rsid w:val="0089221C"/>
    <w:rsid w:val="00892388"/>
    <w:rsid w:val="0089242C"/>
    <w:rsid w:val="00892AC1"/>
    <w:rsid w:val="00892B73"/>
    <w:rsid w:val="00893265"/>
    <w:rsid w:val="00893457"/>
    <w:rsid w:val="0089353C"/>
    <w:rsid w:val="0089392C"/>
    <w:rsid w:val="00893AD2"/>
    <w:rsid w:val="00893DAD"/>
    <w:rsid w:val="00893F5F"/>
    <w:rsid w:val="00894217"/>
    <w:rsid w:val="00894BFB"/>
    <w:rsid w:val="00894C9B"/>
    <w:rsid w:val="00894FB4"/>
    <w:rsid w:val="00895482"/>
    <w:rsid w:val="008954F9"/>
    <w:rsid w:val="0089599B"/>
    <w:rsid w:val="00896301"/>
    <w:rsid w:val="0089681A"/>
    <w:rsid w:val="00896E44"/>
    <w:rsid w:val="00896E84"/>
    <w:rsid w:val="00896EFD"/>
    <w:rsid w:val="008977B2"/>
    <w:rsid w:val="008978AE"/>
    <w:rsid w:val="008978BE"/>
    <w:rsid w:val="00897B26"/>
    <w:rsid w:val="00897F0A"/>
    <w:rsid w:val="008A0845"/>
    <w:rsid w:val="008A0857"/>
    <w:rsid w:val="008A0AE9"/>
    <w:rsid w:val="008A0B4A"/>
    <w:rsid w:val="008A0DA1"/>
    <w:rsid w:val="008A0F5D"/>
    <w:rsid w:val="008A1322"/>
    <w:rsid w:val="008A16A9"/>
    <w:rsid w:val="008A19E4"/>
    <w:rsid w:val="008A24BA"/>
    <w:rsid w:val="008A255D"/>
    <w:rsid w:val="008A26D4"/>
    <w:rsid w:val="008A2859"/>
    <w:rsid w:val="008A2B8D"/>
    <w:rsid w:val="008A2BB3"/>
    <w:rsid w:val="008A2F16"/>
    <w:rsid w:val="008A3304"/>
    <w:rsid w:val="008A34C9"/>
    <w:rsid w:val="008A3632"/>
    <w:rsid w:val="008A3774"/>
    <w:rsid w:val="008A3AD8"/>
    <w:rsid w:val="008A3C9E"/>
    <w:rsid w:val="008A3FF2"/>
    <w:rsid w:val="008A40D4"/>
    <w:rsid w:val="008A4C7E"/>
    <w:rsid w:val="008A4D86"/>
    <w:rsid w:val="008A5DEF"/>
    <w:rsid w:val="008A5F43"/>
    <w:rsid w:val="008A6001"/>
    <w:rsid w:val="008A6019"/>
    <w:rsid w:val="008A6156"/>
    <w:rsid w:val="008A6207"/>
    <w:rsid w:val="008A62B7"/>
    <w:rsid w:val="008A6430"/>
    <w:rsid w:val="008A6910"/>
    <w:rsid w:val="008A6AB8"/>
    <w:rsid w:val="008A702A"/>
    <w:rsid w:val="008A7067"/>
    <w:rsid w:val="008A7266"/>
    <w:rsid w:val="008A7971"/>
    <w:rsid w:val="008A7AAD"/>
    <w:rsid w:val="008A7E23"/>
    <w:rsid w:val="008A7E3A"/>
    <w:rsid w:val="008B02AD"/>
    <w:rsid w:val="008B103C"/>
    <w:rsid w:val="008B10E0"/>
    <w:rsid w:val="008B13AA"/>
    <w:rsid w:val="008B142F"/>
    <w:rsid w:val="008B1B55"/>
    <w:rsid w:val="008B1C71"/>
    <w:rsid w:val="008B248D"/>
    <w:rsid w:val="008B2515"/>
    <w:rsid w:val="008B27A0"/>
    <w:rsid w:val="008B2897"/>
    <w:rsid w:val="008B3009"/>
    <w:rsid w:val="008B3141"/>
    <w:rsid w:val="008B3530"/>
    <w:rsid w:val="008B36C8"/>
    <w:rsid w:val="008B3992"/>
    <w:rsid w:val="008B39BC"/>
    <w:rsid w:val="008B3E07"/>
    <w:rsid w:val="008B404B"/>
    <w:rsid w:val="008B44C1"/>
    <w:rsid w:val="008B4523"/>
    <w:rsid w:val="008B4D8F"/>
    <w:rsid w:val="008B521A"/>
    <w:rsid w:val="008B5435"/>
    <w:rsid w:val="008B5497"/>
    <w:rsid w:val="008B54B2"/>
    <w:rsid w:val="008B5921"/>
    <w:rsid w:val="008B5E32"/>
    <w:rsid w:val="008B6234"/>
    <w:rsid w:val="008B65B1"/>
    <w:rsid w:val="008B6E7D"/>
    <w:rsid w:val="008B6FBE"/>
    <w:rsid w:val="008B6FC2"/>
    <w:rsid w:val="008B7004"/>
    <w:rsid w:val="008B703E"/>
    <w:rsid w:val="008B729F"/>
    <w:rsid w:val="008B72F6"/>
    <w:rsid w:val="008B734B"/>
    <w:rsid w:val="008B75B2"/>
    <w:rsid w:val="008B774C"/>
    <w:rsid w:val="008B7830"/>
    <w:rsid w:val="008B7E23"/>
    <w:rsid w:val="008C015A"/>
    <w:rsid w:val="008C01BA"/>
    <w:rsid w:val="008C0CC7"/>
    <w:rsid w:val="008C1001"/>
    <w:rsid w:val="008C1DA2"/>
    <w:rsid w:val="008C1DC2"/>
    <w:rsid w:val="008C25A3"/>
    <w:rsid w:val="008C29E2"/>
    <w:rsid w:val="008C3180"/>
    <w:rsid w:val="008C366B"/>
    <w:rsid w:val="008C3A16"/>
    <w:rsid w:val="008C3A1C"/>
    <w:rsid w:val="008C3B32"/>
    <w:rsid w:val="008C49E1"/>
    <w:rsid w:val="008C4A4F"/>
    <w:rsid w:val="008C4DCC"/>
    <w:rsid w:val="008C52AA"/>
    <w:rsid w:val="008C535B"/>
    <w:rsid w:val="008C54B0"/>
    <w:rsid w:val="008C5FD4"/>
    <w:rsid w:val="008C67F5"/>
    <w:rsid w:val="008C6815"/>
    <w:rsid w:val="008C6B8A"/>
    <w:rsid w:val="008C6C90"/>
    <w:rsid w:val="008C7269"/>
    <w:rsid w:val="008C74F6"/>
    <w:rsid w:val="008C7968"/>
    <w:rsid w:val="008C7B02"/>
    <w:rsid w:val="008C7B38"/>
    <w:rsid w:val="008D03A1"/>
    <w:rsid w:val="008D03E6"/>
    <w:rsid w:val="008D06C8"/>
    <w:rsid w:val="008D0D6A"/>
    <w:rsid w:val="008D0DAE"/>
    <w:rsid w:val="008D0FA1"/>
    <w:rsid w:val="008D1481"/>
    <w:rsid w:val="008D19F9"/>
    <w:rsid w:val="008D1CD2"/>
    <w:rsid w:val="008D1E78"/>
    <w:rsid w:val="008D22E7"/>
    <w:rsid w:val="008D28B9"/>
    <w:rsid w:val="008D2937"/>
    <w:rsid w:val="008D2A77"/>
    <w:rsid w:val="008D2DA9"/>
    <w:rsid w:val="008D3BE5"/>
    <w:rsid w:val="008D3DEA"/>
    <w:rsid w:val="008D40A6"/>
    <w:rsid w:val="008D46AE"/>
    <w:rsid w:val="008D4D76"/>
    <w:rsid w:val="008D4E31"/>
    <w:rsid w:val="008D541A"/>
    <w:rsid w:val="008D570D"/>
    <w:rsid w:val="008D59F2"/>
    <w:rsid w:val="008D5A64"/>
    <w:rsid w:val="008D5C12"/>
    <w:rsid w:val="008D5D8D"/>
    <w:rsid w:val="008D62B1"/>
    <w:rsid w:val="008D686F"/>
    <w:rsid w:val="008D6988"/>
    <w:rsid w:val="008D6D86"/>
    <w:rsid w:val="008D6FF0"/>
    <w:rsid w:val="008D70BB"/>
    <w:rsid w:val="008D717F"/>
    <w:rsid w:val="008D7228"/>
    <w:rsid w:val="008D7299"/>
    <w:rsid w:val="008D773C"/>
    <w:rsid w:val="008D7B4C"/>
    <w:rsid w:val="008D7E2D"/>
    <w:rsid w:val="008D7E38"/>
    <w:rsid w:val="008D7EC7"/>
    <w:rsid w:val="008E03D7"/>
    <w:rsid w:val="008E06A3"/>
    <w:rsid w:val="008E091D"/>
    <w:rsid w:val="008E0A4B"/>
    <w:rsid w:val="008E0C16"/>
    <w:rsid w:val="008E0C1C"/>
    <w:rsid w:val="008E0D0F"/>
    <w:rsid w:val="008E0FA2"/>
    <w:rsid w:val="008E13E4"/>
    <w:rsid w:val="008E19CD"/>
    <w:rsid w:val="008E2037"/>
    <w:rsid w:val="008E20BC"/>
    <w:rsid w:val="008E21C2"/>
    <w:rsid w:val="008E2703"/>
    <w:rsid w:val="008E2ABE"/>
    <w:rsid w:val="008E2D30"/>
    <w:rsid w:val="008E2E95"/>
    <w:rsid w:val="008E3686"/>
    <w:rsid w:val="008E36B2"/>
    <w:rsid w:val="008E398C"/>
    <w:rsid w:val="008E3C7D"/>
    <w:rsid w:val="008E41AA"/>
    <w:rsid w:val="008E4FB2"/>
    <w:rsid w:val="008E4FEB"/>
    <w:rsid w:val="008E53D0"/>
    <w:rsid w:val="008E5601"/>
    <w:rsid w:val="008E58DB"/>
    <w:rsid w:val="008E5AA2"/>
    <w:rsid w:val="008E5F72"/>
    <w:rsid w:val="008E5F7E"/>
    <w:rsid w:val="008E60AE"/>
    <w:rsid w:val="008E61C2"/>
    <w:rsid w:val="008E65D6"/>
    <w:rsid w:val="008E69B8"/>
    <w:rsid w:val="008E6A9F"/>
    <w:rsid w:val="008E6CD7"/>
    <w:rsid w:val="008E6D60"/>
    <w:rsid w:val="008E6E7C"/>
    <w:rsid w:val="008E6F34"/>
    <w:rsid w:val="008E73C1"/>
    <w:rsid w:val="008E74AE"/>
    <w:rsid w:val="008E7F85"/>
    <w:rsid w:val="008F01C7"/>
    <w:rsid w:val="008F0209"/>
    <w:rsid w:val="008F0458"/>
    <w:rsid w:val="008F08D2"/>
    <w:rsid w:val="008F0CB7"/>
    <w:rsid w:val="008F0E5D"/>
    <w:rsid w:val="008F11D9"/>
    <w:rsid w:val="008F1264"/>
    <w:rsid w:val="008F1557"/>
    <w:rsid w:val="008F2AE5"/>
    <w:rsid w:val="008F3001"/>
    <w:rsid w:val="008F3499"/>
    <w:rsid w:val="008F34AC"/>
    <w:rsid w:val="008F374D"/>
    <w:rsid w:val="008F3CD9"/>
    <w:rsid w:val="008F3D89"/>
    <w:rsid w:val="008F403B"/>
    <w:rsid w:val="008F4247"/>
    <w:rsid w:val="008F4507"/>
    <w:rsid w:val="008F4D57"/>
    <w:rsid w:val="008F51A8"/>
    <w:rsid w:val="008F52AE"/>
    <w:rsid w:val="008F5625"/>
    <w:rsid w:val="008F5A07"/>
    <w:rsid w:val="008F5B48"/>
    <w:rsid w:val="008F5CA0"/>
    <w:rsid w:val="008F5E11"/>
    <w:rsid w:val="008F5FA1"/>
    <w:rsid w:val="008F6087"/>
    <w:rsid w:val="008F610F"/>
    <w:rsid w:val="008F6A55"/>
    <w:rsid w:val="008F6C93"/>
    <w:rsid w:val="008F6F78"/>
    <w:rsid w:val="008F6F94"/>
    <w:rsid w:val="008F7C15"/>
    <w:rsid w:val="008F7E12"/>
    <w:rsid w:val="008F7ECE"/>
    <w:rsid w:val="008F7FD0"/>
    <w:rsid w:val="009002E1"/>
    <w:rsid w:val="009005DD"/>
    <w:rsid w:val="009005E2"/>
    <w:rsid w:val="00900618"/>
    <w:rsid w:val="00900953"/>
    <w:rsid w:val="0090181D"/>
    <w:rsid w:val="00901CA8"/>
    <w:rsid w:val="009027D8"/>
    <w:rsid w:val="00902CB8"/>
    <w:rsid w:val="00902CE1"/>
    <w:rsid w:val="00902E14"/>
    <w:rsid w:val="00903200"/>
    <w:rsid w:val="009033FD"/>
    <w:rsid w:val="0090348D"/>
    <w:rsid w:val="0090356C"/>
    <w:rsid w:val="009036AB"/>
    <w:rsid w:val="009037AC"/>
    <w:rsid w:val="009038D3"/>
    <w:rsid w:val="00904099"/>
    <w:rsid w:val="009047DA"/>
    <w:rsid w:val="00904A65"/>
    <w:rsid w:val="00904ABA"/>
    <w:rsid w:val="00905095"/>
    <w:rsid w:val="009054B3"/>
    <w:rsid w:val="009059AA"/>
    <w:rsid w:val="00905A96"/>
    <w:rsid w:val="00905D0A"/>
    <w:rsid w:val="00906157"/>
    <w:rsid w:val="00906608"/>
    <w:rsid w:val="009066C9"/>
    <w:rsid w:val="00906D42"/>
    <w:rsid w:val="009070A6"/>
    <w:rsid w:val="00907462"/>
    <w:rsid w:val="00907919"/>
    <w:rsid w:val="00907BC6"/>
    <w:rsid w:val="00907F8B"/>
    <w:rsid w:val="00908813"/>
    <w:rsid w:val="009104D8"/>
    <w:rsid w:val="00910A1D"/>
    <w:rsid w:val="00910A37"/>
    <w:rsid w:val="00910B15"/>
    <w:rsid w:val="00910EE8"/>
    <w:rsid w:val="009112FC"/>
    <w:rsid w:val="00911438"/>
    <w:rsid w:val="0091144E"/>
    <w:rsid w:val="00911499"/>
    <w:rsid w:val="009115C8"/>
    <w:rsid w:val="0091165A"/>
    <w:rsid w:val="009119CE"/>
    <w:rsid w:val="009119F5"/>
    <w:rsid w:val="00911CD5"/>
    <w:rsid w:val="0091216D"/>
    <w:rsid w:val="009122EB"/>
    <w:rsid w:val="0091230B"/>
    <w:rsid w:val="00912B81"/>
    <w:rsid w:val="0091340D"/>
    <w:rsid w:val="00913617"/>
    <w:rsid w:val="00913735"/>
    <w:rsid w:val="009137C8"/>
    <w:rsid w:val="00913814"/>
    <w:rsid w:val="00913B18"/>
    <w:rsid w:val="00913B78"/>
    <w:rsid w:val="00913B91"/>
    <w:rsid w:val="00913C09"/>
    <w:rsid w:val="00914153"/>
    <w:rsid w:val="0091440C"/>
    <w:rsid w:val="009146E5"/>
    <w:rsid w:val="0091478D"/>
    <w:rsid w:val="0091481A"/>
    <w:rsid w:val="00914A66"/>
    <w:rsid w:val="00915360"/>
    <w:rsid w:val="009155C7"/>
    <w:rsid w:val="00915BC5"/>
    <w:rsid w:val="00915CDA"/>
    <w:rsid w:val="009160A5"/>
    <w:rsid w:val="00916ACE"/>
    <w:rsid w:val="00916FF7"/>
    <w:rsid w:val="009174A9"/>
    <w:rsid w:val="00917801"/>
    <w:rsid w:val="009178C8"/>
    <w:rsid w:val="00917D48"/>
    <w:rsid w:val="00917F16"/>
    <w:rsid w:val="00920080"/>
    <w:rsid w:val="009202CD"/>
    <w:rsid w:val="00920478"/>
    <w:rsid w:val="009206F1"/>
    <w:rsid w:val="009207B8"/>
    <w:rsid w:val="00920913"/>
    <w:rsid w:val="009209C3"/>
    <w:rsid w:val="00920C36"/>
    <w:rsid w:val="00920DC6"/>
    <w:rsid w:val="0092105C"/>
    <w:rsid w:val="00921434"/>
    <w:rsid w:val="00921D87"/>
    <w:rsid w:val="00922063"/>
    <w:rsid w:val="00922068"/>
    <w:rsid w:val="009220AD"/>
    <w:rsid w:val="00922180"/>
    <w:rsid w:val="00922763"/>
    <w:rsid w:val="00922D2A"/>
    <w:rsid w:val="00922FAA"/>
    <w:rsid w:val="00923043"/>
    <w:rsid w:val="0092308F"/>
    <w:rsid w:val="009242F3"/>
    <w:rsid w:val="009244F0"/>
    <w:rsid w:val="0092450C"/>
    <w:rsid w:val="0092469E"/>
    <w:rsid w:val="00925120"/>
    <w:rsid w:val="009251A9"/>
    <w:rsid w:val="00925436"/>
    <w:rsid w:val="00925556"/>
    <w:rsid w:val="0092566F"/>
    <w:rsid w:val="00925E44"/>
    <w:rsid w:val="009261B1"/>
    <w:rsid w:val="00926260"/>
    <w:rsid w:val="00926273"/>
    <w:rsid w:val="009262E4"/>
    <w:rsid w:val="0092640B"/>
    <w:rsid w:val="009264BC"/>
    <w:rsid w:val="009265D3"/>
    <w:rsid w:val="009268B4"/>
    <w:rsid w:val="00927008"/>
    <w:rsid w:val="009272E9"/>
    <w:rsid w:val="0092736F"/>
    <w:rsid w:val="00927976"/>
    <w:rsid w:val="00927E59"/>
    <w:rsid w:val="009300DF"/>
    <w:rsid w:val="0093019F"/>
    <w:rsid w:val="00930375"/>
    <w:rsid w:val="0093052E"/>
    <w:rsid w:val="0093075F"/>
    <w:rsid w:val="00930BD5"/>
    <w:rsid w:val="009312FA"/>
    <w:rsid w:val="00931A92"/>
    <w:rsid w:val="00931D62"/>
    <w:rsid w:val="00931FDC"/>
    <w:rsid w:val="00932113"/>
    <w:rsid w:val="009322DB"/>
    <w:rsid w:val="00932702"/>
    <w:rsid w:val="009327DB"/>
    <w:rsid w:val="00932D84"/>
    <w:rsid w:val="00932FAF"/>
    <w:rsid w:val="00933026"/>
    <w:rsid w:val="009338E6"/>
    <w:rsid w:val="00933F59"/>
    <w:rsid w:val="00933F6B"/>
    <w:rsid w:val="00934437"/>
    <w:rsid w:val="009345B3"/>
    <w:rsid w:val="009348FD"/>
    <w:rsid w:val="00934B55"/>
    <w:rsid w:val="00934D81"/>
    <w:rsid w:val="00934DD3"/>
    <w:rsid w:val="009353BA"/>
    <w:rsid w:val="0093568A"/>
    <w:rsid w:val="0093571D"/>
    <w:rsid w:val="00935865"/>
    <w:rsid w:val="009358BA"/>
    <w:rsid w:val="00935AC4"/>
    <w:rsid w:val="00935C39"/>
    <w:rsid w:val="00935EA4"/>
    <w:rsid w:val="00936023"/>
    <w:rsid w:val="00936321"/>
    <w:rsid w:val="00936439"/>
    <w:rsid w:val="00936991"/>
    <w:rsid w:val="009371F8"/>
    <w:rsid w:val="00937229"/>
    <w:rsid w:val="009373C5"/>
    <w:rsid w:val="009374B7"/>
    <w:rsid w:val="0093760D"/>
    <w:rsid w:val="00937A3A"/>
    <w:rsid w:val="00940009"/>
    <w:rsid w:val="009400CC"/>
    <w:rsid w:val="00940146"/>
    <w:rsid w:val="00940341"/>
    <w:rsid w:val="00940A57"/>
    <w:rsid w:val="00940ACE"/>
    <w:rsid w:val="00940BE1"/>
    <w:rsid w:val="009413A5"/>
    <w:rsid w:val="009414E8"/>
    <w:rsid w:val="00941656"/>
    <w:rsid w:val="0094181B"/>
    <w:rsid w:val="00941C42"/>
    <w:rsid w:val="00941E19"/>
    <w:rsid w:val="00942064"/>
    <w:rsid w:val="009427A8"/>
    <w:rsid w:val="00942905"/>
    <w:rsid w:val="0094359E"/>
    <w:rsid w:val="00943755"/>
    <w:rsid w:val="00943BB4"/>
    <w:rsid w:val="00943BCB"/>
    <w:rsid w:val="0094400D"/>
    <w:rsid w:val="009447E6"/>
    <w:rsid w:val="009448A5"/>
    <w:rsid w:val="0094497A"/>
    <w:rsid w:val="00944C52"/>
    <w:rsid w:val="00944F02"/>
    <w:rsid w:val="009452E4"/>
    <w:rsid w:val="0094583F"/>
    <w:rsid w:val="009459B4"/>
    <w:rsid w:val="009459FD"/>
    <w:rsid w:val="00945D42"/>
    <w:rsid w:val="00946473"/>
    <w:rsid w:val="009465EE"/>
    <w:rsid w:val="009469D4"/>
    <w:rsid w:val="00946DD4"/>
    <w:rsid w:val="00947171"/>
    <w:rsid w:val="009476A5"/>
    <w:rsid w:val="00947917"/>
    <w:rsid w:val="00947B36"/>
    <w:rsid w:val="00947D5A"/>
    <w:rsid w:val="00947FB7"/>
    <w:rsid w:val="0095001C"/>
    <w:rsid w:val="009501C6"/>
    <w:rsid w:val="009505F4"/>
    <w:rsid w:val="00950A48"/>
    <w:rsid w:val="00950C1E"/>
    <w:rsid w:val="00950DBE"/>
    <w:rsid w:val="0095107F"/>
    <w:rsid w:val="009511CE"/>
    <w:rsid w:val="009511DC"/>
    <w:rsid w:val="00951580"/>
    <w:rsid w:val="00951989"/>
    <w:rsid w:val="00951E8D"/>
    <w:rsid w:val="00952B07"/>
    <w:rsid w:val="00952D5C"/>
    <w:rsid w:val="0095315A"/>
    <w:rsid w:val="009532B4"/>
    <w:rsid w:val="009533F0"/>
    <w:rsid w:val="00953849"/>
    <w:rsid w:val="0095394D"/>
    <w:rsid w:val="00953B53"/>
    <w:rsid w:val="00953DFA"/>
    <w:rsid w:val="009542FB"/>
    <w:rsid w:val="0095433D"/>
    <w:rsid w:val="00955121"/>
    <w:rsid w:val="00955C95"/>
    <w:rsid w:val="00955D45"/>
    <w:rsid w:val="00955EA7"/>
    <w:rsid w:val="0095695B"/>
    <w:rsid w:val="00956C1B"/>
    <w:rsid w:val="00956D10"/>
    <w:rsid w:val="0095726E"/>
    <w:rsid w:val="00957688"/>
    <w:rsid w:val="00957A5D"/>
    <w:rsid w:val="00960188"/>
    <w:rsid w:val="00960522"/>
    <w:rsid w:val="009605B4"/>
    <w:rsid w:val="009605C5"/>
    <w:rsid w:val="0096080A"/>
    <w:rsid w:val="009608AC"/>
    <w:rsid w:val="009608F4"/>
    <w:rsid w:val="00960F6D"/>
    <w:rsid w:val="00961034"/>
    <w:rsid w:val="009612E4"/>
    <w:rsid w:val="00961626"/>
    <w:rsid w:val="00961867"/>
    <w:rsid w:val="00961D85"/>
    <w:rsid w:val="00961DB3"/>
    <w:rsid w:val="00962027"/>
    <w:rsid w:val="009620AB"/>
    <w:rsid w:val="009620FE"/>
    <w:rsid w:val="0096237E"/>
    <w:rsid w:val="009624EC"/>
    <w:rsid w:val="009625EB"/>
    <w:rsid w:val="0096269B"/>
    <w:rsid w:val="00962C5E"/>
    <w:rsid w:val="00962F61"/>
    <w:rsid w:val="00963144"/>
    <w:rsid w:val="00963B71"/>
    <w:rsid w:val="00963DF0"/>
    <w:rsid w:val="0096461C"/>
    <w:rsid w:val="0096471B"/>
    <w:rsid w:val="009648E9"/>
    <w:rsid w:val="00964A20"/>
    <w:rsid w:val="00964A3D"/>
    <w:rsid w:val="00964D7F"/>
    <w:rsid w:val="009653D4"/>
    <w:rsid w:val="009654D8"/>
    <w:rsid w:val="00965AC8"/>
    <w:rsid w:val="00965CD0"/>
    <w:rsid w:val="00966210"/>
    <w:rsid w:val="009666C1"/>
    <w:rsid w:val="00967498"/>
    <w:rsid w:val="009677A1"/>
    <w:rsid w:val="00967B00"/>
    <w:rsid w:val="00970252"/>
    <w:rsid w:val="00970263"/>
    <w:rsid w:val="009706A4"/>
    <w:rsid w:val="009706DC"/>
    <w:rsid w:val="00970F43"/>
    <w:rsid w:val="009710EA"/>
    <w:rsid w:val="009710F6"/>
    <w:rsid w:val="009712CD"/>
    <w:rsid w:val="00971541"/>
    <w:rsid w:val="00971AEA"/>
    <w:rsid w:val="00972591"/>
    <w:rsid w:val="00972658"/>
    <w:rsid w:val="00972817"/>
    <w:rsid w:val="00972862"/>
    <w:rsid w:val="00972A9E"/>
    <w:rsid w:val="00973048"/>
    <w:rsid w:val="00973325"/>
    <w:rsid w:val="009736B4"/>
    <w:rsid w:val="00973710"/>
    <w:rsid w:val="0097375C"/>
    <w:rsid w:val="00973790"/>
    <w:rsid w:val="00973A98"/>
    <w:rsid w:val="009740EE"/>
    <w:rsid w:val="0097433A"/>
    <w:rsid w:val="009745F3"/>
    <w:rsid w:val="009748EC"/>
    <w:rsid w:val="00974B97"/>
    <w:rsid w:val="00974DC8"/>
    <w:rsid w:val="00974EFE"/>
    <w:rsid w:val="009750F3"/>
    <w:rsid w:val="0097511B"/>
    <w:rsid w:val="0097522D"/>
    <w:rsid w:val="009752AD"/>
    <w:rsid w:val="00975346"/>
    <w:rsid w:val="0097534E"/>
    <w:rsid w:val="00975359"/>
    <w:rsid w:val="009758E7"/>
    <w:rsid w:val="00975AAF"/>
    <w:rsid w:val="00975B6B"/>
    <w:rsid w:val="00975CFF"/>
    <w:rsid w:val="009760CD"/>
    <w:rsid w:val="00976982"/>
    <w:rsid w:val="00976A80"/>
    <w:rsid w:val="00976F2D"/>
    <w:rsid w:val="00977C47"/>
    <w:rsid w:val="00977F39"/>
    <w:rsid w:val="00980085"/>
    <w:rsid w:val="009801FC"/>
    <w:rsid w:val="0098058A"/>
    <w:rsid w:val="009806A4"/>
    <w:rsid w:val="009807E9"/>
    <w:rsid w:val="00980B8B"/>
    <w:rsid w:val="00980BC3"/>
    <w:rsid w:val="00980E3C"/>
    <w:rsid w:val="009810EB"/>
    <w:rsid w:val="00981194"/>
    <w:rsid w:val="00981390"/>
    <w:rsid w:val="009818AE"/>
    <w:rsid w:val="00981B57"/>
    <w:rsid w:val="0098202C"/>
    <w:rsid w:val="009827BE"/>
    <w:rsid w:val="0098282D"/>
    <w:rsid w:val="0098286D"/>
    <w:rsid w:val="00982CED"/>
    <w:rsid w:val="00982DFA"/>
    <w:rsid w:val="00982E44"/>
    <w:rsid w:val="0098339A"/>
    <w:rsid w:val="00983A50"/>
    <w:rsid w:val="0098405C"/>
    <w:rsid w:val="00984097"/>
    <w:rsid w:val="0098441B"/>
    <w:rsid w:val="009844B0"/>
    <w:rsid w:val="00984664"/>
    <w:rsid w:val="0098483E"/>
    <w:rsid w:val="00984A4B"/>
    <w:rsid w:val="00984C51"/>
    <w:rsid w:val="009858E0"/>
    <w:rsid w:val="00985E0A"/>
    <w:rsid w:val="009868CC"/>
    <w:rsid w:val="00986A01"/>
    <w:rsid w:val="00986AE5"/>
    <w:rsid w:val="00986CA2"/>
    <w:rsid w:val="00986F0B"/>
    <w:rsid w:val="0098752F"/>
    <w:rsid w:val="009879C0"/>
    <w:rsid w:val="0099083C"/>
    <w:rsid w:val="009908EA"/>
    <w:rsid w:val="00991717"/>
    <w:rsid w:val="00991F1B"/>
    <w:rsid w:val="0099210E"/>
    <w:rsid w:val="00992577"/>
    <w:rsid w:val="0099294E"/>
    <w:rsid w:val="00992D11"/>
    <w:rsid w:val="00992E9E"/>
    <w:rsid w:val="00992F47"/>
    <w:rsid w:val="009930A4"/>
    <w:rsid w:val="00993275"/>
    <w:rsid w:val="00993B3C"/>
    <w:rsid w:val="009941AD"/>
    <w:rsid w:val="00994493"/>
    <w:rsid w:val="00994602"/>
    <w:rsid w:val="0099497D"/>
    <w:rsid w:val="00995237"/>
    <w:rsid w:val="0099531D"/>
    <w:rsid w:val="0099537E"/>
    <w:rsid w:val="009953DD"/>
    <w:rsid w:val="009954CE"/>
    <w:rsid w:val="00996019"/>
    <w:rsid w:val="0099615E"/>
    <w:rsid w:val="009967BF"/>
    <w:rsid w:val="00996C48"/>
    <w:rsid w:val="00997293"/>
    <w:rsid w:val="00997354"/>
    <w:rsid w:val="0099756D"/>
    <w:rsid w:val="009A01FC"/>
    <w:rsid w:val="009A0454"/>
    <w:rsid w:val="009A0AB8"/>
    <w:rsid w:val="009A10F1"/>
    <w:rsid w:val="009A18C5"/>
    <w:rsid w:val="009A197C"/>
    <w:rsid w:val="009A1ABB"/>
    <w:rsid w:val="009A2593"/>
    <w:rsid w:val="009A26E1"/>
    <w:rsid w:val="009A270D"/>
    <w:rsid w:val="009A292F"/>
    <w:rsid w:val="009A2967"/>
    <w:rsid w:val="009A2FA4"/>
    <w:rsid w:val="009A2FB0"/>
    <w:rsid w:val="009A3D82"/>
    <w:rsid w:val="009A3F89"/>
    <w:rsid w:val="009A497B"/>
    <w:rsid w:val="009A4998"/>
    <w:rsid w:val="009A4B0E"/>
    <w:rsid w:val="009A4CAF"/>
    <w:rsid w:val="009A4D3F"/>
    <w:rsid w:val="009A4EA2"/>
    <w:rsid w:val="009A4F5F"/>
    <w:rsid w:val="009A55D1"/>
    <w:rsid w:val="009A5675"/>
    <w:rsid w:val="009A584B"/>
    <w:rsid w:val="009A5A95"/>
    <w:rsid w:val="009A629D"/>
    <w:rsid w:val="009A6985"/>
    <w:rsid w:val="009A6CDA"/>
    <w:rsid w:val="009A73AB"/>
    <w:rsid w:val="009A7906"/>
    <w:rsid w:val="009A7D85"/>
    <w:rsid w:val="009A7DD1"/>
    <w:rsid w:val="009A7E85"/>
    <w:rsid w:val="009B032A"/>
    <w:rsid w:val="009B032D"/>
    <w:rsid w:val="009B04EC"/>
    <w:rsid w:val="009B056B"/>
    <w:rsid w:val="009B05BF"/>
    <w:rsid w:val="009B07DD"/>
    <w:rsid w:val="009B09CA"/>
    <w:rsid w:val="009B107F"/>
    <w:rsid w:val="009B1239"/>
    <w:rsid w:val="009B13C7"/>
    <w:rsid w:val="009B141A"/>
    <w:rsid w:val="009B16FB"/>
    <w:rsid w:val="009B1C5D"/>
    <w:rsid w:val="009B1CC4"/>
    <w:rsid w:val="009B1ED6"/>
    <w:rsid w:val="009B2952"/>
    <w:rsid w:val="009B2970"/>
    <w:rsid w:val="009B2AE2"/>
    <w:rsid w:val="009B2B83"/>
    <w:rsid w:val="009B31CD"/>
    <w:rsid w:val="009B35BB"/>
    <w:rsid w:val="009B3919"/>
    <w:rsid w:val="009B40D6"/>
    <w:rsid w:val="009B445F"/>
    <w:rsid w:val="009B4478"/>
    <w:rsid w:val="009B46D6"/>
    <w:rsid w:val="009B52D6"/>
    <w:rsid w:val="009B54D9"/>
    <w:rsid w:val="009B5820"/>
    <w:rsid w:val="009B5B54"/>
    <w:rsid w:val="009B690F"/>
    <w:rsid w:val="009B693F"/>
    <w:rsid w:val="009B70A9"/>
    <w:rsid w:val="009B7265"/>
    <w:rsid w:val="009B7314"/>
    <w:rsid w:val="009B7530"/>
    <w:rsid w:val="009B7534"/>
    <w:rsid w:val="009B76B4"/>
    <w:rsid w:val="009B783B"/>
    <w:rsid w:val="009B7865"/>
    <w:rsid w:val="009B7ED4"/>
    <w:rsid w:val="009C0259"/>
    <w:rsid w:val="009C0B3A"/>
    <w:rsid w:val="009C0EDD"/>
    <w:rsid w:val="009C170F"/>
    <w:rsid w:val="009C1B0A"/>
    <w:rsid w:val="009C1B6A"/>
    <w:rsid w:val="009C1E31"/>
    <w:rsid w:val="009C20BD"/>
    <w:rsid w:val="009C2748"/>
    <w:rsid w:val="009C29BE"/>
    <w:rsid w:val="009C2A01"/>
    <w:rsid w:val="009C2A33"/>
    <w:rsid w:val="009C2D97"/>
    <w:rsid w:val="009C2DAD"/>
    <w:rsid w:val="009C2FFA"/>
    <w:rsid w:val="009C32DB"/>
    <w:rsid w:val="009C337E"/>
    <w:rsid w:val="009C35BB"/>
    <w:rsid w:val="009C360B"/>
    <w:rsid w:val="009C39A3"/>
    <w:rsid w:val="009C3B4F"/>
    <w:rsid w:val="009C3C8F"/>
    <w:rsid w:val="009C3EA6"/>
    <w:rsid w:val="009C44EE"/>
    <w:rsid w:val="009C496B"/>
    <w:rsid w:val="009C49AF"/>
    <w:rsid w:val="009C4AC4"/>
    <w:rsid w:val="009C50E3"/>
    <w:rsid w:val="009C53BC"/>
    <w:rsid w:val="009C59C1"/>
    <w:rsid w:val="009C5A29"/>
    <w:rsid w:val="009C5E99"/>
    <w:rsid w:val="009C619E"/>
    <w:rsid w:val="009C669F"/>
    <w:rsid w:val="009C66CB"/>
    <w:rsid w:val="009C6789"/>
    <w:rsid w:val="009C67E5"/>
    <w:rsid w:val="009C6D8F"/>
    <w:rsid w:val="009C6E98"/>
    <w:rsid w:val="009C6F1C"/>
    <w:rsid w:val="009C717A"/>
    <w:rsid w:val="009C723A"/>
    <w:rsid w:val="009C771B"/>
    <w:rsid w:val="009C7934"/>
    <w:rsid w:val="009D0086"/>
    <w:rsid w:val="009D0420"/>
    <w:rsid w:val="009D06A0"/>
    <w:rsid w:val="009D06B3"/>
    <w:rsid w:val="009D0773"/>
    <w:rsid w:val="009D0948"/>
    <w:rsid w:val="009D0960"/>
    <w:rsid w:val="009D0F19"/>
    <w:rsid w:val="009D10A1"/>
    <w:rsid w:val="009D10E8"/>
    <w:rsid w:val="009D1679"/>
    <w:rsid w:val="009D181E"/>
    <w:rsid w:val="009D1CCF"/>
    <w:rsid w:val="009D225C"/>
    <w:rsid w:val="009D2628"/>
    <w:rsid w:val="009D31F1"/>
    <w:rsid w:val="009D3731"/>
    <w:rsid w:val="009D3A38"/>
    <w:rsid w:val="009D3C77"/>
    <w:rsid w:val="009D3CE2"/>
    <w:rsid w:val="009D3E92"/>
    <w:rsid w:val="009D427A"/>
    <w:rsid w:val="009D4A90"/>
    <w:rsid w:val="009D4A98"/>
    <w:rsid w:val="009D4B69"/>
    <w:rsid w:val="009D4FB6"/>
    <w:rsid w:val="009D53E3"/>
    <w:rsid w:val="009D59C3"/>
    <w:rsid w:val="009D5C22"/>
    <w:rsid w:val="009D62AE"/>
    <w:rsid w:val="009D63CD"/>
    <w:rsid w:val="009D70C2"/>
    <w:rsid w:val="009D7123"/>
    <w:rsid w:val="009D7738"/>
    <w:rsid w:val="009D7B90"/>
    <w:rsid w:val="009DDDF9"/>
    <w:rsid w:val="009E0561"/>
    <w:rsid w:val="009E061E"/>
    <w:rsid w:val="009E0B03"/>
    <w:rsid w:val="009E0F1D"/>
    <w:rsid w:val="009E11C1"/>
    <w:rsid w:val="009E17F4"/>
    <w:rsid w:val="009E1CF8"/>
    <w:rsid w:val="009E1F4E"/>
    <w:rsid w:val="009E23A6"/>
    <w:rsid w:val="009E257D"/>
    <w:rsid w:val="009E25FD"/>
    <w:rsid w:val="009E2D77"/>
    <w:rsid w:val="009E2E8B"/>
    <w:rsid w:val="009E2F66"/>
    <w:rsid w:val="009E2FB3"/>
    <w:rsid w:val="009E3205"/>
    <w:rsid w:val="009E34BC"/>
    <w:rsid w:val="009E369A"/>
    <w:rsid w:val="009E3810"/>
    <w:rsid w:val="009E39EF"/>
    <w:rsid w:val="009E3C25"/>
    <w:rsid w:val="009E449B"/>
    <w:rsid w:val="009E4837"/>
    <w:rsid w:val="009E4AB0"/>
    <w:rsid w:val="009E4B79"/>
    <w:rsid w:val="009E4BD8"/>
    <w:rsid w:val="009E50F3"/>
    <w:rsid w:val="009E5171"/>
    <w:rsid w:val="009E5277"/>
    <w:rsid w:val="009E5371"/>
    <w:rsid w:val="009E5572"/>
    <w:rsid w:val="009E57CB"/>
    <w:rsid w:val="009E588F"/>
    <w:rsid w:val="009E5C22"/>
    <w:rsid w:val="009E5D56"/>
    <w:rsid w:val="009E5EF4"/>
    <w:rsid w:val="009E626E"/>
    <w:rsid w:val="009E66E4"/>
    <w:rsid w:val="009E69F8"/>
    <w:rsid w:val="009E6EFB"/>
    <w:rsid w:val="009E7411"/>
    <w:rsid w:val="009E7497"/>
    <w:rsid w:val="009E74F6"/>
    <w:rsid w:val="009E7882"/>
    <w:rsid w:val="009E7B13"/>
    <w:rsid w:val="009E7E42"/>
    <w:rsid w:val="009E7E9A"/>
    <w:rsid w:val="009F0227"/>
    <w:rsid w:val="009F0C3D"/>
    <w:rsid w:val="009F0EA0"/>
    <w:rsid w:val="009F0F03"/>
    <w:rsid w:val="009F0FAB"/>
    <w:rsid w:val="009F1483"/>
    <w:rsid w:val="009F164A"/>
    <w:rsid w:val="009F19AD"/>
    <w:rsid w:val="009F1A1E"/>
    <w:rsid w:val="009F1D41"/>
    <w:rsid w:val="009F1E52"/>
    <w:rsid w:val="009F1F4C"/>
    <w:rsid w:val="009F22B6"/>
    <w:rsid w:val="009F2B26"/>
    <w:rsid w:val="009F2D0D"/>
    <w:rsid w:val="009F2F31"/>
    <w:rsid w:val="009F30F1"/>
    <w:rsid w:val="009F325B"/>
    <w:rsid w:val="009F3C45"/>
    <w:rsid w:val="009F3FB6"/>
    <w:rsid w:val="009F48CD"/>
    <w:rsid w:val="009F4962"/>
    <w:rsid w:val="009F49B9"/>
    <w:rsid w:val="009F4B27"/>
    <w:rsid w:val="009F4F40"/>
    <w:rsid w:val="009F4F5C"/>
    <w:rsid w:val="009F4F70"/>
    <w:rsid w:val="009F53F2"/>
    <w:rsid w:val="009F5577"/>
    <w:rsid w:val="009F5606"/>
    <w:rsid w:val="009F5944"/>
    <w:rsid w:val="009F65D5"/>
    <w:rsid w:val="009F6689"/>
    <w:rsid w:val="009F66D1"/>
    <w:rsid w:val="009F6C3C"/>
    <w:rsid w:val="009F70B1"/>
    <w:rsid w:val="009F7260"/>
    <w:rsid w:val="009F726C"/>
    <w:rsid w:val="009F7578"/>
    <w:rsid w:val="009F77BF"/>
    <w:rsid w:val="009F77DA"/>
    <w:rsid w:val="009F7B8A"/>
    <w:rsid w:val="009F7CAA"/>
    <w:rsid w:val="009F7D14"/>
    <w:rsid w:val="009F7DCC"/>
    <w:rsid w:val="00A00155"/>
    <w:rsid w:val="00A0036C"/>
    <w:rsid w:val="00A004E2"/>
    <w:rsid w:val="00A00672"/>
    <w:rsid w:val="00A00931"/>
    <w:rsid w:val="00A00944"/>
    <w:rsid w:val="00A00B80"/>
    <w:rsid w:val="00A0103B"/>
    <w:rsid w:val="00A011B3"/>
    <w:rsid w:val="00A0135A"/>
    <w:rsid w:val="00A01368"/>
    <w:rsid w:val="00A01385"/>
    <w:rsid w:val="00A01FA7"/>
    <w:rsid w:val="00A030C7"/>
    <w:rsid w:val="00A03555"/>
    <w:rsid w:val="00A03A05"/>
    <w:rsid w:val="00A03A36"/>
    <w:rsid w:val="00A0425A"/>
    <w:rsid w:val="00A04D7F"/>
    <w:rsid w:val="00A051EE"/>
    <w:rsid w:val="00A0548D"/>
    <w:rsid w:val="00A05790"/>
    <w:rsid w:val="00A05BAA"/>
    <w:rsid w:val="00A05FD3"/>
    <w:rsid w:val="00A0633E"/>
    <w:rsid w:val="00A063E0"/>
    <w:rsid w:val="00A069B2"/>
    <w:rsid w:val="00A07882"/>
    <w:rsid w:val="00A10B2A"/>
    <w:rsid w:val="00A10CDC"/>
    <w:rsid w:val="00A10CE0"/>
    <w:rsid w:val="00A1164A"/>
    <w:rsid w:val="00A1172C"/>
    <w:rsid w:val="00A119C1"/>
    <w:rsid w:val="00A120D1"/>
    <w:rsid w:val="00A12407"/>
    <w:rsid w:val="00A12892"/>
    <w:rsid w:val="00A12941"/>
    <w:rsid w:val="00A12AB2"/>
    <w:rsid w:val="00A12B61"/>
    <w:rsid w:val="00A12B9B"/>
    <w:rsid w:val="00A13386"/>
    <w:rsid w:val="00A133C4"/>
    <w:rsid w:val="00A13A0B"/>
    <w:rsid w:val="00A13DDB"/>
    <w:rsid w:val="00A13E1F"/>
    <w:rsid w:val="00A13FF1"/>
    <w:rsid w:val="00A1402C"/>
    <w:rsid w:val="00A14391"/>
    <w:rsid w:val="00A1445D"/>
    <w:rsid w:val="00A146F5"/>
    <w:rsid w:val="00A14725"/>
    <w:rsid w:val="00A14D44"/>
    <w:rsid w:val="00A14D9B"/>
    <w:rsid w:val="00A15437"/>
    <w:rsid w:val="00A15904"/>
    <w:rsid w:val="00A159F1"/>
    <w:rsid w:val="00A15E83"/>
    <w:rsid w:val="00A160DB"/>
    <w:rsid w:val="00A16457"/>
    <w:rsid w:val="00A16471"/>
    <w:rsid w:val="00A16B1F"/>
    <w:rsid w:val="00A1753F"/>
    <w:rsid w:val="00A178AE"/>
    <w:rsid w:val="00A17C5D"/>
    <w:rsid w:val="00A17D87"/>
    <w:rsid w:val="00A205EB"/>
    <w:rsid w:val="00A2084E"/>
    <w:rsid w:val="00A20DC6"/>
    <w:rsid w:val="00A20F7E"/>
    <w:rsid w:val="00A2123A"/>
    <w:rsid w:val="00A2165C"/>
    <w:rsid w:val="00A21758"/>
    <w:rsid w:val="00A21A5A"/>
    <w:rsid w:val="00A21B8D"/>
    <w:rsid w:val="00A21BC6"/>
    <w:rsid w:val="00A223D7"/>
    <w:rsid w:val="00A22508"/>
    <w:rsid w:val="00A22607"/>
    <w:rsid w:val="00A2287C"/>
    <w:rsid w:val="00A22E56"/>
    <w:rsid w:val="00A23517"/>
    <w:rsid w:val="00A236C4"/>
    <w:rsid w:val="00A237D2"/>
    <w:rsid w:val="00A23D6B"/>
    <w:rsid w:val="00A2429E"/>
    <w:rsid w:val="00A243A0"/>
    <w:rsid w:val="00A243BD"/>
    <w:rsid w:val="00A2534E"/>
    <w:rsid w:val="00A25BA9"/>
    <w:rsid w:val="00A25DD7"/>
    <w:rsid w:val="00A26356"/>
    <w:rsid w:val="00A26658"/>
    <w:rsid w:val="00A26672"/>
    <w:rsid w:val="00A26912"/>
    <w:rsid w:val="00A26F28"/>
    <w:rsid w:val="00A27775"/>
    <w:rsid w:val="00A301C2"/>
    <w:rsid w:val="00A30A39"/>
    <w:rsid w:val="00A3118A"/>
    <w:rsid w:val="00A314E8"/>
    <w:rsid w:val="00A31646"/>
    <w:rsid w:val="00A317EA"/>
    <w:rsid w:val="00A31DFD"/>
    <w:rsid w:val="00A322DF"/>
    <w:rsid w:val="00A32A5C"/>
    <w:rsid w:val="00A32DA0"/>
    <w:rsid w:val="00A32E5C"/>
    <w:rsid w:val="00A33127"/>
    <w:rsid w:val="00A33237"/>
    <w:rsid w:val="00A33256"/>
    <w:rsid w:val="00A336E7"/>
    <w:rsid w:val="00A339A5"/>
    <w:rsid w:val="00A33E9B"/>
    <w:rsid w:val="00A34004"/>
    <w:rsid w:val="00A342EA"/>
    <w:rsid w:val="00A3446E"/>
    <w:rsid w:val="00A34628"/>
    <w:rsid w:val="00A34BBB"/>
    <w:rsid w:val="00A34CA5"/>
    <w:rsid w:val="00A34F0A"/>
    <w:rsid w:val="00A3511B"/>
    <w:rsid w:val="00A352D6"/>
    <w:rsid w:val="00A3567B"/>
    <w:rsid w:val="00A35FD8"/>
    <w:rsid w:val="00A36384"/>
    <w:rsid w:val="00A36F13"/>
    <w:rsid w:val="00A37355"/>
    <w:rsid w:val="00A375AD"/>
    <w:rsid w:val="00A3762C"/>
    <w:rsid w:val="00A37779"/>
    <w:rsid w:val="00A37E4A"/>
    <w:rsid w:val="00A37EC3"/>
    <w:rsid w:val="00A4022A"/>
    <w:rsid w:val="00A402B4"/>
    <w:rsid w:val="00A40A96"/>
    <w:rsid w:val="00A40AF7"/>
    <w:rsid w:val="00A4193F"/>
    <w:rsid w:val="00A41EA7"/>
    <w:rsid w:val="00A41F84"/>
    <w:rsid w:val="00A41FE8"/>
    <w:rsid w:val="00A42563"/>
    <w:rsid w:val="00A426B9"/>
    <w:rsid w:val="00A427AE"/>
    <w:rsid w:val="00A428D1"/>
    <w:rsid w:val="00A42B6A"/>
    <w:rsid w:val="00A42C39"/>
    <w:rsid w:val="00A42D97"/>
    <w:rsid w:val="00A42DBD"/>
    <w:rsid w:val="00A42F02"/>
    <w:rsid w:val="00A43167"/>
    <w:rsid w:val="00A43299"/>
    <w:rsid w:val="00A43734"/>
    <w:rsid w:val="00A439AC"/>
    <w:rsid w:val="00A43C9A"/>
    <w:rsid w:val="00A44281"/>
    <w:rsid w:val="00A44316"/>
    <w:rsid w:val="00A44333"/>
    <w:rsid w:val="00A44624"/>
    <w:rsid w:val="00A44C33"/>
    <w:rsid w:val="00A4521D"/>
    <w:rsid w:val="00A45B7E"/>
    <w:rsid w:val="00A45B95"/>
    <w:rsid w:val="00A46289"/>
    <w:rsid w:val="00A4634F"/>
    <w:rsid w:val="00A46C54"/>
    <w:rsid w:val="00A47386"/>
    <w:rsid w:val="00A47627"/>
    <w:rsid w:val="00A4769C"/>
    <w:rsid w:val="00A47F4B"/>
    <w:rsid w:val="00A50088"/>
    <w:rsid w:val="00A5029F"/>
    <w:rsid w:val="00A504F0"/>
    <w:rsid w:val="00A50673"/>
    <w:rsid w:val="00A506D3"/>
    <w:rsid w:val="00A5076A"/>
    <w:rsid w:val="00A511A7"/>
    <w:rsid w:val="00A511C8"/>
    <w:rsid w:val="00A5126D"/>
    <w:rsid w:val="00A51597"/>
    <w:rsid w:val="00A51608"/>
    <w:rsid w:val="00A517B6"/>
    <w:rsid w:val="00A51B66"/>
    <w:rsid w:val="00A51C30"/>
    <w:rsid w:val="00A52117"/>
    <w:rsid w:val="00A52247"/>
    <w:rsid w:val="00A523B8"/>
    <w:rsid w:val="00A52A3C"/>
    <w:rsid w:val="00A52AEE"/>
    <w:rsid w:val="00A53058"/>
    <w:rsid w:val="00A53771"/>
    <w:rsid w:val="00A53E85"/>
    <w:rsid w:val="00A54194"/>
    <w:rsid w:val="00A541A9"/>
    <w:rsid w:val="00A54240"/>
    <w:rsid w:val="00A5483B"/>
    <w:rsid w:val="00A54A0B"/>
    <w:rsid w:val="00A54A4F"/>
    <w:rsid w:val="00A54A68"/>
    <w:rsid w:val="00A54CD5"/>
    <w:rsid w:val="00A54E1E"/>
    <w:rsid w:val="00A55400"/>
    <w:rsid w:val="00A5551C"/>
    <w:rsid w:val="00A5564F"/>
    <w:rsid w:val="00A55A11"/>
    <w:rsid w:val="00A55B6C"/>
    <w:rsid w:val="00A55E00"/>
    <w:rsid w:val="00A55E91"/>
    <w:rsid w:val="00A56020"/>
    <w:rsid w:val="00A56068"/>
    <w:rsid w:val="00A560ED"/>
    <w:rsid w:val="00A56273"/>
    <w:rsid w:val="00A56578"/>
    <w:rsid w:val="00A568F1"/>
    <w:rsid w:val="00A56E9D"/>
    <w:rsid w:val="00A57093"/>
    <w:rsid w:val="00A57C39"/>
    <w:rsid w:val="00A57E99"/>
    <w:rsid w:val="00A60093"/>
    <w:rsid w:val="00A60240"/>
    <w:rsid w:val="00A6028E"/>
    <w:rsid w:val="00A60291"/>
    <w:rsid w:val="00A602B0"/>
    <w:rsid w:val="00A602F9"/>
    <w:rsid w:val="00A60487"/>
    <w:rsid w:val="00A60500"/>
    <w:rsid w:val="00A606BA"/>
    <w:rsid w:val="00A607A2"/>
    <w:rsid w:val="00A60B82"/>
    <w:rsid w:val="00A60C82"/>
    <w:rsid w:val="00A6117A"/>
    <w:rsid w:val="00A611C9"/>
    <w:rsid w:val="00A612FE"/>
    <w:rsid w:val="00A6137A"/>
    <w:rsid w:val="00A618E8"/>
    <w:rsid w:val="00A619CD"/>
    <w:rsid w:val="00A61A27"/>
    <w:rsid w:val="00A6210D"/>
    <w:rsid w:val="00A623AB"/>
    <w:rsid w:val="00A6268D"/>
    <w:rsid w:val="00A62943"/>
    <w:rsid w:val="00A629A9"/>
    <w:rsid w:val="00A62A0D"/>
    <w:rsid w:val="00A62E53"/>
    <w:rsid w:val="00A630B1"/>
    <w:rsid w:val="00A642D3"/>
    <w:rsid w:val="00A6470D"/>
    <w:rsid w:val="00A64A18"/>
    <w:rsid w:val="00A64BA9"/>
    <w:rsid w:val="00A64C35"/>
    <w:rsid w:val="00A64DCF"/>
    <w:rsid w:val="00A64F12"/>
    <w:rsid w:val="00A64FFD"/>
    <w:rsid w:val="00A65D84"/>
    <w:rsid w:val="00A661C9"/>
    <w:rsid w:val="00A66315"/>
    <w:rsid w:val="00A66900"/>
    <w:rsid w:val="00A66B61"/>
    <w:rsid w:val="00A66D8F"/>
    <w:rsid w:val="00A66EFA"/>
    <w:rsid w:val="00A671D1"/>
    <w:rsid w:val="00A676B4"/>
    <w:rsid w:val="00A67AD0"/>
    <w:rsid w:val="00A67B4D"/>
    <w:rsid w:val="00A67B7E"/>
    <w:rsid w:val="00A7040E"/>
    <w:rsid w:val="00A70CAA"/>
    <w:rsid w:val="00A70D3C"/>
    <w:rsid w:val="00A711A7"/>
    <w:rsid w:val="00A71303"/>
    <w:rsid w:val="00A71887"/>
    <w:rsid w:val="00A71DE3"/>
    <w:rsid w:val="00A723EB"/>
    <w:rsid w:val="00A724FC"/>
    <w:rsid w:val="00A726CB"/>
    <w:rsid w:val="00A72928"/>
    <w:rsid w:val="00A73444"/>
    <w:rsid w:val="00A7393C"/>
    <w:rsid w:val="00A73BC3"/>
    <w:rsid w:val="00A74047"/>
    <w:rsid w:val="00A740B9"/>
    <w:rsid w:val="00A744B8"/>
    <w:rsid w:val="00A74878"/>
    <w:rsid w:val="00A74B1E"/>
    <w:rsid w:val="00A74C49"/>
    <w:rsid w:val="00A74E9C"/>
    <w:rsid w:val="00A75610"/>
    <w:rsid w:val="00A75A04"/>
    <w:rsid w:val="00A75B7A"/>
    <w:rsid w:val="00A75E95"/>
    <w:rsid w:val="00A7657D"/>
    <w:rsid w:val="00A76C4B"/>
    <w:rsid w:val="00A76F7B"/>
    <w:rsid w:val="00A7722E"/>
    <w:rsid w:val="00A7768E"/>
    <w:rsid w:val="00A77A20"/>
    <w:rsid w:val="00A77E19"/>
    <w:rsid w:val="00A80620"/>
    <w:rsid w:val="00A807C4"/>
    <w:rsid w:val="00A811B9"/>
    <w:rsid w:val="00A81693"/>
    <w:rsid w:val="00A8225E"/>
    <w:rsid w:val="00A8231A"/>
    <w:rsid w:val="00A82706"/>
    <w:rsid w:val="00A828C1"/>
    <w:rsid w:val="00A82971"/>
    <w:rsid w:val="00A82A76"/>
    <w:rsid w:val="00A82D35"/>
    <w:rsid w:val="00A82E1E"/>
    <w:rsid w:val="00A831D8"/>
    <w:rsid w:val="00A835D2"/>
    <w:rsid w:val="00A83AD6"/>
    <w:rsid w:val="00A83D2D"/>
    <w:rsid w:val="00A83E43"/>
    <w:rsid w:val="00A8457C"/>
    <w:rsid w:val="00A84AC5"/>
    <w:rsid w:val="00A85286"/>
    <w:rsid w:val="00A85615"/>
    <w:rsid w:val="00A85ABA"/>
    <w:rsid w:val="00A860DA"/>
    <w:rsid w:val="00A8618C"/>
    <w:rsid w:val="00A86598"/>
    <w:rsid w:val="00A867FC"/>
    <w:rsid w:val="00A86B54"/>
    <w:rsid w:val="00A86B9F"/>
    <w:rsid w:val="00A86C8B"/>
    <w:rsid w:val="00A87439"/>
    <w:rsid w:val="00A87525"/>
    <w:rsid w:val="00A87704"/>
    <w:rsid w:val="00A87722"/>
    <w:rsid w:val="00A8776B"/>
    <w:rsid w:val="00A87AEA"/>
    <w:rsid w:val="00A87FD8"/>
    <w:rsid w:val="00A90399"/>
    <w:rsid w:val="00A903E0"/>
    <w:rsid w:val="00A904C2"/>
    <w:rsid w:val="00A907D1"/>
    <w:rsid w:val="00A90C70"/>
    <w:rsid w:val="00A90CAF"/>
    <w:rsid w:val="00A90D4A"/>
    <w:rsid w:val="00A911A7"/>
    <w:rsid w:val="00A91306"/>
    <w:rsid w:val="00A913A1"/>
    <w:rsid w:val="00A9144E"/>
    <w:rsid w:val="00A916C8"/>
    <w:rsid w:val="00A916CE"/>
    <w:rsid w:val="00A91705"/>
    <w:rsid w:val="00A91758"/>
    <w:rsid w:val="00A91D7E"/>
    <w:rsid w:val="00A92957"/>
    <w:rsid w:val="00A92D46"/>
    <w:rsid w:val="00A9301D"/>
    <w:rsid w:val="00A9311C"/>
    <w:rsid w:val="00A934B5"/>
    <w:rsid w:val="00A93995"/>
    <w:rsid w:val="00A940C7"/>
    <w:rsid w:val="00A94386"/>
    <w:rsid w:val="00A943AC"/>
    <w:rsid w:val="00A94919"/>
    <w:rsid w:val="00A94F12"/>
    <w:rsid w:val="00A950A1"/>
    <w:rsid w:val="00A95626"/>
    <w:rsid w:val="00A9579D"/>
    <w:rsid w:val="00A95994"/>
    <w:rsid w:val="00A95EA0"/>
    <w:rsid w:val="00A95ECA"/>
    <w:rsid w:val="00A961E1"/>
    <w:rsid w:val="00A96488"/>
    <w:rsid w:val="00A9666F"/>
    <w:rsid w:val="00A969F5"/>
    <w:rsid w:val="00A96B78"/>
    <w:rsid w:val="00A96BB9"/>
    <w:rsid w:val="00A971FD"/>
    <w:rsid w:val="00A97A11"/>
    <w:rsid w:val="00A97FE8"/>
    <w:rsid w:val="00AA08AC"/>
    <w:rsid w:val="00AA0A12"/>
    <w:rsid w:val="00AA0DE2"/>
    <w:rsid w:val="00AA0F32"/>
    <w:rsid w:val="00AA1210"/>
    <w:rsid w:val="00AA1789"/>
    <w:rsid w:val="00AA1893"/>
    <w:rsid w:val="00AA1DC3"/>
    <w:rsid w:val="00AA1DD7"/>
    <w:rsid w:val="00AA20F3"/>
    <w:rsid w:val="00AA2688"/>
    <w:rsid w:val="00AA26FB"/>
    <w:rsid w:val="00AA2853"/>
    <w:rsid w:val="00AA28AE"/>
    <w:rsid w:val="00AA2CF3"/>
    <w:rsid w:val="00AA2D25"/>
    <w:rsid w:val="00AA2E2D"/>
    <w:rsid w:val="00AA349A"/>
    <w:rsid w:val="00AA36CC"/>
    <w:rsid w:val="00AA37FF"/>
    <w:rsid w:val="00AA3971"/>
    <w:rsid w:val="00AA39AD"/>
    <w:rsid w:val="00AA3B91"/>
    <w:rsid w:val="00AA3F8C"/>
    <w:rsid w:val="00AA3FBF"/>
    <w:rsid w:val="00AA3FFC"/>
    <w:rsid w:val="00AA426E"/>
    <w:rsid w:val="00AA42DC"/>
    <w:rsid w:val="00AA42E4"/>
    <w:rsid w:val="00AA43FC"/>
    <w:rsid w:val="00AA47F2"/>
    <w:rsid w:val="00AA5092"/>
    <w:rsid w:val="00AA55EA"/>
    <w:rsid w:val="00AA569F"/>
    <w:rsid w:val="00AA597E"/>
    <w:rsid w:val="00AA5A34"/>
    <w:rsid w:val="00AA5B99"/>
    <w:rsid w:val="00AA6275"/>
    <w:rsid w:val="00AA6468"/>
    <w:rsid w:val="00AA68EE"/>
    <w:rsid w:val="00AA6A17"/>
    <w:rsid w:val="00AA6D15"/>
    <w:rsid w:val="00AA7153"/>
    <w:rsid w:val="00AA75B3"/>
    <w:rsid w:val="00AA75E3"/>
    <w:rsid w:val="00AB00CB"/>
    <w:rsid w:val="00AB070D"/>
    <w:rsid w:val="00AB0837"/>
    <w:rsid w:val="00AB0924"/>
    <w:rsid w:val="00AB0A55"/>
    <w:rsid w:val="00AB0F8C"/>
    <w:rsid w:val="00AB13B1"/>
    <w:rsid w:val="00AB1474"/>
    <w:rsid w:val="00AB15C6"/>
    <w:rsid w:val="00AB1634"/>
    <w:rsid w:val="00AB19A8"/>
    <w:rsid w:val="00AB1A84"/>
    <w:rsid w:val="00AB2595"/>
    <w:rsid w:val="00AB284D"/>
    <w:rsid w:val="00AB2D63"/>
    <w:rsid w:val="00AB3172"/>
    <w:rsid w:val="00AB3305"/>
    <w:rsid w:val="00AB3953"/>
    <w:rsid w:val="00AB3C60"/>
    <w:rsid w:val="00AB3FFC"/>
    <w:rsid w:val="00AB4104"/>
    <w:rsid w:val="00AB412D"/>
    <w:rsid w:val="00AB41D9"/>
    <w:rsid w:val="00AB4AAA"/>
    <w:rsid w:val="00AB4F1C"/>
    <w:rsid w:val="00AB5085"/>
    <w:rsid w:val="00AB533A"/>
    <w:rsid w:val="00AB5912"/>
    <w:rsid w:val="00AB5999"/>
    <w:rsid w:val="00AB59C1"/>
    <w:rsid w:val="00AB5D06"/>
    <w:rsid w:val="00AB607F"/>
    <w:rsid w:val="00AB63D2"/>
    <w:rsid w:val="00AB668B"/>
    <w:rsid w:val="00AB70BD"/>
    <w:rsid w:val="00AB71CD"/>
    <w:rsid w:val="00AB76A2"/>
    <w:rsid w:val="00AB78C4"/>
    <w:rsid w:val="00AC0118"/>
    <w:rsid w:val="00AC0359"/>
    <w:rsid w:val="00AC0627"/>
    <w:rsid w:val="00AC0654"/>
    <w:rsid w:val="00AC0C8B"/>
    <w:rsid w:val="00AC0FF2"/>
    <w:rsid w:val="00AC111E"/>
    <w:rsid w:val="00AC1182"/>
    <w:rsid w:val="00AC127A"/>
    <w:rsid w:val="00AC172D"/>
    <w:rsid w:val="00AC178C"/>
    <w:rsid w:val="00AC194C"/>
    <w:rsid w:val="00AC2063"/>
    <w:rsid w:val="00AC2120"/>
    <w:rsid w:val="00AC26F0"/>
    <w:rsid w:val="00AC28CC"/>
    <w:rsid w:val="00AC2979"/>
    <w:rsid w:val="00AC2AA1"/>
    <w:rsid w:val="00AC2B13"/>
    <w:rsid w:val="00AC2DBF"/>
    <w:rsid w:val="00AC30B6"/>
    <w:rsid w:val="00AC348B"/>
    <w:rsid w:val="00AC3915"/>
    <w:rsid w:val="00AC3A35"/>
    <w:rsid w:val="00AC3C11"/>
    <w:rsid w:val="00AC4154"/>
    <w:rsid w:val="00AC41A5"/>
    <w:rsid w:val="00AC424C"/>
    <w:rsid w:val="00AC429A"/>
    <w:rsid w:val="00AC4A5B"/>
    <w:rsid w:val="00AC4AA7"/>
    <w:rsid w:val="00AC4D86"/>
    <w:rsid w:val="00AC4F39"/>
    <w:rsid w:val="00AC53CF"/>
    <w:rsid w:val="00AC5434"/>
    <w:rsid w:val="00AC547E"/>
    <w:rsid w:val="00AC558D"/>
    <w:rsid w:val="00AC5797"/>
    <w:rsid w:val="00AC59FC"/>
    <w:rsid w:val="00AC6133"/>
    <w:rsid w:val="00AC66D1"/>
    <w:rsid w:val="00AC689F"/>
    <w:rsid w:val="00AC6912"/>
    <w:rsid w:val="00AC693F"/>
    <w:rsid w:val="00AC6C03"/>
    <w:rsid w:val="00AC7212"/>
    <w:rsid w:val="00AC7480"/>
    <w:rsid w:val="00AC76AD"/>
    <w:rsid w:val="00AC786B"/>
    <w:rsid w:val="00AC7894"/>
    <w:rsid w:val="00AC7966"/>
    <w:rsid w:val="00AC7BCE"/>
    <w:rsid w:val="00AC7E3D"/>
    <w:rsid w:val="00AD04C8"/>
    <w:rsid w:val="00AD06F0"/>
    <w:rsid w:val="00AD0A25"/>
    <w:rsid w:val="00AD1281"/>
    <w:rsid w:val="00AD1361"/>
    <w:rsid w:val="00AD1524"/>
    <w:rsid w:val="00AD17D6"/>
    <w:rsid w:val="00AD184A"/>
    <w:rsid w:val="00AD18B0"/>
    <w:rsid w:val="00AD193B"/>
    <w:rsid w:val="00AD1A76"/>
    <w:rsid w:val="00AD1BFD"/>
    <w:rsid w:val="00AD20BD"/>
    <w:rsid w:val="00AD211A"/>
    <w:rsid w:val="00AD238C"/>
    <w:rsid w:val="00AD2639"/>
    <w:rsid w:val="00AD2905"/>
    <w:rsid w:val="00AD299F"/>
    <w:rsid w:val="00AD2AF4"/>
    <w:rsid w:val="00AD38C8"/>
    <w:rsid w:val="00AD39C6"/>
    <w:rsid w:val="00AD3A6D"/>
    <w:rsid w:val="00AD3D41"/>
    <w:rsid w:val="00AD4223"/>
    <w:rsid w:val="00AD42F5"/>
    <w:rsid w:val="00AD4412"/>
    <w:rsid w:val="00AD46BD"/>
    <w:rsid w:val="00AD4AA0"/>
    <w:rsid w:val="00AD4BE2"/>
    <w:rsid w:val="00AD510A"/>
    <w:rsid w:val="00AD52E4"/>
    <w:rsid w:val="00AD54EF"/>
    <w:rsid w:val="00AD562A"/>
    <w:rsid w:val="00AD56E7"/>
    <w:rsid w:val="00AD5A3C"/>
    <w:rsid w:val="00AD5B16"/>
    <w:rsid w:val="00AD5EDE"/>
    <w:rsid w:val="00AD6844"/>
    <w:rsid w:val="00AD6C56"/>
    <w:rsid w:val="00AD6D5E"/>
    <w:rsid w:val="00AD72BF"/>
    <w:rsid w:val="00AD749C"/>
    <w:rsid w:val="00AD76F0"/>
    <w:rsid w:val="00AD78FD"/>
    <w:rsid w:val="00AD7BF9"/>
    <w:rsid w:val="00AD7C3A"/>
    <w:rsid w:val="00AD7D8C"/>
    <w:rsid w:val="00AE0174"/>
    <w:rsid w:val="00AE0368"/>
    <w:rsid w:val="00AE05F4"/>
    <w:rsid w:val="00AE0DEC"/>
    <w:rsid w:val="00AE0E60"/>
    <w:rsid w:val="00AE152D"/>
    <w:rsid w:val="00AE15E6"/>
    <w:rsid w:val="00AE21A6"/>
    <w:rsid w:val="00AE2640"/>
    <w:rsid w:val="00AE275D"/>
    <w:rsid w:val="00AE2AD4"/>
    <w:rsid w:val="00AE3463"/>
    <w:rsid w:val="00AE3604"/>
    <w:rsid w:val="00AE39D4"/>
    <w:rsid w:val="00AE4746"/>
    <w:rsid w:val="00AE4852"/>
    <w:rsid w:val="00AE49D9"/>
    <w:rsid w:val="00AE52CF"/>
    <w:rsid w:val="00AE558C"/>
    <w:rsid w:val="00AE559D"/>
    <w:rsid w:val="00AE56DB"/>
    <w:rsid w:val="00AE58C2"/>
    <w:rsid w:val="00AE5A7C"/>
    <w:rsid w:val="00AE617E"/>
    <w:rsid w:val="00AE62EA"/>
    <w:rsid w:val="00AE643C"/>
    <w:rsid w:val="00AE64D6"/>
    <w:rsid w:val="00AE6875"/>
    <w:rsid w:val="00AE6DBC"/>
    <w:rsid w:val="00AE6F44"/>
    <w:rsid w:val="00AE70C3"/>
    <w:rsid w:val="00AE7121"/>
    <w:rsid w:val="00AE7374"/>
    <w:rsid w:val="00AE7479"/>
    <w:rsid w:val="00AE74CD"/>
    <w:rsid w:val="00AE7AE0"/>
    <w:rsid w:val="00AE7D73"/>
    <w:rsid w:val="00AE7FB6"/>
    <w:rsid w:val="00AF0471"/>
    <w:rsid w:val="00AF04B0"/>
    <w:rsid w:val="00AF0584"/>
    <w:rsid w:val="00AF065F"/>
    <w:rsid w:val="00AF06A4"/>
    <w:rsid w:val="00AF093B"/>
    <w:rsid w:val="00AF0E2E"/>
    <w:rsid w:val="00AF0F78"/>
    <w:rsid w:val="00AF0FAF"/>
    <w:rsid w:val="00AF1164"/>
    <w:rsid w:val="00AF158D"/>
    <w:rsid w:val="00AF1731"/>
    <w:rsid w:val="00AF1C7C"/>
    <w:rsid w:val="00AF1EE6"/>
    <w:rsid w:val="00AF1FC4"/>
    <w:rsid w:val="00AF2182"/>
    <w:rsid w:val="00AF2408"/>
    <w:rsid w:val="00AF24B1"/>
    <w:rsid w:val="00AF252C"/>
    <w:rsid w:val="00AF26A9"/>
    <w:rsid w:val="00AF2A79"/>
    <w:rsid w:val="00AF2C76"/>
    <w:rsid w:val="00AF2F8A"/>
    <w:rsid w:val="00AF30AC"/>
    <w:rsid w:val="00AF30B8"/>
    <w:rsid w:val="00AF3539"/>
    <w:rsid w:val="00AF3ADF"/>
    <w:rsid w:val="00AF3D4B"/>
    <w:rsid w:val="00AF44FE"/>
    <w:rsid w:val="00AF480D"/>
    <w:rsid w:val="00AF4817"/>
    <w:rsid w:val="00AF4868"/>
    <w:rsid w:val="00AF488D"/>
    <w:rsid w:val="00AF48CA"/>
    <w:rsid w:val="00AF4D74"/>
    <w:rsid w:val="00AF5179"/>
    <w:rsid w:val="00AF535A"/>
    <w:rsid w:val="00AF5551"/>
    <w:rsid w:val="00AF5A4C"/>
    <w:rsid w:val="00AF5D50"/>
    <w:rsid w:val="00AF606F"/>
    <w:rsid w:val="00AF651E"/>
    <w:rsid w:val="00AF6654"/>
    <w:rsid w:val="00AF66A0"/>
    <w:rsid w:val="00AF68AA"/>
    <w:rsid w:val="00AF69FE"/>
    <w:rsid w:val="00AF6B4D"/>
    <w:rsid w:val="00AF722C"/>
    <w:rsid w:val="00AF726C"/>
    <w:rsid w:val="00AF735B"/>
    <w:rsid w:val="00AF73AE"/>
    <w:rsid w:val="00AF743A"/>
    <w:rsid w:val="00AF767C"/>
    <w:rsid w:val="00AF7904"/>
    <w:rsid w:val="00AF7D51"/>
    <w:rsid w:val="00AF7EC1"/>
    <w:rsid w:val="00B00CAC"/>
    <w:rsid w:val="00B00E42"/>
    <w:rsid w:val="00B01163"/>
    <w:rsid w:val="00B01313"/>
    <w:rsid w:val="00B01330"/>
    <w:rsid w:val="00B01427"/>
    <w:rsid w:val="00B014AB"/>
    <w:rsid w:val="00B014D4"/>
    <w:rsid w:val="00B01837"/>
    <w:rsid w:val="00B01882"/>
    <w:rsid w:val="00B0212A"/>
    <w:rsid w:val="00B0213D"/>
    <w:rsid w:val="00B0247F"/>
    <w:rsid w:val="00B0271B"/>
    <w:rsid w:val="00B02FCB"/>
    <w:rsid w:val="00B034A7"/>
    <w:rsid w:val="00B035E6"/>
    <w:rsid w:val="00B03A19"/>
    <w:rsid w:val="00B03AC5"/>
    <w:rsid w:val="00B03B8E"/>
    <w:rsid w:val="00B03D1B"/>
    <w:rsid w:val="00B043D5"/>
    <w:rsid w:val="00B0462F"/>
    <w:rsid w:val="00B049DC"/>
    <w:rsid w:val="00B04C4A"/>
    <w:rsid w:val="00B05527"/>
    <w:rsid w:val="00B05A6B"/>
    <w:rsid w:val="00B05A78"/>
    <w:rsid w:val="00B05B19"/>
    <w:rsid w:val="00B060B7"/>
    <w:rsid w:val="00B0615D"/>
    <w:rsid w:val="00B06388"/>
    <w:rsid w:val="00B06A14"/>
    <w:rsid w:val="00B06EF9"/>
    <w:rsid w:val="00B071C0"/>
    <w:rsid w:val="00B07849"/>
    <w:rsid w:val="00B07D07"/>
    <w:rsid w:val="00B07D8E"/>
    <w:rsid w:val="00B1019B"/>
    <w:rsid w:val="00B106D2"/>
    <w:rsid w:val="00B107C9"/>
    <w:rsid w:val="00B1085C"/>
    <w:rsid w:val="00B10990"/>
    <w:rsid w:val="00B10DD6"/>
    <w:rsid w:val="00B1156E"/>
    <w:rsid w:val="00B115A4"/>
    <w:rsid w:val="00B11B77"/>
    <w:rsid w:val="00B11BE1"/>
    <w:rsid w:val="00B124B8"/>
    <w:rsid w:val="00B12534"/>
    <w:rsid w:val="00B12A4E"/>
    <w:rsid w:val="00B12E11"/>
    <w:rsid w:val="00B13E12"/>
    <w:rsid w:val="00B144F9"/>
    <w:rsid w:val="00B145CF"/>
    <w:rsid w:val="00B14A33"/>
    <w:rsid w:val="00B14FFE"/>
    <w:rsid w:val="00B15108"/>
    <w:rsid w:val="00B15F8A"/>
    <w:rsid w:val="00B16028"/>
    <w:rsid w:val="00B1606F"/>
    <w:rsid w:val="00B1646C"/>
    <w:rsid w:val="00B16B1C"/>
    <w:rsid w:val="00B16B38"/>
    <w:rsid w:val="00B16F8A"/>
    <w:rsid w:val="00B1719C"/>
    <w:rsid w:val="00B17A51"/>
    <w:rsid w:val="00B17B26"/>
    <w:rsid w:val="00B17B48"/>
    <w:rsid w:val="00B17C9A"/>
    <w:rsid w:val="00B17D22"/>
    <w:rsid w:val="00B201DF"/>
    <w:rsid w:val="00B2050D"/>
    <w:rsid w:val="00B20960"/>
    <w:rsid w:val="00B20AB5"/>
    <w:rsid w:val="00B20BB2"/>
    <w:rsid w:val="00B20D09"/>
    <w:rsid w:val="00B20DCE"/>
    <w:rsid w:val="00B21032"/>
    <w:rsid w:val="00B21272"/>
    <w:rsid w:val="00B2135D"/>
    <w:rsid w:val="00B21537"/>
    <w:rsid w:val="00B216C9"/>
    <w:rsid w:val="00B2181C"/>
    <w:rsid w:val="00B21D5B"/>
    <w:rsid w:val="00B22388"/>
    <w:rsid w:val="00B2252E"/>
    <w:rsid w:val="00B22577"/>
    <w:rsid w:val="00B22949"/>
    <w:rsid w:val="00B22F27"/>
    <w:rsid w:val="00B23234"/>
    <w:rsid w:val="00B23256"/>
    <w:rsid w:val="00B2351D"/>
    <w:rsid w:val="00B237BC"/>
    <w:rsid w:val="00B23B8B"/>
    <w:rsid w:val="00B23BB1"/>
    <w:rsid w:val="00B24151"/>
    <w:rsid w:val="00B243FB"/>
    <w:rsid w:val="00B24A65"/>
    <w:rsid w:val="00B24B58"/>
    <w:rsid w:val="00B24C89"/>
    <w:rsid w:val="00B24E36"/>
    <w:rsid w:val="00B24F67"/>
    <w:rsid w:val="00B2540F"/>
    <w:rsid w:val="00B25579"/>
    <w:rsid w:val="00B2562A"/>
    <w:rsid w:val="00B2587C"/>
    <w:rsid w:val="00B25E73"/>
    <w:rsid w:val="00B267C8"/>
    <w:rsid w:val="00B268BA"/>
    <w:rsid w:val="00B26B6E"/>
    <w:rsid w:val="00B26D18"/>
    <w:rsid w:val="00B26E50"/>
    <w:rsid w:val="00B27178"/>
    <w:rsid w:val="00B27922"/>
    <w:rsid w:val="00B27953"/>
    <w:rsid w:val="00B27C53"/>
    <w:rsid w:val="00B30335"/>
    <w:rsid w:val="00B3061A"/>
    <w:rsid w:val="00B30A57"/>
    <w:rsid w:val="00B30AF1"/>
    <w:rsid w:val="00B30B54"/>
    <w:rsid w:val="00B30B88"/>
    <w:rsid w:val="00B30C7F"/>
    <w:rsid w:val="00B30DFE"/>
    <w:rsid w:val="00B310C1"/>
    <w:rsid w:val="00B3128C"/>
    <w:rsid w:val="00B3175B"/>
    <w:rsid w:val="00B317B0"/>
    <w:rsid w:val="00B319B4"/>
    <w:rsid w:val="00B31D98"/>
    <w:rsid w:val="00B3207C"/>
    <w:rsid w:val="00B325AC"/>
    <w:rsid w:val="00B32740"/>
    <w:rsid w:val="00B32A41"/>
    <w:rsid w:val="00B32A49"/>
    <w:rsid w:val="00B32B39"/>
    <w:rsid w:val="00B33574"/>
    <w:rsid w:val="00B33BA2"/>
    <w:rsid w:val="00B34A49"/>
    <w:rsid w:val="00B34A4B"/>
    <w:rsid w:val="00B34BDE"/>
    <w:rsid w:val="00B3551A"/>
    <w:rsid w:val="00B356B5"/>
    <w:rsid w:val="00B358A7"/>
    <w:rsid w:val="00B35DE7"/>
    <w:rsid w:val="00B35E26"/>
    <w:rsid w:val="00B360E4"/>
    <w:rsid w:val="00B362AF"/>
    <w:rsid w:val="00B36358"/>
    <w:rsid w:val="00B36734"/>
    <w:rsid w:val="00B367F4"/>
    <w:rsid w:val="00B36910"/>
    <w:rsid w:val="00B36A52"/>
    <w:rsid w:val="00B36D8B"/>
    <w:rsid w:val="00B36E7A"/>
    <w:rsid w:val="00B3790D"/>
    <w:rsid w:val="00B37D08"/>
    <w:rsid w:val="00B37D6D"/>
    <w:rsid w:val="00B40182"/>
    <w:rsid w:val="00B4026A"/>
    <w:rsid w:val="00B40627"/>
    <w:rsid w:val="00B40B30"/>
    <w:rsid w:val="00B41D48"/>
    <w:rsid w:val="00B41EA6"/>
    <w:rsid w:val="00B42195"/>
    <w:rsid w:val="00B421C1"/>
    <w:rsid w:val="00B42415"/>
    <w:rsid w:val="00B427A6"/>
    <w:rsid w:val="00B42969"/>
    <w:rsid w:val="00B42CB0"/>
    <w:rsid w:val="00B4311A"/>
    <w:rsid w:val="00B434BB"/>
    <w:rsid w:val="00B4380A"/>
    <w:rsid w:val="00B447BF"/>
    <w:rsid w:val="00B44A5B"/>
    <w:rsid w:val="00B44A89"/>
    <w:rsid w:val="00B44BE8"/>
    <w:rsid w:val="00B44F4B"/>
    <w:rsid w:val="00B44FBF"/>
    <w:rsid w:val="00B458CE"/>
    <w:rsid w:val="00B45C86"/>
    <w:rsid w:val="00B45E0E"/>
    <w:rsid w:val="00B46075"/>
    <w:rsid w:val="00B461C8"/>
    <w:rsid w:val="00B462DC"/>
    <w:rsid w:val="00B463B7"/>
    <w:rsid w:val="00B466CE"/>
    <w:rsid w:val="00B46C40"/>
    <w:rsid w:val="00B46C51"/>
    <w:rsid w:val="00B46E13"/>
    <w:rsid w:val="00B47199"/>
    <w:rsid w:val="00B473F8"/>
    <w:rsid w:val="00B47BB6"/>
    <w:rsid w:val="00B5052D"/>
    <w:rsid w:val="00B5064A"/>
    <w:rsid w:val="00B5065C"/>
    <w:rsid w:val="00B511B5"/>
    <w:rsid w:val="00B511D9"/>
    <w:rsid w:val="00B514EB"/>
    <w:rsid w:val="00B5159B"/>
    <w:rsid w:val="00B5196D"/>
    <w:rsid w:val="00B51A09"/>
    <w:rsid w:val="00B51E3E"/>
    <w:rsid w:val="00B51F4E"/>
    <w:rsid w:val="00B520E0"/>
    <w:rsid w:val="00B524A5"/>
    <w:rsid w:val="00B52526"/>
    <w:rsid w:val="00B52EA5"/>
    <w:rsid w:val="00B52FA3"/>
    <w:rsid w:val="00B537AF"/>
    <w:rsid w:val="00B53C19"/>
    <w:rsid w:val="00B54049"/>
    <w:rsid w:val="00B541F2"/>
    <w:rsid w:val="00B544D9"/>
    <w:rsid w:val="00B5482B"/>
    <w:rsid w:val="00B54A0E"/>
    <w:rsid w:val="00B54ACA"/>
    <w:rsid w:val="00B54E8F"/>
    <w:rsid w:val="00B5511E"/>
    <w:rsid w:val="00B554FE"/>
    <w:rsid w:val="00B5558F"/>
    <w:rsid w:val="00B55F51"/>
    <w:rsid w:val="00B5608E"/>
    <w:rsid w:val="00B56459"/>
    <w:rsid w:val="00B568B1"/>
    <w:rsid w:val="00B56930"/>
    <w:rsid w:val="00B57DA6"/>
    <w:rsid w:val="00B60822"/>
    <w:rsid w:val="00B60E1B"/>
    <w:rsid w:val="00B60F7A"/>
    <w:rsid w:val="00B60FC6"/>
    <w:rsid w:val="00B61496"/>
    <w:rsid w:val="00B615A0"/>
    <w:rsid w:val="00B61C3C"/>
    <w:rsid w:val="00B6200C"/>
    <w:rsid w:val="00B6268C"/>
    <w:rsid w:val="00B6286B"/>
    <w:rsid w:val="00B62DDA"/>
    <w:rsid w:val="00B63036"/>
    <w:rsid w:val="00B633C2"/>
    <w:rsid w:val="00B63411"/>
    <w:rsid w:val="00B64240"/>
    <w:rsid w:val="00B642A1"/>
    <w:rsid w:val="00B645AA"/>
    <w:rsid w:val="00B64FF9"/>
    <w:rsid w:val="00B65847"/>
    <w:rsid w:val="00B65AF9"/>
    <w:rsid w:val="00B66113"/>
    <w:rsid w:val="00B661D8"/>
    <w:rsid w:val="00B6621F"/>
    <w:rsid w:val="00B66499"/>
    <w:rsid w:val="00B665AB"/>
    <w:rsid w:val="00B66B48"/>
    <w:rsid w:val="00B66CF2"/>
    <w:rsid w:val="00B66F35"/>
    <w:rsid w:val="00B6761A"/>
    <w:rsid w:val="00B6767C"/>
    <w:rsid w:val="00B67996"/>
    <w:rsid w:val="00B67AC6"/>
    <w:rsid w:val="00B702F1"/>
    <w:rsid w:val="00B703D2"/>
    <w:rsid w:val="00B7066D"/>
    <w:rsid w:val="00B708CC"/>
    <w:rsid w:val="00B709B9"/>
    <w:rsid w:val="00B70A01"/>
    <w:rsid w:val="00B71049"/>
    <w:rsid w:val="00B712CF"/>
    <w:rsid w:val="00B713A9"/>
    <w:rsid w:val="00B71966"/>
    <w:rsid w:val="00B71A02"/>
    <w:rsid w:val="00B71CE2"/>
    <w:rsid w:val="00B72084"/>
    <w:rsid w:val="00B72848"/>
    <w:rsid w:val="00B7295F"/>
    <w:rsid w:val="00B73163"/>
    <w:rsid w:val="00B735D7"/>
    <w:rsid w:val="00B73AC2"/>
    <w:rsid w:val="00B73CF4"/>
    <w:rsid w:val="00B74464"/>
    <w:rsid w:val="00B74A97"/>
    <w:rsid w:val="00B74A98"/>
    <w:rsid w:val="00B75CD3"/>
    <w:rsid w:val="00B7647D"/>
    <w:rsid w:val="00B77305"/>
    <w:rsid w:val="00B77D6A"/>
    <w:rsid w:val="00B77F5E"/>
    <w:rsid w:val="00B8016D"/>
    <w:rsid w:val="00B80395"/>
    <w:rsid w:val="00B806AB"/>
    <w:rsid w:val="00B80795"/>
    <w:rsid w:val="00B8089D"/>
    <w:rsid w:val="00B809B3"/>
    <w:rsid w:val="00B80DEA"/>
    <w:rsid w:val="00B81156"/>
    <w:rsid w:val="00B81831"/>
    <w:rsid w:val="00B819D8"/>
    <w:rsid w:val="00B81CDE"/>
    <w:rsid w:val="00B8202A"/>
    <w:rsid w:val="00B822FD"/>
    <w:rsid w:val="00B82446"/>
    <w:rsid w:val="00B82C6F"/>
    <w:rsid w:val="00B82D8A"/>
    <w:rsid w:val="00B8301A"/>
    <w:rsid w:val="00B83377"/>
    <w:rsid w:val="00B83595"/>
    <w:rsid w:val="00B837D8"/>
    <w:rsid w:val="00B83D63"/>
    <w:rsid w:val="00B84080"/>
    <w:rsid w:val="00B84AA7"/>
    <w:rsid w:val="00B8504D"/>
    <w:rsid w:val="00B8512C"/>
    <w:rsid w:val="00B8541E"/>
    <w:rsid w:val="00B8557D"/>
    <w:rsid w:val="00B857C2"/>
    <w:rsid w:val="00B85FD0"/>
    <w:rsid w:val="00B85FF7"/>
    <w:rsid w:val="00B86E1B"/>
    <w:rsid w:val="00B86F2D"/>
    <w:rsid w:val="00B8721D"/>
    <w:rsid w:val="00B8743A"/>
    <w:rsid w:val="00B87469"/>
    <w:rsid w:val="00B8777B"/>
    <w:rsid w:val="00B8793A"/>
    <w:rsid w:val="00B8793F"/>
    <w:rsid w:val="00B87DE4"/>
    <w:rsid w:val="00B87E5C"/>
    <w:rsid w:val="00B87F19"/>
    <w:rsid w:val="00B87FE3"/>
    <w:rsid w:val="00B90365"/>
    <w:rsid w:val="00B90CC8"/>
    <w:rsid w:val="00B90F4F"/>
    <w:rsid w:val="00B90FE7"/>
    <w:rsid w:val="00B921FA"/>
    <w:rsid w:val="00B92266"/>
    <w:rsid w:val="00B9228F"/>
    <w:rsid w:val="00B92296"/>
    <w:rsid w:val="00B926CC"/>
    <w:rsid w:val="00B928E7"/>
    <w:rsid w:val="00B92A61"/>
    <w:rsid w:val="00B92B8A"/>
    <w:rsid w:val="00B92D93"/>
    <w:rsid w:val="00B92F25"/>
    <w:rsid w:val="00B92F7C"/>
    <w:rsid w:val="00B93606"/>
    <w:rsid w:val="00B937A6"/>
    <w:rsid w:val="00B93887"/>
    <w:rsid w:val="00B93A96"/>
    <w:rsid w:val="00B93B66"/>
    <w:rsid w:val="00B94251"/>
    <w:rsid w:val="00B944A4"/>
    <w:rsid w:val="00B94564"/>
    <w:rsid w:val="00B94653"/>
    <w:rsid w:val="00B94689"/>
    <w:rsid w:val="00B94A4D"/>
    <w:rsid w:val="00B94B78"/>
    <w:rsid w:val="00B94BA5"/>
    <w:rsid w:val="00B94BED"/>
    <w:rsid w:val="00B953AF"/>
    <w:rsid w:val="00B954A0"/>
    <w:rsid w:val="00B95718"/>
    <w:rsid w:val="00B95B57"/>
    <w:rsid w:val="00B95BE9"/>
    <w:rsid w:val="00B95D9F"/>
    <w:rsid w:val="00B9638E"/>
    <w:rsid w:val="00B96552"/>
    <w:rsid w:val="00B96706"/>
    <w:rsid w:val="00B967A7"/>
    <w:rsid w:val="00B96FB8"/>
    <w:rsid w:val="00B97307"/>
    <w:rsid w:val="00B9772E"/>
    <w:rsid w:val="00B97CB6"/>
    <w:rsid w:val="00BA038A"/>
    <w:rsid w:val="00BA0858"/>
    <w:rsid w:val="00BA0DBE"/>
    <w:rsid w:val="00BA1086"/>
    <w:rsid w:val="00BA1727"/>
    <w:rsid w:val="00BA1941"/>
    <w:rsid w:val="00BA1C42"/>
    <w:rsid w:val="00BA1CF2"/>
    <w:rsid w:val="00BA1F2E"/>
    <w:rsid w:val="00BA2512"/>
    <w:rsid w:val="00BA266A"/>
    <w:rsid w:val="00BA2C53"/>
    <w:rsid w:val="00BA3226"/>
    <w:rsid w:val="00BA3E48"/>
    <w:rsid w:val="00BA3FB7"/>
    <w:rsid w:val="00BA4E38"/>
    <w:rsid w:val="00BA5201"/>
    <w:rsid w:val="00BA5218"/>
    <w:rsid w:val="00BA5545"/>
    <w:rsid w:val="00BA587E"/>
    <w:rsid w:val="00BA58F5"/>
    <w:rsid w:val="00BA5BB7"/>
    <w:rsid w:val="00BA5D73"/>
    <w:rsid w:val="00BA5EC9"/>
    <w:rsid w:val="00BA656B"/>
    <w:rsid w:val="00BA65A5"/>
    <w:rsid w:val="00BA6AA6"/>
    <w:rsid w:val="00BA6BB3"/>
    <w:rsid w:val="00BA6C56"/>
    <w:rsid w:val="00BA6C61"/>
    <w:rsid w:val="00BA6EE0"/>
    <w:rsid w:val="00BA6F99"/>
    <w:rsid w:val="00BA744C"/>
    <w:rsid w:val="00BA7462"/>
    <w:rsid w:val="00BA79AC"/>
    <w:rsid w:val="00BA7B9F"/>
    <w:rsid w:val="00BA7C75"/>
    <w:rsid w:val="00BA7E09"/>
    <w:rsid w:val="00BB0079"/>
    <w:rsid w:val="00BB0190"/>
    <w:rsid w:val="00BB0402"/>
    <w:rsid w:val="00BB0604"/>
    <w:rsid w:val="00BB0730"/>
    <w:rsid w:val="00BB07E8"/>
    <w:rsid w:val="00BB088F"/>
    <w:rsid w:val="00BB0992"/>
    <w:rsid w:val="00BB09EF"/>
    <w:rsid w:val="00BB0A37"/>
    <w:rsid w:val="00BB0C70"/>
    <w:rsid w:val="00BB0EC4"/>
    <w:rsid w:val="00BB1382"/>
    <w:rsid w:val="00BB1557"/>
    <w:rsid w:val="00BB15E0"/>
    <w:rsid w:val="00BB15EB"/>
    <w:rsid w:val="00BB166F"/>
    <w:rsid w:val="00BB177C"/>
    <w:rsid w:val="00BB1BC0"/>
    <w:rsid w:val="00BB1D9E"/>
    <w:rsid w:val="00BB1F1D"/>
    <w:rsid w:val="00BB28A6"/>
    <w:rsid w:val="00BB295C"/>
    <w:rsid w:val="00BB2F85"/>
    <w:rsid w:val="00BB30D7"/>
    <w:rsid w:val="00BB3AE0"/>
    <w:rsid w:val="00BB3D77"/>
    <w:rsid w:val="00BB4431"/>
    <w:rsid w:val="00BB4E79"/>
    <w:rsid w:val="00BB4F6A"/>
    <w:rsid w:val="00BB50B5"/>
    <w:rsid w:val="00BB5612"/>
    <w:rsid w:val="00BB564B"/>
    <w:rsid w:val="00BB57D0"/>
    <w:rsid w:val="00BB5AF3"/>
    <w:rsid w:val="00BB5B85"/>
    <w:rsid w:val="00BB5E02"/>
    <w:rsid w:val="00BB615C"/>
    <w:rsid w:val="00BB675A"/>
    <w:rsid w:val="00BB69DB"/>
    <w:rsid w:val="00BB6DB9"/>
    <w:rsid w:val="00BB7025"/>
    <w:rsid w:val="00BB7369"/>
    <w:rsid w:val="00BB78C8"/>
    <w:rsid w:val="00BB7D37"/>
    <w:rsid w:val="00BB7E2A"/>
    <w:rsid w:val="00BC01B1"/>
    <w:rsid w:val="00BC01E4"/>
    <w:rsid w:val="00BC0496"/>
    <w:rsid w:val="00BC0563"/>
    <w:rsid w:val="00BC06D7"/>
    <w:rsid w:val="00BC070D"/>
    <w:rsid w:val="00BC0E3B"/>
    <w:rsid w:val="00BC1662"/>
    <w:rsid w:val="00BC18A8"/>
    <w:rsid w:val="00BC1962"/>
    <w:rsid w:val="00BC1C95"/>
    <w:rsid w:val="00BC1ED0"/>
    <w:rsid w:val="00BC1F16"/>
    <w:rsid w:val="00BC2013"/>
    <w:rsid w:val="00BC20F7"/>
    <w:rsid w:val="00BC233D"/>
    <w:rsid w:val="00BC2585"/>
    <w:rsid w:val="00BC2780"/>
    <w:rsid w:val="00BC363F"/>
    <w:rsid w:val="00BC3A3B"/>
    <w:rsid w:val="00BC3AA4"/>
    <w:rsid w:val="00BC3AFF"/>
    <w:rsid w:val="00BC3E08"/>
    <w:rsid w:val="00BC3ECA"/>
    <w:rsid w:val="00BC3F62"/>
    <w:rsid w:val="00BC3F9D"/>
    <w:rsid w:val="00BC430F"/>
    <w:rsid w:val="00BC455F"/>
    <w:rsid w:val="00BC4A0B"/>
    <w:rsid w:val="00BC4B18"/>
    <w:rsid w:val="00BC508F"/>
    <w:rsid w:val="00BC5890"/>
    <w:rsid w:val="00BC5BF3"/>
    <w:rsid w:val="00BC5DFE"/>
    <w:rsid w:val="00BC615B"/>
    <w:rsid w:val="00BC68BA"/>
    <w:rsid w:val="00BC6ACD"/>
    <w:rsid w:val="00BC6C7E"/>
    <w:rsid w:val="00BC727F"/>
    <w:rsid w:val="00BC74C2"/>
    <w:rsid w:val="00BC7977"/>
    <w:rsid w:val="00BC7E72"/>
    <w:rsid w:val="00BC7E82"/>
    <w:rsid w:val="00BD023D"/>
    <w:rsid w:val="00BD1458"/>
    <w:rsid w:val="00BD1938"/>
    <w:rsid w:val="00BD1C04"/>
    <w:rsid w:val="00BD1CFB"/>
    <w:rsid w:val="00BD20E5"/>
    <w:rsid w:val="00BD2397"/>
    <w:rsid w:val="00BD2438"/>
    <w:rsid w:val="00BD249E"/>
    <w:rsid w:val="00BD2746"/>
    <w:rsid w:val="00BD2AC7"/>
    <w:rsid w:val="00BD3020"/>
    <w:rsid w:val="00BD35BF"/>
    <w:rsid w:val="00BD388D"/>
    <w:rsid w:val="00BD423E"/>
    <w:rsid w:val="00BD4350"/>
    <w:rsid w:val="00BD440C"/>
    <w:rsid w:val="00BD4634"/>
    <w:rsid w:val="00BD46AB"/>
    <w:rsid w:val="00BD488B"/>
    <w:rsid w:val="00BD4D7C"/>
    <w:rsid w:val="00BD4FE9"/>
    <w:rsid w:val="00BD5056"/>
    <w:rsid w:val="00BD579A"/>
    <w:rsid w:val="00BD5B8F"/>
    <w:rsid w:val="00BD60F6"/>
    <w:rsid w:val="00BD61AB"/>
    <w:rsid w:val="00BD660B"/>
    <w:rsid w:val="00BD6F65"/>
    <w:rsid w:val="00BD7107"/>
    <w:rsid w:val="00BD7175"/>
    <w:rsid w:val="00BD71AC"/>
    <w:rsid w:val="00BD7208"/>
    <w:rsid w:val="00BD7B2D"/>
    <w:rsid w:val="00BD7B8C"/>
    <w:rsid w:val="00BD7D9E"/>
    <w:rsid w:val="00BD7E7D"/>
    <w:rsid w:val="00BE0019"/>
    <w:rsid w:val="00BE0284"/>
    <w:rsid w:val="00BE06EE"/>
    <w:rsid w:val="00BE0726"/>
    <w:rsid w:val="00BE0B55"/>
    <w:rsid w:val="00BE0B83"/>
    <w:rsid w:val="00BE0FC6"/>
    <w:rsid w:val="00BE11CB"/>
    <w:rsid w:val="00BE16BD"/>
    <w:rsid w:val="00BE1815"/>
    <w:rsid w:val="00BE18CD"/>
    <w:rsid w:val="00BE1FF5"/>
    <w:rsid w:val="00BE2309"/>
    <w:rsid w:val="00BE29C9"/>
    <w:rsid w:val="00BE2DDD"/>
    <w:rsid w:val="00BE2DFD"/>
    <w:rsid w:val="00BE364D"/>
    <w:rsid w:val="00BE368C"/>
    <w:rsid w:val="00BE3B4E"/>
    <w:rsid w:val="00BE3D1F"/>
    <w:rsid w:val="00BE434C"/>
    <w:rsid w:val="00BE47AB"/>
    <w:rsid w:val="00BE4BB3"/>
    <w:rsid w:val="00BE538D"/>
    <w:rsid w:val="00BE5866"/>
    <w:rsid w:val="00BE5AF9"/>
    <w:rsid w:val="00BE6166"/>
    <w:rsid w:val="00BE61F5"/>
    <w:rsid w:val="00BE6402"/>
    <w:rsid w:val="00BE6D35"/>
    <w:rsid w:val="00BE73D2"/>
    <w:rsid w:val="00BE7660"/>
    <w:rsid w:val="00BE7BA7"/>
    <w:rsid w:val="00BE7CEC"/>
    <w:rsid w:val="00BF02A3"/>
    <w:rsid w:val="00BF041E"/>
    <w:rsid w:val="00BF0D3B"/>
    <w:rsid w:val="00BF1256"/>
    <w:rsid w:val="00BF1477"/>
    <w:rsid w:val="00BF1536"/>
    <w:rsid w:val="00BF1C29"/>
    <w:rsid w:val="00BF1D32"/>
    <w:rsid w:val="00BF28AF"/>
    <w:rsid w:val="00BF2941"/>
    <w:rsid w:val="00BF2963"/>
    <w:rsid w:val="00BF2B9E"/>
    <w:rsid w:val="00BF2BA3"/>
    <w:rsid w:val="00BF3017"/>
    <w:rsid w:val="00BF30A9"/>
    <w:rsid w:val="00BF367A"/>
    <w:rsid w:val="00BF36B2"/>
    <w:rsid w:val="00BF38D6"/>
    <w:rsid w:val="00BF3B13"/>
    <w:rsid w:val="00BF3D65"/>
    <w:rsid w:val="00BF3F41"/>
    <w:rsid w:val="00BF41DD"/>
    <w:rsid w:val="00BF4687"/>
    <w:rsid w:val="00BF4BE8"/>
    <w:rsid w:val="00BF4CB6"/>
    <w:rsid w:val="00BF4E97"/>
    <w:rsid w:val="00BF4F20"/>
    <w:rsid w:val="00BF5467"/>
    <w:rsid w:val="00BF5814"/>
    <w:rsid w:val="00BF5A56"/>
    <w:rsid w:val="00BF5AD3"/>
    <w:rsid w:val="00BF5AF3"/>
    <w:rsid w:val="00BF5BA0"/>
    <w:rsid w:val="00BF5C18"/>
    <w:rsid w:val="00BF6716"/>
    <w:rsid w:val="00BF6720"/>
    <w:rsid w:val="00BF6BCA"/>
    <w:rsid w:val="00BF6E22"/>
    <w:rsid w:val="00BF6E93"/>
    <w:rsid w:val="00BF7014"/>
    <w:rsid w:val="00BF7196"/>
    <w:rsid w:val="00BF7440"/>
    <w:rsid w:val="00BF761A"/>
    <w:rsid w:val="00BF76E8"/>
    <w:rsid w:val="00BF79CF"/>
    <w:rsid w:val="00BF7A9C"/>
    <w:rsid w:val="00BF7BEF"/>
    <w:rsid w:val="00C00153"/>
    <w:rsid w:val="00C00167"/>
    <w:rsid w:val="00C0079D"/>
    <w:rsid w:val="00C00AFC"/>
    <w:rsid w:val="00C00EAD"/>
    <w:rsid w:val="00C00FC1"/>
    <w:rsid w:val="00C014BB"/>
    <w:rsid w:val="00C0157B"/>
    <w:rsid w:val="00C0191F"/>
    <w:rsid w:val="00C02935"/>
    <w:rsid w:val="00C03767"/>
    <w:rsid w:val="00C0384C"/>
    <w:rsid w:val="00C039A7"/>
    <w:rsid w:val="00C03CFD"/>
    <w:rsid w:val="00C03E37"/>
    <w:rsid w:val="00C03FC8"/>
    <w:rsid w:val="00C043F4"/>
    <w:rsid w:val="00C04449"/>
    <w:rsid w:val="00C04530"/>
    <w:rsid w:val="00C04722"/>
    <w:rsid w:val="00C049D1"/>
    <w:rsid w:val="00C04AE6"/>
    <w:rsid w:val="00C052A5"/>
    <w:rsid w:val="00C053B0"/>
    <w:rsid w:val="00C05602"/>
    <w:rsid w:val="00C0564E"/>
    <w:rsid w:val="00C0585C"/>
    <w:rsid w:val="00C058A7"/>
    <w:rsid w:val="00C05E7C"/>
    <w:rsid w:val="00C0619F"/>
    <w:rsid w:val="00C067D5"/>
    <w:rsid w:val="00C06C0E"/>
    <w:rsid w:val="00C070A2"/>
    <w:rsid w:val="00C075C9"/>
    <w:rsid w:val="00C07EFA"/>
    <w:rsid w:val="00C1017B"/>
    <w:rsid w:val="00C10772"/>
    <w:rsid w:val="00C10A95"/>
    <w:rsid w:val="00C10B23"/>
    <w:rsid w:val="00C10BFF"/>
    <w:rsid w:val="00C10CBE"/>
    <w:rsid w:val="00C110A1"/>
    <w:rsid w:val="00C1113F"/>
    <w:rsid w:val="00C1116D"/>
    <w:rsid w:val="00C11525"/>
    <w:rsid w:val="00C11653"/>
    <w:rsid w:val="00C11901"/>
    <w:rsid w:val="00C11A05"/>
    <w:rsid w:val="00C11E6A"/>
    <w:rsid w:val="00C120D0"/>
    <w:rsid w:val="00C12244"/>
    <w:rsid w:val="00C12305"/>
    <w:rsid w:val="00C12C8A"/>
    <w:rsid w:val="00C13030"/>
    <w:rsid w:val="00C1309D"/>
    <w:rsid w:val="00C132F1"/>
    <w:rsid w:val="00C13F97"/>
    <w:rsid w:val="00C13FDC"/>
    <w:rsid w:val="00C14005"/>
    <w:rsid w:val="00C1414B"/>
    <w:rsid w:val="00C14294"/>
    <w:rsid w:val="00C142FB"/>
    <w:rsid w:val="00C143D6"/>
    <w:rsid w:val="00C145F8"/>
    <w:rsid w:val="00C14CE2"/>
    <w:rsid w:val="00C14DF0"/>
    <w:rsid w:val="00C158A0"/>
    <w:rsid w:val="00C15E97"/>
    <w:rsid w:val="00C164DE"/>
    <w:rsid w:val="00C16607"/>
    <w:rsid w:val="00C166B3"/>
    <w:rsid w:val="00C16714"/>
    <w:rsid w:val="00C16E25"/>
    <w:rsid w:val="00C17569"/>
    <w:rsid w:val="00C17DEE"/>
    <w:rsid w:val="00C17FB9"/>
    <w:rsid w:val="00C2022B"/>
    <w:rsid w:val="00C20358"/>
    <w:rsid w:val="00C20364"/>
    <w:rsid w:val="00C203BE"/>
    <w:rsid w:val="00C20BC0"/>
    <w:rsid w:val="00C21348"/>
    <w:rsid w:val="00C216D1"/>
    <w:rsid w:val="00C21C53"/>
    <w:rsid w:val="00C2247C"/>
    <w:rsid w:val="00C227CD"/>
    <w:rsid w:val="00C228AE"/>
    <w:rsid w:val="00C22C21"/>
    <w:rsid w:val="00C22CD7"/>
    <w:rsid w:val="00C22E85"/>
    <w:rsid w:val="00C23023"/>
    <w:rsid w:val="00C23398"/>
    <w:rsid w:val="00C23876"/>
    <w:rsid w:val="00C239B4"/>
    <w:rsid w:val="00C23F57"/>
    <w:rsid w:val="00C23F91"/>
    <w:rsid w:val="00C2400E"/>
    <w:rsid w:val="00C2448D"/>
    <w:rsid w:val="00C24B63"/>
    <w:rsid w:val="00C24C02"/>
    <w:rsid w:val="00C2545A"/>
    <w:rsid w:val="00C254D3"/>
    <w:rsid w:val="00C2577A"/>
    <w:rsid w:val="00C25797"/>
    <w:rsid w:val="00C261B6"/>
    <w:rsid w:val="00C267D3"/>
    <w:rsid w:val="00C268FF"/>
    <w:rsid w:val="00C26E41"/>
    <w:rsid w:val="00C27160"/>
    <w:rsid w:val="00C2741E"/>
    <w:rsid w:val="00C277EA"/>
    <w:rsid w:val="00C27845"/>
    <w:rsid w:val="00C27846"/>
    <w:rsid w:val="00C27D37"/>
    <w:rsid w:val="00C27F70"/>
    <w:rsid w:val="00C27FA9"/>
    <w:rsid w:val="00C3043E"/>
    <w:rsid w:val="00C30BB3"/>
    <w:rsid w:val="00C30BC9"/>
    <w:rsid w:val="00C30C7C"/>
    <w:rsid w:val="00C30FCB"/>
    <w:rsid w:val="00C311E0"/>
    <w:rsid w:val="00C31315"/>
    <w:rsid w:val="00C31857"/>
    <w:rsid w:val="00C32119"/>
    <w:rsid w:val="00C32186"/>
    <w:rsid w:val="00C32960"/>
    <w:rsid w:val="00C32ED4"/>
    <w:rsid w:val="00C33172"/>
    <w:rsid w:val="00C333EF"/>
    <w:rsid w:val="00C3350B"/>
    <w:rsid w:val="00C33574"/>
    <w:rsid w:val="00C33606"/>
    <w:rsid w:val="00C337CD"/>
    <w:rsid w:val="00C338ED"/>
    <w:rsid w:val="00C33D7A"/>
    <w:rsid w:val="00C33DE7"/>
    <w:rsid w:val="00C33EA7"/>
    <w:rsid w:val="00C33FB0"/>
    <w:rsid w:val="00C342C3"/>
    <w:rsid w:val="00C34A9F"/>
    <w:rsid w:val="00C34D9E"/>
    <w:rsid w:val="00C35280"/>
    <w:rsid w:val="00C355E1"/>
    <w:rsid w:val="00C35627"/>
    <w:rsid w:val="00C357A3"/>
    <w:rsid w:val="00C35817"/>
    <w:rsid w:val="00C35AF8"/>
    <w:rsid w:val="00C35BE1"/>
    <w:rsid w:val="00C36A35"/>
    <w:rsid w:val="00C36DE8"/>
    <w:rsid w:val="00C37018"/>
    <w:rsid w:val="00C37290"/>
    <w:rsid w:val="00C378A5"/>
    <w:rsid w:val="00C37A12"/>
    <w:rsid w:val="00C37A5B"/>
    <w:rsid w:val="00C37BF1"/>
    <w:rsid w:val="00C401AB"/>
    <w:rsid w:val="00C403EA"/>
    <w:rsid w:val="00C404A6"/>
    <w:rsid w:val="00C404DF"/>
    <w:rsid w:val="00C405B5"/>
    <w:rsid w:val="00C40C40"/>
    <w:rsid w:val="00C40CCD"/>
    <w:rsid w:val="00C40EA7"/>
    <w:rsid w:val="00C41111"/>
    <w:rsid w:val="00C4121C"/>
    <w:rsid w:val="00C4140D"/>
    <w:rsid w:val="00C415D5"/>
    <w:rsid w:val="00C416DB"/>
    <w:rsid w:val="00C41A0A"/>
    <w:rsid w:val="00C41A4B"/>
    <w:rsid w:val="00C42075"/>
    <w:rsid w:val="00C433CE"/>
    <w:rsid w:val="00C4374B"/>
    <w:rsid w:val="00C43801"/>
    <w:rsid w:val="00C438F0"/>
    <w:rsid w:val="00C44092"/>
    <w:rsid w:val="00C44263"/>
    <w:rsid w:val="00C44606"/>
    <w:rsid w:val="00C446EB"/>
    <w:rsid w:val="00C44C87"/>
    <w:rsid w:val="00C44F34"/>
    <w:rsid w:val="00C4515C"/>
    <w:rsid w:val="00C45210"/>
    <w:rsid w:val="00C45372"/>
    <w:rsid w:val="00C453C3"/>
    <w:rsid w:val="00C4547E"/>
    <w:rsid w:val="00C456CF"/>
    <w:rsid w:val="00C45750"/>
    <w:rsid w:val="00C45A7E"/>
    <w:rsid w:val="00C45A85"/>
    <w:rsid w:val="00C45C7F"/>
    <w:rsid w:val="00C45CC4"/>
    <w:rsid w:val="00C45E66"/>
    <w:rsid w:val="00C45FA4"/>
    <w:rsid w:val="00C464A6"/>
    <w:rsid w:val="00C46ECF"/>
    <w:rsid w:val="00C46FC0"/>
    <w:rsid w:val="00C47085"/>
    <w:rsid w:val="00C474DC"/>
    <w:rsid w:val="00C47A5A"/>
    <w:rsid w:val="00C47C94"/>
    <w:rsid w:val="00C47CB1"/>
    <w:rsid w:val="00C47E34"/>
    <w:rsid w:val="00C47F3B"/>
    <w:rsid w:val="00C50090"/>
    <w:rsid w:val="00C500E4"/>
    <w:rsid w:val="00C506CD"/>
    <w:rsid w:val="00C50B03"/>
    <w:rsid w:val="00C50C19"/>
    <w:rsid w:val="00C50C80"/>
    <w:rsid w:val="00C51041"/>
    <w:rsid w:val="00C5115B"/>
    <w:rsid w:val="00C51216"/>
    <w:rsid w:val="00C5146E"/>
    <w:rsid w:val="00C51541"/>
    <w:rsid w:val="00C51660"/>
    <w:rsid w:val="00C5171A"/>
    <w:rsid w:val="00C51A55"/>
    <w:rsid w:val="00C51A60"/>
    <w:rsid w:val="00C51ACE"/>
    <w:rsid w:val="00C51E94"/>
    <w:rsid w:val="00C52093"/>
    <w:rsid w:val="00C524E3"/>
    <w:rsid w:val="00C525CA"/>
    <w:rsid w:val="00C5267E"/>
    <w:rsid w:val="00C526CA"/>
    <w:rsid w:val="00C52883"/>
    <w:rsid w:val="00C52929"/>
    <w:rsid w:val="00C536D6"/>
    <w:rsid w:val="00C5425B"/>
    <w:rsid w:val="00C54E20"/>
    <w:rsid w:val="00C54F62"/>
    <w:rsid w:val="00C556BA"/>
    <w:rsid w:val="00C55933"/>
    <w:rsid w:val="00C559A4"/>
    <w:rsid w:val="00C55B66"/>
    <w:rsid w:val="00C56167"/>
    <w:rsid w:val="00C56346"/>
    <w:rsid w:val="00C56EF2"/>
    <w:rsid w:val="00C5734C"/>
    <w:rsid w:val="00C5736D"/>
    <w:rsid w:val="00C575DF"/>
    <w:rsid w:val="00C57630"/>
    <w:rsid w:val="00C57807"/>
    <w:rsid w:val="00C578AA"/>
    <w:rsid w:val="00C57CD4"/>
    <w:rsid w:val="00C57D24"/>
    <w:rsid w:val="00C57E98"/>
    <w:rsid w:val="00C60357"/>
    <w:rsid w:val="00C60403"/>
    <w:rsid w:val="00C60668"/>
    <w:rsid w:val="00C61002"/>
    <w:rsid w:val="00C6122C"/>
    <w:rsid w:val="00C614D7"/>
    <w:rsid w:val="00C6168C"/>
    <w:rsid w:val="00C621BE"/>
    <w:rsid w:val="00C624C9"/>
    <w:rsid w:val="00C624DF"/>
    <w:rsid w:val="00C6250F"/>
    <w:rsid w:val="00C6261F"/>
    <w:rsid w:val="00C627DE"/>
    <w:rsid w:val="00C62877"/>
    <w:rsid w:val="00C628C1"/>
    <w:rsid w:val="00C62AD5"/>
    <w:rsid w:val="00C62B88"/>
    <w:rsid w:val="00C62BA5"/>
    <w:rsid w:val="00C62CA2"/>
    <w:rsid w:val="00C62E20"/>
    <w:rsid w:val="00C63060"/>
    <w:rsid w:val="00C633B3"/>
    <w:rsid w:val="00C63491"/>
    <w:rsid w:val="00C637BE"/>
    <w:rsid w:val="00C63A40"/>
    <w:rsid w:val="00C63F3F"/>
    <w:rsid w:val="00C63FC0"/>
    <w:rsid w:val="00C64607"/>
    <w:rsid w:val="00C6470C"/>
    <w:rsid w:val="00C650A8"/>
    <w:rsid w:val="00C6535F"/>
    <w:rsid w:val="00C653F9"/>
    <w:rsid w:val="00C65C65"/>
    <w:rsid w:val="00C66754"/>
    <w:rsid w:val="00C66835"/>
    <w:rsid w:val="00C66972"/>
    <w:rsid w:val="00C66B70"/>
    <w:rsid w:val="00C6739B"/>
    <w:rsid w:val="00C675E2"/>
    <w:rsid w:val="00C675FB"/>
    <w:rsid w:val="00C67691"/>
    <w:rsid w:val="00C67C16"/>
    <w:rsid w:val="00C67D22"/>
    <w:rsid w:val="00C6D54A"/>
    <w:rsid w:val="00C7032C"/>
    <w:rsid w:val="00C7046A"/>
    <w:rsid w:val="00C70541"/>
    <w:rsid w:val="00C71372"/>
    <w:rsid w:val="00C71381"/>
    <w:rsid w:val="00C716D4"/>
    <w:rsid w:val="00C730D3"/>
    <w:rsid w:val="00C731CE"/>
    <w:rsid w:val="00C733B6"/>
    <w:rsid w:val="00C734DB"/>
    <w:rsid w:val="00C736B3"/>
    <w:rsid w:val="00C73B48"/>
    <w:rsid w:val="00C7434E"/>
    <w:rsid w:val="00C74E77"/>
    <w:rsid w:val="00C74EEA"/>
    <w:rsid w:val="00C75130"/>
    <w:rsid w:val="00C75452"/>
    <w:rsid w:val="00C7568A"/>
    <w:rsid w:val="00C756C3"/>
    <w:rsid w:val="00C75752"/>
    <w:rsid w:val="00C75759"/>
    <w:rsid w:val="00C761EA"/>
    <w:rsid w:val="00C7629F"/>
    <w:rsid w:val="00C76416"/>
    <w:rsid w:val="00C765D7"/>
    <w:rsid w:val="00C7665D"/>
    <w:rsid w:val="00C766C9"/>
    <w:rsid w:val="00C77011"/>
    <w:rsid w:val="00C777E2"/>
    <w:rsid w:val="00C7783A"/>
    <w:rsid w:val="00C77BD9"/>
    <w:rsid w:val="00C77E22"/>
    <w:rsid w:val="00C77E87"/>
    <w:rsid w:val="00C78FF6"/>
    <w:rsid w:val="00C80058"/>
    <w:rsid w:val="00C802E7"/>
    <w:rsid w:val="00C806CA"/>
    <w:rsid w:val="00C8078F"/>
    <w:rsid w:val="00C8081B"/>
    <w:rsid w:val="00C80821"/>
    <w:rsid w:val="00C809A8"/>
    <w:rsid w:val="00C81115"/>
    <w:rsid w:val="00C81761"/>
    <w:rsid w:val="00C817BE"/>
    <w:rsid w:val="00C81ACC"/>
    <w:rsid w:val="00C820DC"/>
    <w:rsid w:val="00C82162"/>
    <w:rsid w:val="00C824E8"/>
    <w:rsid w:val="00C826D7"/>
    <w:rsid w:val="00C82B7E"/>
    <w:rsid w:val="00C82C09"/>
    <w:rsid w:val="00C83385"/>
    <w:rsid w:val="00C8357A"/>
    <w:rsid w:val="00C83C0C"/>
    <w:rsid w:val="00C83EF2"/>
    <w:rsid w:val="00C8455B"/>
    <w:rsid w:val="00C84CE8"/>
    <w:rsid w:val="00C852A3"/>
    <w:rsid w:val="00C85935"/>
    <w:rsid w:val="00C86820"/>
    <w:rsid w:val="00C873D3"/>
    <w:rsid w:val="00C873D8"/>
    <w:rsid w:val="00C87489"/>
    <w:rsid w:val="00C876EF"/>
    <w:rsid w:val="00C879F1"/>
    <w:rsid w:val="00C87BB5"/>
    <w:rsid w:val="00C90276"/>
    <w:rsid w:val="00C904B3"/>
    <w:rsid w:val="00C90C26"/>
    <w:rsid w:val="00C90E0A"/>
    <w:rsid w:val="00C91524"/>
    <w:rsid w:val="00C918AC"/>
    <w:rsid w:val="00C91F75"/>
    <w:rsid w:val="00C92165"/>
    <w:rsid w:val="00C92176"/>
    <w:rsid w:val="00C921E7"/>
    <w:rsid w:val="00C926D6"/>
    <w:rsid w:val="00C92F03"/>
    <w:rsid w:val="00C92F04"/>
    <w:rsid w:val="00C932DD"/>
    <w:rsid w:val="00C93502"/>
    <w:rsid w:val="00C93549"/>
    <w:rsid w:val="00C93BF0"/>
    <w:rsid w:val="00C94354"/>
    <w:rsid w:val="00C94516"/>
    <w:rsid w:val="00C94757"/>
    <w:rsid w:val="00C94F5F"/>
    <w:rsid w:val="00C95096"/>
    <w:rsid w:val="00C95318"/>
    <w:rsid w:val="00C953EC"/>
    <w:rsid w:val="00C955B1"/>
    <w:rsid w:val="00C957DE"/>
    <w:rsid w:val="00C958AE"/>
    <w:rsid w:val="00C9594F"/>
    <w:rsid w:val="00C95EEB"/>
    <w:rsid w:val="00C96210"/>
    <w:rsid w:val="00C964B9"/>
    <w:rsid w:val="00C96C62"/>
    <w:rsid w:val="00C96C98"/>
    <w:rsid w:val="00C96E44"/>
    <w:rsid w:val="00C97233"/>
    <w:rsid w:val="00C97469"/>
    <w:rsid w:val="00C9751F"/>
    <w:rsid w:val="00C975CF"/>
    <w:rsid w:val="00C976EB"/>
    <w:rsid w:val="00C97871"/>
    <w:rsid w:val="00C97BDF"/>
    <w:rsid w:val="00C97F6C"/>
    <w:rsid w:val="00CA0037"/>
    <w:rsid w:val="00CA00D0"/>
    <w:rsid w:val="00CA014B"/>
    <w:rsid w:val="00CA048A"/>
    <w:rsid w:val="00CA0650"/>
    <w:rsid w:val="00CA0CD4"/>
    <w:rsid w:val="00CA0E5C"/>
    <w:rsid w:val="00CA0ED2"/>
    <w:rsid w:val="00CA129A"/>
    <w:rsid w:val="00CA1331"/>
    <w:rsid w:val="00CA1B20"/>
    <w:rsid w:val="00CA21F0"/>
    <w:rsid w:val="00CA2559"/>
    <w:rsid w:val="00CA2840"/>
    <w:rsid w:val="00CA284C"/>
    <w:rsid w:val="00CA2AB8"/>
    <w:rsid w:val="00CA2DA7"/>
    <w:rsid w:val="00CA2E05"/>
    <w:rsid w:val="00CA2FAF"/>
    <w:rsid w:val="00CA35BB"/>
    <w:rsid w:val="00CA372B"/>
    <w:rsid w:val="00CA37C6"/>
    <w:rsid w:val="00CA399F"/>
    <w:rsid w:val="00CA3C12"/>
    <w:rsid w:val="00CA3CDE"/>
    <w:rsid w:val="00CA4A14"/>
    <w:rsid w:val="00CA53D4"/>
    <w:rsid w:val="00CA5939"/>
    <w:rsid w:val="00CA5D8C"/>
    <w:rsid w:val="00CA6033"/>
    <w:rsid w:val="00CA60EA"/>
    <w:rsid w:val="00CA63DC"/>
    <w:rsid w:val="00CA64C6"/>
    <w:rsid w:val="00CA6D45"/>
    <w:rsid w:val="00CA6E5F"/>
    <w:rsid w:val="00CA6F5E"/>
    <w:rsid w:val="00CA7FCD"/>
    <w:rsid w:val="00CB0560"/>
    <w:rsid w:val="00CB12F8"/>
    <w:rsid w:val="00CB1509"/>
    <w:rsid w:val="00CB182B"/>
    <w:rsid w:val="00CB1A50"/>
    <w:rsid w:val="00CB1F28"/>
    <w:rsid w:val="00CB22E5"/>
    <w:rsid w:val="00CB28A6"/>
    <w:rsid w:val="00CB2B30"/>
    <w:rsid w:val="00CB2C51"/>
    <w:rsid w:val="00CB3032"/>
    <w:rsid w:val="00CB3250"/>
    <w:rsid w:val="00CB3398"/>
    <w:rsid w:val="00CB33C3"/>
    <w:rsid w:val="00CB39CC"/>
    <w:rsid w:val="00CB3B1D"/>
    <w:rsid w:val="00CB3BEC"/>
    <w:rsid w:val="00CB3C59"/>
    <w:rsid w:val="00CB3EAC"/>
    <w:rsid w:val="00CB4037"/>
    <w:rsid w:val="00CB40E5"/>
    <w:rsid w:val="00CB44E2"/>
    <w:rsid w:val="00CB46D5"/>
    <w:rsid w:val="00CB5678"/>
    <w:rsid w:val="00CB580C"/>
    <w:rsid w:val="00CB5D05"/>
    <w:rsid w:val="00CB5F6C"/>
    <w:rsid w:val="00CB60C9"/>
    <w:rsid w:val="00CB61ED"/>
    <w:rsid w:val="00CB697F"/>
    <w:rsid w:val="00CB6BDC"/>
    <w:rsid w:val="00CB6D8D"/>
    <w:rsid w:val="00CB6F38"/>
    <w:rsid w:val="00CB700A"/>
    <w:rsid w:val="00CB7457"/>
    <w:rsid w:val="00CB781F"/>
    <w:rsid w:val="00CB7C91"/>
    <w:rsid w:val="00CC02F3"/>
    <w:rsid w:val="00CC02F5"/>
    <w:rsid w:val="00CC04F5"/>
    <w:rsid w:val="00CC064B"/>
    <w:rsid w:val="00CC0676"/>
    <w:rsid w:val="00CC0687"/>
    <w:rsid w:val="00CC0E94"/>
    <w:rsid w:val="00CC120F"/>
    <w:rsid w:val="00CC123B"/>
    <w:rsid w:val="00CC15DC"/>
    <w:rsid w:val="00CC160A"/>
    <w:rsid w:val="00CC1B58"/>
    <w:rsid w:val="00CC1C87"/>
    <w:rsid w:val="00CC1CBE"/>
    <w:rsid w:val="00CC1D0C"/>
    <w:rsid w:val="00CC1F48"/>
    <w:rsid w:val="00CC243D"/>
    <w:rsid w:val="00CC26AE"/>
    <w:rsid w:val="00CC28E2"/>
    <w:rsid w:val="00CC2C85"/>
    <w:rsid w:val="00CC304C"/>
    <w:rsid w:val="00CC367B"/>
    <w:rsid w:val="00CC3835"/>
    <w:rsid w:val="00CC3C5D"/>
    <w:rsid w:val="00CC3EDA"/>
    <w:rsid w:val="00CC40CB"/>
    <w:rsid w:val="00CC4144"/>
    <w:rsid w:val="00CC48ED"/>
    <w:rsid w:val="00CC497A"/>
    <w:rsid w:val="00CC49BC"/>
    <w:rsid w:val="00CC4ABB"/>
    <w:rsid w:val="00CC4E83"/>
    <w:rsid w:val="00CC52E5"/>
    <w:rsid w:val="00CC570E"/>
    <w:rsid w:val="00CC58A9"/>
    <w:rsid w:val="00CC5B2A"/>
    <w:rsid w:val="00CC5BBA"/>
    <w:rsid w:val="00CC5D63"/>
    <w:rsid w:val="00CC5DB8"/>
    <w:rsid w:val="00CC5F92"/>
    <w:rsid w:val="00CC5FA1"/>
    <w:rsid w:val="00CC6918"/>
    <w:rsid w:val="00CC6FD5"/>
    <w:rsid w:val="00CC6FD6"/>
    <w:rsid w:val="00CC709F"/>
    <w:rsid w:val="00CC754C"/>
    <w:rsid w:val="00CC778D"/>
    <w:rsid w:val="00CC7D26"/>
    <w:rsid w:val="00CC7EE0"/>
    <w:rsid w:val="00CD003C"/>
    <w:rsid w:val="00CD06E2"/>
    <w:rsid w:val="00CD10EB"/>
    <w:rsid w:val="00CD12D9"/>
    <w:rsid w:val="00CD134C"/>
    <w:rsid w:val="00CD1DA8"/>
    <w:rsid w:val="00CD1E54"/>
    <w:rsid w:val="00CD1EAF"/>
    <w:rsid w:val="00CD2063"/>
    <w:rsid w:val="00CD2C2A"/>
    <w:rsid w:val="00CD30D2"/>
    <w:rsid w:val="00CD3305"/>
    <w:rsid w:val="00CD36EC"/>
    <w:rsid w:val="00CD39C3"/>
    <w:rsid w:val="00CD3F9D"/>
    <w:rsid w:val="00CD4087"/>
    <w:rsid w:val="00CD40E9"/>
    <w:rsid w:val="00CD4133"/>
    <w:rsid w:val="00CD4606"/>
    <w:rsid w:val="00CD4A3C"/>
    <w:rsid w:val="00CD4DB4"/>
    <w:rsid w:val="00CD4EEA"/>
    <w:rsid w:val="00CD50A6"/>
    <w:rsid w:val="00CD52F1"/>
    <w:rsid w:val="00CD53B8"/>
    <w:rsid w:val="00CD5A24"/>
    <w:rsid w:val="00CD5F71"/>
    <w:rsid w:val="00CD6064"/>
    <w:rsid w:val="00CD6150"/>
    <w:rsid w:val="00CD639B"/>
    <w:rsid w:val="00CD650E"/>
    <w:rsid w:val="00CD67BF"/>
    <w:rsid w:val="00CD6995"/>
    <w:rsid w:val="00CD6C89"/>
    <w:rsid w:val="00CD6FCB"/>
    <w:rsid w:val="00CD700E"/>
    <w:rsid w:val="00CD71B6"/>
    <w:rsid w:val="00CD7419"/>
    <w:rsid w:val="00CD7592"/>
    <w:rsid w:val="00CD7DCE"/>
    <w:rsid w:val="00CD7F06"/>
    <w:rsid w:val="00CDBB53"/>
    <w:rsid w:val="00CE0059"/>
    <w:rsid w:val="00CE055C"/>
    <w:rsid w:val="00CE0745"/>
    <w:rsid w:val="00CE111F"/>
    <w:rsid w:val="00CE1235"/>
    <w:rsid w:val="00CE1464"/>
    <w:rsid w:val="00CE146C"/>
    <w:rsid w:val="00CE14B3"/>
    <w:rsid w:val="00CE172A"/>
    <w:rsid w:val="00CE17FA"/>
    <w:rsid w:val="00CE1A1B"/>
    <w:rsid w:val="00CE1EFB"/>
    <w:rsid w:val="00CE2586"/>
    <w:rsid w:val="00CE2A4C"/>
    <w:rsid w:val="00CE2A5A"/>
    <w:rsid w:val="00CE2F71"/>
    <w:rsid w:val="00CE3528"/>
    <w:rsid w:val="00CE365D"/>
    <w:rsid w:val="00CE3745"/>
    <w:rsid w:val="00CE395E"/>
    <w:rsid w:val="00CE3C27"/>
    <w:rsid w:val="00CE4054"/>
    <w:rsid w:val="00CE4059"/>
    <w:rsid w:val="00CE4425"/>
    <w:rsid w:val="00CE48AF"/>
    <w:rsid w:val="00CE497A"/>
    <w:rsid w:val="00CE4AB3"/>
    <w:rsid w:val="00CE4F55"/>
    <w:rsid w:val="00CE5C12"/>
    <w:rsid w:val="00CE63E2"/>
    <w:rsid w:val="00CE6B2C"/>
    <w:rsid w:val="00CE6B5E"/>
    <w:rsid w:val="00CE7385"/>
    <w:rsid w:val="00CE744F"/>
    <w:rsid w:val="00CE750B"/>
    <w:rsid w:val="00CE7F92"/>
    <w:rsid w:val="00CF049D"/>
    <w:rsid w:val="00CF0E41"/>
    <w:rsid w:val="00CF13B1"/>
    <w:rsid w:val="00CF17E8"/>
    <w:rsid w:val="00CF1D79"/>
    <w:rsid w:val="00CF2085"/>
    <w:rsid w:val="00CF278D"/>
    <w:rsid w:val="00CF29C1"/>
    <w:rsid w:val="00CF2DF7"/>
    <w:rsid w:val="00CF2EEB"/>
    <w:rsid w:val="00CF34A4"/>
    <w:rsid w:val="00CF3606"/>
    <w:rsid w:val="00CF39A8"/>
    <w:rsid w:val="00CF3C0D"/>
    <w:rsid w:val="00CF3D6D"/>
    <w:rsid w:val="00CF3E8C"/>
    <w:rsid w:val="00CF3EB1"/>
    <w:rsid w:val="00CF4211"/>
    <w:rsid w:val="00CF42D6"/>
    <w:rsid w:val="00CF4396"/>
    <w:rsid w:val="00CF4441"/>
    <w:rsid w:val="00CF4480"/>
    <w:rsid w:val="00CF4542"/>
    <w:rsid w:val="00CF4DF5"/>
    <w:rsid w:val="00CF5127"/>
    <w:rsid w:val="00CF533B"/>
    <w:rsid w:val="00CF5C85"/>
    <w:rsid w:val="00CF5EA7"/>
    <w:rsid w:val="00CF60F6"/>
    <w:rsid w:val="00CF674A"/>
    <w:rsid w:val="00CF6FB4"/>
    <w:rsid w:val="00CF716D"/>
    <w:rsid w:val="00CF7171"/>
    <w:rsid w:val="00CF72C8"/>
    <w:rsid w:val="00CF73AC"/>
    <w:rsid w:val="00CF797D"/>
    <w:rsid w:val="00CF7B64"/>
    <w:rsid w:val="00D0002F"/>
    <w:rsid w:val="00D00116"/>
    <w:rsid w:val="00D008C5"/>
    <w:rsid w:val="00D00F1D"/>
    <w:rsid w:val="00D010CF"/>
    <w:rsid w:val="00D01B62"/>
    <w:rsid w:val="00D01BC2"/>
    <w:rsid w:val="00D01CC4"/>
    <w:rsid w:val="00D01F6F"/>
    <w:rsid w:val="00D02031"/>
    <w:rsid w:val="00D02282"/>
    <w:rsid w:val="00D02330"/>
    <w:rsid w:val="00D02640"/>
    <w:rsid w:val="00D02CDD"/>
    <w:rsid w:val="00D02F87"/>
    <w:rsid w:val="00D037AB"/>
    <w:rsid w:val="00D03C42"/>
    <w:rsid w:val="00D03D38"/>
    <w:rsid w:val="00D04506"/>
    <w:rsid w:val="00D0531F"/>
    <w:rsid w:val="00D05468"/>
    <w:rsid w:val="00D058D9"/>
    <w:rsid w:val="00D05ABA"/>
    <w:rsid w:val="00D05D7B"/>
    <w:rsid w:val="00D06273"/>
    <w:rsid w:val="00D06305"/>
    <w:rsid w:val="00D06319"/>
    <w:rsid w:val="00D0667E"/>
    <w:rsid w:val="00D07317"/>
    <w:rsid w:val="00D07805"/>
    <w:rsid w:val="00D10020"/>
    <w:rsid w:val="00D10263"/>
    <w:rsid w:val="00D106CC"/>
    <w:rsid w:val="00D1079D"/>
    <w:rsid w:val="00D107DA"/>
    <w:rsid w:val="00D10879"/>
    <w:rsid w:val="00D10A1E"/>
    <w:rsid w:val="00D10C19"/>
    <w:rsid w:val="00D11308"/>
    <w:rsid w:val="00D1162A"/>
    <w:rsid w:val="00D11703"/>
    <w:rsid w:val="00D11A93"/>
    <w:rsid w:val="00D12258"/>
    <w:rsid w:val="00D12CEA"/>
    <w:rsid w:val="00D12EA0"/>
    <w:rsid w:val="00D12F26"/>
    <w:rsid w:val="00D12F6F"/>
    <w:rsid w:val="00D130AB"/>
    <w:rsid w:val="00D13176"/>
    <w:rsid w:val="00D1365F"/>
    <w:rsid w:val="00D136D4"/>
    <w:rsid w:val="00D137D0"/>
    <w:rsid w:val="00D1387B"/>
    <w:rsid w:val="00D13A54"/>
    <w:rsid w:val="00D13A83"/>
    <w:rsid w:val="00D1407E"/>
    <w:rsid w:val="00D1419C"/>
    <w:rsid w:val="00D141D5"/>
    <w:rsid w:val="00D143EA"/>
    <w:rsid w:val="00D143F9"/>
    <w:rsid w:val="00D14451"/>
    <w:rsid w:val="00D1458A"/>
    <w:rsid w:val="00D146E6"/>
    <w:rsid w:val="00D146F6"/>
    <w:rsid w:val="00D14AA2"/>
    <w:rsid w:val="00D14F1D"/>
    <w:rsid w:val="00D151B1"/>
    <w:rsid w:val="00D154F8"/>
    <w:rsid w:val="00D156E8"/>
    <w:rsid w:val="00D1598D"/>
    <w:rsid w:val="00D15B3F"/>
    <w:rsid w:val="00D15C8C"/>
    <w:rsid w:val="00D160A1"/>
    <w:rsid w:val="00D16793"/>
    <w:rsid w:val="00D16D55"/>
    <w:rsid w:val="00D16D7F"/>
    <w:rsid w:val="00D171F9"/>
    <w:rsid w:val="00D17547"/>
    <w:rsid w:val="00D1787A"/>
    <w:rsid w:val="00D17D6B"/>
    <w:rsid w:val="00D17E96"/>
    <w:rsid w:val="00D200FD"/>
    <w:rsid w:val="00D20564"/>
    <w:rsid w:val="00D209E7"/>
    <w:rsid w:val="00D21059"/>
    <w:rsid w:val="00D213FA"/>
    <w:rsid w:val="00D2144C"/>
    <w:rsid w:val="00D215CB"/>
    <w:rsid w:val="00D21727"/>
    <w:rsid w:val="00D21AF9"/>
    <w:rsid w:val="00D21C78"/>
    <w:rsid w:val="00D21F3A"/>
    <w:rsid w:val="00D21FE2"/>
    <w:rsid w:val="00D22D51"/>
    <w:rsid w:val="00D22D63"/>
    <w:rsid w:val="00D22F08"/>
    <w:rsid w:val="00D232B6"/>
    <w:rsid w:val="00D234AF"/>
    <w:rsid w:val="00D23591"/>
    <w:rsid w:val="00D235C2"/>
    <w:rsid w:val="00D2409F"/>
    <w:rsid w:val="00D24278"/>
    <w:rsid w:val="00D242BF"/>
    <w:rsid w:val="00D245D1"/>
    <w:rsid w:val="00D249AC"/>
    <w:rsid w:val="00D24A37"/>
    <w:rsid w:val="00D24B76"/>
    <w:rsid w:val="00D24E17"/>
    <w:rsid w:val="00D25119"/>
    <w:rsid w:val="00D25326"/>
    <w:rsid w:val="00D25530"/>
    <w:rsid w:val="00D25695"/>
    <w:rsid w:val="00D258F0"/>
    <w:rsid w:val="00D25A88"/>
    <w:rsid w:val="00D25C6F"/>
    <w:rsid w:val="00D25E0B"/>
    <w:rsid w:val="00D26448"/>
    <w:rsid w:val="00D266DA"/>
    <w:rsid w:val="00D269E0"/>
    <w:rsid w:val="00D26EF5"/>
    <w:rsid w:val="00D2705D"/>
    <w:rsid w:val="00D27704"/>
    <w:rsid w:val="00D27769"/>
    <w:rsid w:val="00D278A2"/>
    <w:rsid w:val="00D2798A"/>
    <w:rsid w:val="00D27F16"/>
    <w:rsid w:val="00D302F3"/>
    <w:rsid w:val="00D30379"/>
    <w:rsid w:val="00D306A0"/>
    <w:rsid w:val="00D308A6"/>
    <w:rsid w:val="00D3090A"/>
    <w:rsid w:val="00D3097C"/>
    <w:rsid w:val="00D30F6A"/>
    <w:rsid w:val="00D3120A"/>
    <w:rsid w:val="00D3140A"/>
    <w:rsid w:val="00D31511"/>
    <w:rsid w:val="00D31539"/>
    <w:rsid w:val="00D3180A"/>
    <w:rsid w:val="00D318FE"/>
    <w:rsid w:val="00D31BA4"/>
    <w:rsid w:val="00D31C98"/>
    <w:rsid w:val="00D322DF"/>
    <w:rsid w:val="00D325EE"/>
    <w:rsid w:val="00D3260E"/>
    <w:rsid w:val="00D32AC0"/>
    <w:rsid w:val="00D32F2F"/>
    <w:rsid w:val="00D33DA8"/>
    <w:rsid w:val="00D33EC7"/>
    <w:rsid w:val="00D33EEC"/>
    <w:rsid w:val="00D34070"/>
    <w:rsid w:val="00D340A4"/>
    <w:rsid w:val="00D3448A"/>
    <w:rsid w:val="00D3450F"/>
    <w:rsid w:val="00D346D5"/>
    <w:rsid w:val="00D34773"/>
    <w:rsid w:val="00D34A63"/>
    <w:rsid w:val="00D34BB2"/>
    <w:rsid w:val="00D34D62"/>
    <w:rsid w:val="00D350C1"/>
    <w:rsid w:val="00D35206"/>
    <w:rsid w:val="00D352F5"/>
    <w:rsid w:val="00D35322"/>
    <w:rsid w:val="00D35BE8"/>
    <w:rsid w:val="00D35C75"/>
    <w:rsid w:val="00D360C3"/>
    <w:rsid w:val="00D361BB"/>
    <w:rsid w:val="00D36624"/>
    <w:rsid w:val="00D3679A"/>
    <w:rsid w:val="00D3681A"/>
    <w:rsid w:val="00D37697"/>
    <w:rsid w:val="00D37DFD"/>
    <w:rsid w:val="00D40110"/>
    <w:rsid w:val="00D40969"/>
    <w:rsid w:val="00D40983"/>
    <w:rsid w:val="00D40A01"/>
    <w:rsid w:val="00D40CBE"/>
    <w:rsid w:val="00D40F32"/>
    <w:rsid w:val="00D416FB"/>
    <w:rsid w:val="00D41B8A"/>
    <w:rsid w:val="00D420B4"/>
    <w:rsid w:val="00D4292B"/>
    <w:rsid w:val="00D42A85"/>
    <w:rsid w:val="00D42F5C"/>
    <w:rsid w:val="00D437EF"/>
    <w:rsid w:val="00D43993"/>
    <w:rsid w:val="00D439D1"/>
    <w:rsid w:val="00D43C86"/>
    <w:rsid w:val="00D43D0D"/>
    <w:rsid w:val="00D44CD2"/>
    <w:rsid w:val="00D44DCB"/>
    <w:rsid w:val="00D44EB2"/>
    <w:rsid w:val="00D45334"/>
    <w:rsid w:val="00D4561C"/>
    <w:rsid w:val="00D459FA"/>
    <w:rsid w:val="00D46643"/>
    <w:rsid w:val="00D4687B"/>
    <w:rsid w:val="00D46B8F"/>
    <w:rsid w:val="00D47A7C"/>
    <w:rsid w:val="00D47D24"/>
    <w:rsid w:val="00D508C3"/>
    <w:rsid w:val="00D50A78"/>
    <w:rsid w:val="00D50C9D"/>
    <w:rsid w:val="00D50CEB"/>
    <w:rsid w:val="00D50E96"/>
    <w:rsid w:val="00D512C1"/>
    <w:rsid w:val="00D51445"/>
    <w:rsid w:val="00D5159B"/>
    <w:rsid w:val="00D51615"/>
    <w:rsid w:val="00D51955"/>
    <w:rsid w:val="00D51D20"/>
    <w:rsid w:val="00D52052"/>
    <w:rsid w:val="00D521C6"/>
    <w:rsid w:val="00D52286"/>
    <w:rsid w:val="00D52AC0"/>
    <w:rsid w:val="00D52D59"/>
    <w:rsid w:val="00D52F26"/>
    <w:rsid w:val="00D530BF"/>
    <w:rsid w:val="00D53373"/>
    <w:rsid w:val="00D537F2"/>
    <w:rsid w:val="00D53ABF"/>
    <w:rsid w:val="00D53D6D"/>
    <w:rsid w:val="00D54005"/>
    <w:rsid w:val="00D541A1"/>
    <w:rsid w:val="00D54979"/>
    <w:rsid w:val="00D54E2F"/>
    <w:rsid w:val="00D54F6A"/>
    <w:rsid w:val="00D55006"/>
    <w:rsid w:val="00D550EB"/>
    <w:rsid w:val="00D55791"/>
    <w:rsid w:val="00D5636A"/>
    <w:rsid w:val="00D5639B"/>
    <w:rsid w:val="00D565E2"/>
    <w:rsid w:val="00D565F3"/>
    <w:rsid w:val="00D57693"/>
    <w:rsid w:val="00D57914"/>
    <w:rsid w:val="00D5799D"/>
    <w:rsid w:val="00D57C66"/>
    <w:rsid w:val="00D57DF8"/>
    <w:rsid w:val="00D57EBC"/>
    <w:rsid w:val="00D6050F"/>
    <w:rsid w:val="00D60DBF"/>
    <w:rsid w:val="00D60E76"/>
    <w:rsid w:val="00D6105E"/>
    <w:rsid w:val="00D618F3"/>
    <w:rsid w:val="00D61B2F"/>
    <w:rsid w:val="00D61B49"/>
    <w:rsid w:val="00D61DC8"/>
    <w:rsid w:val="00D61F8B"/>
    <w:rsid w:val="00D62034"/>
    <w:rsid w:val="00D62141"/>
    <w:rsid w:val="00D6226D"/>
    <w:rsid w:val="00D6232D"/>
    <w:rsid w:val="00D624DA"/>
    <w:rsid w:val="00D627B3"/>
    <w:rsid w:val="00D62CFB"/>
    <w:rsid w:val="00D62EFD"/>
    <w:rsid w:val="00D63235"/>
    <w:rsid w:val="00D6334A"/>
    <w:rsid w:val="00D63666"/>
    <w:rsid w:val="00D63700"/>
    <w:rsid w:val="00D63749"/>
    <w:rsid w:val="00D63A12"/>
    <w:rsid w:val="00D63B4C"/>
    <w:rsid w:val="00D64580"/>
    <w:rsid w:val="00D646EB"/>
    <w:rsid w:val="00D649D6"/>
    <w:rsid w:val="00D64E68"/>
    <w:rsid w:val="00D6560A"/>
    <w:rsid w:val="00D6592E"/>
    <w:rsid w:val="00D65932"/>
    <w:rsid w:val="00D65A49"/>
    <w:rsid w:val="00D65E01"/>
    <w:rsid w:val="00D6604E"/>
    <w:rsid w:val="00D6640D"/>
    <w:rsid w:val="00D667E0"/>
    <w:rsid w:val="00D66A32"/>
    <w:rsid w:val="00D66EB6"/>
    <w:rsid w:val="00D6769D"/>
    <w:rsid w:val="00D67BC7"/>
    <w:rsid w:val="00D67C57"/>
    <w:rsid w:val="00D705D6"/>
    <w:rsid w:val="00D7079C"/>
    <w:rsid w:val="00D7090E"/>
    <w:rsid w:val="00D709C8"/>
    <w:rsid w:val="00D70E86"/>
    <w:rsid w:val="00D71A6B"/>
    <w:rsid w:val="00D71AE5"/>
    <w:rsid w:val="00D71C90"/>
    <w:rsid w:val="00D71D95"/>
    <w:rsid w:val="00D72316"/>
    <w:rsid w:val="00D7237F"/>
    <w:rsid w:val="00D7261C"/>
    <w:rsid w:val="00D72750"/>
    <w:rsid w:val="00D7293F"/>
    <w:rsid w:val="00D729E2"/>
    <w:rsid w:val="00D73157"/>
    <w:rsid w:val="00D735E9"/>
    <w:rsid w:val="00D73A51"/>
    <w:rsid w:val="00D73A5F"/>
    <w:rsid w:val="00D7460B"/>
    <w:rsid w:val="00D7468B"/>
    <w:rsid w:val="00D7476A"/>
    <w:rsid w:val="00D74B3E"/>
    <w:rsid w:val="00D74C68"/>
    <w:rsid w:val="00D74ECF"/>
    <w:rsid w:val="00D7501B"/>
    <w:rsid w:val="00D750E6"/>
    <w:rsid w:val="00D7537D"/>
    <w:rsid w:val="00D754DE"/>
    <w:rsid w:val="00D75592"/>
    <w:rsid w:val="00D757FD"/>
    <w:rsid w:val="00D75906"/>
    <w:rsid w:val="00D75B68"/>
    <w:rsid w:val="00D75D86"/>
    <w:rsid w:val="00D7605D"/>
    <w:rsid w:val="00D7613E"/>
    <w:rsid w:val="00D761FA"/>
    <w:rsid w:val="00D7626A"/>
    <w:rsid w:val="00D762C7"/>
    <w:rsid w:val="00D76C2D"/>
    <w:rsid w:val="00D76C9E"/>
    <w:rsid w:val="00D77142"/>
    <w:rsid w:val="00D80216"/>
    <w:rsid w:val="00D80454"/>
    <w:rsid w:val="00D8064F"/>
    <w:rsid w:val="00D808E4"/>
    <w:rsid w:val="00D80A32"/>
    <w:rsid w:val="00D80A62"/>
    <w:rsid w:val="00D80D29"/>
    <w:rsid w:val="00D80EFE"/>
    <w:rsid w:val="00D810A6"/>
    <w:rsid w:val="00D811C7"/>
    <w:rsid w:val="00D818B1"/>
    <w:rsid w:val="00D81DB7"/>
    <w:rsid w:val="00D81DE7"/>
    <w:rsid w:val="00D820AD"/>
    <w:rsid w:val="00D821FA"/>
    <w:rsid w:val="00D82551"/>
    <w:rsid w:val="00D829AA"/>
    <w:rsid w:val="00D82AF2"/>
    <w:rsid w:val="00D82BE9"/>
    <w:rsid w:val="00D82D66"/>
    <w:rsid w:val="00D833D4"/>
    <w:rsid w:val="00D83466"/>
    <w:rsid w:val="00D837ED"/>
    <w:rsid w:val="00D83C4A"/>
    <w:rsid w:val="00D83E3A"/>
    <w:rsid w:val="00D84675"/>
    <w:rsid w:val="00D8533E"/>
    <w:rsid w:val="00D85718"/>
    <w:rsid w:val="00D85838"/>
    <w:rsid w:val="00D8590C"/>
    <w:rsid w:val="00D859B9"/>
    <w:rsid w:val="00D85C36"/>
    <w:rsid w:val="00D85E98"/>
    <w:rsid w:val="00D866F7"/>
    <w:rsid w:val="00D86793"/>
    <w:rsid w:val="00D86964"/>
    <w:rsid w:val="00D86A74"/>
    <w:rsid w:val="00D86BDA"/>
    <w:rsid w:val="00D87B92"/>
    <w:rsid w:val="00D87E04"/>
    <w:rsid w:val="00D87F25"/>
    <w:rsid w:val="00D90195"/>
    <w:rsid w:val="00D903DA"/>
    <w:rsid w:val="00D9045A"/>
    <w:rsid w:val="00D907F7"/>
    <w:rsid w:val="00D90E63"/>
    <w:rsid w:val="00D910AD"/>
    <w:rsid w:val="00D911B6"/>
    <w:rsid w:val="00D91408"/>
    <w:rsid w:val="00D91579"/>
    <w:rsid w:val="00D919F9"/>
    <w:rsid w:val="00D91E8C"/>
    <w:rsid w:val="00D92545"/>
    <w:rsid w:val="00D9258B"/>
    <w:rsid w:val="00D92646"/>
    <w:rsid w:val="00D926FB"/>
    <w:rsid w:val="00D92D12"/>
    <w:rsid w:val="00D937CE"/>
    <w:rsid w:val="00D9388B"/>
    <w:rsid w:val="00D93D58"/>
    <w:rsid w:val="00D93F19"/>
    <w:rsid w:val="00D94087"/>
    <w:rsid w:val="00D943BB"/>
    <w:rsid w:val="00D943EA"/>
    <w:rsid w:val="00D94513"/>
    <w:rsid w:val="00D94BBB"/>
    <w:rsid w:val="00D94F1E"/>
    <w:rsid w:val="00D951B8"/>
    <w:rsid w:val="00D95515"/>
    <w:rsid w:val="00D9559D"/>
    <w:rsid w:val="00D959AA"/>
    <w:rsid w:val="00D95A9F"/>
    <w:rsid w:val="00D95AD4"/>
    <w:rsid w:val="00D95C79"/>
    <w:rsid w:val="00D96352"/>
    <w:rsid w:val="00D96D55"/>
    <w:rsid w:val="00D96E16"/>
    <w:rsid w:val="00D97202"/>
    <w:rsid w:val="00D9735E"/>
    <w:rsid w:val="00D974C7"/>
    <w:rsid w:val="00D97573"/>
    <w:rsid w:val="00D97597"/>
    <w:rsid w:val="00D979BC"/>
    <w:rsid w:val="00D97B59"/>
    <w:rsid w:val="00D97BDF"/>
    <w:rsid w:val="00DA025B"/>
    <w:rsid w:val="00DA07F9"/>
    <w:rsid w:val="00DA0D3A"/>
    <w:rsid w:val="00DA0ECA"/>
    <w:rsid w:val="00DA0F23"/>
    <w:rsid w:val="00DA0FDE"/>
    <w:rsid w:val="00DA1529"/>
    <w:rsid w:val="00DA1564"/>
    <w:rsid w:val="00DA15C8"/>
    <w:rsid w:val="00DA177C"/>
    <w:rsid w:val="00DA178F"/>
    <w:rsid w:val="00DA194F"/>
    <w:rsid w:val="00DA1D8D"/>
    <w:rsid w:val="00DA200D"/>
    <w:rsid w:val="00DA25EC"/>
    <w:rsid w:val="00DA26A6"/>
    <w:rsid w:val="00DA2A6A"/>
    <w:rsid w:val="00DA309D"/>
    <w:rsid w:val="00DA41E7"/>
    <w:rsid w:val="00DA4388"/>
    <w:rsid w:val="00DA44A5"/>
    <w:rsid w:val="00DA4A21"/>
    <w:rsid w:val="00DA4B72"/>
    <w:rsid w:val="00DA4BDD"/>
    <w:rsid w:val="00DA4DCD"/>
    <w:rsid w:val="00DA5158"/>
    <w:rsid w:val="00DA550B"/>
    <w:rsid w:val="00DA5777"/>
    <w:rsid w:val="00DA5856"/>
    <w:rsid w:val="00DA5AAC"/>
    <w:rsid w:val="00DA5E4C"/>
    <w:rsid w:val="00DA5F1E"/>
    <w:rsid w:val="00DA6896"/>
    <w:rsid w:val="00DA74B9"/>
    <w:rsid w:val="00DA7559"/>
    <w:rsid w:val="00DA755F"/>
    <w:rsid w:val="00DA758B"/>
    <w:rsid w:val="00DA798C"/>
    <w:rsid w:val="00DA7BDD"/>
    <w:rsid w:val="00DA7D1E"/>
    <w:rsid w:val="00DB006F"/>
    <w:rsid w:val="00DB02EC"/>
    <w:rsid w:val="00DB0597"/>
    <w:rsid w:val="00DB05DD"/>
    <w:rsid w:val="00DB0758"/>
    <w:rsid w:val="00DB0E95"/>
    <w:rsid w:val="00DB13A4"/>
    <w:rsid w:val="00DB1543"/>
    <w:rsid w:val="00DB17FD"/>
    <w:rsid w:val="00DB1DD6"/>
    <w:rsid w:val="00DB1DF7"/>
    <w:rsid w:val="00DB22E3"/>
    <w:rsid w:val="00DB2404"/>
    <w:rsid w:val="00DB26CB"/>
    <w:rsid w:val="00DB2AC1"/>
    <w:rsid w:val="00DB2DAB"/>
    <w:rsid w:val="00DB2E2D"/>
    <w:rsid w:val="00DB2FC9"/>
    <w:rsid w:val="00DB3261"/>
    <w:rsid w:val="00DB3473"/>
    <w:rsid w:val="00DB34D1"/>
    <w:rsid w:val="00DB4009"/>
    <w:rsid w:val="00DB407F"/>
    <w:rsid w:val="00DB4397"/>
    <w:rsid w:val="00DB43CE"/>
    <w:rsid w:val="00DB4798"/>
    <w:rsid w:val="00DB4BCB"/>
    <w:rsid w:val="00DB4CE0"/>
    <w:rsid w:val="00DB58A3"/>
    <w:rsid w:val="00DB5CE6"/>
    <w:rsid w:val="00DB5D49"/>
    <w:rsid w:val="00DB627D"/>
    <w:rsid w:val="00DB6A5F"/>
    <w:rsid w:val="00DB6B64"/>
    <w:rsid w:val="00DB6E6F"/>
    <w:rsid w:val="00DB6F2D"/>
    <w:rsid w:val="00DB7B6C"/>
    <w:rsid w:val="00DB7E4E"/>
    <w:rsid w:val="00DC0074"/>
    <w:rsid w:val="00DC0427"/>
    <w:rsid w:val="00DC0630"/>
    <w:rsid w:val="00DC06F6"/>
    <w:rsid w:val="00DC18FD"/>
    <w:rsid w:val="00DC193E"/>
    <w:rsid w:val="00DC1990"/>
    <w:rsid w:val="00DC1BA6"/>
    <w:rsid w:val="00DC21B2"/>
    <w:rsid w:val="00DC2221"/>
    <w:rsid w:val="00DC23A6"/>
    <w:rsid w:val="00DC25FB"/>
    <w:rsid w:val="00DC2812"/>
    <w:rsid w:val="00DC2B8A"/>
    <w:rsid w:val="00DC3063"/>
    <w:rsid w:val="00DC3178"/>
    <w:rsid w:val="00DC32E2"/>
    <w:rsid w:val="00DC3897"/>
    <w:rsid w:val="00DC394F"/>
    <w:rsid w:val="00DC3B34"/>
    <w:rsid w:val="00DC3C00"/>
    <w:rsid w:val="00DC3E03"/>
    <w:rsid w:val="00DC3EFE"/>
    <w:rsid w:val="00DC40DC"/>
    <w:rsid w:val="00DC41D7"/>
    <w:rsid w:val="00DC42CF"/>
    <w:rsid w:val="00DC4519"/>
    <w:rsid w:val="00DC4839"/>
    <w:rsid w:val="00DC4930"/>
    <w:rsid w:val="00DC4A91"/>
    <w:rsid w:val="00DC50AB"/>
    <w:rsid w:val="00DC533A"/>
    <w:rsid w:val="00DC542E"/>
    <w:rsid w:val="00DC55F3"/>
    <w:rsid w:val="00DC5908"/>
    <w:rsid w:val="00DC5C2B"/>
    <w:rsid w:val="00DC5DC4"/>
    <w:rsid w:val="00DC6525"/>
    <w:rsid w:val="00DC67C9"/>
    <w:rsid w:val="00DC67F7"/>
    <w:rsid w:val="00DC69A6"/>
    <w:rsid w:val="00DC6A5F"/>
    <w:rsid w:val="00DC7043"/>
    <w:rsid w:val="00DC7185"/>
    <w:rsid w:val="00DC7A34"/>
    <w:rsid w:val="00DC7DB5"/>
    <w:rsid w:val="00DC7F62"/>
    <w:rsid w:val="00DD0085"/>
    <w:rsid w:val="00DD059A"/>
    <w:rsid w:val="00DD0661"/>
    <w:rsid w:val="00DD0911"/>
    <w:rsid w:val="00DD0B2D"/>
    <w:rsid w:val="00DD0B55"/>
    <w:rsid w:val="00DD10DA"/>
    <w:rsid w:val="00DD1120"/>
    <w:rsid w:val="00DD1560"/>
    <w:rsid w:val="00DD1728"/>
    <w:rsid w:val="00DD1C59"/>
    <w:rsid w:val="00DD1E4D"/>
    <w:rsid w:val="00DD1EBD"/>
    <w:rsid w:val="00DD216B"/>
    <w:rsid w:val="00DD21DA"/>
    <w:rsid w:val="00DD21F1"/>
    <w:rsid w:val="00DD22C5"/>
    <w:rsid w:val="00DD271F"/>
    <w:rsid w:val="00DD2735"/>
    <w:rsid w:val="00DD3223"/>
    <w:rsid w:val="00DD3468"/>
    <w:rsid w:val="00DD357D"/>
    <w:rsid w:val="00DD3651"/>
    <w:rsid w:val="00DD36F9"/>
    <w:rsid w:val="00DD3CF1"/>
    <w:rsid w:val="00DD3D19"/>
    <w:rsid w:val="00DD4255"/>
    <w:rsid w:val="00DD47FC"/>
    <w:rsid w:val="00DD4894"/>
    <w:rsid w:val="00DD4BAD"/>
    <w:rsid w:val="00DD4C94"/>
    <w:rsid w:val="00DD50BF"/>
    <w:rsid w:val="00DD530F"/>
    <w:rsid w:val="00DD5458"/>
    <w:rsid w:val="00DD5812"/>
    <w:rsid w:val="00DD583F"/>
    <w:rsid w:val="00DD5E29"/>
    <w:rsid w:val="00DD6276"/>
    <w:rsid w:val="00DD6548"/>
    <w:rsid w:val="00DD66E3"/>
    <w:rsid w:val="00DD6B2F"/>
    <w:rsid w:val="00DD712F"/>
    <w:rsid w:val="00DD73C9"/>
    <w:rsid w:val="00DD79B6"/>
    <w:rsid w:val="00DD7BC5"/>
    <w:rsid w:val="00DD7D00"/>
    <w:rsid w:val="00DD7D7B"/>
    <w:rsid w:val="00DE0A31"/>
    <w:rsid w:val="00DE0CA1"/>
    <w:rsid w:val="00DE0CBA"/>
    <w:rsid w:val="00DE0E48"/>
    <w:rsid w:val="00DE0F54"/>
    <w:rsid w:val="00DE18D3"/>
    <w:rsid w:val="00DE1916"/>
    <w:rsid w:val="00DE1E90"/>
    <w:rsid w:val="00DE25CC"/>
    <w:rsid w:val="00DE28DD"/>
    <w:rsid w:val="00DE2993"/>
    <w:rsid w:val="00DE2A28"/>
    <w:rsid w:val="00DE3073"/>
    <w:rsid w:val="00DE3123"/>
    <w:rsid w:val="00DE35C9"/>
    <w:rsid w:val="00DE3797"/>
    <w:rsid w:val="00DE384F"/>
    <w:rsid w:val="00DE3D7D"/>
    <w:rsid w:val="00DE4854"/>
    <w:rsid w:val="00DE4996"/>
    <w:rsid w:val="00DE4C69"/>
    <w:rsid w:val="00DE504E"/>
    <w:rsid w:val="00DE5582"/>
    <w:rsid w:val="00DE5779"/>
    <w:rsid w:val="00DE5BBF"/>
    <w:rsid w:val="00DE5F92"/>
    <w:rsid w:val="00DE6021"/>
    <w:rsid w:val="00DE60DD"/>
    <w:rsid w:val="00DE61F6"/>
    <w:rsid w:val="00DE62E8"/>
    <w:rsid w:val="00DE63AB"/>
    <w:rsid w:val="00DE650C"/>
    <w:rsid w:val="00DE65FD"/>
    <w:rsid w:val="00DE6BEE"/>
    <w:rsid w:val="00DE71ED"/>
    <w:rsid w:val="00DE74AE"/>
    <w:rsid w:val="00DE796F"/>
    <w:rsid w:val="00DE7C0E"/>
    <w:rsid w:val="00DE7D45"/>
    <w:rsid w:val="00DE7E0F"/>
    <w:rsid w:val="00DF0202"/>
    <w:rsid w:val="00DF0385"/>
    <w:rsid w:val="00DF06CE"/>
    <w:rsid w:val="00DF07A6"/>
    <w:rsid w:val="00DF0811"/>
    <w:rsid w:val="00DF0A7B"/>
    <w:rsid w:val="00DF0D93"/>
    <w:rsid w:val="00DF15BF"/>
    <w:rsid w:val="00DF169D"/>
    <w:rsid w:val="00DF1A47"/>
    <w:rsid w:val="00DF28AE"/>
    <w:rsid w:val="00DF298D"/>
    <w:rsid w:val="00DF2F4E"/>
    <w:rsid w:val="00DF30D3"/>
    <w:rsid w:val="00DF32A9"/>
    <w:rsid w:val="00DF34E7"/>
    <w:rsid w:val="00DF3F18"/>
    <w:rsid w:val="00DF4121"/>
    <w:rsid w:val="00DF43FF"/>
    <w:rsid w:val="00DF4819"/>
    <w:rsid w:val="00DF50E0"/>
    <w:rsid w:val="00DF53A7"/>
    <w:rsid w:val="00DF570B"/>
    <w:rsid w:val="00DF5806"/>
    <w:rsid w:val="00DF5DA4"/>
    <w:rsid w:val="00DF5DEA"/>
    <w:rsid w:val="00DF5E2E"/>
    <w:rsid w:val="00DF5F0B"/>
    <w:rsid w:val="00DF693B"/>
    <w:rsid w:val="00DF7403"/>
    <w:rsid w:val="00DF7734"/>
    <w:rsid w:val="00DF773B"/>
    <w:rsid w:val="00DF7852"/>
    <w:rsid w:val="00DF793A"/>
    <w:rsid w:val="00E006CF"/>
    <w:rsid w:val="00E0099B"/>
    <w:rsid w:val="00E00ABD"/>
    <w:rsid w:val="00E00D27"/>
    <w:rsid w:val="00E01EF6"/>
    <w:rsid w:val="00E0206C"/>
    <w:rsid w:val="00E021DE"/>
    <w:rsid w:val="00E02295"/>
    <w:rsid w:val="00E029EF"/>
    <w:rsid w:val="00E02E53"/>
    <w:rsid w:val="00E02F72"/>
    <w:rsid w:val="00E036E1"/>
    <w:rsid w:val="00E04593"/>
    <w:rsid w:val="00E04637"/>
    <w:rsid w:val="00E048E7"/>
    <w:rsid w:val="00E04A5B"/>
    <w:rsid w:val="00E04B0C"/>
    <w:rsid w:val="00E04F54"/>
    <w:rsid w:val="00E0512A"/>
    <w:rsid w:val="00E05E04"/>
    <w:rsid w:val="00E06850"/>
    <w:rsid w:val="00E06CA2"/>
    <w:rsid w:val="00E06D0E"/>
    <w:rsid w:val="00E06ECD"/>
    <w:rsid w:val="00E06EF3"/>
    <w:rsid w:val="00E06F92"/>
    <w:rsid w:val="00E070C5"/>
    <w:rsid w:val="00E07369"/>
    <w:rsid w:val="00E07ADF"/>
    <w:rsid w:val="00E07D1E"/>
    <w:rsid w:val="00E07F14"/>
    <w:rsid w:val="00E100E6"/>
    <w:rsid w:val="00E1013E"/>
    <w:rsid w:val="00E102F4"/>
    <w:rsid w:val="00E10368"/>
    <w:rsid w:val="00E10466"/>
    <w:rsid w:val="00E104DE"/>
    <w:rsid w:val="00E10602"/>
    <w:rsid w:val="00E106D1"/>
    <w:rsid w:val="00E10E9C"/>
    <w:rsid w:val="00E10FD9"/>
    <w:rsid w:val="00E110DF"/>
    <w:rsid w:val="00E1148E"/>
    <w:rsid w:val="00E116A1"/>
    <w:rsid w:val="00E1189E"/>
    <w:rsid w:val="00E11C19"/>
    <w:rsid w:val="00E11CC1"/>
    <w:rsid w:val="00E12085"/>
    <w:rsid w:val="00E128DB"/>
    <w:rsid w:val="00E12E77"/>
    <w:rsid w:val="00E12FDA"/>
    <w:rsid w:val="00E13006"/>
    <w:rsid w:val="00E1309C"/>
    <w:rsid w:val="00E13591"/>
    <w:rsid w:val="00E13638"/>
    <w:rsid w:val="00E13D49"/>
    <w:rsid w:val="00E141EC"/>
    <w:rsid w:val="00E14C00"/>
    <w:rsid w:val="00E14DB8"/>
    <w:rsid w:val="00E150E4"/>
    <w:rsid w:val="00E15271"/>
    <w:rsid w:val="00E155BE"/>
    <w:rsid w:val="00E15918"/>
    <w:rsid w:val="00E1597A"/>
    <w:rsid w:val="00E15D11"/>
    <w:rsid w:val="00E1609A"/>
    <w:rsid w:val="00E160D0"/>
    <w:rsid w:val="00E160D5"/>
    <w:rsid w:val="00E16719"/>
    <w:rsid w:val="00E167AB"/>
    <w:rsid w:val="00E16C1A"/>
    <w:rsid w:val="00E16CCF"/>
    <w:rsid w:val="00E16CDB"/>
    <w:rsid w:val="00E17B27"/>
    <w:rsid w:val="00E17D82"/>
    <w:rsid w:val="00E17EBB"/>
    <w:rsid w:val="00E2010B"/>
    <w:rsid w:val="00E20260"/>
    <w:rsid w:val="00E205F7"/>
    <w:rsid w:val="00E209F3"/>
    <w:rsid w:val="00E20F21"/>
    <w:rsid w:val="00E210FF"/>
    <w:rsid w:val="00E2113B"/>
    <w:rsid w:val="00E21E07"/>
    <w:rsid w:val="00E223E7"/>
    <w:rsid w:val="00E2297D"/>
    <w:rsid w:val="00E22D7C"/>
    <w:rsid w:val="00E23034"/>
    <w:rsid w:val="00E23096"/>
    <w:rsid w:val="00E2347F"/>
    <w:rsid w:val="00E23493"/>
    <w:rsid w:val="00E23520"/>
    <w:rsid w:val="00E23A8C"/>
    <w:rsid w:val="00E23ABA"/>
    <w:rsid w:val="00E23B42"/>
    <w:rsid w:val="00E23D68"/>
    <w:rsid w:val="00E24648"/>
    <w:rsid w:val="00E24671"/>
    <w:rsid w:val="00E247FF"/>
    <w:rsid w:val="00E24B39"/>
    <w:rsid w:val="00E24B5D"/>
    <w:rsid w:val="00E250BE"/>
    <w:rsid w:val="00E251C9"/>
    <w:rsid w:val="00E2549B"/>
    <w:rsid w:val="00E2582E"/>
    <w:rsid w:val="00E2591B"/>
    <w:rsid w:val="00E25C04"/>
    <w:rsid w:val="00E25DFE"/>
    <w:rsid w:val="00E25E9B"/>
    <w:rsid w:val="00E25FAA"/>
    <w:rsid w:val="00E260F8"/>
    <w:rsid w:val="00E263BA"/>
    <w:rsid w:val="00E269C7"/>
    <w:rsid w:val="00E269DC"/>
    <w:rsid w:val="00E26E4C"/>
    <w:rsid w:val="00E2724A"/>
    <w:rsid w:val="00E27538"/>
    <w:rsid w:val="00E27CB8"/>
    <w:rsid w:val="00E2DFB9"/>
    <w:rsid w:val="00E300D6"/>
    <w:rsid w:val="00E3023D"/>
    <w:rsid w:val="00E30301"/>
    <w:rsid w:val="00E30989"/>
    <w:rsid w:val="00E30A5A"/>
    <w:rsid w:val="00E30B80"/>
    <w:rsid w:val="00E31B12"/>
    <w:rsid w:val="00E31DFA"/>
    <w:rsid w:val="00E32505"/>
    <w:rsid w:val="00E3286D"/>
    <w:rsid w:val="00E32F6B"/>
    <w:rsid w:val="00E33001"/>
    <w:rsid w:val="00E3311D"/>
    <w:rsid w:val="00E33140"/>
    <w:rsid w:val="00E33768"/>
    <w:rsid w:val="00E3386E"/>
    <w:rsid w:val="00E3405A"/>
    <w:rsid w:val="00E34482"/>
    <w:rsid w:val="00E34C47"/>
    <w:rsid w:val="00E34E1E"/>
    <w:rsid w:val="00E351A4"/>
    <w:rsid w:val="00E351D3"/>
    <w:rsid w:val="00E35369"/>
    <w:rsid w:val="00E355F3"/>
    <w:rsid w:val="00E36088"/>
    <w:rsid w:val="00E36641"/>
    <w:rsid w:val="00E36785"/>
    <w:rsid w:val="00E368F3"/>
    <w:rsid w:val="00E37202"/>
    <w:rsid w:val="00E3726C"/>
    <w:rsid w:val="00E37370"/>
    <w:rsid w:val="00E3745D"/>
    <w:rsid w:val="00E37B6F"/>
    <w:rsid w:val="00E40837"/>
    <w:rsid w:val="00E4086F"/>
    <w:rsid w:val="00E40918"/>
    <w:rsid w:val="00E40CC3"/>
    <w:rsid w:val="00E40D09"/>
    <w:rsid w:val="00E40E13"/>
    <w:rsid w:val="00E41113"/>
    <w:rsid w:val="00E41465"/>
    <w:rsid w:val="00E4196B"/>
    <w:rsid w:val="00E41DE7"/>
    <w:rsid w:val="00E42200"/>
    <w:rsid w:val="00E4247A"/>
    <w:rsid w:val="00E42D14"/>
    <w:rsid w:val="00E431A8"/>
    <w:rsid w:val="00E43220"/>
    <w:rsid w:val="00E43231"/>
    <w:rsid w:val="00E433EE"/>
    <w:rsid w:val="00E43480"/>
    <w:rsid w:val="00E43605"/>
    <w:rsid w:val="00E43CFC"/>
    <w:rsid w:val="00E43F64"/>
    <w:rsid w:val="00E43F76"/>
    <w:rsid w:val="00E43F90"/>
    <w:rsid w:val="00E4411C"/>
    <w:rsid w:val="00E44270"/>
    <w:rsid w:val="00E4427E"/>
    <w:rsid w:val="00E44783"/>
    <w:rsid w:val="00E44AD9"/>
    <w:rsid w:val="00E44B9E"/>
    <w:rsid w:val="00E44D8E"/>
    <w:rsid w:val="00E44EE0"/>
    <w:rsid w:val="00E44F06"/>
    <w:rsid w:val="00E4521B"/>
    <w:rsid w:val="00E45440"/>
    <w:rsid w:val="00E454E7"/>
    <w:rsid w:val="00E45525"/>
    <w:rsid w:val="00E461D3"/>
    <w:rsid w:val="00E4624D"/>
    <w:rsid w:val="00E4633F"/>
    <w:rsid w:val="00E46571"/>
    <w:rsid w:val="00E46689"/>
    <w:rsid w:val="00E4674B"/>
    <w:rsid w:val="00E46B01"/>
    <w:rsid w:val="00E46D72"/>
    <w:rsid w:val="00E47901"/>
    <w:rsid w:val="00E5050C"/>
    <w:rsid w:val="00E50A08"/>
    <w:rsid w:val="00E50A56"/>
    <w:rsid w:val="00E50BA4"/>
    <w:rsid w:val="00E50BC4"/>
    <w:rsid w:val="00E50C67"/>
    <w:rsid w:val="00E50FE9"/>
    <w:rsid w:val="00E510B3"/>
    <w:rsid w:val="00E514EC"/>
    <w:rsid w:val="00E51800"/>
    <w:rsid w:val="00E5182F"/>
    <w:rsid w:val="00E5214B"/>
    <w:rsid w:val="00E52460"/>
    <w:rsid w:val="00E52595"/>
    <w:rsid w:val="00E52664"/>
    <w:rsid w:val="00E52819"/>
    <w:rsid w:val="00E52A73"/>
    <w:rsid w:val="00E52D5C"/>
    <w:rsid w:val="00E52E8C"/>
    <w:rsid w:val="00E52EF2"/>
    <w:rsid w:val="00E54281"/>
    <w:rsid w:val="00E5445E"/>
    <w:rsid w:val="00E544DA"/>
    <w:rsid w:val="00E54689"/>
    <w:rsid w:val="00E54A17"/>
    <w:rsid w:val="00E55690"/>
    <w:rsid w:val="00E55D7E"/>
    <w:rsid w:val="00E5671C"/>
    <w:rsid w:val="00E56939"/>
    <w:rsid w:val="00E56A6E"/>
    <w:rsid w:val="00E5711B"/>
    <w:rsid w:val="00E576A7"/>
    <w:rsid w:val="00E576A9"/>
    <w:rsid w:val="00E576B5"/>
    <w:rsid w:val="00E5786B"/>
    <w:rsid w:val="00E578B9"/>
    <w:rsid w:val="00E57A41"/>
    <w:rsid w:val="00E57BDB"/>
    <w:rsid w:val="00E602D1"/>
    <w:rsid w:val="00E60479"/>
    <w:rsid w:val="00E60BBB"/>
    <w:rsid w:val="00E60C6F"/>
    <w:rsid w:val="00E60FE3"/>
    <w:rsid w:val="00E611ED"/>
    <w:rsid w:val="00E61338"/>
    <w:rsid w:val="00E61376"/>
    <w:rsid w:val="00E61C87"/>
    <w:rsid w:val="00E61EF9"/>
    <w:rsid w:val="00E62CCE"/>
    <w:rsid w:val="00E62FBE"/>
    <w:rsid w:val="00E63AC6"/>
    <w:rsid w:val="00E6458E"/>
    <w:rsid w:val="00E6468B"/>
    <w:rsid w:val="00E64ED9"/>
    <w:rsid w:val="00E650E9"/>
    <w:rsid w:val="00E6575D"/>
    <w:rsid w:val="00E65B8A"/>
    <w:rsid w:val="00E660E1"/>
    <w:rsid w:val="00E6629E"/>
    <w:rsid w:val="00E6662B"/>
    <w:rsid w:val="00E67146"/>
    <w:rsid w:val="00E671DD"/>
    <w:rsid w:val="00E67243"/>
    <w:rsid w:val="00E67565"/>
    <w:rsid w:val="00E67B7E"/>
    <w:rsid w:val="00E701E6"/>
    <w:rsid w:val="00E70445"/>
    <w:rsid w:val="00E70523"/>
    <w:rsid w:val="00E705D7"/>
    <w:rsid w:val="00E70CA1"/>
    <w:rsid w:val="00E70DB8"/>
    <w:rsid w:val="00E71110"/>
    <w:rsid w:val="00E71679"/>
    <w:rsid w:val="00E7181B"/>
    <w:rsid w:val="00E71C74"/>
    <w:rsid w:val="00E71D62"/>
    <w:rsid w:val="00E722E5"/>
    <w:rsid w:val="00E723BE"/>
    <w:rsid w:val="00E7266D"/>
    <w:rsid w:val="00E7294E"/>
    <w:rsid w:val="00E73412"/>
    <w:rsid w:val="00E738B9"/>
    <w:rsid w:val="00E739AE"/>
    <w:rsid w:val="00E739C0"/>
    <w:rsid w:val="00E73B77"/>
    <w:rsid w:val="00E73D45"/>
    <w:rsid w:val="00E73DC4"/>
    <w:rsid w:val="00E7447D"/>
    <w:rsid w:val="00E75094"/>
    <w:rsid w:val="00E750EC"/>
    <w:rsid w:val="00E75490"/>
    <w:rsid w:val="00E7549E"/>
    <w:rsid w:val="00E75B1C"/>
    <w:rsid w:val="00E75F0A"/>
    <w:rsid w:val="00E760CE"/>
    <w:rsid w:val="00E76237"/>
    <w:rsid w:val="00E76915"/>
    <w:rsid w:val="00E76E37"/>
    <w:rsid w:val="00E7705A"/>
    <w:rsid w:val="00E770C3"/>
    <w:rsid w:val="00E77318"/>
    <w:rsid w:val="00E779B5"/>
    <w:rsid w:val="00E80359"/>
    <w:rsid w:val="00E807D0"/>
    <w:rsid w:val="00E8110A"/>
    <w:rsid w:val="00E81187"/>
    <w:rsid w:val="00E817C8"/>
    <w:rsid w:val="00E81B95"/>
    <w:rsid w:val="00E826B3"/>
    <w:rsid w:val="00E826E1"/>
    <w:rsid w:val="00E82A02"/>
    <w:rsid w:val="00E82BA9"/>
    <w:rsid w:val="00E83415"/>
    <w:rsid w:val="00E83440"/>
    <w:rsid w:val="00E83C2B"/>
    <w:rsid w:val="00E83C2E"/>
    <w:rsid w:val="00E84048"/>
    <w:rsid w:val="00E841F4"/>
    <w:rsid w:val="00E8438C"/>
    <w:rsid w:val="00E846A1"/>
    <w:rsid w:val="00E84704"/>
    <w:rsid w:val="00E851EE"/>
    <w:rsid w:val="00E852B4"/>
    <w:rsid w:val="00E855F0"/>
    <w:rsid w:val="00E856A5"/>
    <w:rsid w:val="00E85F89"/>
    <w:rsid w:val="00E86280"/>
    <w:rsid w:val="00E862EA"/>
    <w:rsid w:val="00E86393"/>
    <w:rsid w:val="00E86E44"/>
    <w:rsid w:val="00E870FD"/>
    <w:rsid w:val="00E877D9"/>
    <w:rsid w:val="00E879E5"/>
    <w:rsid w:val="00E87D79"/>
    <w:rsid w:val="00E87F65"/>
    <w:rsid w:val="00E90070"/>
    <w:rsid w:val="00E90267"/>
    <w:rsid w:val="00E9029B"/>
    <w:rsid w:val="00E902EB"/>
    <w:rsid w:val="00E90679"/>
    <w:rsid w:val="00E90776"/>
    <w:rsid w:val="00E909B1"/>
    <w:rsid w:val="00E909CE"/>
    <w:rsid w:val="00E90C43"/>
    <w:rsid w:val="00E9124C"/>
    <w:rsid w:val="00E9126B"/>
    <w:rsid w:val="00E9128C"/>
    <w:rsid w:val="00E9137E"/>
    <w:rsid w:val="00E916C5"/>
    <w:rsid w:val="00E9180D"/>
    <w:rsid w:val="00E9180F"/>
    <w:rsid w:val="00E91F2B"/>
    <w:rsid w:val="00E91FFF"/>
    <w:rsid w:val="00E920C6"/>
    <w:rsid w:val="00E924B4"/>
    <w:rsid w:val="00E92533"/>
    <w:rsid w:val="00E92822"/>
    <w:rsid w:val="00E92A29"/>
    <w:rsid w:val="00E92D91"/>
    <w:rsid w:val="00E93132"/>
    <w:rsid w:val="00E93852"/>
    <w:rsid w:val="00E93A3A"/>
    <w:rsid w:val="00E93B75"/>
    <w:rsid w:val="00E93CC2"/>
    <w:rsid w:val="00E94045"/>
    <w:rsid w:val="00E94502"/>
    <w:rsid w:val="00E94594"/>
    <w:rsid w:val="00E95775"/>
    <w:rsid w:val="00E95BFD"/>
    <w:rsid w:val="00E95D81"/>
    <w:rsid w:val="00E95F36"/>
    <w:rsid w:val="00E95FF2"/>
    <w:rsid w:val="00E962FE"/>
    <w:rsid w:val="00E9639A"/>
    <w:rsid w:val="00E967EC"/>
    <w:rsid w:val="00E96A64"/>
    <w:rsid w:val="00E96DDF"/>
    <w:rsid w:val="00E96F7E"/>
    <w:rsid w:val="00E96FAA"/>
    <w:rsid w:val="00E97574"/>
    <w:rsid w:val="00E976BC"/>
    <w:rsid w:val="00E97C35"/>
    <w:rsid w:val="00EA0160"/>
    <w:rsid w:val="00EA0975"/>
    <w:rsid w:val="00EA09AB"/>
    <w:rsid w:val="00EA0B0E"/>
    <w:rsid w:val="00EA0F4D"/>
    <w:rsid w:val="00EA1016"/>
    <w:rsid w:val="00EA1507"/>
    <w:rsid w:val="00EA1B38"/>
    <w:rsid w:val="00EA1FD5"/>
    <w:rsid w:val="00EA1FDE"/>
    <w:rsid w:val="00EA2081"/>
    <w:rsid w:val="00EA2423"/>
    <w:rsid w:val="00EA358E"/>
    <w:rsid w:val="00EA37D7"/>
    <w:rsid w:val="00EA438B"/>
    <w:rsid w:val="00EA4786"/>
    <w:rsid w:val="00EA4852"/>
    <w:rsid w:val="00EA4859"/>
    <w:rsid w:val="00EA4E6E"/>
    <w:rsid w:val="00EA4FDB"/>
    <w:rsid w:val="00EA542A"/>
    <w:rsid w:val="00EA570A"/>
    <w:rsid w:val="00EA5FC3"/>
    <w:rsid w:val="00EA6107"/>
    <w:rsid w:val="00EA6217"/>
    <w:rsid w:val="00EA65E2"/>
    <w:rsid w:val="00EA685F"/>
    <w:rsid w:val="00EA6921"/>
    <w:rsid w:val="00EA7142"/>
    <w:rsid w:val="00EA71E5"/>
    <w:rsid w:val="00EA7405"/>
    <w:rsid w:val="00EA757F"/>
    <w:rsid w:val="00EA75A9"/>
    <w:rsid w:val="00EA7893"/>
    <w:rsid w:val="00EA793C"/>
    <w:rsid w:val="00EA7B0E"/>
    <w:rsid w:val="00EA7B17"/>
    <w:rsid w:val="00EA7D6E"/>
    <w:rsid w:val="00EA7EDF"/>
    <w:rsid w:val="00EB03B8"/>
    <w:rsid w:val="00EB063B"/>
    <w:rsid w:val="00EB07BE"/>
    <w:rsid w:val="00EB0B37"/>
    <w:rsid w:val="00EB0CA4"/>
    <w:rsid w:val="00EB0F84"/>
    <w:rsid w:val="00EB1A27"/>
    <w:rsid w:val="00EB1DD4"/>
    <w:rsid w:val="00EB1F5F"/>
    <w:rsid w:val="00EB1FFC"/>
    <w:rsid w:val="00EB2199"/>
    <w:rsid w:val="00EB2345"/>
    <w:rsid w:val="00EB23D7"/>
    <w:rsid w:val="00EB24C8"/>
    <w:rsid w:val="00EB28E2"/>
    <w:rsid w:val="00EB2AB5"/>
    <w:rsid w:val="00EB2C44"/>
    <w:rsid w:val="00EB2CAA"/>
    <w:rsid w:val="00EB2E19"/>
    <w:rsid w:val="00EB2F01"/>
    <w:rsid w:val="00EB2F8F"/>
    <w:rsid w:val="00EB2F97"/>
    <w:rsid w:val="00EB2FC0"/>
    <w:rsid w:val="00EB3305"/>
    <w:rsid w:val="00EB37B6"/>
    <w:rsid w:val="00EB3EA2"/>
    <w:rsid w:val="00EB3F14"/>
    <w:rsid w:val="00EB496A"/>
    <w:rsid w:val="00EB4E1D"/>
    <w:rsid w:val="00EB56B3"/>
    <w:rsid w:val="00EB5946"/>
    <w:rsid w:val="00EB5980"/>
    <w:rsid w:val="00EB5CCB"/>
    <w:rsid w:val="00EB63CD"/>
    <w:rsid w:val="00EB65F6"/>
    <w:rsid w:val="00EB6636"/>
    <w:rsid w:val="00EB6B9A"/>
    <w:rsid w:val="00EB6CF4"/>
    <w:rsid w:val="00EB6F14"/>
    <w:rsid w:val="00EB7077"/>
    <w:rsid w:val="00EB7124"/>
    <w:rsid w:val="00EB74DF"/>
    <w:rsid w:val="00EB7B2B"/>
    <w:rsid w:val="00EB7F06"/>
    <w:rsid w:val="00EB7FB6"/>
    <w:rsid w:val="00EC024E"/>
    <w:rsid w:val="00EC0579"/>
    <w:rsid w:val="00EC05B1"/>
    <w:rsid w:val="00EC261B"/>
    <w:rsid w:val="00EC2726"/>
    <w:rsid w:val="00EC2876"/>
    <w:rsid w:val="00EC35E0"/>
    <w:rsid w:val="00EC3897"/>
    <w:rsid w:val="00EC38F5"/>
    <w:rsid w:val="00EC3C33"/>
    <w:rsid w:val="00EC3CAC"/>
    <w:rsid w:val="00EC3DFD"/>
    <w:rsid w:val="00EC4037"/>
    <w:rsid w:val="00EC41CB"/>
    <w:rsid w:val="00EC4305"/>
    <w:rsid w:val="00EC43B9"/>
    <w:rsid w:val="00EC4534"/>
    <w:rsid w:val="00EC4754"/>
    <w:rsid w:val="00EC47E1"/>
    <w:rsid w:val="00EC4B95"/>
    <w:rsid w:val="00EC4BBA"/>
    <w:rsid w:val="00EC4CAA"/>
    <w:rsid w:val="00EC4E6A"/>
    <w:rsid w:val="00EC557C"/>
    <w:rsid w:val="00EC5623"/>
    <w:rsid w:val="00EC57C5"/>
    <w:rsid w:val="00EC5D13"/>
    <w:rsid w:val="00EC5FAA"/>
    <w:rsid w:val="00EC6A0D"/>
    <w:rsid w:val="00EC6A36"/>
    <w:rsid w:val="00EC7071"/>
    <w:rsid w:val="00EC7085"/>
    <w:rsid w:val="00EC7164"/>
    <w:rsid w:val="00EC7F95"/>
    <w:rsid w:val="00ED0544"/>
    <w:rsid w:val="00ED09CA"/>
    <w:rsid w:val="00ED1BE1"/>
    <w:rsid w:val="00ED1D3C"/>
    <w:rsid w:val="00ED2369"/>
    <w:rsid w:val="00ED23A3"/>
    <w:rsid w:val="00ED2BEB"/>
    <w:rsid w:val="00ED2C18"/>
    <w:rsid w:val="00ED2E69"/>
    <w:rsid w:val="00ED2ED8"/>
    <w:rsid w:val="00ED2FD7"/>
    <w:rsid w:val="00ED3603"/>
    <w:rsid w:val="00ED36ED"/>
    <w:rsid w:val="00ED3733"/>
    <w:rsid w:val="00ED4004"/>
    <w:rsid w:val="00ED41C8"/>
    <w:rsid w:val="00ED472B"/>
    <w:rsid w:val="00ED4B4F"/>
    <w:rsid w:val="00ED4BEA"/>
    <w:rsid w:val="00ED4E6A"/>
    <w:rsid w:val="00ED4F04"/>
    <w:rsid w:val="00ED5493"/>
    <w:rsid w:val="00ED54BE"/>
    <w:rsid w:val="00ED5694"/>
    <w:rsid w:val="00ED57F9"/>
    <w:rsid w:val="00ED5E15"/>
    <w:rsid w:val="00ED5F23"/>
    <w:rsid w:val="00ED6633"/>
    <w:rsid w:val="00ED681E"/>
    <w:rsid w:val="00ED69CF"/>
    <w:rsid w:val="00ED6BCD"/>
    <w:rsid w:val="00ED71BB"/>
    <w:rsid w:val="00ED7252"/>
    <w:rsid w:val="00ED73B3"/>
    <w:rsid w:val="00ED7565"/>
    <w:rsid w:val="00ED7A98"/>
    <w:rsid w:val="00ED7AE2"/>
    <w:rsid w:val="00EE04AE"/>
    <w:rsid w:val="00EE0600"/>
    <w:rsid w:val="00EE0D9B"/>
    <w:rsid w:val="00EE1790"/>
    <w:rsid w:val="00EE1A4B"/>
    <w:rsid w:val="00EE2EB8"/>
    <w:rsid w:val="00EE2F17"/>
    <w:rsid w:val="00EE3430"/>
    <w:rsid w:val="00EE3CCF"/>
    <w:rsid w:val="00EE588B"/>
    <w:rsid w:val="00EE5BA3"/>
    <w:rsid w:val="00EE5E57"/>
    <w:rsid w:val="00EE640F"/>
    <w:rsid w:val="00EE64FE"/>
    <w:rsid w:val="00EE6C22"/>
    <w:rsid w:val="00EE6C8B"/>
    <w:rsid w:val="00EE6F9F"/>
    <w:rsid w:val="00EE6FBC"/>
    <w:rsid w:val="00EE7107"/>
    <w:rsid w:val="00EE747A"/>
    <w:rsid w:val="00EE7754"/>
    <w:rsid w:val="00EE78F6"/>
    <w:rsid w:val="00EE7BDD"/>
    <w:rsid w:val="00EE7BFB"/>
    <w:rsid w:val="00EE7D72"/>
    <w:rsid w:val="00EE7FD6"/>
    <w:rsid w:val="00EF004D"/>
    <w:rsid w:val="00EF02FE"/>
    <w:rsid w:val="00EF0689"/>
    <w:rsid w:val="00EF0E06"/>
    <w:rsid w:val="00EF2122"/>
    <w:rsid w:val="00EF21D4"/>
    <w:rsid w:val="00EF21D5"/>
    <w:rsid w:val="00EF25A1"/>
    <w:rsid w:val="00EF2D7A"/>
    <w:rsid w:val="00EF2F35"/>
    <w:rsid w:val="00EF31E7"/>
    <w:rsid w:val="00EF3572"/>
    <w:rsid w:val="00EF3649"/>
    <w:rsid w:val="00EF4387"/>
    <w:rsid w:val="00EF4624"/>
    <w:rsid w:val="00EF46EC"/>
    <w:rsid w:val="00EF4951"/>
    <w:rsid w:val="00EF49A3"/>
    <w:rsid w:val="00EF4A75"/>
    <w:rsid w:val="00EF4A8C"/>
    <w:rsid w:val="00EF4C39"/>
    <w:rsid w:val="00EF4D06"/>
    <w:rsid w:val="00EF517F"/>
    <w:rsid w:val="00EF5523"/>
    <w:rsid w:val="00EF568C"/>
    <w:rsid w:val="00EF57FD"/>
    <w:rsid w:val="00EF5ABF"/>
    <w:rsid w:val="00EF5C5D"/>
    <w:rsid w:val="00EF603D"/>
    <w:rsid w:val="00EF6188"/>
    <w:rsid w:val="00EF6308"/>
    <w:rsid w:val="00EF6312"/>
    <w:rsid w:val="00EF64FD"/>
    <w:rsid w:val="00EF68F9"/>
    <w:rsid w:val="00EF6B02"/>
    <w:rsid w:val="00EF73C6"/>
    <w:rsid w:val="00EF7972"/>
    <w:rsid w:val="00F000B7"/>
    <w:rsid w:val="00F00147"/>
    <w:rsid w:val="00F0042A"/>
    <w:rsid w:val="00F00854"/>
    <w:rsid w:val="00F00B53"/>
    <w:rsid w:val="00F00F54"/>
    <w:rsid w:val="00F0114A"/>
    <w:rsid w:val="00F01805"/>
    <w:rsid w:val="00F0186A"/>
    <w:rsid w:val="00F01CC4"/>
    <w:rsid w:val="00F02228"/>
    <w:rsid w:val="00F0225C"/>
    <w:rsid w:val="00F025AE"/>
    <w:rsid w:val="00F025D4"/>
    <w:rsid w:val="00F027F2"/>
    <w:rsid w:val="00F02861"/>
    <w:rsid w:val="00F02A27"/>
    <w:rsid w:val="00F02AC8"/>
    <w:rsid w:val="00F033E0"/>
    <w:rsid w:val="00F03C6B"/>
    <w:rsid w:val="00F03CCE"/>
    <w:rsid w:val="00F03D0A"/>
    <w:rsid w:val="00F03D2B"/>
    <w:rsid w:val="00F046A6"/>
    <w:rsid w:val="00F049A3"/>
    <w:rsid w:val="00F04A86"/>
    <w:rsid w:val="00F04B86"/>
    <w:rsid w:val="00F04C7E"/>
    <w:rsid w:val="00F04EDA"/>
    <w:rsid w:val="00F05015"/>
    <w:rsid w:val="00F05324"/>
    <w:rsid w:val="00F060E9"/>
    <w:rsid w:val="00F06124"/>
    <w:rsid w:val="00F06A95"/>
    <w:rsid w:val="00F06AA2"/>
    <w:rsid w:val="00F06C62"/>
    <w:rsid w:val="00F06F3E"/>
    <w:rsid w:val="00F06F7B"/>
    <w:rsid w:val="00F0723C"/>
    <w:rsid w:val="00F07256"/>
    <w:rsid w:val="00F078FC"/>
    <w:rsid w:val="00F07C32"/>
    <w:rsid w:val="00F07C57"/>
    <w:rsid w:val="00F07D4A"/>
    <w:rsid w:val="00F07F33"/>
    <w:rsid w:val="00F07FD2"/>
    <w:rsid w:val="00F10D83"/>
    <w:rsid w:val="00F111DA"/>
    <w:rsid w:val="00F11574"/>
    <w:rsid w:val="00F11753"/>
    <w:rsid w:val="00F11936"/>
    <w:rsid w:val="00F119CA"/>
    <w:rsid w:val="00F11C7F"/>
    <w:rsid w:val="00F11DA7"/>
    <w:rsid w:val="00F1245E"/>
    <w:rsid w:val="00F12694"/>
    <w:rsid w:val="00F1289B"/>
    <w:rsid w:val="00F12D75"/>
    <w:rsid w:val="00F139F7"/>
    <w:rsid w:val="00F14443"/>
    <w:rsid w:val="00F144B1"/>
    <w:rsid w:val="00F145C9"/>
    <w:rsid w:val="00F1477F"/>
    <w:rsid w:val="00F14B0A"/>
    <w:rsid w:val="00F14C0A"/>
    <w:rsid w:val="00F14C78"/>
    <w:rsid w:val="00F14CC6"/>
    <w:rsid w:val="00F14EC5"/>
    <w:rsid w:val="00F14F01"/>
    <w:rsid w:val="00F15084"/>
    <w:rsid w:val="00F15426"/>
    <w:rsid w:val="00F156AC"/>
    <w:rsid w:val="00F15C10"/>
    <w:rsid w:val="00F15CFF"/>
    <w:rsid w:val="00F168CC"/>
    <w:rsid w:val="00F16F07"/>
    <w:rsid w:val="00F1739C"/>
    <w:rsid w:val="00F1776E"/>
    <w:rsid w:val="00F179CB"/>
    <w:rsid w:val="00F17B3E"/>
    <w:rsid w:val="00F17EA6"/>
    <w:rsid w:val="00F17FF3"/>
    <w:rsid w:val="00F2003C"/>
    <w:rsid w:val="00F200FB"/>
    <w:rsid w:val="00F20504"/>
    <w:rsid w:val="00F20BD6"/>
    <w:rsid w:val="00F20FC1"/>
    <w:rsid w:val="00F214C6"/>
    <w:rsid w:val="00F221DA"/>
    <w:rsid w:val="00F222D1"/>
    <w:rsid w:val="00F2242C"/>
    <w:rsid w:val="00F2251A"/>
    <w:rsid w:val="00F2261A"/>
    <w:rsid w:val="00F226A8"/>
    <w:rsid w:val="00F22B15"/>
    <w:rsid w:val="00F22B33"/>
    <w:rsid w:val="00F22E56"/>
    <w:rsid w:val="00F2313F"/>
    <w:rsid w:val="00F23D46"/>
    <w:rsid w:val="00F24028"/>
    <w:rsid w:val="00F240D4"/>
    <w:rsid w:val="00F24188"/>
    <w:rsid w:val="00F24293"/>
    <w:rsid w:val="00F244F3"/>
    <w:rsid w:val="00F24ABB"/>
    <w:rsid w:val="00F24AD0"/>
    <w:rsid w:val="00F24E20"/>
    <w:rsid w:val="00F25529"/>
    <w:rsid w:val="00F25580"/>
    <w:rsid w:val="00F25A4B"/>
    <w:rsid w:val="00F2620F"/>
    <w:rsid w:val="00F26CA1"/>
    <w:rsid w:val="00F2715D"/>
    <w:rsid w:val="00F2745E"/>
    <w:rsid w:val="00F2759F"/>
    <w:rsid w:val="00F277A9"/>
    <w:rsid w:val="00F27CA6"/>
    <w:rsid w:val="00F27ECA"/>
    <w:rsid w:val="00F30010"/>
    <w:rsid w:val="00F30712"/>
    <w:rsid w:val="00F309A3"/>
    <w:rsid w:val="00F30CC1"/>
    <w:rsid w:val="00F30EB9"/>
    <w:rsid w:val="00F30F99"/>
    <w:rsid w:val="00F31004"/>
    <w:rsid w:val="00F31367"/>
    <w:rsid w:val="00F316B4"/>
    <w:rsid w:val="00F316F9"/>
    <w:rsid w:val="00F31AF2"/>
    <w:rsid w:val="00F31EA9"/>
    <w:rsid w:val="00F32104"/>
    <w:rsid w:val="00F324B8"/>
    <w:rsid w:val="00F328AA"/>
    <w:rsid w:val="00F32D17"/>
    <w:rsid w:val="00F32DBD"/>
    <w:rsid w:val="00F330FE"/>
    <w:rsid w:val="00F3331A"/>
    <w:rsid w:val="00F33543"/>
    <w:rsid w:val="00F33623"/>
    <w:rsid w:val="00F33FEF"/>
    <w:rsid w:val="00F344B0"/>
    <w:rsid w:val="00F347D1"/>
    <w:rsid w:val="00F34E04"/>
    <w:rsid w:val="00F34F13"/>
    <w:rsid w:val="00F3532F"/>
    <w:rsid w:val="00F35590"/>
    <w:rsid w:val="00F35725"/>
    <w:rsid w:val="00F359FA"/>
    <w:rsid w:val="00F35AF0"/>
    <w:rsid w:val="00F35F72"/>
    <w:rsid w:val="00F36633"/>
    <w:rsid w:val="00F366EF"/>
    <w:rsid w:val="00F368C9"/>
    <w:rsid w:val="00F36C0D"/>
    <w:rsid w:val="00F36C4C"/>
    <w:rsid w:val="00F37724"/>
    <w:rsid w:val="00F377D5"/>
    <w:rsid w:val="00F37EDF"/>
    <w:rsid w:val="00F4010A"/>
    <w:rsid w:val="00F403C8"/>
    <w:rsid w:val="00F40753"/>
    <w:rsid w:val="00F40778"/>
    <w:rsid w:val="00F40D6D"/>
    <w:rsid w:val="00F40FAF"/>
    <w:rsid w:val="00F413A0"/>
    <w:rsid w:val="00F41829"/>
    <w:rsid w:val="00F41BC9"/>
    <w:rsid w:val="00F41EE7"/>
    <w:rsid w:val="00F41EEB"/>
    <w:rsid w:val="00F41FFA"/>
    <w:rsid w:val="00F42A3A"/>
    <w:rsid w:val="00F43064"/>
    <w:rsid w:val="00F433D7"/>
    <w:rsid w:val="00F4386C"/>
    <w:rsid w:val="00F43B66"/>
    <w:rsid w:val="00F44402"/>
    <w:rsid w:val="00F44A68"/>
    <w:rsid w:val="00F44B8A"/>
    <w:rsid w:val="00F44E63"/>
    <w:rsid w:val="00F4514A"/>
    <w:rsid w:val="00F457B7"/>
    <w:rsid w:val="00F457D6"/>
    <w:rsid w:val="00F458AF"/>
    <w:rsid w:val="00F45C87"/>
    <w:rsid w:val="00F468AA"/>
    <w:rsid w:val="00F469FE"/>
    <w:rsid w:val="00F46CCC"/>
    <w:rsid w:val="00F46D89"/>
    <w:rsid w:val="00F50615"/>
    <w:rsid w:val="00F506A8"/>
    <w:rsid w:val="00F50813"/>
    <w:rsid w:val="00F5089E"/>
    <w:rsid w:val="00F50E6B"/>
    <w:rsid w:val="00F50E8D"/>
    <w:rsid w:val="00F50FAE"/>
    <w:rsid w:val="00F50FF4"/>
    <w:rsid w:val="00F5163C"/>
    <w:rsid w:val="00F517C7"/>
    <w:rsid w:val="00F51B5A"/>
    <w:rsid w:val="00F51C60"/>
    <w:rsid w:val="00F51CE2"/>
    <w:rsid w:val="00F5243F"/>
    <w:rsid w:val="00F52643"/>
    <w:rsid w:val="00F52FC9"/>
    <w:rsid w:val="00F530B3"/>
    <w:rsid w:val="00F539D8"/>
    <w:rsid w:val="00F53CF2"/>
    <w:rsid w:val="00F541DF"/>
    <w:rsid w:val="00F54205"/>
    <w:rsid w:val="00F549A2"/>
    <w:rsid w:val="00F54C6A"/>
    <w:rsid w:val="00F54E7B"/>
    <w:rsid w:val="00F551EB"/>
    <w:rsid w:val="00F5527D"/>
    <w:rsid w:val="00F5530B"/>
    <w:rsid w:val="00F555EB"/>
    <w:rsid w:val="00F55892"/>
    <w:rsid w:val="00F559E5"/>
    <w:rsid w:val="00F55A1E"/>
    <w:rsid w:val="00F55A47"/>
    <w:rsid w:val="00F55B8D"/>
    <w:rsid w:val="00F56365"/>
    <w:rsid w:val="00F565EB"/>
    <w:rsid w:val="00F56D3B"/>
    <w:rsid w:val="00F5778B"/>
    <w:rsid w:val="00F578ED"/>
    <w:rsid w:val="00F57A5C"/>
    <w:rsid w:val="00F6074D"/>
    <w:rsid w:val="00F6103A"/>
    <w:rsid w:val="00F618C4"/>
    <w:rsid w:val="00F61B12"/>
    <w:rsid w:val="00F61B28"/>
    <w:rsid w:val="00F62A0E"/>
    <w:rsid w:val="00F6324E"/>
    <w:rsid w:val="00F6337A"/>
    <w:rsid w:val="00F633CC"/>
    <w:rsid w:val="00F644B5"/>
    <w:rsid w:val="00F6498A"/>
    <w:rsid w:val="00F64E1B"/>
    <w:rsid w:val="00F6548B"/>
    <w:rsid w:val="00F65986"/>
    <w:rsid w:val="00F65B5C"/>
    <w:rsid w:val="00F65E41"/>
    <w:rsid w:val="00F6658E"/>
    <w:rsid w:val="00F6688F"/>
    <w:rsid w:val="00F66B75"/>
    <w:rsid w:val="00F66BE5"/>
    <w:rsid w:val="00F66C79"/>
    <w:rsid w:val="00F66D86"/>
    <w:rsid w:val="00F677E3"/>
    <w:rsid w:val="00F67AE3"/>
    <w:rsid w:val="00F70031"/>
    <w:rsid w:val="00F70056"/>
    <w:rsid w:val="00F70063"/>
    <w:rsid w:val="00F702B0"/>
    <w:rsid w:val="00F702B7"/>
    <w:rsid w:val="00F703AD"/>
    <w:rsid w:val="00F7041B"/>
    <w:rsid w:val="00F706E8"/>
    <w:rsid w:val="00F7073C"/>
    <w:rsid w:val="00F70A64"/>
    <w:rsid w:val="00F70C34"/>
    <w:rsid w:val="00F714D4"/>
    <w:rsid w:val="00F71560"/>
    <w:rsid w:val="00F719C6"/>
    <w:rsid w:val="00F71F54"/>
    <w:rsid w:val="00F7277A"/>
    <w:rsid w:val="00F729F4"/>
    <w:rsid w:val="00F72CE6"/>
    <w:rsid w:val="00F72E85"/>
    <w:rsid w:val="00F7317A"/>
    <w:rsid w:val="00F73298"/>
    <w:rsid w:val="00F73326"/>
    <w:rsid w:val="00F7390E"/>
    <w:rsid w:val="00F739C3"/>
    <w:rsid w:val="00F74175"/>
    <w:rsid w:val="00F74529"/>
    <w:rsid w:val="00F746E9"/>
    <w:rsid w:val="00F74705"/>
    <w:rsid w:val="00F75303"/>
    <w:rsid w:val="00F75494"/>
    <w:rsid w:val="00F75590"/>
    <w:rsid w:val="00F755A2"/>
    <w:rsid w:val="00F75731"/>
    <w:rsid w:val="00F76031"/>
    <w:rsid w:val="00F76165"/>
    <w:rsid w:val="00F76254"/>
    <w:rsid w:val="00F76502"/>
    <w:rsid w:val="00F7687D"/>
    <w:rsid w:val="00F76C2A"/>
    <w:rsid w:val="00F76CE2"/>
    <w:rsid w:val="00F76DD5"/>
    <w:rsid w:val="00F76E12"/>
    <w:rsid w:val="00F77178"/>
    <w:rsid w:val="00F77436"/>
    <w:rsid w:val="00F777B5"/>
    <w:rsid w:val="00F77BA3"/>
    <w:rsid w:val="00F77DE4"/>
    <w:rsid w:val="00F806FE"/>
    <w:rsid w:val="00F80C1B"/>
    <w:rsid w:val="00F80F12"/>
    <w:rsid w:val="00F8105D"/>
    <w:rsid w:val="00F811C0"/>
    <w:rsid w:val="00F813DF"/>
    <w:rsid w:val="00F814F4"/>
    <w:rsid w:val="00F821E3"/>
    <w:rsid w:val="00F82560"/>
    <w:rsid w:val="00F825CC"/>
    <w:rsid w:val="00F82C3A"/>
    <w:rsid w:val="00F82E7D"/>
    <w:rsid w:val="00F82FD1"/>
    <w:rsid w:val="00F83061"/>
    <w:rsid w:val="00F83484"/>
    <w:rsid w:val="00F83A59"/>
    <w:rsid w:val="00F83AFD"/>
    <w:rsid w:val="00F83E0C"/>
    <w:rsid w:val="00F843D0"/>
    <w:rsid w:val="00F84635"/>
    <w:rsid w:val="00F847C8"/>
    <w:rsid w:val="00F84978"/>
    <w:rsid w:val="00F84981"/>
    <w:rsid w:val="00F84BD0"/>
    <w:rsid w:val="00F84DBC"/>
    <w:rsid w:val="00F85963"/>
    <w:rsid w:val="00F85AD7"/>
    <w:rsid w:val="00F85E7C"/>
    <w:rsid w:val="00F85F8C"/>
    <w:rsid w:val="00F86726"/>
    <w:rsid w:val="00F8698C"/>
    <w:rsid w:val="00F86FEB"/>
    <w:rsid w:val="00F8735C"/>
    <w:rsid w:val="00F87C7A"/>
    <w:rsid w:val="00F87FE6"/>
    <w:rsid w:val="00F90047"/>
    <w:rsid w:val="00F9015A"/>
    <w:rsid w:val="00F9042B"/>
    <w:rsid w:val="00F90485"/>
    <w:rsid w:val="00F90650"/>
    <w:rsid w:val="00F907AF"/>
    <w:rsid w:val="00F90A2F"/>
    <w:rsid w:val="00F91713"/>
    <w:rsid w:val="00F91D74"/>
    <w:rsid w:val="00F921FB"/>
    <w:rsid w:val="00F922C5"/>
    <w:rsid w:val="00F924BA"/>
    <w:rsid w:val="00F926A2"/>
    <w:rsid w:val="00F929BD"/>
    <w:rsid w:val="00F92E0C"/>
    <w:rsid w:val="00F94003"/>
    <w:rsid w:val="00F94066"/>
    <w:rsid w:val="00F94858"/>
    <w:rsid w:val="00F94D78"/>
    <w:rsid w:val="00F94E30"/>
    <w:rsid w:val="00F94F41"/>
    <w:rsid w:val="00F950E3"/>
    <w:rsid w:val="00F950F5"/>
    <w:rsid w:val="00F954B1"/>
    <w:rsid w:val="00F9570B"/>
    <w:rsid w:val="00F95844"/>
    <w:rsid w:val="00F95D9A"/>
    <w:rsid w:val="00F95E4C"/>
    <w:rsid w:val="00F96037"/>
    <w:rsid w:val="00F960C8"/>
    <w:rsid w:val="00F9646E"/>
    <w:rsid w:val="00F96944"/>
    <w:rsid w:val="00F96E71"/>
    <w:rsid w:val="00F97705"/>
    <w:rsid w:val="00F97E95"/>
    <w:rsid w:val="00F9D6E6"/>
    <w:rsid w:val="00FA0240"/>
    <w:rsid w:val="00FA0370"/>
    <w:rsid w:val="00FA05F2"/>
    <w:rsid w:val="00FA086F"/>
    <w:rsid w:val="00FA0962"/>
    <w:rsid w:val="00FA0994"/>
    <w:rsid w:val="00FA0B7E"/>
    <w:rsid w:val="00FA0E1C"/>
    <w:rsid w:val="00FA0FCF"/>
    <w:rsid w:val="00FA1290"/>
    <w:rsid w:val="00FA12ED"/>
    <w:rsid w:val="00FA1367"/>
    <w:rsid w:val="00FA1975"/>
    <w:rsid w:val="00FA19B8"/>
    <w:rsid w:val="00FA1BC4"/>
    <w:rsid w:val="00FA203C"/>
    <w:rsid w:val="00FA253F"/>
    <w:rsid w:val="00FA2653"/>
    <w:rsid w:val="00FA26C5"/>
    <w:rsid w:val="00FA2BFB"/>
    <w:rsid w:val="00FA2ED0"/>
    <w:rsid w:val="00FA2EE3"/>
    <w:rsid w:val="00FA336A"/>
    <w:rsid w:val="00FA3973"/>
    <w:rsid w:val="00FA3A77"/>
    <w:rsid w:val="00FA3B4B"/>
    <w:rsid w:val="00FA3E88"/>
    <w:rsid w:val="00FA40C8"/>
    <w:rsid w:val="00FA41B9"/>
    <w:rsid w:val="00FA4213"/>
    <w:rsid w:val="00FA44D0"/>
    <w:rsid w:val="00FA4740"/>
    <w:rsid w:val="00FA4F58"/>
    <w:rsid w:val="00FA555F"/>
    <w:rsid w:val="00FA59A8"/>
    <w:rsid w:val="00FA5C30"/>
    <w:rsid w:val="00FA6378"/>
    <w:rsid w:val="00FA6706"/>
    <w:rsid w:val="00FA674E"/>
    <w:rsid w:val="00FA6A72"/>
    <w:rsid w:val="00FA6AAA"/>
    <w:rsid w:val="00FA6C42"/>
    <w:rsid w:val="00FA71EC"/>
    <w:rsid w:val="00FA7E5C"/>
    <w:rsid w:val="00FA7FF8"/>
    <w:rsid w:val="00FB0458"/>
    <w:rsid w:val="00FB0BED"/>
    <w:rsid w:val="00FB0EB0"/>
    <w:rsid w:val="00FB0F62"/>
    <w:rsid w:val="00FB13BA"/>
    <w:rsid w:val="00FB17CD"/>
    <w:rsid w:val="00FB1A33"/>
    <w:rsid w:val="00FB1CFF"/>
    <w:rsid w:val="00FB1DCE"/>
    <w:rsid w:val="00FB2246"/>
    <w:rsid w:val="00FB259A"/>
    <w:rsid w:val="00FB25BB"/>
    <w:rsid w:val="00FB2F42"/>
    <w:rsid w:val="00FB2F7C"/>
    <w:rsid w:val="00FB3101"/>
    <w:rsid w:val="00FB340B"/>
    <w:rsid w:val="00FB3881"/>
    <w:rsid w:val="00FB38F2"/>
    <w:rsid w:val="00FB3C9B"/>
    <w:rsid w:val="00FB42B1"/>
    <w:rsid w:val="00FB42D1"/>
    <w:rsid w:val="00FB42F9"/>
    <w:rsid w:val="00FB4388"/>
    <w:rsid w:val="00FB44DB"/>
    <w:rsid w:val="00FB475A"/>
    <w:rsid w:val="00FB48E0"/>
    <w:rsid w:val="00FB4F67"/>
    <w:rsid w:val="00FB51ED"/>
    <w:rsid w:val="00FB530D"/>
    <w:rsid w:val="00FB54A6"/>
    <w:rsid w:val="00FB5B66"/>
    <w:rsid w:val="00FB6105"/>
    <w:rsid w:val="00FB630B"/>
    <w:rsid w:val="00FB7562"/>
    <w:rsid w:val="00FB7D7B"/>
    <w:rsid w:val="00FB7F64"/>
    <w:rsid w:val="00FC0012"/>
    <w:rsid w:val="00FC0564"/>
    <w:rsid w:val="00FC06EF"/>
    <w:rsid w:val="00FC0895"/>
    <w:rsid w:val="00FC0ED6"/>
    <w:rsid w:val="00FC0F25"/>
    <w:rsid w:val="00FC125C"/>
    <w:rsid w:val="00FC1408"/>
    <w:rsid w:val="00FC1948"/>
    <w:rsid w:val="00FC1A76"/>
    <w:rsid w:val="00FC26A2"/>
    <w:rsid w:val="00FC2DA5"/>
    <w:rsid w:val="00FC318C"/>
    <w:rsid w:val="00FC31CC"/>
    <w:rsid w:val="00FC3422"/>
    <w:rsid w:val="00FC34A7"/>
    <w:rsid w:val="00FC36A7"/>
    <w:rsid w:val="00FC36B4"/>
    <w:rsid w:val="00FC3760"/>
    <w:rsid w:val="00FC409D"/>
    <w:rsid w:val="00FC44FA"/>
    <w:rsid w:val="00FC4609"/>
    <w:rsid w:val="00FC4688"/>
    <w:rsid w:val="00FC48B0"/>
    <w:rsid w:val="00FC51A5"/>
    <w:rsid w:val="00FC525C"/>
    <w:rsid w:val="00FC52AC"/>
    <w:rsid w:val="00FC55E9"/>
    <w:rsid w:val="00FC5603"/>
    <w:rsid w:val="00FC587C"/>
    <w:rsid w:val="00FC5ACC"/>
    <w:rsid w:val="00FC5BF8"/>
    <w:rsid w:val="00FC63AB"/>
    <w:rsid w:val="00FC672F"/>
    <w:rsid w:val="00FC6BA7"/>
    <w:rsid w:val="00FC6F59"/>
    <w:rsid w:val="00FC73F2"/>
    <w:rsid w:val="00FC78CA"/>
    <w:rsid w:val="00FC7904"/>
    <w:rsid w:val="00FC795E"/>
    <w:rsid w:val="00FC7A43"/>
    <w:rsid w:val="00FC7A7C"/>
    <w:rsid w:val="00FD009B"/>
    <w:rsid w:val="00FD03DB"/>
    <w:rsid w:val="00FD03E3"/>
    <w:rsid w:val="00FD0613"/>
    <w:rsid w:val="00FD0753"/>
    <w:rsid w:val="00FD07E3"/>
    <w:rsid w:val="00FD0904"/>
    <w:rsid w:val="00FD0E3F"/>
    <w:rsid w:val="00FD1143"/>
    <w:rsid w:val="00FD11DD"/>
    <w:rsid w:val="00FD1BA1"/>
    <w:rsid w:val="00FD279B"/>
    <w:rsid w:val="00FD29CB"/>
    <w:rsid w:val="00FD3739"/>
    <w:rsid w:val="00FD37AF"/>
    <w:rsid w:val="00FD392A"/>
    <w:rsid w:val="00FD3D7E"/>
    <w:rsid w:val="00FD3FB9"/>
    <w:rsid w:val="00FD4FFB"/>
    <w:rsid w:val="00FD556D"/>
    <w:rsid w:val="00FD55E5"/>
    <w:rsid w:val="00FD6442"/>
    <w:rsid w:val="00FD6A08"/>
    <w:rsid w:val="00FD6ACD"/>
    <w:rsid w:val="00FD7109"/>
    <w:rsid w:val="00FD7A06"/>
    <w:rsid w:val="00FD7BEC"/>
    <w:rsid w:val="00FD7C7E"/>
    <w:rsid w:val="00FD7DE0"/>
    <w:rsid w:val="00FE0349"/>
    <w:rsid w:val="00FE05E7"/>
    <w:rsid w:val="00FE065F"/>
    <w:rsid w:val="00FE09EC"/>
    <w:rsid w:val="00FE0C65"/>
    <w:rsid w:val="00FE172C"/>
    <w:rsid w:val="00FE1850"/>
    <w:rsid w:val="00FE1869"/>
    <w:rsid w:val="00FE1C8C"/>
    <w:rsid w:val="00FE1D04"/>
    <w:rsid w:val="00FE1E0D"/>
    <w:rsid w:val="00FE1E8A"/>
    <w:rsid w:val="00FE25B7"/>
    <w:rsid w:val="00FE2FA6"/>
    <w:rsid w:val="00FE306F"/>
    <w:rsid w:val="00FE37EE"/>
    <w:rsid w:val="00FE3919"/>
    <w:rsid w:val="00FE3957"/>
    <w:rsid w:val="00FE40DD"/>
    <w:rsid w:val="00FE40E9"/>
    <w:rsid w:val="00FE49D3"/>
    <w:rsid w:val="00FE4B3F"/>
    <w:rsid w:val="00FE5238"/>
    <w:rsid w:val="00FE52F6"/>
    <w:rsid w:val="00FE5415"/>
    <w:rsid w:val="00FE56CC"/>
    <w:rsid w:val="00FE58F7"/>
    <w:rsid w:val="00FE5B6D"/>
    <w:rsid w:val="00FE5C88"/>
    <w:rsid w:val="00FE5DE9"/>
    <w:rsid w:val="00FE5EF1"/>
    <w:rsid w:val="00FE6423"/>
    <w:rsid w:val="00FE6C67"/>
    <w:rsid w:val="00FE6DD9"/>
    <w:rsid w:val="00FE7295"/>
    <w:rsid w:val="00FE7718"/>
    <w:rsid w:val="00FE7D85"/>
    <w:rsid w:val="00FF0428"/>
    <w:rsid w:val="00FF08BD"/>
    <w:rsid w:val="00FF0B85"/>
    <w:rsid w:val="00FF1864"/>
    <w:rsid w:val="00FF1B94"/>
    <w:rsid w:val="00FF1D81"/>
    <w:rsid w:val="00FF24D2"/>
    <w:rsid w:val="00FF24E0"/>
    <w:rsid w:val="00FF26FE"/>
    <w:rsid w:val="00FF2869"/>
    <w:rsid w:val="00FF2962"/>
    <w:rsid w:val="00FF3145"/>
    <w:rsid w:val="00FF347B"/>
    <w:rsid w:val="00FF35C4"/>
    <w:rsid w:val="00FF40D7"/>
    <w:rsid w:val="00FF44C2"/>
    <w:rsid w:val="00FF4C82"/>
    <w:rsid w:val="00FF4FBB"/>
    <w:rsid w:val="00FF5113"/>
    <w:rsid w:val="00FF53E6"/>
    <w:rsid w:val="00FF5575"/>
    <w:rsid w:val="00FF69C3"/>
    <w:rsid w:val="00FF6ACC"/>
    <w:rsid w:val="00FF6C83"/>
    <w:rsid w:val="00FF6FFB"/>
    <w:rsid w:val="00FF70AF"/>
    <w:rsid w:val="00FF7524"/>
    <w:rsid w:val="00FF78C1"/>
    <w:rsid w:val="00FF7AB0"/>
    <w:rsid w:val="00FF7DCB"/>
    <w:rsid w:val="00FF7DEB"/>
    <w:rsid w:val="0106BFE4"/>
    <w:rsid w:val="01080528"/>
    <w:rsid w:val="01082481"/>
    <w:rsid w:val="0109C57D"/>
    <w:rsid w:val="0113D579"/>
    <w:rsid w:val="0116AF23"/>
    <w:rsid w:val="0124EA78"/>
    <w:rsid w:val="012A23C8"/>
    <w:rsid w:val="012F262F"/>
    <w:rsid w:val="013C23CD"/>
    <w:rsid w:val="013F88E8"/>
    <w:rsid w:val="01492D47"/>
    <w:rsid w:val="0152A5ED"/>
    <w:rsid w:val="0156E693"/>
    <w:rsid w:val="0157B7DA"/>
    <w:rsid w:val="016502E8"/>
    <w:rsid w:val="016AA018"/>
    <w:rsid w:val="016B2E05"/>
    <w:rsid w:val="01731EE8"/>
    <w:rsid w:val="017C32DA"/>
    <w:rsid w:val="0180BD32"/>
    <w:rsid w:val="01827FA0"/>
    <w:rsid w:val="01863FA2"/>
    <w:rsid w:val="018B1F35"/>
    <w:rsid w:val="018D2648"/>
    <w:rsid w:val="0193C640"/>
    <w:rsid w:val="019DA72C"/>
    <w:rsid w:val="01A05A6F"/>
    <w:rsid w:val="01A16FD1"/>
    <w:rsid w:val="01A8CD28"/>
    <w:rsid w:val="01AAA53A"/>
    <w:rsid w:val="01AF9649"/>
    <w:rsid w:val="01B0597C"/>
    <w:rsid w:val="01B694DE"/>
    <w:rsid w:val="01B7F0F3"/>
    <w:rsid w:val="01BDDEC5"/>
    <w:rsid w:val="01C45EDA"/>
    <w:rsid w:val="01C85161"/>
    <w:rsid w:val="01D03261"/>
    <w:rsid w:val="01D4D1FC"/>
    <w:rsid w:val="01D683B9"/>
    <w:rsid w:val="01DEC1C6"/>
    <w:rsid w:val="01EAFC14"/>
    <w:rsid w:val="01EB77C3"/>
    <w:rsid w:val="01ED909A"/>
    <w:rsid w:val="01EF8E1B"/>
    <w:rsid w:val="01F27EB5"/>
    <w:rsid w:val="0205B0E6"/>
    <w:rsid w:val="020CAD08"/>
    <w:rsid w:val="02108890"/>
    <w:rsid w:val="02138CCC"/>
    <w:rsid w:val="021F2BE8"/>
    <w:rsid w:val="0220BC94"/>
    <w:rsid w:val="02229541"/>
    <w:rsid w:val="022C5874"/>
    <w:rsid w:val="022EF62D"/>
    <w:rsid w:val="0231FDA5"/>
    <w:rsid w:val="023A0A29"/>
    <w:rsid w:val="023D8379"/>
    <w:rsid w:val="023F4E98"/>
    <w:rsid w:val="0240A41D"/>
    <w:rsid w:val="02466E09"/>
    <w:rsid w:val="024719ED"/>
    <w:rsid w:val="024B46D6"/>
    <w:rsid w:val="024BC984"/>
    <w:rsid w:val="0263DF46"/>
    <w:rsid w:val="026C1355"/>
    <w:rsid w:val="026EE804"/>
    <w:rsid w:val="027CE1C5"/>
    <w:rsid w:val="02824359"/>
    <w:rsid w:val="0288E5A5"/>
    <w:rsid w:val="028A3608"/>
    <w:rsid w:val="028BDA34"/>
    <w:rsid w:val="0294A658"/>
    <w:rsid w:val="02A1105F"/>
    <w:rsid w:val="02A138BC"/>
    <w:rsid w:val="02A3C79B"/>
    <w:rsid w:val="02AAE0E4"/>
    <w:rsid w:val="02AD88A4"/>
    <w:rsid w:val="02BB8F6D"/>
    <w:rsid w:val="02C5C518"/>
    <w:rsid w:val="02C89373"/>
    <w:rsid w:val="02D42634"/>
    <w:rsid w:val="02D44C63"/>
    <w:rsid w:val="02DD3C3F"/>
    <w:rsid w:val="02E580D8"/>
    <w:rsid w:val="02F229A7"/>
    <w:rsid w:val="02F351CC"/>
    <w:rsid w:val="02F94BE5"/>
    <w:rsid w:val="03000A95"/>
    <w:rsid w:val="0305FE62"/>
    <w:rsid w:val="031354B6"/>
    <w:rsid w:val="031AE74C"/>
    <w:rsid w:val="0322B0CC"/>
    <w:rsid w:val="03284CE2"/>
    <w:rsid w:val="032AD831"/>
    <w:rsid w:val="0333FD66"/>
    <w:rsid w:val="03375616"/>
    <w:rsid w:val="03382809"/>
    <w:rsid w:val="034086C9"/>
    <w:rsid w:val="034B66AA"/>
    <w:rsid w:val="035182BB"/>
    <w:rsid w:val="0353703B"/>
    <w:rsid w:val="035AFC38"/>
    <w:rsid w:val="035E6BE4"/>
    <w:rsid w:val="03609188"/>
    <w:rsid w:val="0363439B"/>
    <w:rsid w:val="0364196D"/>
    <w:rsid w:val="0365D351"/>
    <w:rsid w:val="036B72E8"/>
    <w:rsid w:val="036CDF2A"/>
    <w:rsid w:val="0374EFA4"/>
    <w:rsid w:val="03754CD5"/>
    <w:rsid w:val="037ACF13"/>
    <w:rsid w:val="038530E2"/>
    <w:rsid w:val="039256E3"/>
    <w:rsid w:val="0393CAAD"/>
    <w:rsid w:val="039D25D6"/>
    <w:rsid w:val="03A8B1AF"/>
    <w:rsid w:val="03AA4025"/>
    <w:rsid w:val="03AAE7E7"/>
    <w:rsid w:val="03AE011E"/>
    <w:rsid w:val="03AF7730"/>
    <w:rsid w:val="03B60BE4"/>
    <w:rsid w:val="03B667F5"/>
    <w:rsid w:val="03B82C75"/>
    <w:rsid w:val="03BB0061"/>
    <w:rsid w:val="03BF2842"/>
    <w:rsid w:val="03C3C159"/>
    <w:rsid w:val="03CFF30B"/>
    <w:rsid w:val="03D0C9BD"/>
    <w:rsid w:val="03D32FF2"/>
    <w:rsid w:val="03DB3259"/>
    <w:rsid w:val="03DBB6C0"/>
    <w:rsid w:val="03DEB501"/>
    <w:rsid w:val="03E00D0A"/>
    <w:rsid w:val="03E02024"/>
    <w:rsid w:val="03E8462F"/>
    <w:rsid w:val="03E8F3C6"/>
    <w:rsid w:val="03EAE93E"/>
    <w:rsid w:val="03EC5554"/>
    <w:rsid w:val="03ED43B2"/>
    <w:rsid w:val="03FECEB7"/>
    <w:rsid w:val="04075CCA"/>
    <w:rsid w:val="0408164D"/>
    <w:rsid w:val="040E81A7"/>
    <w:rsid w:val="040E901F"/>
    <w:rsid w:val="04146794"/>
    <w:rsid w:val="041BA5D3"/>
    <w:rsid w:val="0421C727"/>
    <w:rsid w:val="042F209C"/>
    <w:rsid w:val="0434EF4B"/>
    <w:rsid w:val="0439EA7D"/>
    <w:rsid w:val="043AE785"/>
    <w:rsid w:val="043AFF9E"/>
    <w:rsid w:val="0441055F"/>
    <w:rsid w:val="0441CB65"/>
    <w:rsid w:val="044477CE"/>
    <w:rsid w:val="0449BDDE"/>
    <w:rsid w:val="045CA3D6"/>
    <w:rsid w:val="045D1AFF"/>
    <w:rsid w:val="045EBDE3"/>
    <w:rsid w:val="04613F8B"/>
    <w:rsid w:val="04645C77"/>
    <w:rsid w:val="046AA318"/>
    <w:rsid w:val="0475FDCD"/>
    <w:rsid w:val="047734C0"/>
    <w:rsid w:val="04783E44"/>
    <w:rsid w:val="0479B9BC"/>
    <w:rsid w:val="047A8C45"/>
    <w:rsid w:val="0489F536"/>
    <w:rsid w:val="048C0481"/>
    <w:rsid w:val="049030F0"/>
    <w:rsid w:val="04969E41"/>
    <w:rsid w:val="04B56C17"/>
    <w:rsid w:val="04CE6D36"/>
    <w:rsid w:val="04CFB913"/>
    <w:rsid w:val="04D1690C"/>
    <w:rsid w:val="04DB56C4"/>
    <w:rsid w:val="04DD9839"/>
    <w:rsid w:val="04E2391F"/>
    <w:rsid w:val="04E9C599"/>
    <w:rsid w:val="04EE9311"/>
    <w:rsid w:val="04F9CD20"/>
    <w:rsid w:val="04FCF5ED"/>
    <w:rsid w:val="04FEF161"/>
    <w:rsid w:val="050AB3EF"/>
    <w:rsid w:val="051741B3"/>
    <w:rsid w:val="0522237C"/>
    <w:rsid w:val="0522B071"/>
    <w:rsid w:val="05256C4F"/>
    <w:rsid w:val="0525C50C"/>
    <w:rsid w:val="052D67ED"/>
    <w:rsid w:val="053B6487"/>
    <w:rsid w:val="054023B5"/>
    <w:rsid w:val="054E9120"/>
    <w:rsid w:val="054F54E6"/>
    <w:rsid w:val="054F5E91"/>
    <w:rsid w:val="0557BF90"/>
    <w:rsid w:val="05659321"/>
    <w:rsid w:val="0565D06E"/>
    <w:rsid w:val="056B1F0C"/>
    <w:rsid w:val="056D4B72"/>
    <w:rsid w:val="0571EE3C"/>
    <w:rsid w:val="0574B1BA"/>
    <w:rsid w:val="0579D0BB"/>
    <w:rsid w:val="05850BC4"/>
    <w:rsid w:val="0594E572"/>
    <w:rsid w:val="05A6460B"/>
    <w:rsid w:val="05A7C3F2"/>
    <w:rsid w:val="05AEFA60"/>
    <w:rsid w:val="05B21E9A"/>
    <w:rsid w:val="05B3ED9D"/>
    <w:rsid w:val="05B94533"/>
    <w:rsid w:val="05BA69D1"/>
    <w:rsid w:val="05DB0F27"/>
    <w:rsid w:val="05E319C7"/>
    <w:rsid w:val="05E90DD1"/>
    <w:rsid w:val="05EEC3C1"/>
    <w:rsid w:val="05F64D43"/>
    <w:rsid w:val="05FBBF05"/>
    <w:rsid w:val="05FE8D96"/>
    <w:rsid w:val="0602B251"/>
    <w:rsid w:val="060C6DD6"/>
    <w:rsid w:val="06195E0E"/>
    <w:rsid w:val="0619EE53"/>
    <w:rsid w:val="061A5324"/>
    <w:rsid w:val="061E83A8"/>
    <w:rsid w:val="062D5702"/>
    <w:rsid w:val="0635AC9E"/>
    <w:rsid w:val="06397768"/>
    <w:rsid w:val="0646C9C9"/>
    <w:rsid w:val="065CC527"/>
    <w:rsid w:val="0662FC86"/>
    <w:rsid w:val="06651940"/>
    <w:rsid w:val="06693D0A"/>
    <w:rsid w:val="066E3EB6"/>
    <w:rsid w:val="0671CB86"/>
    <w:rsid w:val="06741E9E"/>
    <w:rsid w:val="06749544"/>
    <w:rsid w:val="06784D39"/>
    <w:rsid w:val="067A44D7"/>
    <w:rsid w:val="06806714"/>
    <w:rsid w:val="068F51CD"/>
    <w:rsid w:val="06929F6B"/>
    <w:rsid w:val="0695B663"/>
    <w:rsid w:val="069CE7CB"/>
    <w:rsid w:val="06A1B0E3"/>
    <w:rsid w:val="06A3A222"/>
    <w:rsid w:val="06A47FEC"/>
    <w:rsid w:val="06A7E794"/>
    <w:rsid w:val="06B15E4B"/>
    <w:rsid w:val="06B49124"/>
    <w:rsid w:val="06B769FF"/>
    <w:rsid w:val="06BC35E5"/>
    <w:rsid w:val="06D405BB"/>
    <w:rsid w:val="06E576AA"/>
    <w:rsid w:val="07042DA6"/>
    <w:rsid w:val="0706EA12"/>
    <w:rsid w:val="07082983"/>
    <w:rsid w:val="070B5BC7"/>
    <w:rsid w:val="070C93A6"/>
    <w:rsid w:val="07118FB9"/>
    <w:rsid w:val="071CC4F5"/>
    <w:rsid w:val="0725C0D0"/>
    <w:rsid w:val="072AACC6"/>
    <w:rsid w:val="0732A588"/>
    <w:rsid w:val="073CF8AF"/>
    <w:rsid w:val="073CFDB3"/>
    <w:rsid w:val="07400211"/>
    <w:rsid w:val="07454FAB"/>
    <w:rsid w:val="0750760B"/>
    <w:rsid w:val="075115AA"/>
    <w:rsid w:val="07519499"/>
    <w:rsid w:val="0752C59F"/>
    <w:rsid w:val="0759D557"/>
    <w:rsid w:val="075B3EF4"/>
    <w:rsid w:val="07626AC9"/>
    <w:rsid w:val="0763BDD6"/>
    <w:rsid w:val="0767C09D"/>
    <w:rsid w:val="0769EAE7"/>
    <w:rsid w:val="076B8CE2"/>
    <w:rsid w:val="076BFCFE"/>
    <w:rsid w:val="076C8C2C"/>
    <w:rsid w:val="076E3786"/>
    <w:rsid w:val="07765967"/>
    <w:rsid w:val="077C3E51"/>
    <w:rsid w:val="077E751E"/>
    <w:rsid w:val="07897484"/>
    <w:rsid w:val="078E1DDA"/>
    <w:rsid w:val="079940F1"/>
    <w:rsid w:val="07A66B97"/>
    <w:rsid w:val="07A75D1E"/>
    <w:rsid w:val="07A8D283"/>
    <w:rsid w:val="07ABEA8D"/>
    <w:rsid w:val="07B07CC6"/>
    <w:rsid w:val="07B0C709"/>
    <w:rsid w:val="07B2B301"/>
    <w:rsid w:val="07B57F1D"/>
    <w:rsid w:val="07BCEEC4"/>
    <w:rsid w:val="07CCAB23"/>
    <w:rsid w:val="07CF08A8"/>
    <w:rsid w:val="07D5F1A7"/>
    <w:rsid w:val="07DCAC5B"/>
    <w:rsid w:val="07DF30E7"/>
    <w:rsid w:val="07E4F411"/>
    <w:rsid w:val="07E5FD3E"/>
    <w:rsid w:val="07E9181E"/>
    <w:rsid w:val="07ECD7F4"/>
    <w:rsid w:val="07EDBEB2"/>
    <w:rsid w:val="080ABE20"/>
    <w:rsid w:val="080C938A"/>
    <w:rsid w:val="0810E654"/>
    <w:rsid w:val="08134B63"/>
    <w:rsid w:val="08168F29"/>
    <w:rsid w:val="082915F2"/>
    <w:rsid w:val="082E5B1B"/>
    <w:rsid w:val="08353DD2"/>
    <w:rsid w:val="0837C4E2"/>
    <w:rsid w:val="08450C8E"/>
    <w:rsid w:val="08678043"/>
    <w:rsid w:val="086D3C67"/>
    <w:rsid w:val="08746771"/>
    <w:rsid w:val="087DD180"/>
    <w:rsid w:val="087F4DDF"/>
    <w:rsid w:val="0882AEB7"/>
    <w:rsid w:val="08857D4A"/>
    <w:rsid w:val="0889389A"/>
    <w:rsid w:val="088AA321"/>
    <w:rsid w:val="088E033C"/>
    <w:rsid w:val="0894AFEB"/>
    <w:rsid w:val="08A000BC"/>
    <w:rsid w:val="08BBCAD7"/>
    <w:rsid w:val="08BF85CB"/>
    <w:rsid w:val="08D912B8"/>
    <w:rsid w:val="08DA4264"/>
    <w:rsid w:val="08DBD272"/>
    <w:rsid w:val="08DC3FE3"/>
    <w:rsid w:val="08EE04C9"/>
    <w:rsid w:val="08F5C13A"/>
    <w:rsid w:val="0914342B"/>
    <w:rsid w:val="091A5D23"/>
    <w:rsid w:val="092091ED"/>
    <w:rsid w:val="0926EBDF"/>
    <w:rsid w:val="092DE2A6"/>
    <w:rsid w:val="0933DF4A"/>
    <w:rsid w:val="09377170"/>
    <w:rsid w:val="0941FE00"/>
    <w:rsid w:val="094864A2"/>
    <w:rsid w:val="09487A71"/>
    <w:rsid w:val="0950FED0"/>
    <w:rsid w:val="0954E08D"/>
    <w:rsid w:val="09666B39"/>
    <w:rsid w:val="09689D99"/>
    <w:rsid w:val="097A5046"/>
    <w:rsid w:val="097CE14F"/>
    <w:rsid w:val="097EDD5C"/>
    <w:rsid w:val="097F5E84"/>
    <w:rsid w:val="0986FF63"/>
    <w:rsid w:val="098784D1"/>
    <w:rsid w:val="0987A3B2"/>
    <w:rsid w:val="098E133A"/>
    <w:rsid w:val="09940176"/>
    <w:rsid w:val="09951FD6"/>
    <w:rsid w:val="09966058"/>
    <w:rsid w:val="099F11EA"/>
    <w:rsid w:val="09A23F01"/>
    <w:rsid w:val="09A3306B"/>
    <w:rsid w:val="09AC79B4"/>
    <w:rsid w:val="09B319E0"/>
    <w:rsid w:val="09B32D9D"/>
    <w:rsid w:val="09B45933"/>
    <w:rsid w:val="09B57A48"/>
    <w:rsid w:val="09B818CC"/>
    <w:rsid w:val="09BD5A7C"/>
    <w:rsid w:val="09BE5B2F"/>
    <w:rsid w:val="09C1B0E7"/>
    <w:rsid w:val="09C47176"/>
    <w:rsid w:val="09D40591"/>
    <w:rsid w:val="09DAD242"/>
    <w:rsid w:val="09DEF4E3"/>
    <w:rsid w:val="09E6A21A"/>
    <w:rsid w:val="09EE2FB6"/>
    <w:rsid w:val="09F8E5C6"/>
    <w:rsid w:val="0A06F63C"/>
    <w:rsid w:val="0A0BC5F9"/>
    <w:rsid w:val="0A17D51D"/>
    <w:rsid w:val="0A27B828"/>
    <w:rsid w:val="0A2D26C5"/>
    <w:rsid w:val="0A30294E"/>
    <w:rsid w:val="0A32DD09"/>
    <w:rsid w:val="0A3FCB0D"/>
    <w:rsid w:val="0A42A7B1"/>
    <w:rsid w:val="0A430A56"/>
    <w:rsid w:val="0A444B3A"/>
    <w:rsid w:val="0A4583C7"/>
    <w:rsid w:val="0A45F5DA"/>
    <w:rsid w:val="0A48585F"/>
    <w:rsid w:val="0A49BE25"/>
    <w:rsid w:val="0A4F6109"/>
    <w:rsid w:val="0A5BE9A0"/>
    <w:rsid w:val="0A624F2D"/>
    <w:rsid w:val="0A70DA7D"/>
    <w:rsid w:val="0A751D05"/>
    <w:rsid w:val="0A7B2C4A"/>
    <w:rsid w:val="0A87E565"/>
    <w:rsid w:val="0A894D2B"/>
    <w:rsid w:val="0A999E65"/>
    <w:rsid w:val="0A9F0174"/>
    <w:rsid w:val="0AA0D68E"/>
    <w:rsid w:val="0AA84F18"/>
    <w:rsid w:val="0AAF67B9"/>
    <w:rsid w:val="0AB9AD1E"/>
    <w:rsid w:val="0ABB4700"/>
    <w:rsid w:val="0AC56976"/>
    <w:rsid w:val="0AC87E59"/>
    <w:rsid w:val="0AC8C57E"/>
    <w:rsid w:val="0AC8D3E9"/>
    <w:rsid w:val="0ACA0391"/>
    <w:rsid w:val="0ACA03BA"/>
    <w:rsid w:val="0AD99089"/>
    <w:rsid w:val="0AE95C0C"/>
    <w:rsid w:val="0AE9B736"/>
    <w:rsid w:val="0AEC7F56"/>
    <w:rsid w:val="0AEEA0DC"/>
    <w:rsid w:val="0AF64955"/>
    <w:rsid w:val="0B019EF9"/>
    <w:rsid w:val="0B01CD84"/>
    <w:rsid w:val="0B1759F1"/>
    <w:rsid w:val="0B18534B"/>
    <w:rsid w:val="0B191CB6"/>
    <w:rsid w:val="0B1A4E86"/>
    <w:rsid w:val="0B1A6B21"/>
    <w:rsid w:val="0B23F2E5"/>
    <w:rsid w:val="0B2619F4"/>
    <w:rsid w:val="0B2BC4E4"/>
    <w:rsid w:val="0B309629"/>
    <w:rsid w:val="0B3AF7A0"/>
    <w:rsid w:val="0B3CDB98"/>
    <w:rsid w:val="0B3F62CF"/>
    <w:rsid w:val="0B4442CB"/>
    <w:rsid w:val="0B482F7A"/>
    <w:rsid w:val="0B4BBB03"/>
    <w:rsid w:val="0B50B440"/>
    <w:rsid w:val="0B543A7C"/>
    <w:rsid w:val="0B556BCE"/>
    <w:rsid w:val="0B56A1CF"/>
    <w:rsid w:val="0B5A96E5"/>
    <w:rsid w:val="0B64A105"/>
    <w:rsid w:val="0B64B429"/>
    <w:rsid w:val="0B6954D7"/>
    <w:rsid w:val="0B6F3B12"/>
    <w:rsid w:val="0B72C9D7"/>
    <w:rsid w:val="0B75B36A"/>
    <w:rsid w:val="0B7F6229"/>
    <w:rsid w:val="0B82C238"/>
    <w:rsid w:val="0B833314"/>
    <w:rsid w:val="0B866935"/>
    <w:rsid w:val="0B86EA71"/>
    <w:rsid w:val="0B8905E1"/>
    <w:rsid w:val="0B8ED0B9"/>
    <w:rsid w:val="0B9738FB"/>
    <w:rsid w:val="0B9D3750"/>
    <w:rsid w:val="0BA1E379"/>
    <w:rsid w:val="0BA72277"/>
    <w:rsid w:val="0BAA74FA"/>
    <w:rsid w:val="0BB1CF1C"/>
    <w:rsid w:val="0BB31E4D"/>
    <w:rsid w:val="0BC0457B"/>
    <w:rsid w:val="0BD0147F"/>
    <w:rsid w:val="0BD9795B"/>
    <w:rsid w:val="0BDA3C68"/>
    <w:rsid w:val="0BE48217"/>
    <w:rsid w:val="0BEF26C4"/>
    <w:rsid w:val="0BF71C38"/>
    <w:rsid w:val="0C001CF8"/>
    <w:rsid w:val="0C031C1E"/>
    <w:rsid w:val="0C036797"/>
    <w:rsid w:val="0C1F2E9B"/>
    <w:rsid w:val="0C23B5C6"/>
    <w:rsid w:val="0C27E4F5"/>
    <w:rsid w:val="0C2EA525"/>
    <w:rsid w:val="0C3346F8"/>
    <w:rsid w:val="0C3D8B12"/>
    <w:rsid w:val="0C441E71"/>
    <w:rsid w:val="0C48A292"/>
    <w:rsid w:val="0C4CD06E"/>
    <w:rsid w:val="0C4FAAF6"/>
    <w:rsid w:val="0C51B856"/>
    <w:rsid w:val="0C54FBD8"/>
    <w:rsid w:val="0C55CCAB"/>
    <w:rsid w:val="0C55DB2D"/>
    <w:rsid w:val="0C58D80B"/>
    <w:rsid w:val="0C5B048A"/>
    <w:rsid w:val="0C5DC8DF"/>
    <w:rsid w:val="0C5F285D"/>
    <w:rsid w:val="0C641B2C"/>
    <w:rsid w:val="0C6A6327"/>
    <w:rsid w:val="0C7978D3"/>
    <w:rsid w:val="0C7D8C57"/>
    <w:rsid w:val="0C8CF743"/>
    <w:rsid w:val="0C8DB434"/>
    <w:rsid w:val="0C8F445D"/>
    <w:rsid w:val="0C9C638D"/>
    <w:rsid w:val="0C9F25BD"/>
    <w:rsid w:val="0CA36A3B"/>
    <w:rsid w:val="0CA76185"/>
    <w:rsid w:val="0CA89022"/>
    <w:rsid w:val="0CB172E1"/>
    <w:rsid w:val="0CB28739"/>
    <w:rsid w:val="0CB417C2"/>
    <w:rsid w:val="0CB47B7D"/>
    <w:rsid w:val="0CB4F04B"/>
    <w:rsid w:val="0CBABC80"/>
    <w:rsid w:val="0CC53D45"/>
    <w:rsid w:val="0CCB8DFD"/>
    <w:rsid w:val="0CCDFCBA"/>
    <w:rsid w:val="0CCFA9F5"/>
    <w:rsid w:val="0CD6C395"/>
    <w:rsid w:val="0CDC60AE"/>
    <w:rsid w:val="0CDEE1E2"/>
    <w:rsid w:val="0CE6974D"/>
    <w:rsid w:val="0CEC4833"/>
    <w:rsid w:val="0CEF5FF3"/>
    <w:rsid w:val="0CEF8A59"/>
    <w:rsid w:val="0CF009B8"/>
    <w:rsid w:val="0CF24F04"/>
    <w:rsid w:val="0CFB094D"/>
    <w:rsid w:val="0CFB2448"/>
    <w:rsid w:val="0CFC06B6"/>
    <w:rsid w:val="0CFC173F"/>
    <w:rsid w:val="0CFC8715"/>
    <w:rsid w:val="0D014A15"/>
    <w:rsid w:val="0D01F613"/>
    <w:rsid w:val="0D025BF5"/>
    <w:rsid w:val="0D02DB1F"/>
    <w:rsid w:val="0D0C6159"/>
    <w:rsid w:val="0D0C9AE0"/>
    <w:rsid w:val="0D10C4F4"/>
    <w:rsid w:val="0D12828D"/>
    <w:rsid w:val="0D1A807C"/>
    <w:rsid w:val="0D1CF500"/>
    <w:rsid w:val="0D26F5C0"/>
    <w:rsid w:val="0D3E490E"/>
    <w:rsid w:val="0D408342"/>
    <w:rsid w:val="0D4A06A2"/>
    <w:rsid w:val="0D4B9AC5"/>
    <w:rsid w:val="0D4CCC2E"/>
    <w:rsid w:val="0D4F4620"/>
    <w:rsid w:val="0D4FA58E"/>
    <w:rsid w:val="0D639EC7"/>
    <w:rsid w:val="0D6E9B94"/>
    <w:rsid w:val="0D720536"/>
    <w:rsid w:val="0D726D25"/>
    <w:rsid w:val="0D76253C"/>
    <w:rsid w:val="0D80A8A4"/>
    <w:rsid w:val="0D92A372"/>
    <w:rsid w:val="0D94E692"/>
    <w:rsid w:val="0D95E8E4"/>
    <w:rsid w:val="0DA13E24"/>
    <w:rsid w:val="0DAAAFEC"/>
    <w:rsid w:val="0DAF4395"/>
    <w:rsid w:val="0DB0A34B"/>
    <w:rsid w:val="0DBFC674"/>
    <w:rsid w:val="0DC0C576"/>
    <w:rsid w:val="0DC957BE"/>
    <w:rsid w:val="0DD3CC00"/>
    <w:rsid w:val="0DD4B6C9"/>
    <w:rsid w:val="0DD4C1BD"/>
    <w:rsid w:val="0DE8E9AE"/>
    <w:rsid w:val="0DEC6C54"/>
    <w:rsid w:val="0DEC6E1D"/>
    <w:rsid w:val="0DFE075B"/>
    <w:rsid w:val="0DFF4E05"/>
    <w:rsid w:val="0E006A56"/>
    <w:rsid w:val="0E05542E"/>
    <w:rsid w:val="0E0E320D"/>
    <w:rsid w:val="0E0F40E3"/>
    <w:rsid w:val="0E10BF95"/>
    <w:rsid w:val="0E11D10F"/>
    <w:rsid w:val="0E1AEC56"/>
    <w:rsid w:val="0E1CEBD0"/>
    <w:rsid w:val="0E2073E4"/>
    <w:rsid w:val="0E22A085"/>
    <w:rsid w:val="0E261E33"/>
    <w:rsid w:val="0E28B902"/>
    <w:rsid w:val="0E294395"/>
    <w:rsid w:val="0E29B822"/>
    <w:rsid w:val="0E2CBAED"/>
    <w:rsid w:val="0E393FBB"/>
    <w:rsid w:val="0E3AEA70"/>
    <w:rsid w:val="0E49601B"/>
    <w:rsid w:val="0E4BFA62"/>
    <w:rsid w:val="0E4D5BB1"/>
    <w:rsid w:val="0E5DD98D"/>
    <w:rsid w:val="0E656E0B"/>
    <w:rsid w:val="0E65B41F"/>
    <w:rsid w:val="0E662FE7"/>
    <w:rsid w:val="0E6837F2"/>
    <w:rsid w:val="0E6A4B90"/>
    <w:rsid w:val="0E70A54A"/>
    <w:rsid w:val="0E74F633"/>
    <w:rsid w:val="0E7DA0E2"/>
    <w:rsid w:val="0E800438"/>
    <w:rsid w:val="0E850A1D"/>
    <w:rsid w:val="0E88E186"/>
    <w:rsid w:val="0E8C36F9"/>
    <w:rsid w:val="0E8F65CD"/>
    <w:rsid w:val="0E985776"/>
    <w:rsid w:val="0E9C410A"/>
    <w:rsid w:val="0E9D4DB0"/>
    <w:rsid w:val="0EAD9386"/>
    <w:rsid w:val="0EADE5F6"/>
    <w:rsid w:val="0EB11AA2"/>
    <w:rsid w:val="0EB4D3DD"/>
    <w:rsid w:val="0EB52BA7"/>
    <w:rsid w:val="0EB9E185"/>
    <w:rsid w:val="0EBB0EF0"/>
    <w:rsid w:val="0EC84E81"/>
    <w:rsid w:val="0ED07B77"/>
    <w:rsid w:val="0ED0C84A"/>
    <w:rsid w:val="0EDA5887"/>
    <w:rsid w:val="0EDC913D"/>
    <w:rsid w:val="0EDD1AF1"/>
    <w:rsid w:val="0EDF1D07"/>
    <w:rsid w:val="0EE18AEE"/>
    <w:rsid w:val="0EE292E6"/>
    <w:rsid w:val="0EE5C452"/>
    <w:rsid w:val="0EEA5D2A"/>
    <w:rsid w:val="0EFAFFA3"/>
    <w:rsid w:val="0F00A7A9"/>
    <w:rsid w:val="0F04C71E"/>
    <w:rsid w:val="0F056E81"/>
    <w:rsid w:val="0F0C9776"/>
    <w:rsid w:val="0F19067C"/>
    <w:rsid w:val="0F1B3A3C"/>
    <w:rsid w:val="0F250701"/>
    <w:rsid w:val="0F311F34"/>
    <w:rsid w:val="0F35A165"/>
    <w:rsid w:val="0F3A09A4"/>
    <w:rsid w:val="0F40A2C3"/>
    <w:rsid w:val="0F4F8631"/>
    <w:rsid w:val="0F59B2C9"/>
    <w:rsid w:val="0F6AD911"/>
    <w:rsid w:val="0F6D7CAE"/>
    <w:rsid w:val="0F6E8DD9"/>
    <w:rsid w:val="0F6F2DFA"/>
    <w:rsid w:val="0F77D93B"/>
    <w:rsid w:val="0F793C75"/>
    <w:rsid w:val="0F794201"/>
    <w:rsid w:val="0F7F1E23"/>
    <w:rsid w:val="0F7F20CC"/>
    <w:rsid w:val="0F8299E9"/>
    <w:rsid w:val="0F914939"/>
    <w:rsid w:val="0F91F182"/>
    <w:rsid w:val="0F95E8E7"/>
    <w:rsid w:val="0F964B77"/>
    <w:rsid w:val="0F9C48EB"/>
    <w:rsid w:val="0FB108DE"/>
    <w:rsid w:val="0FB417B3"/>
    <w:rsid w:val="0FBC776E"/>
    <w:rsid w:val="0FBF19CF"/>
    <w:rsid w:val="0FC1DF49"/>
    <w:rsid w:val="0FC6B5EE"/>
    <w:rsid w:val="0FCA54EC"/>
    <w:rsid w:val="0FCCC472"/>
    <w:rsid w:val="0FD03EF2"/>
    <w:rsid w:val="0FDE3CC3"/>
    <w:rsid w:val="0FE3DAD5"/>
    <w:rsid w:val="0FE6ED03"/>
    <w:rsid w:val="0FE8482A"/>
    <w:rsid w:val="0FEF8D9B"/>
    <w:rsid w:val="0FF70394"/>
    <w:rsid w:val="0FF87C99"/>
    <w:rsid w:val="10029F3F"/>
    <w:rsid w:val="10035EE3"/>
    <w:rsid w:val="100AA8EB"/>
    <w:rsid w:val="100FDE0B"/>
    <w:rsid w:val="101946C0"/>
    <w:rsid w:val="101D719A"/>
    <w:rsid w:val="101E6953"/>
    <w:rsid w:val="102056E3"/>
    <w:rsid w:val="1020EAAF"/>
    <w:rsid w:val="1022E699"/>
    <w:rsid w:val="10241ABB"/>
    <w:rsid w:val="102AD41F"/>
    <w:rsid w:val="102AE67E"/>
    <w:rsid w:val="102CD5A3"/>
    <w:rsid w:val="1035D56B"/>
    <w:rsid w:val="10392E4D"/>
    <w:rsid w:val="1041F672"/>
    <w:rsid w:val="104636F7"/>
    <w:rsid w:val="10466ADE"/>
    <w:rsid w:val="104A8CC0"/>
    <w:rsid w:val="104AF912"/>
    <w:rsid w:val="105071C4"/>
    <w:rsid w:val="105D0427"/>
    <w:rsid w:val="1063D198"/>
    <w:rsid w:val="1068A8B2"/>
    <w:rsid w:val="10773BC0"/>
    <w:rsid w:val="107B90C7"/>
    <w:rsid w:val="107B93C0"/>
    <w:rsid w:val="109B5318"/>
    <w:rsid w:val="109CD3C7"/>
    <w:rsid w:val="109E8EB9"/>
    <w:rsid w:val="109FA08C"/>
    <w:rsid w:val="10A6654A"/>
    <w:rsid w:val="10A66FD1"/>
    <w:rsid w:val="10AB382B"/>
    <w:rsid w:val="10AC698D"/>
    <w:rsid w:val="10ACCC05"/>
    <w:rsid w:val="10AD1399"/>
    <w:rsid w:val="10BAAD10"/>
    <w:rsid w:val="10BAF60D"/>
    <w:rsid w:val="10BCD336"/>
    <w:rsid w:val="10C54311"/>
    <w:rsid w:val="10C979A2"/>
    <w:rsid w:val="10D84C21"/>
    <w:rsid w:val="10E394D7"/>
    <w:rsid w:val="10EA3A4E"/>
    <w:rsid w:val="10EAAE15"/>
    <w:rsid w:val="10EABB25"/>
    <w:rsid w:val="10EAEB26"/>
    <w:rsid w:val="10F66626"/>
    <w:rsid w:val="10F866DB"/>
    <w:rsid w:val="10F91B23"/>
    <w:rsid w:val="10FE28EC"/>
    <w:rsid w:val="10FFF229"/>
    <w:rsid w:val="10FFFCC2"/>
    <w:rsid w:val="11017323"/>
    <w:rsid w:val="1109010D"/>
    <w:rsid w:val="110953D2"/>
    <w:rsid w:val="111119AE"/>
    <w:rsid w:val="11112810"/>
    <w:rsid w:val="111A37D5"/>
    <w:rsid w:val="111D1CC8"/>
    <w:rsid w:val="111D4A0E"/>
    <w:rsid w:val="111E0890"/>
    <w:rsid w:val="11289249"/>
    <w:rsid w:val="11299AB4"/>
    <w:rsid w:val="112AA5BF"/>
    <w:rsid w:val="112B2B45"/>
    <w:rsid w:val="1130E052"/>
    <w:rsid w:val="113A352F"/>
    <w:rsid w:val="113BC449"/>
    <w:rsid w:val="114AA6BA"/>
    <w:rsid w:val="1156C887"/>
    <w:rsid w:val="11583BA2"/>
    <w:rsid w:val="115A9292"/>
    <w:rsid w:val="115D9BEA"/>
    <w:rsid w:val="11693737"/>
    <w:rsid w:val="116B2E18"/>
    <w:rsid w:val="116B6992"/>
    <w:rsid w:val="116B9A40"/>
    <w:rsid w:val="11744D7D"/>
    <w:rsid w:val="117F70BB"/>
    <w:rsid w:val="1187FDA0"/>
    <w:rsid w:val="118A1D14"/>
    <w:rsid w:val="1192AB55"/>
    <w:rsid w:val="1192C10D"/>
    <w:rsid w:val="1196789D"/>
    <w:rsid w:val="119768AB"/>
    <w:rsid w:val="11A3F7BC"/>
    <w:rsid w:val="11A4138F"/>
    <w:rsid w:val="11A52B6D"/>
    <w:rsid w:val="11ABD83F"/>
    <w:rsid w:val="11B3E590"/>
    <w:rsid w:val="11BEA6B0"/>
    <w:rsid w:val="11C24F9D"/>
    <w:rsid w:val="11C73065"/>
    <w:rsid w:val="11CA7343"/>
    <w:rsid w:val="11CD353D"/>
    <w:rsid w:val="11CDA3D7"/>
    <w:rsid w:val="11CDCD6C"/>
    <w:rsid w:val="11D32760"/>
    <w:rsid w:val="11D3E1CC"/>
    <w:rsid w:val="11D4FEAE"/>
    <w:rsid w:val="11D97077"/>
    <w:rsid w:val="11DCAD3E"/>
    <w:rsid w:val="11DE0B57"/>
    <w:rsid w:val="11E163AC"/>
    <w:rsid w:val="11EC4225"/>
    <w:rsid w:val="11F2E34C"/>
    <w:rsid w:val="11F7DB1E"/>
    <w:rsid w:val="11FC367E"/>
    <w:rsid w:val="12009292"/>
    <w:rsid w:val="1202634E"/>
    <w:rsid w:val="120EF590"/>
    <w:rsid w:val="12109D9F"/>
    <w:rsid w:val="12187332"/>
    <w:rsid w:val="1221E271"/>
    <w:rsid w:val="1222A45D"/>
    <w:rsid w:val="122BD2E3"/>
    <w:rsid w:val="1233D4E3"/>
    <w:rsid w:val="1242B08B"/>
    <w:rsid w:val="124509FE"/>
    <w:rsid w:val="124FBEDE"/>
    <w:rsid w:val="125DA2AF"/>
    <w:rsid w:val="126B6C06"/>
    <w:rsid w:val="1271B72F"/>
    <w:rsid w:val="1276F68F"/>
    <w:rsid w:val="127C8569"/>
    <w:rsid w:val="127E3E33"/>
    <w:rsid w:val="128E0A4C"/>
    <w:rsid w:val="128E50F7"/>
    <w:rsid w:val="12936E18"/>
    <w:rsid w:val="129459DA"/>
    <w:rsid w:val="129AB65F"/>
    <w:rsid w:val="129C689E"/>
    <w:rsid w:val="129E3A06"/>
    <w:rsid w:val="12A177C3"/>
    <w:rsid w:val="12A1E2D1"/>
    <w:rsid w:val="12ABB596"/>
    <w:rsid w:val="12B08C35"/>
    <w:rsid w:val="12B26F55"/>
    <w:rsid w:val="12B82B1C"/>
    <w:rsid w:val="12D97ACC"/>
    <w:rsid w:val="12E1A142"/>
    <w:rsid w:val="12E23898"/>
    <w:rsid w:val="12E682BB"/>
    <w:rsid w:val="12E6E299"/>
    <w:rsid w:val="12F07FAE"/>
    <w:rsid w:val="12F611A8"/>
    <w:rsid w:val="12FC0F3E"/>
    <w:rsid w:val="12FD7B54"/>
    <w:rsid w:val="13044AFD"/>
    <w:rsid w:val="130674E5"/>
    <w:rsid w:val="130B3688"/>
    <w:rsid w:val="13158A07"/>
    <w:rsid w:val="1316CBB9"/>
    <w:rsid w:val="131A510F"/>
    <w:rsid w:val="131F7B13"/>
    <w:rsid w:val="131FED0F"/>
    <w:rsid w:val="13223CEA"/>
    <w:rsid w:val="132A09B3"/>
    <w:rsid w:val="132B5810"/>
    <w:rsid w:val="133EF605"/>
    <w:rsid w:val="1344A9CA"/>
    <w:rsid w:val="1347BD4D"/>
    <w:rsid w:val="134D9B6F"/>
    <w:rsid w:val="134E8FD7"/>
    <w:rsid w:val="13576460"/>
    <w:rsid w:val="135B9B33"/>
    <w:rsid w:val="135DD34D"/>
    <w:rsid w:val="136536F6"/>
    <w:rsid w:val="13675B47"/>
    <w:rsid w:val="1374CE0F"/>
    <w:rsid w:val="137711D7"/>
    <w:rsid w:val="137964E0"/>
    <w:rsid w:val="137C4427"/>
    <w:rsid w:val="137C9CAF"/>
    <w:rsid w:val="137EFB25"/>
    <w:rsid w:val="137F8084"/>
    <w:rsid w:val="1382AF1B"/>
    <w:rsid w:val="1385FEE2"/>
    <w:rsid w:val="13876A02"/>
    <w:rsid w:val="13880A33"/>
    <w:rsid w:val="138F500B"/>
    <w:rsid w:val="139293DC"/>
    <w:rsid w:val="13931A35"/>
    <w:rsid w:val="13959B80"/>
    <w:rsid w:val="13966153"/>
    <w:rsid w:val="13993C47"/>
    <w:rsid w:val="13A2E340"/>
    <w:rsid w:val="13A4F14A"/>
    <w:rsid w:val="13A78D54"/>
    <w:rsid w:val="13AF9AAA"/>
    <w:rsid w:val="13B3F719"/>
    <w:rsid w:val="13C34632"/>
    <w:rsid w:val="13CC0475"/>
    <w:rsid w:val="13D98566"/>
    <w:rsid w:val="13E70337"/>
    <w:rsid w:val="13EA565A"/>
    <w:rsid w:val="13ED6190"/>
    <w:rsid w:val="13F5AF91"/>
    <w:rsid w:val="13F7A61E"/>
    <w:rsid w:val="140116AD"/>
    <w:rsid w:val="14088622"/>
    <w:rsid w:val="140C2C54"/>
    <w:rsid w:val="14152792"/>
    <w:rsid w:val="141895EC"/>
    <w:rsid w:val="141E4B92"/>
    <w:rsid w:val="1420BEAB"/>
    <w:rsid w:val="1422B944"/>
    <w:rsid w:val="14302602"/>
    <w:rsid w:val="143263C8"/>
    <w:rsid w:val="1438AFBC"/>
    <w:rsid w:val="14475CEA"/>
    <w:rsid w:val="144FAD88"/>
    <w:rsid w:val="1459A7E2"/>
    <w:rsid w:val="145A556C"/>
    <w:rsid w:val="145E27EA"/>
    <w:rsid w:val="14618B73"/>
    <w:rsid w:val="1462F7D8"/>
    <w:rsid w:val="14667805"/>
    <w:rsid w:val="1466D8BC"/>
    <w:rsid w:val="1468B2D8"/>
    <w:rsid w:val="14691BC6"/>
    <w:rsid w:val="1469B1E5"/>
    <w:rsid w:val="146C786F"/>
    <w:rsid w:val="14816FE0"/>
    <w:rsid w:val="14818A46"/>
    <w:rsid w:val="1484ECD7"/>
    <w:rsid w:val="1488BCB2"/>
    <w:rsid w:val="1492124D"/>
    <w:rsid w:val="14923B70"/>
    <w:rsid w:val="149447B7"/>
    <w:rsid w:val="149AF945"/>
    <w:rsid w:val="149CA6FA"/>
    <w:rsid w:val="14A5D151"/>
    <w:rsid w:val="14B7BF78"/>
    <w:rsid w:val="14BE2E97"/>
    <w:rsid w:val="14C1AB6A"/>
    <w:rsid w:val="14C21C18"/>
    <w:rsid w:val="14CECC2E"/>
    <w:rsid w:val="14D0C9F6"/>
    <w:rsid w:val="14D0D56D"/>
    <w:rsid w:val="14D3D35D"/>
    <w:rsid w:val="14D79250"/>
    <w:rsid w:val="14DAB2C4"/>
    <w:rsid w:val="14E9AB04"/>
    <w:rsid w:val="14F77E56"/>
    <w:rsid w:val="14FA42E1"/>
    <w:rsid w:val="150205FA"/>
    <w:rsid w:val="1508E219"/>
    <w:rsid w:val="150EA0AC"/>
    <w:rsid w:val="15147574"/>
    <w:rsid w:val="151AE006"/>
    <w:rsid w:val="1520904E"/>
    <w:rsid w:val="152242F2"/>
    <w:rsid w:val="1530DB7F"/>
    <w:rsid w:val="1537D25D"/>
    <w:rsid w:val="153D4CB9"/>
    <w:rsid w:val="15420D41"/>
    <w:rsid w:val="155013F4"/>
    <w:rsid w:val="15536091"/>
    <w:rsid w:val="1573B026"/>
    <w:rsid w:val="1578E378"/>
    <w:rsid w:val="1586CAFA"/>
    <w:rsid w:val="1590F19E"/>
    <w:rsid w:val="15940E36"/>
    <w:rsid w:val="15955A27"/>
    <w:rsid w:val="15AAEFC0"/>
    <w:rsid w:val="15B024CC"/>
    <w:rsid w:val="15B4989A"/>
    <w:rsid w:val="15B987F9"/>
    <w:rsid w:val="15BADE5B"/>
    <w:rsid w:val="15BFEBDE"/>
    <w:rsid w:val="15C6552F"/>
    <w:rsid w:val="15C727B2"/>
    <w:rsid w:val="15C91FC2"/>
    <w:rsid w:val="15CBD9AA"/>
    <w:rsid w:val="15CDEB07"/>
    <w:rsid w:val="15D20E9A"/>
    <w:rsid w:val="15D25959"/>
    <w:rsid w:val="15D409BB"/>
    <w:rsid w:val="15D73061"/>
    <w:rsid w:val="15DA00D1"/>
    <w:rsid w:val="15DA088F"/>
    <w:rsid w:val="15E09707"/>
    <w:rsid w:val="15E9EAFB"/>
    <w:rsid w:val="15F79F62"/>
    <w:rsid w:val="15FC5419"/>
    <w:rsid w:val="160B6456"/>
    <w:rsid w:val="160F6C56"/>
    <w:rsid w:val="1619CA55"/>
    <w:rsid w:val="1629CEB5"/>
    <w:rsid w:val="16310D26"/>
    <w:rsid w:val="163DAD6B"/>
    <w:rsid w:val="164C7DCD"/>
    <w:rsid w:val="164D6492"/>
    <w:rsid w:val="16543F3B"/>
    <w:rsid w:val="1654B796"/>
    <w:rsid w:val="16604AE4"/>
    <w:rsid w:val="166E6DCE"/>
    <w:rsid w:val="16724329"/>
    <w:rsid w:val="16798F14"/>
    <w:rsid w:val="168D143C"/>
    <w:rsid w:val="1695750D"/>
    <w:rsid w:val="16A3075C"/>
    <w:rsid w:val="16AA32B2"/>
    <w:rsid w:val="16B0BA18"/>
    <w:rsid w:val="16BA8363"/>
    <w:rsid w:val="16CA27BC"/>
    <w:rsid w:val="16CE7F8E"/>
    <w:rsid w:val="16CFDE84"/>
    <w:rsid w:val="16D2B58F"/>
    <w:rsid w:val="16D5D6F9"/>
    <w:rsid w:val="16E08F8F"/>
    <w:rsid w:val="16E0F4A2"/>
    <w:rsid w:val="16EAE9AD"/>
    <w:rsid w:val="16EDAF6E"/>
    <w:rsid w:val="16F10C2A"/>
    <w:rsid w:val="16F3BFB9"/>
    <w:rsid w:val="16F728A4"/>
    <w:rsid w:val="16FCE904"/>
    <w:rsid w:val="16FDAE38"/>
    <w:rsid w:val="16FDF2C2"/>
    <w:rsid w:val="17034CC8"/>
    <w:rsid w:val="1705C4DA"/>
    <w:rsid w:val="17062B86"/>
    <w:rsid w:val="17079572"/>
    <w:rsid w:val="17123088"/>
    <w:rsid w:val="17143EA0"/>
    <w:rsid w:val="1716DA99"/>
    <w:rsid w:val="171C0E7A"/>
    <w:rsid w:val="1720C235"/>
    <w:rsid w:val="17218ABA"/>
    <w:rsid w:val="1723E5F6"/>
    <w:rsid w:val="1729326B"/>
    <w:rsid w:val="172FAC54"/>
    <w:rsid w:val="173772AD"/>
    <w:rsid w:val="1744412A"/>
    <w:rsid w:val="174D4743"/>
    <w:rsid w:val="174FAE96"/>
    <w:rsid w:val="175270A4"/>
    <w:rsid w:val="176B4FF5"/>
    <w:rsid w:val="177623C1"/>
    <w:rsid w:val="177F3C50"/>
    <w:rsid w:val="177FDCCE"/>
    <w:rsid w:val="177FF43B"/>
    <w:rsid w:val="1780F7C5"/>
    <w:rsid w:val="1788B303"/>
    <w:rsid w:val="178FA3F2"/>
    <w:rsid w:val="17931F40"/>
    <w:rsid w:val="1796CFB4"/>
    <w:rsid w:val="17A5C4D7"/>
    <w:rsid w:val="17A62137"/>
    <w:rsid w:val="17B1BC98"/>
    <w:rsid w:val="17B2F0BA"/>
    <w:rsid w:val="17B8A3BE"/>
    <w:rsid w:val="17B9CAAC"/>
    <w:rsid w:val="17BD0BBF"/>
    <w:rsid w:val="17BFB367"/>
    <w:rsid w:val="17C5083D"/>
    <w:rsid w:val="17CCB83E"/>
    <w:rsid w:val="17D1C3DB"/>
    <w:rsid w:val="17D5080D"/>
    <w:rsid w:val="17D8ED66"/>
    <w:rsid w:val="17E09963"/>
    <w:rsid w:val="17E09F15"/>
    <w:rsid w:val="17E6EB52"/>
    <w:rsid w:val="17EEDA31"/>
    <w:rsid w:val="17F06957"/>
    <w:rsid w:val="17F7891F"/>
    <w:rsid w:val="17FC7E3E"/>
    <w:rsid w:val="17FF7E56"/>
    <w:rsid w:val="180253F2"/>
    <w:rsid w:val="18059DA0"/>
    <w:rsid w:val="1807C3A2"/>
    <w:rsid w:val="180CB7A7"/>
    <w:rsid w:val="180E6860"/>
    <w:rsid w:val="18250B65"/>
    <w:rsid w:val="18255966"/>
    <w:rsid w:val="18451E0D"/>
    <w:rsid w:val="1848FC73"/>
    <w:rsid w:val="184930D6"/>
    <w:rsid w:val="185474BF"/>
    <w:rsid w:val="1857ECA0"/>
    <w:rsid w:val="186815A9"/>
    <w:rsid w:val="186C1A17"/>
    <w:rsid w:val="1870944B"/>
    <w:rsid w:val="1874A9B9"/>
    <w:rsid w:val="1875824A"/>
    <w:rsid w:val="188D00CC"/>
    <w:rsid w:val="18B08B94"/>
    <w:rsid w:val="18B205A2"/>
    <w:rsid w:val="18B9F385"/>
    <w:rsid w:val="18BA9880"/>
    <w:rsid w:val="18BF6E68"/>
    <w:rsid w:val="18C23266"/>
    <w:rsid w:val="18C6C9EE"/>
    <w:rsid w:val="18D32C83"/>
    <w:rsid w:val="18D7A891"/>
    <w:rsid w:val="18DAD077"/>
    <w:rsid w:val="18DD94B3"/>
    <w:rsid w:val="18E0BB65"/>
    <w:rsid w:val="18E30429"/>
    <w:rsid w:val="18F79D63"/>
    <w:rsid w:val="19095E5C"/>
    <w:rsid w:val="1912A0BE"/>
    <w:rsid w:val="19200C62"/>
    <w:rsid w:val="1920E4AB"/>
    <w:rsid w:val="1924ACD3"/>
    <w:rsid w:val="1929C71A"/>
    <w:rsid w:val="19353704"/>
    <w:rsid w:val="1939E1A7"/>
    <w:rsid w:val="193CB1B6"/>
    <w:rsid w:val="19410DF7"/>
    <w:rsid w:val="1941E3B8"/>
    <w:rsid w:val="19427B06"/>
    <w:rsid w:val="195521FE"/>
    <w:rsid w:val="19558654"/>
    <w:rsid w:val="1959B21B"/>
    <w:rsid w:val="195BCA04"/>
    <w:rsid w:val="195DF0F4"/>
    <w:rsid w:val="19613431"/>
    <w:rsid w:val="19619F37"/>
    <w:rsid w:val="1962A604"/>
    <w:rsid w:val="19664D11"/>
    <w:rsid w:val="1967AC61"/>
    <w:rsid w:val="196E6D33"/>
    <w:rsid w:val="196EB750"/>
    <w:rsid w:val="1972D3B9"/>
    <w:rsid w:val="1972F05A"/>
    <w:rsid w:val="197A17E0"/>
    <w:rsid w:val="197AB212"/>
    <w:rsid w:val="1986695F"/>
    <w:rsid w:val="198A01F5"/>
    <w:rsid w:val="198E84D7"/>
    <w:rsid w:val="198F0AD1"/>
    <w:rsid w:val="19A4E700"/>
    <w:rsid w:val="19B1FC3F"/>
    <w:rsid w:val="19B97F70"/>
    <w:rsid w:val="19BA743A"/>
    <w:rsid w:val="19BF73DC"/>
    <w:rsid w:val="19C42040"/>
    <w:rsid w:val="19C7B0EA"/>
    <w:rsid w:val="19C9CFE0"/>
    <w:rsid w:val="19CB006C"/>
    <w:rsid w:val="19D11FF2"/>
    <w:rsid w:val="19D98902"/>
    <w:rsid w:val="19DE95F2"/>
    <w:rsid w:val="19E12F23"/>
    <w:rsid w:val="19E50137"/>
    <w:rsid w:val="19ECCC0C"/>
    <w:rsid w:val="19F14FBC"/>
    <w:rsid w:val="19F25B13"/>
    <w:rsid w:val="19F546E0"/>
    <w:rsid w:val="1A021730"/>
    <w:rsid w:val="1A0D77BB"/>
    <w:rsid w:val="1A0DF568"/>
    <w:rsid w:val="1A13AFAA"/>
    <w:rsid w:val="1A1C614E"/>
    <w:rsid w:val="1A250227"/>
    <w:rsid w:val="1A32D2EB"/>
    <w:rsid w:val="1A33B5B6"/>
    <w:rsid w:val="1A33E96E"/>
    <w:rsid w:val="1A389511"/>
    <w:rsid w:val="1A40D0C1"/>
    <w:rsid w:val="1A428995"/>
    <w:rsid w:val="1A42DD1A"/>
    <w:rsid w:val="1A472648"/>
    <w:rsid w:val="1A4DB732"/>
    <w:rsid w:val="1A4E7B5B"/>
    <w:rsid w:val="1A51E008"/>
    <w:rsid w:val="1A521D1C"/>
    <w:rsid w:val="1A52D5D9"/>
    <w:rsid w:val="1A5ABA57"/>
    <w:rsid w:val="1A5F7BEF"/>
    <w:rsid w:val="1A626281"/>
    <w:rsid w:val="1A65CAD5"/>
    <w:rsid w:val="1A671E20"/>
    <w:rsid w:val="1A7573D6"/>
    <w:rsid w:val="1A827F0B"/>
    <w:rsid w:val="1A82DC2E"/>
    <w:rsid w:val="1A92CA02"/>
    <w:rsid w:val="1A9EE26A"/>
    <w:rsid w:val="1AAD1F0C"/>
    <w:rsid w:val="1AAE1AEB"/>
    <w:rsid w:val="1AC4B82B"/>
    <w:rsid w:val="1AC4EE42"/>
    <w:rsid w:val="1ACE7282"/>
    <w:rsid w:val="1ACFF0D1"/>
    <w:rsid w:val="1AD0BD7F"/>
    <w:rsid w:val="1AD3EB88"/>
    <w:rsid w:val="1ADD0599"/>
    <w:rsid w:val="1AE1D06B"/>
    <w:rsid w:val="1AE3771C"/>
    <w:rsid w:val="1AE665C1"/>
    <w:rsid w:val="1AF06BA9"/>
    <w:rsid w:val="1AF1AA41"/>
    <w:rsid w:val="1AF51A50"/>
    <w:rsid w:val="1AF57BBD"/>
    <w:rsid w:val="1AF785DC"/>
    <w:rsid w:val="1AF8F88E"/>
    <w:rsid w:val="1AFB5874"/>
    <w:rsid w:val="1AFE1FAD"/>
    <w:rsid w:val="1B0DFFED"/>
    <w:rsid w:val="1B156DFF"/>
    <w:rsid w:val="1B15EA20"/>
    <w:rsid w:val="1B1B2DF9"/>
    <w:rsid w:val="1B26CEA3"/>
    <w:rsid w:val="1B2FFBC7"/>
    <w:rsid w:val="1B3A92E9"/>
    <w:rsid w:val="1B44EB92"/>
    <w:rsid w:val="1B4B21BB"/>
    <w:rsid w:val="1B5135E9"/>
    <w:rsid w:val="1B53920C"/>
    <w:rsid w:val="1B56A24C"/>
    <w:rsid w:val="1B5C3459"/>
    <w:rsid w:val="1B5DB221"/>
    <w:rsid w:val="1B686133"/>
    <w:rsid w:val="1B6A26CB"/>
    <w:rsid w:val="1B7AFC85"/>
    <w:rsid w:val="1B7DFE6E"/>
    <w:rsid w:val="1B809D35"/>
    <w:rsid w:val="1B834EA5"/>
    <w:rsid w:val="1B8B2480"/>
    <w:rsid w:val="1B8D44F7"/>
    <w:rsid w:val="1B8D6A33"/>
    <w:rsid w:val="1B8FBFC1"/>
    <w:rsid w:val="1BA660BB"/>
    <w:rsid w:val="1BAA64D4"/>
    <w:rsid w:val="1BAE770B"/>
    <w:rsid w:val="1BB46874"/>
    <w:rsid w:val="1BB5C38B"/>
    <w:rsid w:val="1BB6AAFA"/>
    <w:rsid w:val="1BC0CA35"/>
    <w:rsid w:val="1BC45C5B"/>
    <w:rsid w:val="1BCE179F"/>
    <w:rsid w:val="1BD2AB08"/>
    <w:rsid w:val="1BD6096E"/>
    <w:rsid w:val="1BDF2DC2"/>
    <w:rsid w:val="1BE19510"/>
    <w:rsid w:val="1BEBA170"/>
    <w:rsid w:val="1BF1A21F"/>
    <w:rsid w:val="1BFECF7F"/>
    <w:rsid w:val="1C009EEA"/>
    <w:rsid w:val="1C013805"/>
    <w:rsid w:val="1C060CBF"/>
    <w:rsid w:val="1C06E23A"/>
    <w:rsid w:val="1C0C06C8"/>
    <w:rsid w:val="1C0CD851"/>
    <w:rsid w:val="1C0F7820"/>
    <w:rsid w:val="1C111C57"/>
    <w:rsid w:val="1C128637"/>
    <w:rsid w:val="1C13C3C0"/>
    <w:rsid w:val="1C15CB65"/>
    <w:rsid w:val="1C2136CF"/>
    <w:rsid w:val="1C215BA7"/>
    <w:rsid w:val="1C264EBF"/>
    <w:rsid w:val="1C31B174"/>
    <w:rsid w:val="1C4CCBD4"/>
    <w:rsid w:val="1C5433B3"/>
    <w:rsid w:val="1C579019"/>
    <w:rsid w:val="1C590A11"/>
    <w:rsid w:val="1C69BF90"/>
    <w:rsid w:val="1C6D3BE4"/>
    <w:rsid w:val="1C6FA3E7"/>
    <w:rsid w:val="1C72F3D1"/>
    <w:rsid w:val="1C74948B"/>
    <w:rsid w:val="1C7A98E4"/>
    <w:rsid w:val="1C83CEFF"/>
    <w:rsid w:val="1C8EAD5B"/>
    <w:rsid w:val="1C8FF3AF"/>
    <w:rsid w:val="1C90E6B1"/>
    <w:rsid w:val="1C928218"/>
    <w:rsid w:val="1C96C3FE"/>
    <w:rsid w:val="1C9EF359"/>
    <w:rsid w:val="1CA263F4"/>
    <w:rsid w:val="1CA4866A"/>
    <w:rsid w:val="1CA66CA0"/>
    <w:rsid w:val="1CA95DBC"/>
    <w:rsid w:val="1CA9DA66"/>
    <w:rsid w:val="1CAAA7A1"/>
    <w:rsid w:val="1CADBE33"/>
    <w:rsid w:val="1CB404C1"/>
    <w:rsid w:val="1CBB5B90"/>
    <w:rsid w:val="1CBC2302"/>
    <w:rsid w:val="1CBEC5FA"/>
    <w:rsid w:val="1CCA535B"/>
    <w:rsid w:val="1CCE81BB"/>
    <w:rsid w:val="1CEC46CC"/>
    <w:rsid w:val="1CFA4D51"/>
    <w:rsid w:val="1CFA82D4"/>
    <w:rsid w:val="1D011778"/>
    <w:rsid w:val="1D0650BB"/>
    <w:rsid w:val="1D1605D7"/>
    <w:rsid w:val="1D1A1938"/>
    <w:rsid w:val="1D1BDF96"/>
    <w:rsid w:val="1D1CA1F9"/>
    <w:rsid w:val="1D20C3A8"/>
    <w:rsid w:val="1D244510"/>
    <w:rsid w:val="1D2851F0"/>
    <w:rsid w:val="1D398CB6"/>
    <w:rsid w:val="1D438D0B"/>
    <w:rsid w:val="1D4C5206"/>
    <w:rsid w:val="1D5AF355"/>
    <w:rsid w:val="1D6AB8A9"/>
    <w:rsid w:val="1D9D0019"/>
    <w:rsid w:val="1DA10B07"/>
    <w:rsid w:val="1DA9CFA2"/>
    <w:rsid w:val="1DAAFFB8"/>
    <w:rsid w:val="1DAD7571"/>
    <w:rsid w:val="1DADA6F7"/>
    <w:rsid w:val="1DBC3316"/>
    <w:rsid w:val="1DC2DEF6"/>
    <w:rsid w:val="1DC59397"/>
    <w:rsid w:val="1DE30750"/>
    <w:rsid w:val="1DE82FED"/>
    <w:rsid w:val="1E04D9D8"/>
    <w:rsid w:val="1E09D777"/>
    <w:rsid w:val="1E0D5F4D"/>
    <w:rsid w:val="1E0D9C6F"/>
    <w:rsid w:val="1E1320C9"/>
    <w:rsid w:val="1E19F5C8"/>
    <w:rsid w:val="1E1A2A76"/>
    <w:rsid w:val="1E1A2FA9"/>
    <w:rsid w:val="1E1DF381"/>
    <w:rsid w:val="1E25A698"/>
    <w:rsid w:val="1E29F789"/>
    <w:rsid w:val="1E30F4EB"/>
    <w:rsid w:val="1E3510A4"/>
    <w:rsid w:val="1E396935"/>
    <w:rsid w:val="1E3CF93F"/>
    <w:rsid w:val="1E3D7912"/>
    <w:rsid w:val="1E3F18F8"/>
    <w:rsid w:val="1E456B46"/>
    <w:rsid w:val="1E45A1C4"/>
    <w:rsid w:val="1E52FD48"/>
    <w:rsid w:val="1E587A59"/>
    <w:rsid w:val="1E598C4B"/>
    <w:rsid w:val="1E5A965B"/>
    <w:rsid w:val="1E5C363D"/>
    <w:rsid w:val="1E5CA773"/>
    <w:rsid w:val="1E679216"/>
    <w:rsid w:val="1E6C1516"/>
    <w:rsid w:val="1E7D1BF1"/>
    <w:rsid w:val="1E80304E"/>
    <w:rsid w:val="1E89BBDD"/>
    <w:rsid w:val="1E9AA03A"/>
    <w:rsid w:val="1E9B5992"/>
    <w:rsid w:val="1E9CF2D7"/>
    <w:rsid w:val="1E9F810B"/>
    <w:rsid w:val="1EB112D8"/>
    <w:rsid w:val="1EB54EEC"/>
    <w:rsid w:val="1EB889FF"/>
    <w:rsid w:val="1EBB1500"/>
    <w:rsid w:val="1ECE7E35"/>
    <w:rsid w:val="1ED37583"/>
    <w:rsid w:val="1ED77770"/>
    <w:rsid w:val="1EDA3405"/>
    <w:rsid w:val="1EEE3214"/>
    <w:rsid w:val="1F0422B5"/>
    <w:rsid w:val="1F058F48"/>
    <w:rsid w:val="1F11A78E"/>
    <w:rsid w:val="1F1590F4"/>
    <w:rsid w:val="1F1713A3"/>
    <w:rsid w:val="1F244670"/>
    <w:rsid w:val="1F2B3AA2"/>
    <w:rsid w:val="1F2D9D7A"/>
    <w:rsid w:val="1F2E13BF"/>
    <w:rsid w:val="1F314E34"/>
    <w:rsid w:val="1F395021"/>
    <w:rsid w:val="1F3AA38B"/>
    <w:rsid w:val="1F3ABE39"/>
    <w:rsid w:val="1F3BFA1F"/>
    <w:rsid w:val="1F3C427F"/>
    <w:rsid w:val="1F3C7F00"/>
    <w:rsid w:val="1F405634"/>
    <w:rsid w:val="1F41FFAD"/>
    <w:rsid w:val="1F43D0C3"/>
    <w:rsid w:val="1F45F3F5"/>
    <w:rsid w:val="1F4BFFA1"/>
    <w:rsid w:val="1F4F8222"/>
    <w:rsid w:val="1F4FFCE9"/>
    <w:rsid w:val="1F5423F5"/>
    <w:rsid w:val="1F593AFF"/>
    <w:rsid w:val="1F61611C"/>
    <w:rsid w:val="1F62A52D"/>
    <w:rsid w:val="1F699C69"/>
    <w:rsid w:val="1F74DD66"/>
    <w:rsid w:val="1F7544E2"/>
    <w:rsid w:val="1F77E930"/>
    <w:rsid w:val="1F7AE6C3"/>
    <w:rsid w:val="1F7C191A"/>
    <w:rsid w:val="1F7F57F5"/>
    <w:rsid w:val="1F845737"/>
    <w:rsid w:val="1F89EF87"/>
    <w:rsid w:val="1F96BEE3"/>
    <w:rsid w:val="1F974695"/>
    <w:rsid w:val="1FA0F9B7"/>
    <w:rsid w:val="1FA11F96"/>
    <w:rsid w:val="1FA64443"/>
    <w:rsid w:val="1FAE6BB8"/>
    <w:rsid w:val="1FB13F23"/>
    <w:rsid w:val="1FB208B5"/>
    <w:rsid w:val="1FB82BC5"/>
    <w:rsid w:val="1FB98DD7"/>
    <w:rsid w:val="1FBF6E4B"/>
    <w:rsid w:val="1FC26CC6"/>
    <w:rsid w:val="1FCCA598"/>
    <w:rsid w:val="1FD90976"/>
    <w:rsid w:val="1FDF3E02"/>
    <w:rsid w:val="1FE0EE79"/>
    <w:rsid w:val="1FE210F9"/>
    <w:rsid w:val="1FEA3B3D"/>
    <w:rsid w:val="1FF12D85"/>
    <w:rsid w:val="1FF56012"/>
    <w:rsid w:val="1FFB4B47"/>
    <w:rsid w:val="1FFE17E0"/>
    <w:rsid w:val="20040861"/>
    <w:rsid w:val="201A910F"/>
    <w:rsid w:val="202971EE"/>
    <w:rsid w:val="202D26AC"/>
    <w:rsid w:val="202EAC87"/>
    <w:rsid w:val="2036709B"/>
    <w:rsid w:val="20407ABF"/>
    <w:rsid w:val="2042C337"/>
    <w:rsid w:val="20456F90"/>
    <w:rsid w:val="2057BADC"/>
    <w:rsid w:val="205867C7"/>
    <w:rsid w:val="20602B5A"/>
    <w:rsid w:val="2069921D"/>
    <w:rsid w:val="2069FDC9"/>
    <w:rsid w:val="207AF23D"/>
    <w:rsid w:val="207C3B12"/>
    <w:rsid w:val="207EC0DA"/>
    <w:rsid w:val="20814391"/>
    <w:rsid w:val="2082C424"/>
    <w:rsid w:val="20863A82"/>
    <w:rsid w:val="20924C92"/>
    <w:rsid w:val="2093C94B"/>
    <w:rsid w:val="20B238EC"/>
    <w:rsid w:val="20B9F751"/>
    <w:rsid w:val="20BCD5DA"/>
    <w:rsid w:val="20BD431C"/>
    <w:rsid w:val="20C1C1EF"/>
    <w:rsid w:val="20D7E85A"/>
    <w:rsid w:val="20DC09CD"/>
    <w:rsid w:val="20DED821"/>
    <w:rsid w:val="20F03724"/>
    <w:rsid w:val="20F87863"/>
    <w:rsid w:val="20FF42E0"/>
    <w:rsid w:val="21110E74"/>
    <w:rsid w:val="21134DC9"/>
    <w:rsid w:val="21157886"/>
    <w:rsid w:val="2124715A"/>
    <w:rsid w:val="21360779"/>
    <w:rsid w:val="21378E52"/>
    <w:rsid w:val="2137BF1B"/>
    <w:rsid w:val="213B1379"/>
    <w:rsid w:val="213C2092"/>
    <w:rsid w:val="213C8092"/>
    <w:rsid w:val="2142F35E"/>
    <w:rsid w:val="2151DBE8"/>
    <w:rsid w:val="2160740C"/>
    <w:rsid w:val="2162C735"/>
    <w:rsid w:val="21707799"/>
    <w:rsid w:val="21743F7B"/>
    <w:rsid w:val="21767F0A"/>
    <w:rsid w:val="2177ECF0"/>
    <w:rsid w:val="21871881"/>
    <w:rsid w:val="218FADD9"/>
    <w:rsid w:val="2192021B"/>
    <w:rsid w:val="2196622D"/>
    <w:rsid w:val="2197A2BD"/>
    <w:rsid w:val="21998813"/>
    <w:rsid w:val="219E0F91"/>
    <w:rsid w:val="219F7886"/>
    <w:rsid w:val="21A67B94"/>
    <w:rsid w:val="21ACD86E"/>
    <w:rsid w:val="21B04EFE"/>
    <w:rsid w:val="21B976B2"/>
    <w:rsid w:val="21C24D6C"/>
    <w:rsid w:val="21C5A8A4"/>
    <w:rsid w:val="21CF1BA3"/>
    <w:rsid w:val="21D32C32"/>
    <w:rsid w:val="21E2076A"/>
    <w:rsid w:val="21E2BF74"/>
    <w:rsid w:val="21E80F75"/>
    <w:rsid w:val="21F03CAF"/>
    <w:rsid w:val="21F43828"/>
    <w:rsid w:val="21F838B9"/>
    <w:rsid w:val="22022D35"/>
    <w:rsid w:val="220323EB"/>
    <w:rsid w:val="2205222C"/>
    <w:rsid w:val="2206F255"/>
    <w:rsid w:val="220726A1"/>
    <w:rsid w:val="2209F9D5"/>
    <w:rsid w:val="220D5025"/>
    <w:rsid w:val="221F195F"/>
    <w:rsid w:val="222B126E"/>
    <w:rsid w:val="222E495A"/>
    <w:rsid w:val="223278D0"/>
    <w:rsid w:val="22391002"/>
    <w:rsid w:val="22470F0F"/>
    <w:rsid w:val="2247C75C"/>
    <w:rsid w:val="224AFFA4"/>
    <w:rsid w:val="224F38FA"/>
    <w:rsid w:val="225215BB"/>
    <w:rsid w:val="226BD3DA"/>
    <w:rsid w:val="2272544A"/>
    <w:rsid w:val="2279DD13"/>
    <w:rsid w:val="227BA296"/>
    <w:rsid w:val="2286C7FF"/>
    <w:rsid w:val="228D481F"/>
    <w:rsid w:val="229656CF"/>
    <w:rsid w:val="229B0A01"/>
    <w:rsid w:val="22A06BA2"/>
    <w:rsid w:val="22A49E2B"/>
    <w:rsid w:val="22B1874E"/>
    <w:rsid w:val="22B6A1B3"/>
    <w:rsid w:val="22C44EE9"/>
    <w:rsid w:val="22D6364A"/>
    <w:rsid w:val="22D6BAC4"/>
    <w:rsid w:val="22E0EE73"/>
    <w:rsid w:val="22E4B162"/>
    <w:rsid w:val="22E4B9DC"/>
    <w:rsid w:val="22F00935"/>
    <w:rsid w:val="2301357B"/>
    <w:rsid w:val="230636C0"/>
    <w:rsid w:val="23063BDD"/>
    <w:rsid w:val="2311582F"/>
    <w:rsid w:val="231A014D"/>
    <w:rsid w:val="2324B5BF"/>
    <w:rsid w:val="233D9D43"/>
    <w:rsid w:val="23463703"/>
    <w:rsid w:val="234E5DD0"/>
    <w:rsid w:val="2358FF3F"/>
    <w:rsid w:val="235A1948"/>
    <w:rsid w:val="235E2AC3"/>
    <w:rsid w:val="23632F2F"/>
    <w:rsid w:val="236C3206"/>
    <w:rsid w:val="236EFC93"/>
    <w:rsid w:val="23718D79"/>
    <w:rsid w:val="2377EEE8"/>
    <w:rsid w:val="23787955"/>
    <w:rsid w:val="237F2E7F"/>
    <w:rsid w:val="238F25BF"/>
    <w:rsid w:val="23952CC3"/>
    <w:rsid w:val="239A34AC"/>
    <w:rsid w:val="23A66833"/>
    <w:rsid w:val="23AAB58E"/>
    <w:rsid w:val="23B70A96"/>
    <w:rsid w:val="23C0BDC9"/>
    <w:rsid w:val="23D58B6C"/>
    <w:rsid w:val="23DB0EB7"/>
    <w:rsid w:val="23E304A6"/>
    <w:rsid w:val="23E5E1E5"/>
    <w:rsid w:val="23F26084"/>
    <w:rsid w:val="23F32036"/>
    <w:rsid w:val="23F7C255"/>
    <w:rsid w:val="23F8A2A7"/>
    <w:rsid w:val="23FBBC47"/>
    <w:rsid w:val="24052106"/>
    <w:rsid w:val="241168EC"/>
    <w:rsid w:val="241AFA9C"/>
    <w:rsid w:val="2424C045"/>
    <w:rsid w:val="242DD2BF"/>
    <w:rsid w:val="243228C3"/>
    <w:rsid w:val="24350094"/>
    <w:rsid w:val="243BB443"/>
    <w:rsid w:val="2448ADE1"/>
    <w:rsid w:val="2450421B"/>
    <w:rsid w:val="2451982C"/>
    <w:rsid w:val="245322F6"/>
    <w:rsid w:val="245B0931"/>
    <w:rsid w:val="245BFE1D"/>
    <w:rsid w:val="245F57C8"/>
    <w:rsid w:val="2462C305"/>
    <w:rsid w:val="24634376"/>
    <w:rsid w:val="24658B1D"/>
    <w:rsid w:val="2468B8BC"/>
    <w:rsid w:val="24724D97"/>
    <w:rsid w:val="247CEC8B"/>
    <w:rsid w:val="247FC6F4"/>
    <w:rsid w:val="24800DFE"/>
    <w:rsid w:val="24821782"/>
    <w:rsid w:val="248A362E"/>
    <w:rsid w:val="248EE0E2"/>
    <w:rsid w:val="249C5F89"/>
    <w:rsid w:val="249E8438"/>
    <w:rsid w:val="24A114DA"/>
    <w:rsid w:val="24A3E57E"/>
    <w:rsid w:val="24A5BF27"/>
    <w:rsid w:val="24A7B76E"/>
    <w:rsid w:val="24AA6619"/>
    <w:rsid w:val="24B85E46"/>
    <w:rsid w:val="24BA4091"/>
    <w:rsid w:val="24CA7E23"/>
    <w:rsid w:val="24CE97D3"/>
    <w:rsid w:val="24D4EE47"/>
    <w:rsid w:val="24D70DB5"/>
    <w:rsid w:val="24DB1FCC"/>
    <w:rsid w:val="24E17C20"/>
    <w:rsid w:val="24E68BB5"/>
    <w:rsid w:val="24F2C0DF"/>
    <w:rsid w:val="24F7E24B"/>
    <w:rsid w:val="24FA023A"/>
    <w:rsid w:val="25080517"/>
    <w:rsid w:val="250CAD2E"/>
    <w:rsid w:val="2512BDB6"/>
    <w:rsid w:val="2518DC80"/>
    <w:rsid w:val="251C3E40"/>
    <w:rsid w:val="25208511"/>
    <w:rsid w:val="252E023A"/>
    <w:rsid w:val="2532DACD"/>
    <w:rsid w:val="25339855"/>
    <w:rsid w:val="253B7241"/>
    <w:rsid w:val="2544B7EC"/>
    <w:rsid w:val="25549B3A"/>
    <w:rsid w:val="255CC5A5"/>
    <w:rsid w:val="2563F381"/>
    <w:rsid w:val="2570D27A"/>
    <w:rsid w:val="25786716"/>
    <w:rsid w:val="2587D1CD"/>
    <w:rsid w:val="2590B357"/>
    <w:rsid w:val="25929C24"/>
    <w:rsid w:val="25991B88"/>
    <w:rsid w:val="25A1C65C"/>
    <w:rsid w:val="25A419DF"/>
    <w:rsid w:val="25A70D8C"/>
    <w:rsid w:val="25AC029F"/>
    <w:rsid w:val="25BA7F15"/>
    <w:rsid w:val="25BA9AE2"/>
    <w:rsid w:val="25C1C303"/>
    <w:rsid w:val="25CDF876"/>
    <w:rsid w:val="25D01D1A"/>
    <w:rsid w:val="25DCF26E"/>
    <w:rsid w:val="25DDDDFE"/>
    <w:rsid w:val="25E42DD0"/>
    <w:rsid w:val="25E5E14C"/>
    <w:rsid w:val="25E8E16A"/>
    <w:rsid w:val="260153A8"/>
    <w:rsid w:val="2603C218"/>
    <w:rsid w:val="26160E50"/>
    <w:rsid w:val="2616258A"/>
    <w:rsid w:val="26165266"/>
    <w:rsid w:val="261C92D9"/>
    <w:rsid w:val="26210668"/>
    <w:rsid w:val="262A997F"/>
    <w:rsid w:val="2642C1CF"/>
    <w:rsid w:val="2647D3BF"/>
    <w:rsid w:val="264ABC86"/>
    <w:rsid w:val="26655A49"/>
    <w:rsid w:val="2667E3F2"/>
    <w:rsid w:val="266B13E0"/>
    <w:rsid w:val="266C4935"/>
    <w:rsid w:val="266EA8E6"/>
    <w:rsid w:val="266EABD1"/>
    <w:rsid w:val="26707983"/>
    <w:rsid w:val="26712B26"/>
    <w:rsid w:val="2672AC58"/>
    <w:rsid w:val="2684BB59"/>
    <w:rsid w:val="2686A12E"/>
    <w:rsid w:val="269B6E2F"/>
    <w:rsid w:val="26A4D070"/>
    <w:rsid w:val="26A8B699"/>
    <w:rsid w:val="26A8D03C"/>
    <w:rsid w:val="26B226B7"/>
    <w:rsid w:val="26B77E1D"/>
    <w:rsid w:val="26CA7D1F"/>
    <w:rsid w:val="26CBAC21"/>
    <w:rsid w:val="26D37D1B"/>
    <w:rsid w:val="26D5C0DE"/>
    <w:rsid w:val="26DCE819"/>
    <w:rsid w:val="26E57377"/>
    <w:rsid w:val="26EB6CD7"/>
    <w:rsid w:val="26F1D913"/>
    <w:rsid w:val="26F20AED"/>
    <w:rsid w:val="26F37637"/>
    <w:rsid w:val="26FB0405"/>
    <w:rsid w:val="2700B960"/>
    <w:rsid w:val="2713805F"/>
    <w:rsid w:val="2716ED39"/>
    <w:rsid w:val="27170161"/>
    <w:rsid w:val="271A8C57"/>
    <w:rsid w:val="2720C11B"/>
    <w:rsid w:val="27212A1B"/>
    <w:rsid w:val="2723378C"/>
    <w:rsid w:val="272849D1"/>
    <w:rsid w:val="272853F3"/>
    <w:rsid w:val="2728CF22"/>
    <w:rsid w:val="272EF8F2"/>
    <w:rsid w:val="2737940F"/>
    <w:rsid w:val="27394667"/>
    <w:rsid w:val="2745433A"/>
    <w:rsid w:val="2746E527"/>
    <w:rsid w:val="27518D87"/>
    <w:rsid w:val="27558F07"/>
    <w:rsid w:val="27565F40"/>
    <w:rsid w:val="27580250"/>
    <w:rsid w:val="276226EA"/>
    <w:rsid w:val="27657381"/>
    <w:rsid w:val="2765C73F"/>
    <w:rsid w:val="2765EC05"/>
    <w:rsid w:val="276A0081"/>
    <w:rsid w:val="276B55C0"/>
    <w:rsid w:val="277E12F1"/>
    <w:rsid w:val="27845E17"/>
    <w:rsid w:val="279BDAE9"/>
    <w:rsid w:val="27A23C34"/>
    <w:rsid w:val="27A3BC35"/>
    <w:rsid w:val="27AA4546"/>
    <w:rsid w:val="27AB18BC"/>
    <w:rsid w:val="27B6BEFF"/>
    <w:rsid w:val="27BBCFF3"/>
    <w:rsid w:val="27BFA5C6"/>
    <w:rsid w:val="27C22B24"/>
    <w:rsid w:val="27CBA489"/>
    <w:rsid w:val="27D2B363"/>
    <w:rsid w:val="27D6A268"/>
    <w:rsid w:val="27E1530C"/>
    <w:rsid w:val="27E1B583"/>
    <w:rsid w:val="27E398A6"/>
    <w:rsid w:val="27E3EF02"/>
    <w:rsid w:val="27E5D60D"/>
    <w:rsid w:val="27E94CAA"/>
    <w:rsid w:val="27F624CA"/>
    <w:rsid w:val="27FAF6D8"/>
    <w:rsid w:val="27FBC228"/>
    <w:rsid w:val="27FCCD7D"/>
    <w:rsid w:val="2809F655"/>
    <w:rsid w:val="280CE180"/>
    <w:rsid w:val="2812DA20"/>
    <w:rsid w:val="28239309"/>
    <w:rsid w:val="282CFA60"/>
    <w:rsid w:val="282EBFDD"/>
    <w:rsid w:val="28330978"/>
    <w:rsid w:val="283349F8"/>
    <w:rsid w:val="283A729A"/>
    <w:rsid w:val="28459673"/>
    <w:rsid w:val="28568BED"/>
    <w:rsid w:val="2865D89B"/>
    <w:rsid w:val="28670DC3"/>
    <w:rsid w:val="286F5BF5"/>
    <w:rsid w:val="28775AB7"/>
    <w:rsid w:val="28775DEB"/>
    <w:rsid w:val="287DD6D5"/>
    <w:rsid w:val="288D1B50"/>
    <w:rsid w:val="288F7F18"/>
    <w:rsid w:val="28920005"/>
    <w:rsid w:val="28956A97"/>
    <w:rsid w:val="2898D5A6"/>
    <w:rsid w:val="289BD798"/>
    <w:rsid w:val="289ED14F"/>
    <w:rsid w:val="289F45B3"/>
    <w:rsid w:val="28A44124"/>
    <w:rsid w:val="28AD3381"/>
    <w:rsid w:val="28C11F9F"/>
    <w:rsid w:val="28C8BA15"/>
    <w:rsid w:val="28C96238"/>
    <w:rsid w:val="28D45A97"/>
    <w:rsid w:val="28D945CE"/>
    <w:rsid w:val="28DC57FF"/>
    <w:rsid w:val="28E1C033"/>
    <w:rsid w:val="28E7633C"/>
    <w:rsid w:val="28EEDB6A"/>
    <w:rsid w:val="28F4D030"/>
    <w:rsid w:val="28FB55B4"/>
    <w:rsid w:val="28FF9210"/>
    <w:rsid w:val="28FFA47A"/>
    <w:rsid w:val="29024B6D"/>
    <w:rsid w:val="2902F5B8"/>
    <w:rsid w:val="290FA48B"/>
    <w:rsid w:val="29167D70"/>
    <w:rsid w:val="2919EB6C"/>
    <w:rsid w:val="2922FB60"/>
    <w:rsid w:val="29237F7B"/>
    <w:rsid w:val="292870A5"/>
    <w:rsid w:val="292B3739"/>
    <w:rsid w:val="292D96C2"/>
    <w:rsid w:val="2935C746"/>
    <w:rsid w:val="29366369"/>
    <w:rsid w:val="2938967F"/>
    <w:rsid w:val="2939EF36"/>
    <w:rsid w:val="293D5B8A"/>
    <w:rsid w:val="293DA8ED"/>
    <w:rsid w:val="29444B96"/>
    <w:rsid w:val="2946232A"/>
    <w:rsid w:val="29463DAC"/>
    <w:rsid w:val="2947E14D"/>
    <w:rsid w:val="294845FA"/>
    <w:rsid w:val="29486931"/>
    <w:rsid w:val="294A0303"/>
    <w:rsid w:val="294E1658"/>
    <w:rsid w:val="29578F1A"/>
    <w:rsid w:val="2958C152"/>
    <w:rsid w:val="295D2221"/>
    <w:rsid w:val="29676610"/>
    <w:rsid w:val="296B39DA"/>
    <w:rsid w:val="296FF5A2"/>
    <w:rsid w:val="29877A6B"/>
    <w:rsid w:val="298A078C"/>
    <w:rsid w:val="298A5932"/>
    <w:rsid w:val="29A4E63F"/>
    <w:rsid w:val="29A76E6D"/>
    <w:rsid w:val="29A89820"/>
    <w:rsid w:val="29A9ED97"/>
    <w:rsid w:val="29AB50A8"/>
    <w:rsid w:val="29AB56E0"/>
    <w:rsid w:val="29B0501D"/>
    <w:rsid w:val="29B07E7A"/>
    <w:rsid w:val="29B0BFBC"/>
    <w:rsid w:val="29B238CE"/>
    <w:rsid w:val="29B365CE"/>
    <w:rsid w:val="29BB8B00"/>
    <w:rsid w:val="29C4D745"/>
    <w:rsid w:val="29C5AB79"/>
    <w:rsid w:val="29D623E0"/>
    <w:rsid w:val="29D689E1"/>
    <w:rsid w:val="29D7E5D4"/>
    <w:rsid w:val="29DC8F8E"/>
    <w:rsid w:val="29DD3C67"/>
    <w:rsid w:val="29DF0FCA"/>
    <w:rsid w:val="29E0CAF0"/>
    <w:rsid w:val="29E53EE6"/>
    <w:rsid w:val="29E7E7F9"/>
    <w:rsid w:val="29E8D7BF"/>
    <w:rsid w:val="29F436BF"/>
    <w:rsid w:val="29F75AB0"/>
    <w:rsid w:val="2A0FA0EB"/>
    <w:rsid w:val="2A169769"/>
    <w:rsid w:val="2A19B7FC"/>
    <w:rsid w:val="2A1AB874"/>
    <w:rsid w:val="2A1BF578"/>
    <w:rsid w:val="2A24EE45"/>
    <w:rsid w:val="2A27B857"/>
    <w:rsid w:val="2A29984C"/>
    <w:rsid w:val="2A34534D"/>
    <w:rsid w:val="2A398156"/>
    <w:rsid w:val="2A3BDF67"/>
    <w:rsid w:val="2A3C3209"/>
    <w:rsid w:val="2A3EC903"/>
    <w:rsid w:val="2A47F27D"/>
    <w:rsid w:val="2A5235E1"/>
    <w:rsid w:val="2A59776E"/>
    <w:rsid w:val="2A5ABDB0"/>
    <w:rsid w:val="2A627BBB"/>
    <w:rsid w:val="2A6EC899"/>
    <w:rsid w:val="2A704369"/>
    <w:rsid w:val="2A7B6BC6"/>
    <w:rsid w:val="2A7D7914"/>
    <w:rsid w:val="2A817C53"/>
    <w:rsid w:val="2A82C486"/>
    <w:rsid w:val="2A86805D"/>
    <w:rsid w:val="2A9001E5"/>
    <w:rsid w:val="2A94F28C"/>
    <w:rsid w:val="2A9D1443"/>
    <w:rsid w:val="2AAAEAC4"/>
    <w:rsid w:val="2AAB6690"/>
    <w:rsid w:val="2AAE7D43"/>
    <w:rsid w:val="2ABCC7FD"/>
    <w:rsid w:val="2AC03C8A"/>
    <w:rsid w:val="2AC2A6DF"/>
    <w:rsid w:val="2AC3536C"/>
    <w:rsid w:val="2AC4A25D"/>
    <w:rsid w:val="2AC72B51"/>
    <w:rsid w:val="2AD078BE"/>
    <w:rsid w:val="2ADB6BCA"/>
    <w:rsid w:val="2ADD493F"/>
    <w:rsid w:val="2ADDE9BA"/>
    <w:rsid w:val="2AE39FFD"/>
    <w:rsid w:val="2AE4F2A6"/>
    <w:rsid w:val="2AEDD642"/>
    <w:rsid w:val="2AF0E39E"/>
    <w:rsid w:val="2AF23596"/>
    <w:rsid w:val="2AF43A7C"/>
    <w:rsid w:val="2AF59659"/>
    <w:rsid w:val="2AFAFE7D"/>
    <w:rsid w:val="2AFCC429"/>
    <w:rsid w:val="2AFEF2C7"/>
    <w:rsid w:val="2B042473"/>
    <w:rsid w:val="2B0C01B2"/>
    <w:rsid w:val="2B1D4857"/>
    <w:rsid w:val="2B22DDD9"/>
    <w:rsid w:val="2B2AE0AB"/>
    <w:rsid w:val="2B2CBBBA"/>
    <w:rsid w:val="2B311EDF"/>
    <w:rsid w:val="2B37F39E"/>
    <w:rsid w:val="2B43D581"/>
    <w:rsid w:val="2B444E6E"/>
    <w:rsid w:val="2B49A36D"/>
    <w:rsid w:val="2B49D5A0"/>
    <w:rsid w:val="2B4AC15D"/>
    <w:rsid w:val="2B5C5FEA"/>
    <w:rsid w:val="2B5E1E3E"/>
    <w:rsid w:val="2B5FF93F"/>
    <w:rsid w:val="2B67BDB1"/>
    <w:rsid w:val="2B867283"/>
    <w:rsid w:val="2B870C54"/>
    <w:rsid w:val="2B87280A"/>
    <w:rsid w:val="2BA11026"/>
    <w:rsid w:val="2BAF3011"/>
    <w:rsid w:val="2BAFECE4"/>
    <w:rsid w:val="2BB4E182"/>
    <w:rsid w:val="2BBEE5C5"/>
    <w:rsid w:val="2BC58CCF"/>
    <w:rsid w:val="2BCD5B70"/>
    <w:rsid w:val="2BCEFED4"/>
    <w:rsid w:val="2BD4A6BF"/>
    <w:rsid w:val="2BDA0A46"/>
    <w:rsid w:val="2BDB3D27"/>
    <w:rsid w:val="2BE44015"/>
    <w:rsid w:val="2BEFC05F"/>
    <w:rsid w:val="2BFA57F3"/>
    <w:rsid w:val="2C01BC29"/>
    <w:rsid w:val="2C08F6E5"/>
    <w:rsid w:val="2C0D831F"/>
    <w:rsid w:val="2C0D95BB"/>
    <w:rsid w:val="2C12F094"/>
    <w:rsid w:val="2C184E81"/>
    <w:rsid w:val="2C18969B"/>
    <w:rsid w:val="2C1F2BDD"/>
    <w:rsid w:val="2C21F81F"/>
    <w:rsid w:val="2C27C023"/>
    <w:rsid w:val="2C32A5A2"/>
    <w:rsid w:val="2C414AB9"/>
    <w:rsid w:val="2C41698E"/>
    <w:rsid w:val="2C46085B"/>
    <w:rsid w:val="2C47C2C0"/>
    <w:rsid w:val="2C4F4FEF"/>
    <w:rsid w:val="2C5299F5"/>
    <w:rsid w:val="2C531B42"/>
    <w:rsid w:val="2C62A02A"/>
    <w:rsid w:val="2C6B6FB8"/>
    <w:rsid w:val="2C6FB447"/>
    <w:rsid w:val="2C737013"/>
    <w:rsid w:val="2C79C9CB"/>
    <w:rsid w:val="2C7F4DE1"/>
    <w:rsid w:val="2C88AE24"/>
    <w:rsid w:val="2C8C6D34"/>
    <w:rsid w:val="2C93890C"/>
    <w:rsid w:val="2C9E960C"/>
    <w:rsid w:val="2CA6DD41"/>
    <w:rsid w:val="2CB013D8"/>
    <w:rsid w:val="2CB62DA4"/>
    <w:rsid w:val="2CB918B8"/>
    <w:rsid w:val="2CBA26CC"/>
    <w:rsid w:val="2CC564F8"/>
    <w:rsid w:val="2CCA79BB"/>
    <w:rsid w:val="2CD47CDE"/>
    <w:rsid w:val="2CDCAE57"/>
    <w:rsid w:val="2CDE4A27"/>
    <w:rsid w:val="2CDEA8C8"/>
    <w:rsid w:val="2CE2F7A2"/>
    <w:rsid w:val="2CE4AA67"/>
    <w:rsid w:val="2CE50621"/>
    <w:rsid w:val="2CEEBEAF"/>
    <w:rsid w:val="2CFBA230"/>
    <w:rsid w:val="2D007292"/>
    <w:rsid w:val="2D096D00"/>
    <w:rsid w:val="2D0BC857"/>
    <w:rsid w:val="2D0C985A"/>
    <w:rsid w:val="2D1024DA"/>
    <w:rsid w:val="2D2612E5"/>
    <w:rsid w:val="2D2D1B7D"/>
    <w:rsid w:val="2D30D9E9"/>
    <w:rsid w:val="2D335992"/>
    <w:rsid w:val="2D37F36D"/>
    <w:rsid w:val="2D3FD62E"/>
    <w:rsid w:val="2D411BC0"/>
    <w:rsid w:val="2D44033B"/>
    <w:rsid w:val="2D4913DC"/>
    <w:rsid w:val="2D4A9668"/>
    <w:rsid w:val="2D520B2B"/>
    <w:rsid w:val="2D56B73E"/>
    <w:rsid w:val="2D583E0C"/>
    <w:rsid w:val="2D5CCCFA"/>
    <w:rsid w:val="2D6A07EA"/>
    <w:rsid w:val="2D6EA048"/>
    <w:rsid w:val="2D7A01DA"/>
    <w:rsid w:val="2D815899"/>
    <w:rsid w:val="2D8A03EE"/>
    <w:rsid w:val="2D8DE541"/>
    <w:rsid w:val="2D951BFA"/>
    <w:rsid w:val="2D95DA2A"/>
    <w:rsid w:val="2D9F160B"/>
    <w:rsid w:val="2DA5EFA0"/>
    <w:rsid w:val="2DA9BB53"/>
    <w:rsid w:val="2DAE7110"/>
    <w:rsid w:val="2DC77E5B"/>
    <w:rsid w:val="2DC89D35"/>
    <w:rsid w:val="2DCA8019"/>
    <w:rsid w:val="2DCED92C"/>
    <w:rsid w:val="2DD4999A"/>
    <w:rsid w:val="2DE2A8FA"/>
    <w:rsid w:val="2DEC9ACF"/>
    <w:rsid w:val="2E05E528"/>
    <w:rsid w:val="2E0D920C"/>
    <w:rsid w:val="2E128B97"/>
    <w:rsid w:val="2E168F00"/>
    <w:rsid w:val="2E19B36F"/>
    <w:rsid w:val="2E1ADC9B"/>
    <w:rsid w:val="2E25F6A1"/>
    <w:rsid w:val="2E26F0B1"/>
    <w:rsid w:val="2E2953E7"/>
    <w:rsid w:val="2E343DCF"/>
    <w:rsid w:val="2E3B53CC"/>
    <w:rsid w:val="2E43A042"/>
    <w:rsid w:val="2E44BB1E"/>
    <w:rsid w:val="2E4E2D14"/>
    <w:rsid w:val="2E50CA45"/>
    <w:rsid w:val="2E55B054"/>
    <w:rsid w:val="2E5AAA0F"/>
    <w:rsid w:val="2E5C2736"/>
    <w:rsid w:val="2E5CAAB0"/>
    <w:rsid w:val="2E5CBEF1"/>
    <w:rsid w:val="2E67DD07"/>
    <w:rsid w:val="2E6C7385"/>
    <w:rsid w:val="2E7350D8"/>
    <w:rsid w:val="2E73B692"/>
    <w:rsid w:val="2E75C25F"/>
    <w:rsid w:val="2E75D3C6"/>
    <w:rsid w:val="2E823D11"/>
    <w:rsid w:val="2E859E00"/>
    <w:rsid w:val="2E85C756"/>
    <w:rsid w:val="2E8A9756"/>
    <w:rsid w:val="2E8D3312"/>
    <w:rsid w:val="2E935F53"/>
    <w:rsid w:val="2EA28FF5"/>
    <w:rsid w:val="2EA399A0"/>
    <w:rsid w:val="2EA3BFC6"/>
    <w:rsid w:val="2EA50E0F"/>
    <w:rsid w:val="2ECC74E1"/>
    <w:rsid w:val="2ECFE594"/>
    <w:rsid w:val="2EDDA877"/>
    <w:rsid w:val="2EE3D86E"/>
    <w:rsid w:val="2EF02A8B"/>
    <w:rsid w:val="2EFAD459"/>
    <w:rsid w:val="2F021F52"/>
    <w:rsid w:val="2F089B1B"/>
    <w:rsid w:val="2F0E3944"/>
    <w:rsid w:val="2F124EC0"/>
    <w:rsid w:val="2F15C545"/>
    <w:rsid w:val="2F1B10EE"/>
    <w:rsid w:val="2F1E118B"/>
    <w:rsid w:val="2F21B451"/>
    <w:rsid w:val="2F298984"/>
    <w:rsid w:val="2F3049EF"/>
    <w:rsid w:val="2F3D1EE4"/>
    <w:rsid w:val="2F3EAB6A"/>
    <w:rsid w:val="2F42748B"/>
    <w:rsid w:val="2F5401A7"/>
    <w:rsid w:val="2F547DFF"/>
    <w:rsid w:val="2F5A70E0"/>
    <w:rsid w:val="2F65463C"/>
    <w:rsid w:val="2F6970A4"/>
    <w:rsid w:val="2F6B8770"/>
    <w:rsid w:val="2F6D07A7"/>
    <w:rsid w:val="2F6DCB08"/>
    <w:rsid w:val="2F724E89"/>
    <w:rsid w:val="2F77B785"/>
    <w:rsid w:val="2F7ADE35"/>
    <w:rsid w:val="2F7DF504"/>
    <w:rsid w:val="2F8A7576"/>
    <w:rsid w:val="2F8D161B"/>
    <w:rsid w:val="2F93F798"/>
    <w:rsid w:val="2F974EE5"/>
    <w:rsid w:val="2F9A90FD"/>
    <w:rsid w:val="2FA87138"/>
    <w:rsid w:val="2FA8B410"/>
    <w:rsid w:val="2FA97748"/>
    <w:rsid w:val="2FAD422B"/>
    <w:rsid w:val="2FAF7F16"/>
    <w:rsid w:val="2FB0F6D8"/>
    <w:rsid w:val="2FB35D51"/>
    <w:rsid w:val="2FB97281"/>
    <w:rsid w:val="2FBE3098"/>
    <w:rsid w:val="2FC3531B"/>
    <w:rsid w:val="2FC8A773"/>
    <w:rsid w:val="2FCC5B68"/>
    <w:rsid w:val="2FD07C14"/>
    <w:rsid w:val="2FD28815"/>
    <w:rsid w:val="2FD56A87"/>
    <w:rsid w:val="2FD6FE37"/>
    <w:rsid w:val="2FDDE5F3"/>
    <w:rsid w:val="2FDF8CBD"/>
    <w:rsid w:val="2FDFC320"/>
    <w:rsid w:val="2FE43BC4"/>
    <w:rsid w:val="2FEC2D28"/>
    <w:rsid w:val="2FF9B446"/>
    <w:rsid w:val="2FFEFF04"/>
    <w:rsid w:val="30006BD8"/>
    <w:rsid w:val="300E5307"/>
    <w:rsid w:val="30156AC1"/>
    <w:rsid w:val="3018DD33"/>
    <w:rsid w:val="30193286"/>
    <w:rsid w:val="301A19D6"/>
    <w:rsid w:val="30208FB8"/>
    <w:rsid w:val="302223FC"/>
    <w:rsid w:val="302BDE34"/>
    <w:rsid w:val="30365B1E"/>
    <w:rsid w:val="3039EA7C"/>
    <w:rsid w:val="3040BB49"/>
    <w:rsid w:val="30426C04"/>
    <w:rsid w:val="3046C6D0"/>
    <w:rsid w:val="304A9768"/>
    <w:rsid w:val="3056461C"/>
    <w:rsid w:val="3059BEDA"/>
    <w:rsid w:val="305E2D9A"/>
    <w:rsid w:val="30644859"/>
    <w:rsid w:val="3077F0BB"/>
    <w:rsid w:val="307E5C30"/>
    <w:rsid w:val="308386A3"/>
    <w:rsid w:val="3089B04E"/>
    <w:rsid w:val="308FA2DE"/>
    <w:rsid w:val="309EA321"/>
    <w:rsid w:val="30A9FE12"/>
    <w:rsid w:val="30AB1482"/>
    <w:rsid w:val="30B0CAC3"/>
    <w:rsid w:val="30B7EFBE"/>
    <w:rsid w:val="30C67934"/>
    <w:rsid w:val="30D8D555"/>
    <w:rsid w:val="30DA7605"/>
    <w:rsid w:val="30DBCE2F"/>
    <w:rsid w:val="30E0DD4F"/>
    <w:rsid w:val="30EBA01A"/>
    <w:rsid w:val="30FBCA95"/>
    <w:rsid w:val="3101D117"/>
    <w:rsid w:val="310771F7"/>
    <w:rsid w:val="31129FEE"/>
    <w:rsid w:val="31149A98"/>
    <w:rsid w:val="311509CB"/>
    <w:rsid w:val="31177DD1"/>
    <w:rsid w:val="311ED833"/>
    <w:rsid w:val="312076F9"/>
    <w:rsid w:val="312E3A11"/>
    <w:rsid w:val="31307B2C"/>
    <w:rsid w:val="313AD287"/>
    <w:rsid w:val="314ABDF4"/>
    <w:rsid w:val="3158E69B"/>
    <w:rsid w:val="315A6269"/>
    <w:rsid w:val="315B0057"/>
    <w:rsid w:val="31667FE7"/>
    <w:rsid w:val="3171EE3E"/>
    <w:rsid w:val="317F9198"/>
    <w:rsid w:val="3184ED49"/>
    <w:rsid w:val="31862FF4"/>
    <w:rsid w:val="31954838"/>
    <w:rsid w:val="31A01E67"/>
    <w:rsid w:val="31B47DCF"/>
    <w:rsid w:val="31B57B8D"/>
    <w:rsid w:val="31BF6291"/>
    <w:rsid w:val="31C323FE"/>
    <w:rsid w:val="31C47FC2"/>
    <w:rsid w:val="31CB484D"/>
    <w:rsid w:val="31D96A2F"/>
    <w:rsid w:val="31DBFE1A"/>
    <w:rsid w:val="31DE372B"/>
    <w:rsid w:val="31DF334F"/>
    <w:rsid w:val="31E3BD04"/>
    <w:rsid w:val="31EE70C5"/>
    <w:rsid w:val="31FDAC21"/>
    <w:rsid w:val="3203D679"/>
    <w:rsid w:val="32063243"/>
    <w:rsid w:val="320DCDE1"/>
    <w:rsid w:val="320F61F7"/>
    <w:rsid w:val="321A380A"/>
    <w:rsid w:val="321C462B"/>
    <w:rsid w:val="321E8B6C"/>
    <w:rsid w:val="32216A24"/>
    <w:rsid w:val="3232A6C3"/>
    <w:rsid w:val="323452CE"/>
    <w:rsid w:val="3234CA94"/>
    <w:rsid w:val="3235FA97"/>
    <w:rsid w:val="323E012E"/>
    <w:rsid w:val="32430A2C"/>
    <w:rsid w:val="324518D9"/>
    <w:rsid w:val="3247F1E9"/>
    <w:rsid w:val="325268E5"/>
    <w:rsid w:val="3254AE12"/>
    <w:rsid w:val="325BAD5B"/>
    <w:rsid w:val="3261CED2"/>
    <w:rsid w:val="3262F6F7"/>
    <w:rsid w:val="327B0F7C"/>
    <w:rsid w:val="327D1EEB"/>
    <w:rsid w:val="327E2BF6"/>
    <w:rsid w:val="328C5A36"/>
    <w:rsid w:val="328CAD8C"/>
    <w:rsid w:val="329F67C8"/>
    <w:rsid w:val="32A13780"/>
    <w:rsid w:val="32A85467"/>
    <w:rsid w:val="32AA2580"/>
    <w:rsid w:val="32B094D1"/>
    <w:rsid w:val="32B84ED2"/>
    <w:rsid w:val="32BAA469"/>
    <w:rsid w:val="32C46723"/>
    <w:rsid w:val="32CA5946"/>
    <w:rsid w:val="32CC24D7"/>
    <w:rsid w:val="32D1C272"/>
    <w:rsid w:val="32D60D13"/>
    <w:rsid w:val="32DBD300"/>
    <w:rsid w:val="32DC18D2"/>
    <w:rsid w:val="32DCA98C"/>
    <w:rsid w:val="32E4873D"/>
    <w:rsid w:val="32EC66B4"/>
    <w:rsid w:val="32ECFD31"/>
    <w:rsid w:val="32F1A35F"/>
    <w:rsid w:val="32F9171B"/>
    <w:rsid w:val="3304DC2B"/>
    <w:rsid w:val="330A47C8"/>
    <w:rsid w:val="3315A7D3"/>
    <w:rsid w:val="3322235D"/>
    <w:rsid w:val="33228EEC"/>
    <w:rsid w:val="3324CD64"/>
    <w:rsid w:val="33251C29"/>
    <w:rsid w:val="33271715"/>
    <w:rsid w:val="332B138D"/>
    <w:rsid w:val="333BC6FF"/>
    <w:rsid w:val="333DAEE5"/>
    <w:rsid w:val="3340D242"/>
    <w:rsid w:val="3341FAB5"/>
    <w:rsid w:val="334B5C57"/>
    <w:rsid w:val="334C069B"/>
    <w:rsid w:val="33514BEE"/>
    <w:rsid w:val="33523926"/>
    <w:rsid w:val="335344DF"/>
    <w:rsid w:val="33642F99"/>
    <w:rsid w:val="33738AF3"/>
    <w:rsid w:val="3379F23C"/>
    <w:rsid w:val="337A078C"/>
    <w:rsid w:val="337E54B4"/>
    <w:rsid w:val="337ED07E"/>
    <w:rsid w:val="3381B8F4"/>
    <w:rsid w:val="338315A4"/>
    <w:rsid w:val="3389D13E"/>
    <w:rsid w:val="33918468"/>
    <w:rsid w:val="3391B158"/>
    <w:rsid w:val="3394DDFC"/>
    <w:rsid w:val="3399BCC0"/>
    <w:rsid w:val="339A5743"/>
    <w:rsid w:val="33A6B636"/>
    <w:rsid w:val="33AEF345"/>
    <w:rsid w:val="33B75AF0"/>
    <w:rsid w:val="33BD4A8E"/>
    <w:rsid w:val="33C2244A"/>
    <w:rsid w:val="33D1CEEF"/>
    <w:rsid w:val="33E5EA3A"/>
    <w:rsid w:val="33E93141"/>
    <w:rsid w:val="33EC2FF8"/>
    <w:rsid w:val="33ED3FEE"/>
    <w:rsid w:val="33EF0F6E"/>
    <w:rsid w:val="33FB5B95"/>
    <w:rsid w:val="33FE7DFD"/>
    <w:rsid w:val="340153E4"/>
    <w:rsid w:val="3402589D"/>
    <w:rsid w:val="340947E6"/>
    <w:rsid w:val="340DA955"/>
    <w:rsid w:val="341203D8"/>
    <w:rsid w:val="3412F52E"/>
    <w:rsid w:val="34140D20"/>
    <w:rsid w:val="34193E30"/>
    <w:rsid w:val="34279615"/>
    <w:rsid w:val="34292579"/>
    <w:rsid w:val="342D91C2"/>
    <w:rsid w:val="34422CF4"/>
    <w:rsid w:val="3444175A"/>
    <w:rsid w:val="3454C3E0"/>
    <w:rsid w:val="345BE96A"/>
    <w:rsid w:val="345E4B6F"/>
    <w:rsid w:val="3463129F"/>
    <w:rsid w:val="34681180"/>
    <w:rsid w:val="346F0DEF"/>
    <w:rsid w:val="3474A71D"/>
    <w:rsid w:val="347BC55B"/>
    <w:rsid w:val="347DE5A8"/>
    <w:rsid w:val="3484709E"/>
    <w:rsid w:val="34849E20"/>
    <w:rsid w:val="348B3BDB"/>
    <w:rsid w:val="348FDE62"/>
    <w:rsid w:val="3498C79D"/>
    <w:rsid w:val="349AF276"/>
    <w:rsid w:val="349C6467"/>
    <w:rsid w:val="34A157C1"/>
    <w:rsid w:val="34A2A19D"/>
    <w:rsid w:val="34A80E42"/>
    <w:rsid w:val="34A84448"/>
    <w:rsid w:val="34A8F351"/>
    <w:rsid w:val="34AB5099"/>
    <w:rsid w:val="34ADC1DE"/>
    <w:rsid w:val="34AE7B43"/>
    <w:rsid w:val="34B517B2"/>
    <w:rsid w:val="34BE212C"/>
    <w:rsid w:val="34C08153"/>
    <w:rsid w:val="34CE4509"/>
    <w:rsid w:val="34CFA2D1"/>
    <w:rsid w:val="34D006B8"/>
    <w:rsid w:val="34D31EB8"/>
    <w:rsid w:val="34DB0FF4"/>
    <w:rsid w:val="34DCCA93"/>
    <w:rsid w:val="34E4E26F"/>
    <w:rsid w:val="34F240A4"/>
    <w:rsid w:val="34F80EC1"/>
    <w:rsid w:val="34F9CAF9"/>
    <w:rsid w:val="34FD3654"/>
    <w:rsid w:val="34FD4670"/>
    <w:rsid w:val="34FEC5A4"/>
    <w:rsid w:val="3500CFE5"/>
    <w:rsid w:val="35035B1D"/>
    <w:rsid w:val="35074775"/>
    <w:rsid w:val="350E5CFF"/>
    <w:rsid w:val="35145BE9"/>
    <w:rsid w:val="351C28A2"/>
    <w:rsid w:val="351D7347"/>
    <w:rsid w:val="3520F157"/>
    <w:rsid w:val="3525FAED"/>
    <w:rsid w:val="352876D9"/>
    <w:rsid w:val="352FFE1E"/>
    <w:rsid w:val="35313714"/>
    <w:rsid w:val="3533C840"/>
    <w:rsid w:val="3534AA0F"/>
    <w:rsid w:val="3546F428"/>
    <w:rsid w:val="354E6E79"/>
    <w:rsid w:val="355081DE"/>
    <w:rsid w:val="355970FA"/>
    <w:rsid w:val="35599FEC"/>
    <w:rsid w:val="35681947"/>
    <w:rsid w:val="358F8CD8"/>
    <w:rsid w:val="3598625A"/>
    <w:rsid w:val="359BE071"/>
    <w:rsid w:val="35A03F89"/>
    <w:rsid w:val="35A47AC0"/>
    <w:rsid w:val="35A4EF0C"/>
    <w:rsid w:val="35AA8540"/>
    <w:rsid w:val="35AEE5F3"/>
    <w:rsid w:val="35B2E4BF"/>
    <w:rsid w:val="35B7964F"/>
    <w:rsid w:val="35B84348"/>
    <w:rsid w:val="35BDC365"/>
    <w:rsid w:val="35C9D1D4"/>
    <w:rsid w:val="35CC1FB4"/>
    <w:rsid w:val="35CD3667"/>
    <w:rsid w:val="35CE037F"/>
    <w:rsid w:val="35D66217"/>
    <w:rsid w:val="35DB2096"/>
    <w:rsid w:val="35EA4D14"/>
    <w:rsid w:val="35FDFE8B"/>
    <w:rsid w:val="36036452"/>
    <w:rsid w:val="36084203"/>
    <w:rsid w:val="3610F1B4"/>
    <w:rsid w:val="361BB480"/>
    <w:rsid w:val="3624E59D"/>
    <w:rsid w:val="362AB796"/>
    <w:rsid w:val="362AD2DA"/>
    <w:rsid w:val="364502B0"/>
    <w:rsid w:val="3648292B"/>
    <w:rsid w:val="365220B5"/>
    <w:rsid w:val="36538491"/>
    <w:rsid w:val="365E11AE"/>
    <w:rsid w:val="365F6078"/>
    <w:rsid w:val="3667E732"/>
    <w:rsid w:val="366EF98C"/>
    <w:rsid w:val="36778839"/>
    <w:rsid w:val="36784895"/>
    <w:rsid w:val="36854C46"/>
    <w:rsid w:val="36884C1C"/>
    <w:rsid w:val="36946C7B"/>
    <w:rsid w:val="36951BB6"/>
    <w:rsid w:val="369A10CF"/>
    <w:rsid w:val="36A2918A"/>
    <w:rsid w:val="36A48776"/>
    <w:rsid w:val="36A5DD8A"/>
    <w:rsid w:val="36A69ED5"/>
    <w:rsid w:val="36A73BA6"/>
    <w:rsid w:val="36A98D23"/>
    <w:rsid w:val="36ABFF85"/>
    <w:rsid w:val="36B5A741"/>
    <w:rsid w:val="36BCDC80"/>
    <w:rsid w:val="36BDAFA9"/>
    <w:rsid w:val="36C94CD8"/>
    <w:rsid w:val="36D166DE"/>
    <w:rsid w:val="36D4D5DB"/>
    <w:rsid w:val="36D91F3C"/>
    <w:rsid w:val="36E4571B"/>
    <w:rsid w:val="36E76E23"/>
    <w:rsid w:val="36F26A86"/>
    <w:rsid w:val="3701CFBC"/>
    <w:rsid w:val="3703ADF5"/>
    <w:rsid w:val="370B5B27"/>
    <w:rsid w:val="37115911"/>
    <w:rsid w:val="3726C5DE"/>
    <w:rsid w:val="372763D1"/>
    <w:rsid w:val="373E18E3"/>
    <w:rsid w:val="374516F5"/>
    <w:rsid w:val="37527B07"/>
    <w:rsid w:val="375DD573"/>
    <w:rsid w:val="37615A06"/>
    <w:rsid w:val="3763B245"/>
    <w:rsid w:val="3764D048"/>
    <w:rsid w:val="376DEAED"/>
    <w:rsid w:val="376E2BAF"/>
    <w:rsid w:val="3770663A"/>
    <w:rsid w:val="377DFC04"/>
    <w:rsid w:val="377EEF89"/>
    <w:rsid w:val="377F68DC"/>
    <w:rsid w:val="37867CEF"/>
    <w:rsid w:val="37980E28"/>
    <w:rsid w:val="37981804"/>
    <w:rsid w:val="379BE139"/>
    <w:rsid w:val="379F57B7"/>
    <w:rsid w:val="37A2B044"/>
    <w:rsid w:val="37A783F1"/>
    <w:rsid w:val="37AC0B16"/>
    <w:rsid w:val="37B02AC6"/>
    <w:rsid w:val="37B9EA50"/>
    <w:rsid w:val="37C1B50D"/>
    <w:rsid w:val="37C53465"/>
    <w:rsid w:val="37C96C0A"/>
    <w:rsid w:val="37D7ED60"/>
    <w:rsid w:val="38075B55"/>
    <w:rsid w:val="3809F7FE"/>
    <w:rsid w:val="380A2A1D"/>
    <w:rsid w:val="38170DB2"/>
    <w:rsid w:val="3817BFC9"/>
    <w:rsid w:val="381ECB25"/>
    <w:rsid w:val="38327DE2"/>
    <w:rsid w:val="38343049"/>
    <w:rsid w:val="383C0FD3"/>
    <w:rsid w:val="38432D24"/>
    <w:rsid w:val="38551375"/>
    <w:rsid w:val="385B37FF"/>
    <w:rsid w:val="38765F65"/>
    <w:rsid w:val="387AA7F6"/>
    <w:rsid w:val="387DFF44"/>
    <w:rsid w:val="388195A7"/>
    <w:rsid w:val="38860547"/>
    <w:rsid w:val="3887E3AD"/>
    <w:rsid w:val="38956F49"/>
    <w:rsid w:val="389840CA"/>
    <w:rsid w:val="38A53160"/>
    <w:rsid w:val="38A6E4B4"/>
    <w:rsid w:val="38A80592"/>
    <w:rsid w:val="38ADE2D2"/>
    <w:rsid w:val="38B21291"/>
    <w:rsid w:val="38B4DFB3"/>
    <w:rsid w:val="38BB4259"/>
    <w:rsid w:val="38C28D20"/>
    <w:rsid w:val="38C88C95"/>
    <w:rsid w:val="38C974C1"/>
    <w:rsid w:val="38D1161C"/>
    <w:rsid w:val="38D46458"/>
    <w:rsid w:val="38E331A5"/>
    <w:rsid w:val="38ED40D5"/>
    <w:rsid w:val="38ED45C3"/>
    <w:rsid w:val="38EE5A24"/>
    <w:rsid w:val="38FED02B"/>
    <w:rsid w:val="390731A6"/>
    <w:rsid w:val="3909A38E"/>
    <w:rsid w:val="390E87C7"/>
    <w:rsid w:val="390F6C80"/>
    <w:rsid w:val="391725A5"/>
    <w:rsid w:val="39196704"/>
    <w:rsid w:val="391A6323"/>
    <w:rsid w:val="3938EB66"/>
    <w:rsid w:val="393F4577"/>
    <w:rsid w:val="394B3F02"/>
    <w:rsid w:val="394D65D8"/>
    <w:rsid w:val="3950460A"/>
    <w:rsid w:val="39517CA2"/>
    <w:rsid w:val="39579CFF"/>
    <w:rsid w:val="396A7D2F"/>
    <w:rsid w:val="396B9DAC"/>
    <w:rsid w:val="396ED4CF"/>
    <w:rsid w:val="397388C0"/>
    <w:rsid w:val="398C053E"/>
    <w:rsid w:val="39913113"/>
    <w:rsid w:val="399664FA"/>
    <w:rsid w:val="3998BDE4"/>
    <w:rsid w:val="399994D2"/>
    <w:rsid w:val="399F8B8B"/>
    <w:rsid w:val="39A6BFF2"/>
    <w:rsid w:val="39AFBC27"/>
    <w:rsid w:val="39B03BB6"/>
    <w:rsid w:val="39B03FE9"/>
    <w:rsid w:val="39B75A3A"/>
    <w:rsid w:val="39BD93A9"/>
    <w:rsid w:val="39C3E5E4"/>
    <w:rsid w:val="39C50443"/>
    <w:rsid w:val="39C7A330"/>
    <w:rsid w:val="39CBBA62"/>
    <w:rsid w:val="39CF6609"/>
    <w:rsid w:val="39D61801"/>
    <w:rsid w:val="39D7CC40"/>
    <w:rsid w:val="39DE1813"/>
    <w:rsid w:val="39E3E9BE"/>
    <w:rsid w:val="39E4EB6B"/>
    <w:rsid w:val="39F0E729"/>
    <w:rsid w:val="39F3176E"/>
    <w:rsid w:val="3A04D043"/>
    <w:rsid w:val="3A07822F"/>
    <w:rsid w:val="3A11C9A6"/>
    <w:rsid w:val="3A12BA2E"/>
    <w:rsid w:val="3A142E87"/>
    <w:rsid w:val="3A1AD2EE"/>
    <w:rsid w:val="3A1F7D93"/>
    <w:rsid w:val="3A2570CC"/>
    <w:rsid w:val="3A2598F1"/>
    <w:rsid w:val="3A293C5F"/>
    <w:rsid w:val="3A2CE21D"/>
    <w:rsid w:val="3A2FA7B5"/>
    <w:rsid w:val="3A33C8F7"/>
    <w:rsid w:val="3A346D1D"/>
    <w:rsid w:val="3A39FE4D"/>
    <w:rsid w:val="3A4385D1"/>
    <w:rsid w:val="3A46DDD5"/>
    <w:rsid w:val="3A4C7DC1"/>
    <w:rsid w:val="3A4F5904"/>
    <w:rsid w:val="3A4FA6D0"/>
    <w:rsid w:val="3A5C55DE"/>
    <w:rsid w:val="3A5CF6E8"/>
    <w:rsid w:val="3A636487"/>
    <w:rsid w:val="3A65D8F6"/>
    <w:rsid w:val="3A676FE0"/>
    <w:rsid w:val="3A688161"/>
    <w:rsid w:val="3A6D4553"/>
    <w:rsid w:val="3A724240"/>
    <w:rsid w:val="3A785A1A"/>
    <w:rsid w:val="3A81E28F"/>
    <w:rsid w:val="3A90E5B4"/>
    <w:rsid w:val="3A953A5E"/>
    <w:rsid w:val="3A978080"/>
    <w:rsid w:val="3AA463EF"/>
    <w:rsid w:val="3AA600CF"/>
    <w:rsid w:val="3AAA58A0"/>
    <w:rsid w:val="3ABA6B1F"/>
    <w:rsid w:val="3ABAA2B4"/>
    <w:rsid w:val="3ABB09C7"/>
    <w:rsid w:val="3AC3370C"/>
    <w:rsid w:val="3AC611B2"/>
    <w:rsid w:val="3AC9BE85"/>
    <w:rsid w:val="3ACBC2F6"/>
    <w:rsid w:val="3ACDB156"/>
    <w:rsid w:val="3ACDB530"/>
    <w:rsid w:val="3AD80D5A"/>
    <w:rsid w:val="3AD94CAD"/>
    <w:rsid w:val="3AEA44FF"/>
    <w:rsid w:val="3AEACCC9"/>
    <w:rsid w:val="3AEDD6A6"/>
    <w:rsid w:val="3AF3D8DE"/>
    <w:rsid w:val="3AFDC6C5"/>
    <w:rsid w:val="3B010BA6"/>
    <w:rsid w:val="3B188542"/>
    <w:rsid w:val="3B1C55F6"/>
    <w:rsid w:val="3B1D2FBA"/>
    <w:rsid w:val="3B1F84B5"/>
    <w:rsid w:val="3B22DB23"/>
    <w:rsid w:val="3B2A6AC6"/>
    <w:rsid w:val="3B2AA153"/>
    <w:rsid w:val="3B2D6019"/>
    <w:rsid w:val="3B4FC5E5"/>
    <w:rsid w:val="3B58B538"/>
    <w:rsid w:val="3B5BB672"/>
    <w:rsid w:val="3B632CE4"/>
    <w:rsid w:val="3B638987"/>
    <w:rsid w:val="3B68F630"/>
    <w:rsid w:val="3B6B305C"/>
    <w:rsid w:val="3B6BA17E"/>
    <w:rsid w:val="3B73997D"/>
    <w:rsid w:val="3B80DF9D"/>
    <w:rsid w:val="3B82F381"/>
    <w:rsid w:val="3B8B1566"/>
    <w:rsid w:val="3B8CF8AA"/>
    <w:rsid w:val="3B91AB1F"/>
    <w:rsid w:val="3B91ED18"/>
    <w:rsid w:val="3B92252A"/>
    <w:rsid w:val="3B935D1D"/>
    <w:rsid w:val="3B93B082"/>
    <w:rsid w:val="3B940399"/>
    <w:rsid w:val="3B94CA3C"/>
    <w:rsid w:val="3B968668"/>
    <w:rsid w:val="3B9BA05A"/>
    <w:rsid w:val="3B9D7824"/>
    <w:rsid w:val="3B9F2097"/>
    <w:rsid w:val="3BA8118F"/>
    <w:rsid w:val="3BAE473A"/>
    <w:rsid w:val="3BB0F662"/>
    <w:rsid w:val="3BBBADE2"/>
    <w:rsid w:val="3BCD2AAE"/>
    <w:rsid w:val="3BDF0D9A"/>
    <w:rsid w:val="3BE77090"/>
    <w:rsid w:val="3BEACF56"/>
    <w:rsid w:val="3BF8B80E"/>
    <w:rsid w:val="3C040261"/>
    <w:rsid w:val="3C0BECB0"/>
    <w:rsid w:val="3C172466"/>
    <w:rsid w:val="3C1B7B5F"/>
    <w:rsid w:val="3C3275DD"/>
    <w:rsid w:val="3C32E8BB"/>
    <w:rsid w:val="3C3B0411"/>
    <w:rsid w:val="3C3DE9F5"/>
    <w:rsid w:val="3C3FB5AF"/>
    <w:rsid w:val="3C42A556"/>
    <w:rsid w:val="3C4979D7"/>
    <w:rsid w:val="3C500DCC"/>
    <w:rsid w:val="3C5BDD66"/>
    <w:rsid w:val="3C6630F6"/>
    <w:rsid w:val="3C66C7CF"/>
    <w:rsid w:val="3C6DFE14"/>
    <w:rsid w:val="3C75813B"/>
    <w:rsid w:val="3C7612F5"/>
    <w:rsid w:val="3C7ACFEB"/>
    <w:rsid w:val="3C84FB8E"/>
    <w:rsid w:val="3C878286"/>
    <w:rsid w:val="3C87B3C2"/>
    <w:rsid w:val="3C93E7E3"/>
    <w:rsid w:val="3C99A3F2"/>
    <w:rsid w:val="3CA928C4"/>
    <w:rsid w:val="3CB4B8F8"/>
    <w:rsid w:val="3CB7A5BA"/>
    <w:rsid w:val="3CB8F347"/>
    <w:rsid w:val="3CBA85B0"/>
    <w:rsid w:val="3CBB4DE9"/>
    <w:rsid w:val="3CBE39B8"/>
    <w:rsid w:val="3CC2182C"/>
    <w:rsid w:val="3CCB57F0"/>
    <w:rsid w:val="3CD4C705"/>
    <w:rsid w:val="3CD8ECEF"/>
    <w:rsid w:val="3CDEA396"/>
    <w:rsid w:val="3CE3B35B"/>
    <w:rsid w:val="3CE462F7"/>
    <w:rsid w:val="3CF91372"/>
    <w:rsid w:val="3CFB1CA6"/>
    <w:rsid w:val="3CFD2116"/>
    <w:rsid w:val="3D11EE9B"/>
    <w:rsid w:val="3D18DD70"/>
    <w:rsid w:val="3D1A5440"/>
    <w:rsid w:val="3D1EE49E"/>
    <w:rsid w:val="3D22C22E"/>
    <w:rsid w:val="3D24ECF4"/>
    <w:rsid w:val="3D2F80E3"/>
    <w:rsid w:val="3D37C0BD"/>
    <w:rsid w:val="3D441374"/>
    <w:rsid w:val="3D44D0F1"/>
    <w:rsid w:val="3D570F71"/>
    <w:rsid w:val="3D57692C"/>
    <w:rsid w:val="3D631FE4"/>
    <w:rsid w:val="3D697DBF"/>
    <w:rsid w:val="3D6E9559"/>
    <w:rsid w:val="3D84E8D5"/>
    <w:rsid w:val="3D8592FD"/>
    <w:rsid w:val="3D860D06"/>
    <w:rsid w:val="3D8D4246"/>
    <w:rsid w:val="3D944FC8"/>
    <w:rsid w:val="3D9AB886"/>
    <w:rsid w:val="3D9D44B2"/>
    <w:rsid w:val="3DA116E3"/>
    <w:rsid w:val="3DA1C038"/>
    <w:rsid w:val="3DA1EE4B"/>
    <w:rsid w:val="3DA27B47"/>
    <w:rsid w:val="3DA2C1B3"/>
    <w:rsid w:val="3DA6E856"/>
    <w:rsid w:val="3DA90D3F"/>
    <w:rsid w:val="3DAE0A40"/>
    <w:rsid w:val="3DC033B4"/>
    <w:rsid w:val="3DC76E3B"/>
    <w:rsid w:val="3DD829D5"/>
    <w:rsid w:val="3DDBE835"/>
    <w:rsid w:val="3DE2375A"/>
    <w:rsid w:val="3DE4EFF5"/>
    <w:rsid w:val="3DE88E92"/>
    <w:rsid w:val="3DF5FD13"/>
    <w:rsid w:val="3DFA0039"/>
    <w:rsid w:val="3DFD1500"/>
    <w:rsid w:val="3E04721F"/>
    <w:rsid w:val="3E075816"/>
    <w:rsid w:val="3E0E670E"/>
    <w:rsid w:val="3E12049F"/>
    <w:rsid w:val="3E12C0EC"/>
    <w:rsid w:val="3E15FB3F"/>
    <w:rsid w:val="3E213861"/>
    <w:rsid w:val="3E267D65"/>
    <w:rsid w:val="3E2AF548"/>
    <w:rsid w:val="3E2B3D46"/>
    <w:rsid w:val="3E2BA47E"/>
    <w:rsid w:val="3E2EA5A9"/>
    <w:rsid w:val="3E346ABB"/>
    <w:rsid w:val="3E3493F5"/>
    <w:rsid w:val="3E364478"/>
    <w:rsid w:val="3E36ED33"/>
    <w:rsid w:val="3E3D9086"/>
    <w:rsid w:val="3E420658"/>
    <w:rsid w:val="3E4314F5"/>
    <w:rsid w:val="3E4CBB6A"/>
    <w:rsid w:val="3E52E20A"/>
    <w:rsid w:val="3E537248"/>
    <w:rsid w:val="3E579B6E"/>
    <w:rsid w:val="3E5C906A"/>
    <w:rsid w:val="3E5D6A28"/>
    <w:rsid w:val="3E665664"/>
    <w:rsid w:val="3E738043"/>
    <w:rsid w:val="3E756B80"/>
    <w:rsid w:val="3E77AAD1"/>
    <w:rsid w:val="3E7A8483"/>
    <w:rsid w:val="3E7B0EB8"/>
    <w:rsid w:val="3E7B1C03"/>
    <w:rsid w:val="3E7FE491"/>
    <w:rsid w:val="3E902E3D"/>
    <w:rsid w:val="3E9299C9"/>
    <w:rsid w:val="3E9B7CDE"/>
    <w:rsid w:val="3E9BD4B5"/>
    <w:rsid w:val="3EA0DC74"/>
    <w:rsid w:val="3EA35EE5"/>
    <w:rsid w:val="3EABBA9A"/>
    <w:rsid w:val="3EBB51A7"/>
    <w:rsid w:val="3EBF207C"/>
    <w:rsid w:val="3EC6EA65"/>
    <w:rsid w:val="3ECD3A87"/>
    <w:rsid w:val="3ECE2ABF"/>
    <w:rsid w:val="3ECEC9EB"/>
    <w:rsid w:val="3ECECD64"/>
    <w:rsid w:val="3EDC472C"/>
    <w:rsid w:val="3EE12C86"/>
    <w:rsid w:val="3EE4B995"/>
    <w:rsid w:val="3EE77AD4"/>
    <w:rsid w:val="3EEC5EBB"/>
    <w:rsid w:val="3EEF586F"/>
    <w:rsid w:val="3EF74E99"/>
    <w:rsid w:val="3EFB3D50"/>
    <w:rsid w:val="3F006235"/>
    <w:rsid w:val="3F00E6B9"/>
    <w:rsid w:val="3F089A00"/>
    <w:rsid w:val="3F0A11CD"/>
    <w:rsid w:val="3F0B83B9"/>
    <w:rsid w:val="3F0D714B"/>
    <w:rsid w:val="3F13B8E1"/>
    <w:rsid w:val="3F1D3906"/>
    <w:rsid w:val="3F2317F3"/>
    <w:rsid w:val="3F23DDA8"/>
    <w:rsid w:val="3F23F6C9"/>
    <w:rsid w:val="3F28824F"/>
    <w:rsid w:val="3F34EB63"/>
    <w:rsid w:val="3F38B19B"/>
    <w:rsid w:val="3F392CA8"/>
    <w:rsid w:val="3F3F8E28"/>
    <w:rsid w:val="3F4CADA0"/>
    <w:rsid w:val="3F50B252"/>
    <w:rsid w:val="3F517852"/>
    <w:rsid w:val="3F590486"/>
    <w:rsid w:val="3F5C5364"/>
    <w:rsid w:val="3F5FA1C6"/>
    <w:rsid w:val="3F5FC42B"/>
    <w:rsid w:val="3F61ADD5"/>
    <w:rsid w:val="3F689870"/>
    <w:rsid w:val="3F6A5E81"/>
    <w:rsid w:val="3F728C51"/>
    <w:rsid w:val="3F803AB6"/>
    <w:rsid w:val="3F81ED5F"/>
    <w:rsid w:val="3F84C2D7"/>
    <w:rsid w:val="3F95C3F7"/>
    <w:rsid w:val="3F9885A1"/>
    <w:rsid w:val="3FAC58B4"/>
    <w:rsid w:val="3FB6900B"/>
    <w:rsid w:val="3FBBF785"/>
    <w:rsid w:val="3FBF496D"/>
    <w:rsid w:val="3FC4B44C"/>
    <w:rsid w:val="3FCFC9DA"/>
    <w:rsid w:val="3FD103B8"/>
    <w:rsid w:val="3FDDAC6D"/>
    <w:rsid w:val="3FDEE556"/>
    <w:rsid w:val="3FDF2533"/>
    <w:rsid w:val="3FF30363"/>
    <w:rsid w:val="3FF89C58"/>
    <w:rsid w:val="3FFE3277"/>
    <w:rsid w:val="4000E2E1"/>
    <w:rsid w:val="400181C0"/>
    <w:rsid w:val="4001BA2B"/>
    <w:rsid w:val="4014836D"/>
    <w:rsid w:val="40187FCF"/>
    <w:rsid w:val="40206B57"/>
    <w:rsid w:val="40211A60"/>
    <w:rsid w:val="402D8258"/>
    <w:rsid w:val="40303669"/>
    <w:rsid w:val="4030C3D3"/>
    <w:rsid w:val="403A2155"/>
    <w:rsid w:val="40430C0F"/>
    <w:rsid w:val="404570FE"/>
    <w:rsid w:val="404F0904"/>
    <w:rsid w:val="4057F74E"/>
    <w:rsid w:val="4058C3C5"/>
    <w:rsid w:val="405978AC"/>
    <w:rsid w:val="406FECED"/>
    <w:rsid w:val="407C9950"/>
    <w:rsid w:val="407F9DD2"/>
    <w:rsid w:val="4081BB97"/>
    <w:rsid w:val="4082060E"/>
    <w:rsid w:val="4085B127"/>
    <w:rsid w:val="40866385"/>
    <w:rsid w:val="408A0641"/>
    <w:rsid w:val="408CB66A"/>
    <w:rsid w:val="40931142"/>
    <w:rsid w:val="409577D1"/>
    <w:rsid w:val="40A16562"/>
    <w:rsid w:val="40A46F66"/>
    <w:rsid w:val="40AD8AFD"/>
    <w:rsid w:val="40AF25D7"/>
    <w:rsid w:val="40AF6BB8"/>
    <w:rsid w:val="40B1D24D"/>
    <w:rsid w:val="40B85D58"/>
    <w:rsid w:val="40BD634C"/>
    <w:rsid w:val="40C3B528"/>
    <w:rsid w:val="40C780F0"/>
    <w:rsid w:val="40CE1CF0"/>
    <w:rsid w:val="40CF3D37"/>
    <w:rsid w:val="40D255E2"/>
    <w:rsid w:val="40D8333E"/>
    <w:rsid w:val="40DBC93C"/>
    <w:rsid w:val="40E91CE5"/>
    <w:rsid w:val="4102BCA8"/>
    <w:rsid w:val="4110327F"/>
    <w:rsid w:val="411082D7"/>
    <w:rsid w:val="411199B9"/>
    <w:rsid w:val="411421F4"/>
    <w:rsid w:val="41158F10"/>
    <w:rsid w:val="411A1E8B"/>
    <w:rsid w:val="4126B515"/>
    <w:rsid w:val="4126FF83"/>
    <w:rsid w:val="41274717"/>
    <w:rsid w:val="4127B0EC"/>
    <w:rsid w:val="41329EFA"/>
    <w:rsid w:val="41454E06"/>
    <w:rsid w:val="414AAD47"/>
    <w:rsid w:val="4150C6F0"/>
    <w:rsid w:val="4151B69B"/>
    <w:rsid w:val="415279E7"/>
    <w:rsid w:val="415AD77D"/>
    <w:rsid w:val="415B24E5"/>
    <w:rsid w:val="41617341"/>
    <w:rsid w:val="41619059"/>
    <w:rsid w:val="416C625D"/>
    <w:rsid w:val="417350B8"/>
    <w:rsid w:val="41836E36"/>
    <w:rsid w:val="4185C394"/>
    <w:rsid w:val="418B3029"/>
    <w:rsid w:val="41906718"/>
    <w:rsid w:val="4192382E"/>
    <w:rsid w:val="4193A37C"/>
    <w:rsid w:val="4199BA5A"/>
    <w:rsid w:val="419BE5AD"/>
    <w:rsid w:val="41A0F9F5"/>
    <w:rsid w:val="41A267CA"/>
    <w:rsid w:val="41A41AA7"/>
    <w:rsid w:val="41A43470"/>
    <w:rsid w:val="41A9AB18"/>
    <w:rsid w:val="41AB4EC8"/>
    <w:rsid w:val="41B41525"/>
    <w:rsid w:val="41BC2E30"/>
    <w:rsid w:val="41BDCDA1"/>
    <w:rsid w:val="41BF6CF5"/>
    <w:rsid w:val="41CEC0ED"/>
    <w:rsid w:val="41D46512"/>
    <w:rsid w:val="41DE2E9D"/>
    <w:rsid w:val="41E5C011"/>
    <w:rsid w:val="41E693DF"/>
    <w:rsid w:val="41EE0BE9"/>
    <w:rsid w:val="41F22646"/>
    <w:rsid w:val="41F57275"/>
    <w:rsid w:val="41F7B455"/>
    <w:rsid w:val="41FAA0E3"/>
    <w:rsid w:val="41FD0E3E"/>
    <w:rsid w:val="42091A94"/>
    <w:rsid w:val="420E621B"/>
    <w:rsid w:val="42118394"/>
    <w:rsid w:val="42163A05"/>
    <w:rsid w:val="4216C582"/>
    <w:rsid w:val="421C27DF"/>
    <w:rsid w:val="4220829A"/>
    <w:rsid w:val="422A2714"/>
    <w:rsid w:val="422FE801"/>
    <w:rsid w:val="4230B528"/>
    <w:rsid w:val="4233C9C8"/>
    <w:rsid w:val="42372CBA"/>
    <w:rsid w:val="4245A37D"/>
    <w:rsid w:val="4249699B"/>
    <w:rsid w:val="424CF9AC"/>
    <w:rsid w:val="42592495"/>
    <w:rsid w:val="425F83F3"/>
    <w:rsid w:val="42600443"/>
    <w:rsid w:val="426A4EB5"/>
    <w:rsid w:val="426C3CCB"/>
    <w:rsid w:val="426F8136"/>
    <w:rsid w:val="427B21C1"/>
    <w:rsid w:val="42834773"/>
    <w:rsid w:val="428E3C23"/>
    <w:rsid w:val="428EAF4B"/>
    <w:rsid w:val="429251E2"/>
    <w:rsid w:val="42946456"/>
    <w:rsid w:val="42A7FCD5"/>
    <w:rsid w:val="42A9E2BA"/>
    <w:rsid w:val="42AC2D2B"/>
    <w:rsid w:val="42B0EB76"/>
    <w:rsid w:val="42B15806"/>
    <w:rsid w:val="42B1DFA2"/>
    <w:rsid w:val="42B6E4A9"/>
    <w:rsid w:val="42BB2314"/>
    <w:rsid w:val="42C468AE"/>
    <w:rsid w:val="42C65544"/>
    <w:rsid w:val="42C7F261"/>
    <w:rsid w:val="42CB9465"/>
    <w:rsid w:val="42CEDF36"/>
    <w:rsid w:val="42D4999E"/>
    <w:rsid w:val="42D7FFBC"/>
    <w:rsid w:val="42D859FF"/>
    <w:rsid w:val="42DA0E5C"/>
    <w:rsid w:val="42EC1CDB"/>
    <w:rsid w:val="42ED2FD8"/>
    <w:rsid w:val="42F6E91C"/>
    <w:rsid w:val="42F99899"/>
    <w:rsid w:val="42FB6E11"/>
    <w:rsid w:val="42FD1091"/>
    <w:rsid w:val="42FEDC95"/>
    <w:rsid w:val="430C9A08"/>
    <w:rsid w:val="430F0EAD"/>
    <w:rsid w:val="4317526F"/>
    <w:rsid w:val="4318F362"/>
    <w:rsid w:val="431AC028"/>
    <w:rsid w:val="431C71BF"/>
    <w:rsid w:val="431FDEB9"/>
    <w:rsid w:val="432470FC"/>
    <w:rsid w:val="432475FE"/>
    <w:rsid w:val="43280C55"/>
    <w:rsid w:val="4328A171"/>
    <w:rsid w:val="432D0785"/>
    <w:rsid w:val="4334A6A3"/>
    <w:rsid w:val="433B5D88"/>
    <w:rsid w:val="4345AD2D"/>
    <w:rsid w:val="43484876"/>
    <w:rsid w:val="434C5714"/>
    <w:rsid w:val="434E7FDB"/>
    <w:rsid w:val="434FFEA7"/>
    <w:rsid w:val="436059DB"/>
    <w:rsid w:val="436717DE"/>
    <w:rsid w:val="4374F39A"/>
    <w:rsid w:val="43818468"/>
    <w:rsid w:val="438683DF"/>
    <w:rsid w:val="4388F504"/>
    <w:rsid w:val="438D1583"/>
    <w:rsid w:val="438D2CB4"/>
    <w:rsid w:val="438E2D2E"/>
    <w:rsid w:val="438E7FD5"/>
    <w:rsid w:val="439E3905"/>
    <w:rsid w:val="43A885D6"/>
    <w:rsid w:val="43AA6150"/>
    <w:rsid w:val="43BCD775"/>
    <w:rsid w:val="43C011ED"/>
    <w:rsid w:val="43CA7311"/>
    <w:rsid w:val="43CD7475"/>
    <w:rsid w:val="43CE507B"/>
    <w:rsid w:val="43D29C1B"/>
    <w:rsid w:val="43D4E211"/>
    <w:rsid w:val="43D54981"/>
    <w:rsid w:val="43D76511"/>
    <w:rsid w:val="43E0243D"/>
    <w:rsid w:val="43E283DE"/>
    <w:rsid w:val="43E566F2"/>
    <w:rsid w:val="43EBF474"/>
    <w:rsid w:val="43EFFBD5"/>
    <w:rsid w:val="44145029"/>
    <w:rsid w:val="441638A3"/>
    <w:rsid w:val="441E675D"/>
    <w:rsid w:val="44269655"/>
    <w:rsid w:val="44415F1D"/>
    <w:rsid w:val="44450BAA"/>
    <w:rsid w:val="444590C5"/>
    <w:rsid w:val="4447C470"/>
    <w:rsid w:val="4467FC7D"/>
    <w:rsid w:val="44691A6B"/>
    <w:rsid w:val="4469C784"/>
    <w:rsid w:val="446A5030"/>
    <w:rsid w:val="447176AA"/>
    <w:rsid w:val="44775FC4"/>
    <w:rsid w:val="447793B6"/>
    <w:rsid w:val="447CDF8C"/>
    <w:rsid w:val="447D1857"/>
    <w:rsid w:val="448197FA"/>
    <w:rsid w:val="4483DB89"/>
    <w:rsid w:val="4486BD82"/>
    <w:rsid w:val="4487A4D6"/>
    <w:rsid w:val="4488CC9E"/>
    <w:rsid w:val="44892E01"/>
    <w:rsid w:val="4489F633"/>
    <w:rsid w:val="448BE401"/>
    <w:rsid w:val="448D71EE"/>
    <w:rsid w:val="44930C2C"/>
    <w:rsid w:val="4496497E"/>
    <w:rsid w:val="44A533E7"/>
    <w:rsid w:val="44AD7402"/>
    <w:rsid w:val="44B2ED15"/>
    <w:rsid w:val="44C05F01"/>
    <w:rsid w:val="44C76A54"/>
    <w:rsid w:val="44D013F3"/>
    <w:rsid w:val="44D68DA6"/>
    <w:rsid w:val="44DA7BD1"/>
    <w:rsid w:val="44DD2C73"/>
    <w:rsid w:val="44DDCE47"/>
    <w:rsid w:val="44E1B267"/>
    <w:rsid w:val="44E9FE3D"/>
    <w:rsid w:val="44EC209C"/>
    <w:rsid w:val="44EC8A89"/>
    <w:rsid w:val="44F0C594"/>
    <w:rsid w:val="44F29517"/>
    <w:rsid w:val="44F43E8B"/>
    <w:rsid w:val="44F49E61"/>
    <w:rsid w:val="44F66D80"/>
    <w:rsid w:val="44FBACA2"/>
    <w:rsid w:val="45077AC1"/>
    <w:rsid w:val="4509FFD3"/>
    <w:rsid w:val="4513BDB6"/>
    <w:rsid w:val="4514A317"/>
    <w:rsid w:val="45170101"/>
    <w:rsid w:val="451EA47C"/>
    <w:rsid w:val="45255EF0"/>
    <w:rsid w:val="45269FE5"/>
    <w:rsid w:val="45273FDE"/>
    <w:rsid w:val="45299478"/>
    <w:rsid w:val="452A5036"/>
    <w:rsid w:val="452FDB8B"/>
    <w:rsid w:val="4532DB15"/>
    <w:rsid w:val="453C03A7"/>
    <w:rsid w:val="4552E836"/>
    <w:rsid w:val="4563602E"/>
    <w:rsid w:val="456689AC"/>
    <w:rsid w:val="456CC7D2"/>
    <w:rsid w:val="456D603D"/>
    <w:rsid w:val="45726F86"/>
    <w:rsid w:val="4572A2B9"/>
    <w:rsid w:val="4577B0F0"/>
    <w:rsid w:val="45799BA1"/>
    <w:rsid w:val="45856471"/>
    <w:rsid w:val="45870827"/>
    <w:rsid w:val="458ED68E"/>
    <w:rsid w:val="4593660F"/>
    <w:rsid w:val="4598101A"/>
    <w:rsid w:val="459993FE"/>
    <w:rsid w:val="459B05B3"/>
    <w:rsid w:val="45A700BD"/>
    <w:rsid w:val="45A986E1"/>
    <w:rsid w:val="45B0DE6D"/>
    <w:rsid w:val="45B0E210"/>
    <w:rsid w:val="45B2D7B0"/>
    <w:rsid w:val="45B44C5C"/>
    <w:rsid w:val="45B529AD"/>
    <w:rsid w:val="45BD5853"/>
    <w:rsid w:val="45BD7893"/>
    <w:rsid w:val="45C5521D"/>
    <w:rsid w:val="45CFDB43"/>
    <w:rsid w:val="45D047DD"/>
    <w:rsid w:val="45D29245"/>
    <w:rsid w:val="45D54F6B"/>
    <w:rsid w:val="45DB1C29"/>
    <w:rsid w:val="45DE8E16"/>
    <w:rsid w:val="45E255F1"/>
    <w:rsid w:val="45E956FF"/>
    <w:rsid w:val="45EF5B47"/>
    <w:rsid w:val="45F5860D"/>
    <w:rsid w:val="45F65A29"/>
    <w:rsid w:val="4604EACC"/>
    <w:rsid w:val="4605572C"/>
    <w:rsid w:val="46057C14"/>
    <w:rsid w:val="460AF6D8"/>
    <w:rsid w:val="4616E325"/>
    <w:rsid w:val="4620D581"/>
    <w:rsid w:val="4621F6AC"/>
    <w:rsid w:val="462EF510"/>
    <w:rsid w:val="4633F6FF"/>
    <w:rsid w:val="46341F46"/>
    <w:rsid w:val="4634E464"/>
    <w:rsid w:val="4639F30E"/>
    <w:rsid w:val="463D378C"/>
    <w:rsid w:val="46410448"/>
    <w:rsid w:val="46427684"/>
    <w:rsid w:val="46488B8B"/>
    <w:rsid w:val="464EBBF4"/>
    <w:rsid w:val="4650A728"/>
    <w:rsid w:val="4654F910"/>
    <w:rsid w:val="4656316D"/>
    <w:rsid w:val="46579A2A"/>
    <w:rsid w:val="4658D52B"/>
    <w:rsid w:val="4658D60A"/>
    <w:rsid w:val="4662F66B"/>
    <w:rsid w:val="467E07A6"/>
    <w:rsid w:val="467EEE38"/>
    <w:rsid w:val="468AA334"/>
    <w:rsid w:val="4691A04B"/>
    <w:rsid w:val="46942624"/>
    <w:rsid w:val="469551F4"/>
    <w:rsid w:val="469F3F99"/>
    <w:rsid w:val="46A047BB"/>
    <w:rsid w:val="46AFEF27"/>
    <w:rsid w:val="46B2F172"/>
    <w:rsid w:val="46B74EBE"/>
    <w:rsid w:val="46BD3365"/>
    <w:rsid w:val="46D71262"/>
    <w:rsid w:val="46D9AB4C"/>
    <w:rsid w:val="46D9FF7A"/>
    <w:rsid w:val="46DC97F4"/>
    <w:rsid w:val="46DE197B"/>
    <w:rsid w:val="46E223AC"/>
    <w:rsid w:val="46EA09DB"/>
    <w:rsid w:val="46EBB337"/>
    <w:rsid w:val="46F2E5DC"/>
    <w:rsid w:val="46F5A6F8"/>
    <w:rsid w:val="46F5DB34"/>
    <w:rsid w:val="46F877F6"/>
    <w:rsid w:val="46FB0676"/>
    <w:rsid w:val="46FD1331"/>
    <w:rsid w:val="4700CC44"/>
    <w:rsid w:val="4703B763"/>
    <w:rsid w:val="471C4259"/>
    <w:rsid w:val="471D1E8A"/>
    <w:rsid w:val="472258FB"/>
    <w:rsid w:val="4729860C"/>
    <w:rsid w:val="473B0A04"/>
    <w:rsid w:val="473F0E14"/>
    <w:rsid w:val="47446CF9"/>
    <w:rsid w:val="47463531"/>
    <w:rsid w:val="47484A55"/>
    <w:rsid w:val="47493B5D"/>
    <w:rsid w:val="474F0C35"/>
    <w:rsid w:val="474F920D"/>
    <w:rsid w:val="475F2F3F"/>
    <w:rsid w:val="47609903"/>
    <w:rsid w:val="47612655"/>
    <w:rsid w:val="4762AD53"/>
    <w:rsid w:val="4765E3BE"/>
    <w:rsid w:val="4779BFE1"/>
    <w:rsid w:val="4788C227"/>
    <w:rsid w:val="47891324"/>
    <w:rsid w:val="479EFB36"/>
    <w:rsid w:val="47AA4851"/>
    <w:rsid w:val="47AE8F26"/>
    <w:rsid w:val="47B2BB1B"/>
    <w:rsid w:val="47BFC2E2"/>
    <w:rsid w:val="47C0AC32"/>
    <w:rsid w:val="47C321A0"/>
    <w:rsid w:val="47C4FC6F"/>
    <w:rsid w:val="47CA03D4"/>
    <w:rsid w:val="47CB05E5"/>
    <w:rsid w:val="47D2C389"/>
    <w:rsid w:val="47D52399"/>
    <w:rsid w:val="47DBA89A"/>
    <w:rsid w:val="47DDBC55"/>
    <w:rsid w:val="47DEDD12"/>
    <w:rsid w:val="47E5FFBB"/>
    <w:rsid w:val="47E8E613"/>
    <w:rsid w:val="47E98DD8"/>
    <w:rsid w:val="47EAB942"/>
    <w:rsid w:val="4800A584"/>
    <w:rsid w:val="4806F8B5"/>
    <w:rsid w:val="480FC4A0"/>
    <w:rsid w:val="481DD1F3"/>
    <w:rsid w:val="482F421F"/>
    <w:rsid w:val="48413A7E"/>
    <w:rsid w:val="48419B22"/>
    <w:rsid w:val="4846674D"/>
    <w:rsid w:val="484C0621"/>
    <w:rsid w:val="484FFEB1"/>
    <w:rsid w:val="4851C33F"/>
    <w:rsid w:val="4851F048"/>
    <w:rsid w:val="48592D5C"/>
    <w:rsid w:val="485D1110"/>
    <w:rsid w:val="48656714"/>
    <w:rsid w:val="4866AEF9"/>
    <w:rsid w:val="486D9040"/>
    <w:rsid w:val="488DF60A"/>
    <w:rsid w:val="4891C027"/>
    <w:rsid w:val="4895A91D"/>
    <w:rsid w:val="48986561"/>
    <w:rsid w:val="489C7CDC"/>
    <w:rsid w:val="489D7A57"/>
    <w:rsid w:val="48A500FF"/>
    <w:rsid w:val="48A74B25"/>
    <w:rsid w:val="48B5760D"/>
    <w:rsid w:val="48BAAF89"/>
    <w:rsid w:val="48DA5EE2"/>
    <w:rsid w:val="48DFA97F"/>
    <w:rsid w:val="48E99624"/>
    <w:rsid w:val="48F3E1B6"/>
    <w:rsid w:val="4901B10E"/>
    <w:rsid w:val="4901F15B"/>
    <w:rsid w:val="49046AD4"/>
    <w:rsid w:val="490B9341"/>
    <w:rsid w:val="4922662B"/>
    <w:rsid w:val="492595C8"/>
    <w:rsid w:val="492B4E56"/>
    <w:rsid w:val="492DA195"/>
    <w:rsid w:val="49320FA5"/>
    <w:rsid w:val="4944774E"/>
    <w:rsid w:val="49450AD6"/>
    <w:rsid w:val="49484AA5"/>
    <w:rsid w:val="494C5326"/>
    <w:rsid w:val="494D4359"/>
    <w:rsid w:val="494F921E"/>
    <w:rsid w:val="4952D9D6"/>
    <w:rsid w:val="495391C2"/>
    <w:rsid w:val="49593D62"/>
    <w:rsid w:val="495EC0DB"/>
    <w:rsid w:val="49790FDE"/>
    <w:rsid w:val="497B2900"/>
    <w:rsid w:val="497CF0EF"/>
    <w:rsid w:val="498F4933"/>
    <w:rsid w:val="498F93F0"/>
    <w:rsid w:val="4990B29B"/>
    <w:rsid w:val="4991E4CB"/>
    <w:rsid w:val="4994D7B4"/>
    <w:rsid w:val="499FE553"/>
    <w:rsid w:val="49A4045F"/>
    <w:rsid w:val="49B4AE4F"/>
    <w:rsid w:val="49B9DA1F"/>
    <w:rsid w:val="49C0DAB1"/>
    <w:rsid w:val="49C54C13"/>
    <w:rsid w:val="49C75984"/>
    <w:rsid w:val="49C79379"/>
    <w:rsid w:val="49C87B11"/>
    <w:rsid w:val="49D29169"/>
    <w:rsid w:val="49D724B1"/>
    <w:rsid w:val="49DA6F43"/>
    <w:rsid w:val="49DE3E41"/>
    <w:rsid w:val="49E4192F"/>
    <w:rsid w:val="49E91FB0"/>
    <w:rsid w:val="49EE6AC9"/>
    <w:rsid w:val="4A01CF7B"/>
    <w:rsid w:val="4A030575"/>
    <w:rsid w:val="4A05AEDF"/>
    <w:rsid w:val="4A0A1E26"/>
    <w:rsid w:val="4A10A145"/>
    <w:rsid w:val="4A1A8BDD"/>
    <w:rsid w:val="4A1BAEE9"/>
    <w:rsid w:val="4A2658A9"/>
    <w:rsid w:val="4A2ABD18"/>
    <w:rsid w:val="4A2DEA81"/>
    <w:rsid w:val="4A30E0BD"/>
    <w:rsid w:val="4A313F7F"/>
    <w:rsid w:val="4A3EE0CE"/>
    <w:rsid w:val="4A426385"/>
    <w:rsid w:val="4A4924DE"/>
    <w:rsid w:val="4A57576F"/>
    <w:rsid w:val="4A5ABA35"/>
    <w:rsid w:val="4A6CC5B9"/>
    <w:rsid w:val="4A73E7EC"/>
    <w:rsid w:val="4A798A8F"/>
    <w:rsid w:val="4A7B6D41"/>
    <w:rsid w:val="4A8BD42F"/>
    <w:rsid w:val="4A9492B7"/>
    <w:rsid w:val="4A97AB1A"/>
    <w:rsid w:val="4A9B38B9"/>
    <w:rsid w:val="4A9D816F"/>
    <w:rsid w:val="4A9EF584"/>
    <w:rsid w:val="4AA46135"/>
    <w:rsid w:val="4AA65C4B"/>
    <w:rsid w:val="4AAA383A"/>
    <w:rsid w:val="4AB50100"/>
    <w:rsid w:val="4AB695A3"/>
    <w:rsid w:val="4AB967B6"/>
    <w:rsid w:val="4ABEA1B8"/>
    <w:rsid w:val="4AC14258"/>
    <w:rsid w:val="4AC270CA"/>
    <w:rsid w:val="4AC36D6C"/>
    <w:rsid w:val="4AD94C63"/>
    <w:rsid w:val="4ADE1EF5"/>
    <w:rsid w:val="4ADF0192"/>
    <w:rsid w:val="4AE03915"/>
    <w:rsid w:val="4AE14118"/>
    <w:rsid w:val="4AE29F9F"/>
    <w:rsid w:val="4AE658F5"/>
    <w:rsid w:val="4AE913BA"/>
    <w:rsid w:val="4AE91DE2"/>
    <w:rsid w:val="4AED79BA"/>
    <w:rsid w:val="4AF09675"/>
    <w:rsid w:val="4AF097F1"/>
    <w:rsid w:val="4B012F99"/>
    <w:rsid w:val="4B023C17"/>
    <w:rsid w:val="4B0A3603"/>
    <w:rsid w:val="4B0B94D6"/>
    <w:rsid w:val="4B0F9161"/>
    <w:rsid w:val="4B16CC45"/>
    <w:rsid w:val="4B1CCD58"/>
    <w:rsid w:val="4B34E1B5"/>
    <w:rsid w:val="4B3643C7"/>
    <w:rsid w:val="4B3B5CB5"/>
    <w:rsid w:val="4B4971F6"/>
    <w:rsid w:val="4B4A4667"/>
    <w:rsid w:val="4B4AE4F1"/>
    <w:rsid w:val="4B58289D"/>
    <w:rsid w:val="4B584C4E"/>
    <w:rsid w:val="4B5CC8AF"/>
    <w:rsid w:val="4B5D233E"/>
    <w:rsid w:val="4B685880"/>
    <w:rsid w:val="4B6FBCB0"/>
    <w:rsid w:val="4B7326C4"/>
    <w:rsid w:val="4B7BE0E3"/>
    <w:rsid w:val="4B7E5E81"/>
    <w:rsid w:val="4B857019"/>
    <w:rsid w:val="4B87045B"/>
    <w:rsid w:val="4B89F725"/>
    <w:rsid w:val="4B9BAD76"/>
    <w:rsid w:val="4B9DA8B3"/>
    <w:rsid w:val="4BA04BFC"/>
    <w:rsid w:val="4BA33FC8"/>
    <w:rsid w:val="4BA8E4FF"/>
    <w:rsid w:val="4BAD3BEC"/>
    <w:rsid w:val="4BAD4040"/>
    <w:rsid w:val="4BB6FBE2"/>
    <w:rsid w:val="4BC230E4"/>
    <w:rsid w:val="4BC60B15"/>
    <w:rsid w:val="4BC66D6D"/>
    <w:rsid w:val="4BC85157"/>
    <w:rsid w:val="4BCD9B71"/>
    <w:rsid w:val="4BDCC4B0"/>
    <w:rsid w:val="4BDDDEBB"/>
    <w:rsid w:val="4BEED733"/>
    <w:rsid w:val="4BF54FFF"/>
    <w:rsid w:val="4C041543"/>
    <w:rsid w:val="4C0D1EEE"/>
    <w:rsid w:val="4C307734"/>
    <w:rsid w:val="4C36877C"/>
    <w:rsid w:val="4C37CAC2"/>
    <w:rsid w:val="4C3AF6B0"/>
    <w:rsid w:val="4C3B87BA"/>
    <w:rsid w:val="4C3C8021"/>
    <w:rsid w:val="4C3CCEFA"/>
    <w:rsid w:val="4C42BDBE"/>
    <w:rsid w:val="4C43E4C5"/>
    <w:rsid w:val="4C504257"/>
    <w:rsid w:val="4C589BED"/>
    <w:rsid w:val="4C5AFD68"/>
    <w:rsid w:val="4C70575A"/>
    <w:rsid w:val="4C723536"/>
    <w:rsid w:val="4C84E41B"/>
    <w:rsid w:val="4C85E96E"/>
    <w:rsid w:val="4C92A247"/>
    <w:rsid w:val="4C94110F"/>
    <w:rsid w:val="4C9C40F0"/>
    <w:rsid w:val="4CA3197F"/>
    <w:rsid w:val="4CA590AF"/>
    <w:rsid w:val="4CAD23B1"/>
    <w:rsid w:val="4CAF9CD6"/>
    <w:rsid w:val="4CAFC2E0"/>
    <w:rsid w:val="4CB2355B"/>
    <w:rsid w:val="4CB872B8"/>
    <w:rsid w:val="4CBA4D39"/>
    <w:rsid w:val="4CBDFE2C"/>
    <w:rsid w:val="4CC9FAE7"/>
    <w:rsid w:val="4CEE56B4"/>
    <w:rsid w:val="4D08EDDD"/>
    <w:rsid w:val="4D17A33F"/>
    <w:rsid w:val="4D1E655B"/>
    <w:rsid w:val="4D22B8BC"/>
    <w:rsid w:val="4D2C3815"/>
    <w:rsid w:val="4D41C626"/>
    <w:rsid w:val="4D4BE66A"/>
    <w:rsid w:val="4D50A1B9"/>
    <w:rsid w:val="4D571C55"/>
    <w:rsid w:val="4D62F403"/>
    <w:rsid w:val="4D634B91"/>
    <w:rsid w:val="4D65B329"/>
    <w:rsid w:val="4D70BFF2"/>
    <w:rsid w:val="4D70D56E"/>
    <w:rsid w:val="4D793E60"/>
    <w:rsid w:val="4D7A944D"/>
    <w:rsid w:val="4D838CD3"/>
    <w:rsid w:val="4D86A7E0"/>
    <w:rsid w:val="4D8EC54D"/>
    <w:rsid w:val="4D9093BC"/>
    <w:rsid w:val="4D90EE03"/>
    <w:rsid w:val="4D92434D"/>
    <w:rsid w:val="4D92C17B"/>
    <w:rsid w:val="4D99F7D8"/>
    <w:rsid w:val="4D9E2CC4"/>
    <w:rsid w:val="4DA1A5E1"/>
    <w:rsid w:val="4DA3DE9F"/>
    <w:rsid w:val="4DA6FBCD"/>
    <w:rsid w:val="4DAEBCA1"/>
    <w:rsid w:val="4DB10A75"/>
    <w:rsid w:val="4DC19D2A"/>
    <w:rsid w:val="4DC4677B"/>
    <w:rsid w:val="4DCFAAB9"/>
    <w:rsid w:val="4DE0F3B3"/>
    <w:rsid w:val="4DE4E9DD"/>
    <w:rsid w:val="4DEF4946"/>
    <w:rsid w:val="4DF837CE"/>
    <w:rsid w:val="4DFFD8D0"/>
    <w:rsid w:val="4E00D0C9"/>
    <w:rsid w:val="4E07222D"/>
    <w:rsid w:val="4E0C52E7"/>
    <w:rsid w:val="4E0ECE44"/>
    <w:rsid w:val="4E140612"/>
    <w:rsid w:val="4E165914"/>
    <w:rsid w:val="4E210033"/>
    <w:rsid w:val="4E244E09"/>
    <w:rsid w:val="4E286D16"/>
    <w:rsid w:val="4E2A12A2"/>
    <w:rsid w:val="4E2C7E87"/>
    <w:rsid w:val="4E377F7F"/>
    <w:rsid w:val="4E38671E"/>
    <w:rsid w:val="4E3D9E3C"/>
    <w:rsid w:val="4E416110"/>
    <w:rsid w:val="4E455661"/>
    <w:rsid w:val="4E4D6B7A"/>
    <w:rsid w:val="4E51E01E"/>
    <w:rsid w:val="4E54FE17"/>
    <w:rsid w:val="4E56F80E"/>
    <w:rsid w:val="4E59ED15"/>
    <w:rsid w:val="4E5A0F7C"/>
    <w:rsid w:val="4E5CE7CD"/>
    <w:rsid w:val="4E62FC28"/>
    <w:rsid w:val="4E6DF650"/>
    <w:rsid w:val="4E7CA59C"/>
    <w:rsid w:val="4E7EC29D"/>
    <w:rsid w:val="4E8187C5"/>
    <w:rsid w:val="4E819663"/>
    <w:rsid w:val="4E82559F"/>
    <w:rsid w:val="4E849E8D"/>
    <w:rsid w:val="4E85290F"/>
    <w:rsid w:val="4E86CE51"/>
    <w:rsid w:val="4E8ABDC5"/>
    <w:rsid w:val="4E912E4F"/>
    <w:rsid w:val="4E9942B7"/>
    <w:rsid w:val="4E9BCED6"/>
    <w:rsid w:val="4E9CB174"/>
    <w:rsid w:val="4EABCF8A"/>
    <w:rsid w:val="4EAC8790"/>
    <w:rsid w:val="4EB39D98"/>
    <w:rsid w:val="4EB92636"/>
    <w:rsid w:val="4EBBDC7F"/>
    <w:rsid w:val="4EBBE2FA"/>
    <w:rsid w:val="4EC3C294"/>
    <w:rsid w:val="4EC61426"/>
    <w:rsid w:val="4EC7573F"/>
    <w:rsid w:val="4EE78756"/>
    <w:rsid w:val="4EEA1450"/>
    <w:rsid w:val="4EEA40B6"/>
    <w:rsid w:val="4EF18100"/>
    <w:rsid w:val="4EF1D6A9"/>
    <w:rsid w:val="4EF86219"/>
    <w:rsid w:val="4EFA3F26"/>
    <w:rsid w:val="4F08D5F3"/>
    <w:rsid w:val="4F0AF0AE"/>
    <w:rsid w:val="4F0B8FA4"/>
    <w:rsid w:val="4F18F297"/>
    <w:rsid w:val="4F1A90DF"/>
    <w:rsid w:val="4F1CDC2F"/>
    <w:rsid w:val="4F1F489D"/>
    <w:rsid w:val="4F21612A"/>
    <w:rsid w:val="4F24A988"/>
    <w:rsid w:val="4F2FFDEB"/>
    <w:rsid w:val="4F314AA8"/>
    <w:rsid w:val="4F369BBA"/>
    <w:rsid w:val="4F428FB8"/>
    <w:rsid w:val="4F42A409"/>
    <w:rsid w:val="4F457236"/>
    <w:rsid w:val="4F53B0D7"/>
    <w:rsid w:val="4F59732E"/>
    <w:rsid w:val="4F610B15"/>
    <w:rsid w:val="4F61F23D"/>
    <w:rsid w:val="4F69E6D2"/>
    <w:rsid w:val="4F6A0D87"/>
    <w:rsid w:val="4F71458E"/>
    <w:rsid w:val="4F74E950"/>
    <w:rsid w:val="4F7FCD06"/>
    <w:rsid w:val="4F853357"/>
    <w:rsid w:val="4F89D390"/>
    <w:rsid w:val="4F89FA05"/>
    <w:rsid w:val="4F8EF5A3"/>
    <w:rsid w:val="4F929381"/>
    <w:rsid w:val="4F94C945"/>
    <w:rsid w:val="4F9B8EA8"/>
    <w:rsid w:val="4FA40596"/>
    <w:rsid w:val="4FAE0923"/>
    <w:rsid w:val="4FAE98EC"/>
    <w:rsid w:val="4FB28368"/>
    <w:rsid w:val="4FB8770C"/>
    <w:rsid w:val="4FC1D7C0"/>
    <w:rsid w:val="4FC56998"/>
    <w:rsid w:val="4FCACDD5"/>
    <w:rsid w:val="4FCFC30F"/>
    <w:rsid w:val="4FD6C5F4"/>
    <w:rsid w:val="4FE1499B"/>
    <w:rsid w:val="4FE24267"/>
    <w:rsid w:val="4FE75E27"/>
    <w:rsid w:val="4FF0EA17"/>
    <w:rsid w:val="4FF34B0A"/>
    <w:rsid w:val="4FF6F9BE"/>
    <w:rsid w:val="4FF80C68"/>
    <w:rsid w:val="4FF9A401"/>
    <w:rsid w:val="4FFE64CA"/>
    <w:rsid w:val="50016ADC"/>
    <w:rsid w:val="500D5D79"/>
    <w:rsid w:val="5012EA6B"/>
    <w:rsid w:val="50151CD6"/>
    <w:rsid w:val="501BDC8C"/>
    <w:rsid w:val="5022DCBB"/>
    <w:rsid w:val="502663E0"/>
    <w:rsid w:val="5028DD61"/>
    <w:rsid w:val="502D3DD8"/>
    <w:rsid w:val="502D71E4"/>
    <w:rsid w:val="50338BA1"/>
    <w:rsid w:val="50380313"/>
    <w:rsid w:val="503927AA"/>
    <w:rsid w:val="50444E83"/>
    <w:rsid w:val="504F5671"/>
    <w:rsid w:val="5061727A"/>
    <w:rsid w:val="50764C76"/>
    <w:rsid w:val="5076A127"/>
    <w:rsid w:val="5078BF39"/>
    <w:rsid w:val="507B6A33"/>
    <w:rsid w:val="5083FA48"/>
    <w:rsid w:val="5086EE9C"/>
    <w:rsid w:val="5087DE45"/>
    <w:rsid w:val="508BBCBA"/>
    <w:rsid w:val="508DA23E"/>
    <w:rsid w:val="5098EB4A"/>
    <w:rsid w:val="50A41691"/>
    <w:rsid w:val="50A50F75"/>
    <w:rsid w:val="50AEBF10"/>
    <w:rsid w:val="50B00A3E"/>
    <w:rsid w:val="50B012E4"/>
    <w:rsid w:val="50B0D338"/>
    <w:rsid w:val="50B66140"/>
    <w:rsid w:val="50BD0A33"/>
    <w:rsid w:val="50C047FF"/>
    <w:rsid w:val="50C42A71"/>
    <w:rsid w:val="50C543AB"/>
    <w:rsid w:val="50C938CE"/>
    <w:rsid w:val="50CD4FED"/>
    <w:rsid w:val="50D5D667"/>
    <w:rsid w:val="50D89974"/>
    <w:rsid w:val="50D8B0E4"/>
    <w:rsid w:val="50E8BE1E"/>
    <w:rsid w:val="50EBC418"/>
    <w:rsid w:val="50F82AC8"/>
    <w:rsid w:val="5101C12F"/>
    <w:rsid w:val="5103D383"/>
    <w:rsid w:val="510BAA11"/>
    <w:rsid w:val="511C6CC3"/>
    <w:rsid w:val="512073D7"/>
    <w:rsid w:val="5121FB2B"/>
    <w:rsid w:val="51374FEE"/>
    <w:rsid w:val="514023D1"/>
    <w:rsid w:val="51420092"/>
    <w:rsid w:val="51482270"/>
    <w:rsid w:val="514B5FAE"/>
    <w:rsid w:val="5153C6CA"/>
    <w:rsid w:val="51560840"/>
    <w:rsid w:val="5159191F"/>
    <w:rsid w:val="51665C34"/>
    <w:rsid w:val="516D67B4"/>
    <w:rsid w:val="5178270E"/>
    <w:rsid w:val="5178F267"/>
    <w:rsid w:val="517CA458"/>
    <w:rsid w:val="517F617A"/>
    <w:rsid w:val="5183245E"/>
    <w:rsid w:val="5187C3E4"/>
    <w:rsid w:val="518EA245"/>
    <w:rsid w:val="5193A842"/>
    <w:rsid w:val="519519A6"/>
    <w:rsid w:val="519C8CD7"/>
    <w:rsid w:val="519E9698"/>
    <w:rsid w:val="519E9E72"/>
    <w:rsid w:val="51A8A4AC"/>
    <w:rsid w:val="51AD711E"/>
    <w:rsid w:val="51B4A789"/>
    <w:rsid w:val="51B779BE"/>
    <w:rsid w:val="51B85CCE"/>
    <w:rsid w:val="51BEA205"/>
    <w:rsid w:val="51C43FC7"/>
    <w:rsid w:val="51C5DD4E"/>
    <w:rsid w:val="51CEB441"/>
    <w:rsid w:val="51D64EE4"/>
    <w:rsid w:val="51E59E05"/>
    <w:rsid w:val="51E8B510"/>
    <w:rsid w:val="51F5E2BE"/>
    <w:rsid w:val="51FAA409"/>
    <w:rsid w:val="51FCC01F"/>
    <w:rsid w:val="51FCC2DD"/>
    <w:rsid w:val="51FD241A"/>
    <w:rsid w:val="51FD42DB"/>
    <w:rsid w:val="520F6B1C"/>
    <w:rsid w:val="5212FCAE"/>
    <w:rsid w:val="5215C6AB"/>
    <w:rsid w:val="521B85B8"/>
    <w:rsid w:val="521D9C1B"/>
    <w:rsid w:val="52241631"/>
    <w:rsid w:val="522E92F8"/>
    <w:rsid w:val="5232C5D0"/>
    <w:rsid w:val="523AC258"/>
    <w:rsid w:val="523FD686"/>
    <w:rsid w:val="5244F07C"/>
    <w:rsid w:val="525AE643"/>
    <w:rsid w:val="525B2F2C"/>
    <w:rsid w:val="52629E01"/>
    <w:rsid w:val="52632017"/>
    <w:rsid w:val="5266BA7C"/>
    <w:rsid w:val="5267A7E1"/>
    <w:rsid w:val="5267B3F5"/>
    <w:rsid w:val="5278117E"/>
    <w:rsid w:val="52871EE5"/>
    <w:rsid w:val="529BAE88"/>
    <w:rsid w:val="529CF82A"/>
    <w:rsid w:val="52A94BF7"/>
    <w:rsid w:val="52B03E7F"/>
    <w:rsid w:val="52BC46EF"/>
    <w:rsid w:val="52BD4AEF"/>
    <w:rsid w:val="52BE7463"/>
    <w:rsid w:val="52C32690"/>
    <w:rsid w:val="52C4D35A"/>
    <w:rsid w:val="52C77CEA"/>
    <w:rsid w:val="52C8F636"/>
    <w:rsid w:val="52CA9B9B"/>
    <w:rsid w:val="52CCB741"/>
    <w:rsid w:val="52CE73DE"/>
    <w:rsid w:val="52D076D3"/>
    <w:rsid w:val="52D54535"/>
    <w:rsid w:val="52E36DD4"/>
    <w:rsid w:val="52EAE9F7"/>
    <w:rsid w:val="52EDC458"/>
    <w:rsid w:val="52EF8FFD"/>
    <w:rsid w:val="52F09793"/>
    <w:rsid w:val="52F81129"/>
    <w:rsid w:val="531809EB"/>
    <w:rsid w:val="5318777E"/>
    <w:rsid w:val="531EFEE9"/>
    <w:rsid w:val="5324B74A"/>
    <w:rsid w:val="532B26C1"/>
    <w:rsid w:val="532C4838"/>
    <w:rsid w:val="53383AB7"/>
    <w:rsid w:val="533C3F9F"/>
    <w:rsid w:val="533CCB4E"/>
    <w:rsid w:val="5343E7A7"/>
    <w:rsid w:val="53453E9E"/>
    <w:rsid w:val="5347194D"/>
    <w:rsid w:val="5353ECBF"/>
    <w:rsid w:val="5358B2DC"/>
    <w:rsid w:val="535C06EF"/>
    <w:rsid w:val="53672EB2"/>
    <w:rsid w:val="53699E1B"/>
    <w:rsid w:val="536F3FF9"/>
    <w:rsid w:val="537697BC"/>
    <w:rsid w:val="5381CBC7"/>
    <w:rsid w:val="53836E37"/>
    <w:rsid w:val="5383F3D0"/>
    <w:rsid w:val="53890BE2"/>
    <w:rsid w:val="538A84C1"/>
    <w:rsid w:val="538E1711"/>
    <w:rsid w:val="539460F4"/>
    <w:rsid w:val="539AE0C1"/>
    <w:rsid w:val="539C5ADB"/>
    <w:rsid w:val="53A21DD1"/>
    <w:rsid w:val="53A5A13C"/>
    <w:rsid w:val="53B020AA"/>
    <w:rsid w:val="53B0D38A"/>
    <w:rsid w:val="53B303C5"/>
    <w:rsid w:val="53B7A709"/>
    <w:rsid w:val="53BF4C4C"/>
    <w:rsid w:val="53C2EDC4"/>
    <w:rsid w:val="53C357F5"/>
    <w:rsid w:val="53C8B631"/>
    <w:rsid w:val="53D62CB5"/>
    <w:rsid w:val="53DF78F8"/>
    <w:rsid w:val="53E2DA4C"/>
    <w:rsid w:val="53E81395"/>
    <w:rsid w:val="53EF0DBC"/>
    <w:rsid w:val="53FCED7B"/>
    <w:rsid w:val="5408F93A"/>
    <w:rsid w:val="540C3DDD"/>
    <w:rsid w:val="5422E259"/>
    <w:rsid w:val="5424AFD9"/>
    <w:rsid w:val="5427F031"/>
    <w:rsid w:val="542D4766"/>
    <w:rsid w:val="542EF8F2"/>
    <w:rsid w:val="54327088"/>
    <w:rsid w:val="543F8CB4"/>
    <w:rsid w:val="54417715"/>
    <w:rsid w:val="54460AA0"/>
    <w:rsid w:val="544AE981"/>
    <w:rsid w:val="54509800"/>
    <w:rsid w:val="545A941F"/>
    <w:rsid w:val="545DA082"/>
    <w:rsid w:val="54694F97"/>
    <w:rsid w:val="546B8A7C"/>
    <w:rsid w:val="54725EB7"/>
    <w:rsid w:val="5476E1E2"/>
    <w:rsid w:val="547ECBC0"/>
    <w:rsid w:val="54848099"/>
    <w:rsid w:val="5484BE86"/>
    <w:rsid w:val="548DA4F0"/>
    <w:rsid w:val="5492B3CB"/>
    <w:rsid w:val="54978EAE"/>
    <w:rsid w:val="549C1704"/>
    <w:rsid w:val="549D0537"/>
    <w:rsid w:val="54A15BDE"/>
    <w:rsid w:val="54A461AA"/>
    <w:rsid w:val="54AF27AD"/>
    <w:rsid w:val="54BB54B4"/>
    <w:rsid w:val="54D059C8"/>
    <w:rsid w:val="54D16D28"/>
    <w:rsid w:val="54D81000"/>
    <w:rsid w:val="54D960E9"/>
    <w:rsid w:val="54DAEC2C"/>
    <w:rsid w:val="54DB89A6"/>
    <w:rsid w:val="54E27538"/>
    <w:rsid w:val="54E54569"/>
    <w:rsid w:val="54E95651"/>
    <w:rsid w:val="54EA5FAE"/>
    <w:rsid w:val="54EACB12"/>
    <w:rsid w:val="54F40F08"/>
    <w:rsid w:val="54F499E0"/>
    <w:rsid w:val="54F50FB9"/>
    <w:rsid w:val="54F979B2"/>
    <w:rsid w:val="5503D5DE"/>
    <w:rsid w:val="5507B066"/>
    <w:rsid w:val="550B105A"/>
    <w:rsid w:val="551E7927"/>
    <w:rsid w:val="5522B964"/>
    <w:rsid w:val="55253BBC"/>
    <w:rsid w:val="5528498F"/>
    <w:rsid w:val="5528C4F9"/>
    <w:rsid w:val="552BAF4C"/>
    <w:rsid w:val="55303A2D"/>
    <w:rsid w:val="553C1A3C"/>
    <w:rsid w:val="553C302F"/>
    <w:rsid w:val="5541743F"/>
    <w:rsid w:val="5548AB5B"/>
    <w:rsid w:val="554AEA39"/>
    <w:rsid w:val="554BADAE"/>
    <w:rsid w:val="55518348"/>
    <w:rsid w:val="555370F4"/>
    <w:rsid w:val="555B84F9"/>
    <w:rsid w:val="555C70D4"/>
    <w:rsid w:val="55648F7F"/>
    <w:rsid w:val="556633BA"/>
    <w:rsid w:val="5567730D"/>
    <w:rsid w:val="556BAE93"/>
    <w:rsid w:val="5574E3BA"/>
    <w:rsid w:val="557E7517"/>
    <w:rsid w:val="557FFB00"/>
    <w:rsid w:val="55809E3F"/>
    <w:rsid w:val="5588A7C2"/>
    <w:rsid w:val="558D5F33"/>
    <w:rsid w:val="558D8FFE"/>
    <w:rsid w:val="558FCE3A"/>
    <w:rsid w:val="559BF35B"/>
    <w:rsid w:val="559C26E1"/>
    <w:rsid w:val="559D0471"/>
    <w:rsid w:val="559F48A3"/>
    <w:rsid w:val="55A3B9A5"/>
    <w:rsid w:val="55AE996B"/>
    <w:rsid w:val="55BB07CB"/>
    <w:rsid w:val="55C77A7A"/>
    <w:rsid w:val="55CF6FDD"/>
    <w:rsid w:val="55DAB516"/>
    <w:rsid w:val="55E15A5F"/>
    <w:rsid w:val="55E31E69"/>
    <w:rsid w:val="55F5C873"/>
    <w:rsid w:val="55F786E3"/>
    <w:rsid w:val="55F8DB87"/>
    <w:rsid w:val="55F96E8C"/>
    <w:rsid w:val="56003251"/>
    <w:rsid w:val="5601057C"/>
    <w:rsid w:val="56011BB2"/>
    <w:rsid w:val="560EB333"/>
    <w:rsid w:val="561821CA"/>
    <w:rsid w:val="561B0E96"/>
    <w:rsid w:val="561D2E8E"/>
    <w:rsid w:val="56262047"/>
    <w:rsid w:val="5631B6DE"/>
    <w:rsid w:val="56321AE3"/>
    <w:rsid w:val="5633F859"/>
    <w:rsid w:val="5635D33E"/>
    <w:rsid w:val="5636E049"/>
    <w:rsid w:val="563CD201"/>
    <w:rsid w:val="563DB5BB"/>
    <w:rsid w:val="5642CFB2"/>
    <w:rsid w:val="564AFA91"/>
    <w:rsid w:val="564D9F08"/>
    <w:rsid w:val="565711F0"/>
    <w:rsid w:val="566A1A4F"/>
    <w:rsid w:val="566CEEA9"/>
    <w:rsid w:val="56731F0A"/>
    <w:rsid w:val="56781AB3"/>
    <w:rsid w:val="567AEEAA"/>
    <w:rsid w:val="567E28DF"/>
    <w:rsid w:val="56819F5E"/>
    <w:rsid w:val="56840F3F"/>
    <w:rsid w:val="569955DB"/>
    <w:rsid w:val="569A5515"/>
    <w:rsid w:val="569BD80B"/>
    <w:rsid w:val="569BF268"/>
    <w:rsid w:val="569EB4BF"/>
    <w:rsid w:val="56A22B63"/>
    <w:rsid w:val="56A6AEBC"/>
    <w:rsid w:val="56A78036"/>
    <w:rsid w:val="56A830F2"/>
    <w:rsid w:val="56AB9B05"/>
    <w:rsid w:val="56AF386D"/>
    <w:rsid w:val="56B34C4D"/>
    <w:rsid w:val="56BC3386"/>
    <w:rsid w:val="56BE3319"/>
    <w:rsid w:val="56BF1BB2"/>
    <w:rsid w:val="56C9A3D8"/>
    <w:rsid w:val="56CB075B"/>
    <w:rsid w:val="56CF478F"/>
    <w:rsid w:val="56D04BB9"/>
    <w:rsid w:val="56D0CB81"/>
    <w:rsid w:val="56E16179"/>
    <w:rsid w:val="56E46898"/>
    <w:rsid w:val="56E64999"/>
    <w:rsid w:val="56ED914A"/>
    <w:rsid w:val="56F41EF5"/>
    <w:rsid w:val="56FA6463"/>
    <w:rsid w:val="56FBDD4C"/>
    <w:rsid w:val="5703F751"/>
    <w:rsid w:val="5710FC6E"/>
    <w:rsid w:val="57156DE5"/>
    <w:rsid w:val="57178833"/>
    <w:rsid w:val="571B2BF8"/>
    <w:rsid w:val="572373F8"/>
    <w:rsid w:val="5728E36B"/>
    <w:rsid w:val="57392ABA"/>
    <w:rsid w:val="573B0E23"/>
    <w:rsid w:val="573BA6FE"/>
    <w:rsid w:val="57450771"/>
    <w:rsid w:val="57480B9F"/>
    <w:rsid w:val="5748AE64"/>
    <w:rsid w:val="5752FC09"/>
    <w:rsid w:val="57549576"/>
    <w:rsid w:val="57566FFB"/>
    <w:rsid w:val="575D3A5D"/>
    <w:rsid w:val="577316CE"/>
    <w:rsid w:val="5777D134"/>
    <w:rsid w:val="577F813B"/>
    <w:rsid w:val="5785B271"/>
    <w:rsid w:val="5788F22C"/>
    <w:rsid w:val="57919750"/>
    <w:rsid w:val="57951690"/>
    <w:rsid w:val="57A5B6DC"/>
    <w:rsid w:val="57AA7B27"/>
    <w:rsid w:val="57B19788"/>
    <w:rsid w:val="57B38964"/>
    <w:rsid w:val="57B6BB49"/>
    <w:rsid w:val="57CA2647"/>
    <w:rsid w:val="57D29651"/>
    <w:rsid w:val="57DC6988"/>
    <w:rsid w:val="57DFD982"/>
    <w:rsid w:val="57E47C19"/>
    <w:rsid w:val="57E4E45C"/>
    <w:rsid w:val="57E5683B"/>
    <w:rsid w:val="57E80065"/>
    <w:rsid w:val="57EA44C4"/>
    <w:rsid w:val="57ED2A3C"/>
    <w:rsid w:val="57F231CE"/>
    <w:rsid w:val="57F2F576"/>
    <w:rsid w:val="57F3EC01"/>
    <w:rsid w:val="580476C3"/>
    <w:rsid w:val="58095FC5"/>
    <w:rsid w:val="580E503E"/>
    <w:rsid w:val="581A996A"/>
    <w:rsid w:val="5829496D"/>
    <w:rsid w:val="583D69FB"/>
    <w:rsid w:val="5847CCE2"/>
    <w:rsid w:val="584CB8F5"/>
    <w:rsid w:val="584EF490"/>
    <w:rsid w:val="5857B08E"/>
    <w:rsid w:val="5857EE78"/>
    <w:rsid w:val="585F296E"/>
    <w:rsid w:val="58618834"/>
    <w:rsid w:val="586A75F6"/>
    <w:rsid w:val="586BE061"/>
    <w:rsid w:val="586E01F5"/>
    <w:rsid w:val="5871F90C"/>
    <w:rsid w:val="587AFB8B"/>
    <w:rsid w:val="5887E0D1"/>
    <w:rsid w:val="588C4AD1"/>
    <w:rsid w:val="5891DE80"/>
    <w:rsid w:val="5899F2C9"/>
    <w:rsid w:val="589DB0B8"/>
    <w:rsid w:val="589F7DFB"/>
    <w:rsid w:val="58A27C8C"/>
    <w:rsid w:val="58A36F5D"/>
    <w:rsid w:val="58AA0EB5"/>
    <w:rsid w:val="58AFC82D"/>
    <w:rsid w:val="58AFF663"/>
    <w:rsid w:val="58B3B85B"/>
    <w:rsid w:val="58B66101"/>
    <w:rsid w:val="58B67377"/>
    <w:rsid w:val="58BE30F6"/>
    <w:rsid w:val="58C17325"/>
    <w:rsid w:val="58C49B19"/>
    <w:rsid w:val="58C59082"/>
    <w:rsid w:val="58CCBCC2"/>
    <w:rsid w:val="58CDD383"/>
    <w:rsid w:val="58D35C6B"/>
    <w:rsid w:val="58DA9E50"/>
    <w:rsid w:val="58E3B3EF"/>
    <w:rsid w:val="58E98F70"/>
    <w:rsid w:val="58EB5043"/>
    <w:rsid w:val="58EC5614"/>
    <w:rsid w:val="58F2A953"/>
    <w:rsid w:val="58F84AAC"/>
    <w:rsid w:val="58F881F8"/>
    <w:rsid w:val="590403A1"/>
    <w:rsid w:val="5905A17F"/>
    <w:rsid w:val="59081029"/>
    <w:rsid w:val="590BA923"/>
    <w:rsid w:val="59124C82"/>
    <w:rsid w:val="59178537"/>
    <w:rsid w:val="591E6381"/>
    <w:rsid w:val="59213FB7"/>
    <w:rsid w:val="5921669F"/>
    <w:rsid w:val="5946065C"/>
    <w:rsid w:val="5947827C"/>
    <w:rsid w:val="594C3E25"/>
    <w:rsid w:val="594D2487"/>
    <w:rsid w:val="594E8404"/>
    <w:rsid w:val="5955BACC"/>
    <w:rsid w:val="595F82BB"/>
    <w:rsid w:val="596FF8D8"/>
    <w:rsid w:val="59702288"/>
    <w:rsid w:val="59713E7D"/>
    <w:rsid w:val="59739EE5"/>
    <w:rsid w:val="5979DEC1"/>
    <w:rsid w:val="598BF5A9"/>
    <w:rsid w:val="598CEC14"/>
    <w:rsid w:val="59909566"/>
    <w:rsid w:val="5992398F"/>
    <w:rsid w:val="599486B3"/>
    <w:rsid w:val="5999A1EB"/>
    <w:rsid w:val="599A575F"/>
    <w:rsid w:val="599E3377"/>
    <w:rsid w:val="59A2961C"/>
    <w:rsid w:val="59AAEDA7"/>
    <w:rsid w:val="59AE02D5"/>
    <w:rsid w:val="59B0500C"/>
    <w:rsid w:val="59B477CF"/>
    <w:rsid w:val="59BD8077"/>
    <w:rsid w:val="59BE438D"/>
    <w:rsid w:val="59C0D61F"/>
    <w:rsid w:val="59C74065"/>
    <w:rsid w:val="59C7802B"/>
    <w:rsid w:val="59CD5120"/>
    <w:rsid w:val="59D8EDAB"/>
    <w:rsid w:val="59DD481F"/>
    <w:rsid w:val="59EE0572"/>
    <w:rsid w:val="59F2B20D"/>
    <w:rsid w:val="59FFFCA1"/>
    <w:rsid w:val="5A06E0BE"/>
    <w:rsid w:val="5A0720D1"/>
    <w:rsid w:val="5A106204"/>
    <w:rsid w:val="5A108340"/>
    <w:rsid w:val="5A14D907"/>
    <w:rsid w:val="5A14DAEB"/>
    <w:rsid w:val="5A1C3912"/>
    <w:rsid w:val="5A2812E3"/>
    <w:rsid w:val="5A30ED6A"/>
    <w:rsid w:val="5A317B02"/>
    <w:rsid w:val="5A34B848"/>
    <w:rsid w:val="5A354D6D"/>
    <w:rsid w:val="5A36EA24"/>
    <w:rsid w:val="5A428D72"/>
    <w:rsid w:val="5A47F0C6"/>
    <w:rsid w:val="5A4FD112"/>
    <w:rsid w:val="5A50D08D"/>
    <w:rsid w:val="5A5AD33C"/>
    <w:rsid w:val="5A66535D"/>
    <w:rsid w:val="5A6D348E"/>
    <w:rsid w:val="5A74A5C3"/>
    <w:rsid w:val="5A76E935"/>
    <w:rsid w:val="5A77B169"/>
    <w:rsid w:val="5A7EAA86"/>
    <w:rsid w:val="5A833BFB"/>
    <w:rsid w:val="5A843E33"/>
    <w:rsid w:val="5A8521B5"/>
    <w:rsid w:val="5A8E3D30"/>
    <w:rsid w:val="5A9C2EF1"/>
    <w:rsid w:val="5A9C77F2"/>
    <w:rsid w:val="5A9FFA8F"/>
    <w:rsid w:val="5AAE6DE4"/>
    <w:rsid w:val="5AB2A540"/>
    <w:rsid w:val="5AB77E42"/>
    <w:rsid w:val="5AB81B85"/>
    <w:rsid w:val="5AB9B8F7"/>
    <w:rsid w:val="5ABED5CC"/>
    <w:rsid w:val="5ACCB752"/>
    <w:rsid w:val="5AD04E90"/>
    <w:rsid w:val="5AD1A060"/>
    <w:rsid w:val="5ADA154A"/>
    <w:rsid w:val="5AE227C6"/>
    <w:rsid w:val="5AE2BB92"/>
    <w:rsid w:val="5AEF9702"/>
    <w:rsid w:val="5AF0DBE6"/>
    <w:rsid w:val="5AFA51CF"/>
    <w:rsid w:val="5AFEC7D0"/>
    <w:rsid w:val="5B0CF416"/>
    <w:rsid w:val="5B10ADF5"/>
    <w:rsid w:val="5B18B44B"/>
    <w:rsid w:val="5B1D0247"/>
    <w:rsid w:val="5B209845"/>
    <w:rsid w:val="5B2B823A"/>
    <w:rsid w:val="5B3D16DD"/>
    <w:rsid w:val="5B4324F8"/>
    <w:rsid w:val="5B46F990"/>
    <w:rsid w:val="5B4E197B"/>
    <w:rsid w:val="5B5196AD"/>
    <w:rsid w:val="5B53D6EC"/>
    <w:rsid w:val="5B5F047E"/>
    <w:rsid w:val="5B629996"/>
    <w:rsid w:val="5B639159"/>
    <w:rsid w:val="5B6E3F49"/>
    <w:rsid w:val="5B776BDF"/>
    <w:rsid w:val="5B79CB1B"/>
    <w:rsid w:val="5B7AB72E"/>
    <w:rsid w:val="5B851B37"/>
    <w:rsid w:val="5B85F0E3"/>
    <w:rsid w:val="5B8ABD41"/>
    <w:rsid w:val="5B8E9DA4"/>
    <w:rsid w:val="5B90E618"/>
    <w:rsid w:val="5B914A8F"/>
    <w:rsid w:val="5B91A537"/>
    <w:rsid w:val="5B965B27"/>
    <w:rsid w:val="5B977991"/>
    <w:rsid w:val="5B9869A4"/>
    <w:rsid w:val="5B9B2B51"/>
    <w:rsid w:val="5B9D6688"/>
    <w:rsid w:val="5B9F5598"/>
    <w:rsid w:val="5BA500EA"/>
    <w:rsid w:val="5BAB6287"/>
    <w:rsid w:val="5BACA39D"/>
    <w:rsid w:val="5BACB7A5"/>
    <w:rsid w:val="5BAD711D"/>
    <w:rsid w:val="5BAD9C28"/>
    <w:rsid w:val="5BB3D999"/>
    <w:rsid w:val="5BCE71C6"/>
    <w:rsid w:val="5BE3EBE8"/>
    <w:rsid w:val="5BEADD0C"/>
    <w:rsid w:val="5BED29B7"/>
    <w:rsid w:val="5BF2740C"/>
    <w:rsid w:val="5BFA7EAE"/>
    <w:rsid w:val="5C080EB6"/>
    <w:rsid w:val="5C0EEBEA"/>
    <w:rsid w:val="5C19F12A"/>
    <w:rsid w:val="5C1F49FE"/>
    <w:rsid w:val="5C1F588B"/>
    <w:rsid w:val="5C22C44E"/>
    <w:rsid w:val="5C2BC8B5"/>
    <w:rsid w:val="5C2E8BB6"/>
    <w:rsid w:val="5C32679C"/>
    <w:rsid w:val="5C32EBCB"/>
    <w:rsid w:val="5C37088B"/>
    <w:rsid w:val="5C402A84"/>
    <w:rsid w:val="5C4923EA"/>
    <w:rsid w:val="5C4BA65D"/>
    <w:rsid w:val="5C5517F0"/>
    <w:rsid w:val="5C5D7DB9"/>
    <w:rsid w:val="5C5E7BA9"/>
    <w:rsid w:val="5C61F7D5"/>
    <w:rsid w:val="5C6A90F7"/>
    <w:rsid w:val="5C70A140"/>
    <w:rsid w:val="5C72F64E"/>
    <w:rsid w:val="5C81E971"/>
    <w:rsid w:val="5C8311B8"/>
    <w:rsid w:val="5C83C4F2"/>
    <w:rsid w:val="5C86BE56"/>
    <w:rsid w:val="5C8F69CC"/>
    <w:rsid w:val="5C923DA0"/>
    <w:rsid w:val="5CA6A9B4"/>
    <w:rsid w:val="5CABAC11"/>
    <w:rsid w:val="5CAEEF74"/>
    <w:rsid w:val="5CB00947"/>
    <w:rsid w:val="5CC602B3"/>
    <w:rsid w:val="5CC75C99"/>
    <w:rsid w:val="5CCA36EF"/>
    <w:rsid w:val="5CCFF54D"/>
    <w:rsid w:val="5CD03F0C"/>
    <w:rsid w:val="5CD1A98C"/>
    <w:rsid w:val="5CD1E18F"/>
    <w:rsid w:val="5CD21A51"/>
    <w:rsid w:val="5CEBDF1B"/>
    <w:rsid w:val="5CF00879"/>
    <w:rsid w:val="5CF56E32"/>
    <w:rsid w:val="5CF5FEDA"/>
    <w:rsid w:val="5CFC4CE7"/>
    <w:rsid w:val="5D04C027"/>
    <w:rsid w:val="5D0576B7"/>
    <w:rsid w:val="5D0D742F"/>
    <w:rsid w:val="5D142829"/>
    <w:rsid w:val="5D1D7877"/>
    <w:rsid w:val="5D1F371C"/>
    <w:rsid w:val="5D294B0B"/>
    <w:rsid w:val="5D2AF4A8"/>
    <w:rsid w:val="5D2D48F9"/>
    <w:rsid w:val="5D39CB25"/>
    <w:rsid w:val="5D51877B"/>
    <w:rsid w:val="5D570C90"/>
    <w:rsid w:val="5D5755E4"/>
    <w:rsid w:val="5D5C8EE5"/>
    <w:rsid w:val="5D68308D"/>
    <w:rsid w:val="5D688C5B"/>
    <w:rsid w:val="5D69D9AF"/>
    <w:rsid w:val="5D6B2365"/>
    <w:rsid w:val="5D7540DF"/>
    <w:rsid w:val="5D77CA93"/>
    <w:rsid w:val="5D79243E"/>
    <w:rsid w:val="5D884B41"/>
    <w:rsid w:val="5D8B2190"/>
    <w:rsid w:val="5D964F0F"/>
    <w:rsid w:val="5D96D847"/>
    <w:rsid w:val="5D98C80B"/>
    <w:rsid w:val="5D9932F7"/>
    <w:rsid w:val="5DACA4C7"/>
    <w:rsid w:val="5DB3D865"/>
    <w:rsid w:val="5DBB461E"/>
    <w:rsid w:val="5DBC8C4C"/>
    <w:rsid w:val="5DCBE807"/>
    <w:rsid w:val="5DD6CC9C"/>
    <w:rsid w:val="5DD95497"/>
    <w:rsid w:val="5DDC4233"/>
    <w:rsid w:val="5DDCFE40"/>
    <w:rsid w:val="5DDD4DD3"/>
    <w:rsid w:val="5DE4986A"/>
    <w:rsid w:val="5DE4DD11"/>
    <w:rsid w:val="5DE4F44B"/>
    <w:rsid w:val="5DEB5F8E"/>
    <w:rsid w:val="5DEEC2BF"/>
    <w:rsid w:val="5DEF0429"/>
    <w:rsid w:val="5DF291C8"/>
    <w:rsid w:val="5DF354BF"/>
    <w:rsid w:val="5E00DD1C"/>
    <w:rsid w:val="5E03348C"/>
    <w:rsid w:val="5E07EB1C"/>
    <w:rsid w:val="5E0A1183"/>
    <w:rsid w:val="5E0B8371"/>
    <w:rsid w:val="5E11927C"/>
    <w:rsid w:val="5E142668"/>
    <w:rsid w:val="5E1453CA"/>
    <w:rsid w:val="5E17FF31"/>
    <w:rsid w:val="5E20A8D9"/>
    <w:rsid w:val="5E2F5F05"/>
    <w:rsid w:val="5E2FE938"/>
    <w:rsid w:val="5E333444"/>
    <w:rsid w:val="5E40E5FB"/>
    <w:rsid w:val="5E4581D2"/>
    <w:rsid w:val="5E5313DB"/>
    <w:rsid w:val="5E56238F"/>
    <w:rsid w:val="5E5EDF2F"/>
    <w:rsid w:val="5E6592AE"/>
    <w:rsid w:val="5E6C8433"/>
    <w:rsid w:val="5E788139"/>
    <w:rsid w:val="5E8A8148"/>
    <w:rsid w:val="5E8AC696"/>
    <w:rsid w:val="5E8FC684"/>
    <w:rsid w:val="5E9C45E7"/>
    <w:rsid w:val="5E9C66FD"/>
    <w:rsid w:val="5EA19404"/>
    <w:rsid w:val="5EA3E699"/>
    <w:rsid w:val="5EA535D5"/>
    <w:rsid w:val="5EA68F46"/>
    <w:rsid w:val="5EA94298"/>
    <w:rsid w:val="5EB722FC"/>
    <w:rsid w:val="5EC01537"/>
    <w:rsid w:val="5EC25B79"/>
    <w:rsid w:val="5EC8CC2E"/>
    <w:rsid w:val="5ECE5599"/>
    <w:rsid w:val="5ED3E1BA"/>
    <w:rsid w:val="5EDA91F4"/>
    <w:rsid w:val="5EDE25AF"/>
    <w:rsid w:val="5EE7284A"/>
    <w:rsid w:val="5EE7E935"/>
    <w:rsid w:val="5EEACC4C"/>
    <w:rsid w:val="5EEF43CC"/>
    <w:rsid w:val="5F00CB88"/>
    <w:rsid w:val="5F03B640"/>
    <w:rsid w:val="5F074573"/>
    <w:rsid w:val="5F079176"/>
    <w:rsid w:val="5F102A60"/>
    <w:rsid w:val="5F1479CD"/>
    <w:rsid w:val="5F184472"/>
    <w:rsid w:val="5F18C7E1"/>
    <w:rsid w:val="5F1B8CAA"/>
    <w:rsid w:val="5F1C1F7F"/>
    <w:rsid w:val="5F23A55E"/>
    <w:rsid w:val="5F282F19"/>
    <w:rsid w:val="5F33743B"/>
    <w:rsid w:val="5F3612EA"/>
    <w:rsid w:val="5F37C0F2"/>
    <w:rsid w:val="5F381F19"/>
    <w:rsid w:val="5F3A5F7E"/>
    <w:rsid w:val="5F3D882C"/>
    <w:rsid w:val="5F40D787"/>
    <w:rsid w:val="5F471574"/>
    <w:rsid w:val="5F47D562"/>
    <w:rsid w:val="5F59197B"/>
    <w:rsid w:val="5F5DD335"/>
    <w:rsid w:val="5F65DABC"/>
    <w:rsid w:val="5F677171"/>
    <w:rsid w:val="5F69C227"/>
    <w:rsid w:val="5F6E2E4C"/>
    <w:rsid w:val="5F7D64BB"/>
    <w:rsid w:val="5F7EAC9C"/>
    <w:rsid w:val="5F84FA5E"/>
    <w:rsid w:val="5F9D76D1"/>
    <w:rsid w:val="5F9E16A9"/>
    <w:rsid w:val="5F9FA71C"/>
    <w:rsid w:val="5FA2559F"/>
    <w:rsid w:val="5FA965C2"/>
    <w:rsid w:val="5FAB73C3"/>
    <w:rsid w:val="5FB17E1A"/>
    <w:rsid w:val="5FB55B2A"/>
    <w:rsid w:val="5FB7EA10"/>
    <w:rsid w:val="5FBD10F4"/>
    <w:rsid w:val="5FBFBD39"/>
    <w:rsid w:val="5FCDAA12"/>
    <w:rsid w:val="5FD931A9"/>
    <w:rsid w:val="5FE0A883"/>
    <w:rsid w:val="5FE86936"/>
    <w:rsid w:val="5FEA02C6"/>
    <w:rsid w:val="5FED6478"/>
    <w:rsid w:val="5FF46785"/>
    <w:rsid w:val="5FF6E1D2"/>
    <w:rsid w:val="5FFA83BD"/>
    <w:rsid w:val="5FFB5B4E"/>
    <w:rsid w:val="6004E7E5"/>
    <w:rsid w:val="60107165"/>
    <w:rsid w:val="6016D4F3"/>
    <w:rsid w:val="601864A3"/>
    <w:rsid w:val="6018E77F"/>
    <w:rsid w:val="601E1183"/>
    <w:rsid w:val="602504BB"/>
    <w:rsid w:val="6029CD2A"/>
    <w:rsid w:val="602ADBFB"/>
    <w:rsid w:val="60311804"/>
    <w:rsid w:val="6032D038"/>
    <w:rsid w:val="6037D39A"/>
    <w:rsid w:val="603B33F5"/>
    <w:rsid w:val="603E5D43"/>
    <w:rsid w:val="6041B9F1"/>
    <w:rsid w:val="6056A78E"/>
    <w:rsid w:val="6064DE1B"/>
    <w:rsid w:val="606B7DC0"/>
    <w:rsid w:val="60706205"/>
    <w:rsid w:val="60766255"/>
    <w:rsid w:val="6076F868"/>
    <w:rsid w:val="60771636"/>
    <w:rsid w:val="60797CEF"/>
    <w:rsid w:val="607989C1"/>
    <w:rsid w:val="607E282E"/>
    <w:rsid w:val="60814309"/>
    <w:rsid w:val="6086017E"/>
    <w:rsid w:val="60902915"/>
    <w:rsid w:val="609377C4"/>
    <w:rsid w:val="60948246"/>
    <w:rsid w:val="60996CA0"/>
    <w:rsid w:val="609B6191"/>
    <w:rsid w:val="609E720A"/>
    <w:rsid w:val="60A5BB80"/>
    <w:rsid w:val="60A84A89"/>
    <w:rsid w:val="60A9A3D5"/>
    <w:rsid w:val="60AD13C5"/>
    <w:rsid w:val="60B0236A"/>
    <w:rsid w:val="60B03991"/>
    <w:rsid w:val="60C96C0F"/>
    <w:rsid w:val="60CBBF89"/>
    <w:rsid w:val="60D4A94F"/>
    <w:rsid w:val="60D4E4B7"/>
    <w:rsid w:val="60EB7927"/>
    <w:rsid w:val="6105833C"/>
    <w:rsid w:val="610648F3"/>
    <w:rsid w:val="610BD793"/>
    <w:rsid w:val="610FB29B"/>
    <w:rsid w:val="6110CCF3"/>
    <w:rsid w:val="61133D3C"/>
    <w:rsid w:val="61275968"/>
    <w:rsid w:val="6133E83D"/>
    <w:rsid w:val="61372495"/>
    <w:rsid w:val="613B44DB"/>
    <w:rsid w:val="613BEC0E"/>
    <w:rsid w:val="613D9E58"/>
    <w:rsid w:val="61417808"/>
    <w:rsid w:val="61583CA4"/>
    <w:rsid w:val="6159F40C"/>
    <w:rsid w:val="615B233E"/>
    <w:rsid w:val="6162C648"/>
    <w:rsid w:val="6162D8DE"/>
    <w:rsid w:val="616B1AE5"/>
    <w:rsid w:val="616B5937"/>
    <w:rsid w:val="61764E46"/>
    <w:rsid w:val="617D1FF3"/>
    <w:rsid w:val="61810475"/>
    <w:rsid w:val="61897521"/>
    <w:rsid w:val="618CC39F"/>
    <w:rsid w:val="618D7BDA"/>
    <w:rsid w:val="619381AC"/>
    <w:rsid w:val="6194AFC7"/>
    <w:rsid w:val="6195A343"/>
    <w:rsid w:val="61A2B7A3"/>
    <w:rsid w:val="61AD0E88"/>
    <w:rsid w:val="61B30DAE"/>
    <w:rsid w:val="61B40147"/>
    <w:rsid w:val="61B6020B"/>
    <w:rsid w:val="61BA7869"/>
    <w:rsid w:val="61C2C7A7"/>
    <w:rsid w:val="61C43464"/>
    <w:rsid w:val="61D46C4A"/>
    <w:rsid w:val="61DD12EE"/>
    <w:rsid w:val="61DF5524"/>
    <w:rsid w:val="61EA44EE"/>
    <w:rsid w:val="61EA75DC"/>
    <w:rsid w:val="61EAB3F6"/>
    <w:rsid w:val="61EDE03B"/>
    <w:rsid w:val="61EFC726"/>
    <w:rsid w:val="61FA13F2"/>
    <w:rsid w:val="61FF9312"/>
    <w:rsid w:val="620580B5"/>
    <w:rsid w:val="62084C8F"/>
    <w:rsid w:val="62091B2E"/>
    <w:rsid w:val="620D809C"/>
    <w:rsid w:val="6216D422"/>
    <w:rsid w:val="62181E06"/>
    <w:rsid w:val="621B2C7B"/>
    <w:rsid w:val="621B7524"/>
    <w:rsid w:val="62204040"/>
    <w:rsid w:val="6224B88B"/>
    <w:rsid w:val="622D9CBD"/>
    <w:rsid w:val="623106A5"/>
    <w:rsid w:val="6232B4BC"/>
    <w:rsid w:val="6233C269"/>
    <w:rsid w:val="624434EF"/>
    <w:rsid w:val="62497704"/>
    <w:rsid w:val="6281D9DC"/>
    <w:rsid w:val="628B7995"/>
    <w:rsid w:val="628BCFBD"/>
    <w:rsid w:val="62926B19"/>
    <w:rsid w:val="62A11329"/>
    <w:rsid w:val="62A2BD3F"/>
    <w:rsid w:val="62A9988C"/>
    <w:rsid w:val="62ADC48B"/>
    <w:rsid w:val="62AE1EA2"/>
    <w:rsid w:val="62AE9ED7"/>
    <w:rsid w:val="62B1504F"/>
    <w:rsid w:val="62B8014F"/>
    <w:rsid w:val="62B9E67E"/>
    <w:rsid w:val="62BA14E3"/>
    <w:rsid w:val="62BA47F8"/>
    <w:rsid w:val="62C15BDA"/>
    <w:rsid w:val="62C7EF45"/>
    <w:rsid w:val="62D50370"/>
    <w:rsid w:val="62DB5607"/>
    <w:rsid w:val="62DF657A"/>
    <w:rsid w:val="62E6E30D"/>
    <w:rsid w:val="62EA6F5B"/>
    <w:rsid w:val="62EBE903"/>
    <w:rsid w:val="6309606F"/>
    <w:rsid w:val="631E30F8"/>
    <w:rsid w:val="6321EC5F"/>
    <w:rsid w:val="632C8E99"/>
    <w:rsid w:val="632F326B"/>
    <w:rsid w:val="633092C2"/>
    <w:rsid w:val="63354442"/>
    <w:rsid w:val="633AB1E1"/>
    <w:rsid w:val="633E5DA4"/>
    <w:rsid w:val="634277A6"/>
    <w:rsid w:val="6346DB9F"/>
    <w:rsid w:val="63478406"/>
    <w:rsid w:val="634B1C85"/>
    <w:rsid w:val="635242A6"/>
    <w:rsid w:val="6353FC2C"/>
    <w:rsid w:val="63565FD4"/>
    <w:rsid w:val="63592C4D"/>
    <w:rsid w:val="635DBF7F"/>
    <w:rsid w:val="6363A637"/>
    <w:rsid w:val="6368B384"/>
    <w:rsid w:val="636E9696"/>
    <w:rsid w:val="637A9B75"/>
    <w:rsid w:val="637BD44F"/>
    <w:rsid w:val="637C852C"/>
    <w:rsid w:val="63863C97"/>
    <w:rsid w:val="638AC134"/>
    <w:rsid w:val="63904DD6"/>
    <w:rsid w:val="639ABAB9"/>
    <w:rsid w:val="639AC392"/>
    <w:rsid w:val="63A0E271"/>
    <w:rsid w:val="63A2726C"/>
    <w:rsid w:val="63A28FE4"/>
    <w:rsid w:val="63A8DAA2"/>
    <w:rsid w:val="63A98C68"/>
    <w:rsid w:val="63AEE808"/>
    <w:rsid w:val="63AF25CA"/>
    <w:rsid w:val="63B22A70"/>
    <w:rsid w:val="63B33D14"/>
    <w:rsid w:val="63B5763B"/>
    <w:rsid w:val="63B73CB9"/>
    <w:rsid w:val="63B9484D"/>
    <w:rsid w:val="63BE1F8B"/>
    <w:rsid w:val="63BFB476"/>
    <w:rsid w:val="63CC6B92"/>
    <w:rsid w:val="63CCB647"/>
    <w:rsid w:val="63D3293D"/>
    <w:rsid w:val="63DF7D45"/>
    <w:rsid w:val="63EA3726"/>
    <w:rsid w:val="63EE8519"/>
    <w:rsid w:val="63EEE8D0"/>
    <w:rsid w:val="63F5A48A"/>
    <w:rsid w:val="6408CED6"/>
    <w:rsid w:val="640F0E41"/>
    <w:rsid w:val="64156939"/>
    <w:rsid w:val="641C365A"/>
    <w:rsid w:val="6420B430"/>
    <w:rsid w:val="6429BB74"/>
    <w:rsid w:val="642B183F"/>
    <w:rsid w:val="642D7A07"/>
    <w:rsid w:val="642ED5A5"/>
    <w:rsid w:val="64311E0A"/>
    <w:rsid w:val="64413E20"/>
    <w:rsid w:val="644A85B5"/>
    <w:rsid w:val="644CC46D"/>
    <w:rsid w:val="644DCE64"/>
    <w:rsid w:val="644F0160"/>
    <w:rsid w:val="645D2C3B"/>
    <w:rsid w:val="645E2096"/>
    <w:rsid w:val="64638D98"/>
    <w:rsid w:val="646B8591"/>
    <w:rsid w:val="646BAE28"/>
    <w:rsid w:val="646C446C"/>
    <w:rsid w:val="647164D3"/>
    <w:rsid w:val="647273CD"/>
    <w:rsid w:val="6473DCF1"/>
    <w:rsid w:val="64794CFE"/>
    <w:rsid w:val="647F4F48"/>
    <w:rsid w:val="64863FBC"/>
    <w:rsid w:val="6486AE6D"/>
    <w:rsid w:val="64892203"/>
    <w:rsid w:val="648A6A0E"/>
    <w:rsid w:val="648E0E86"/>
    <w:rsid w:val="64960503"/>
    <w:rsid w:val="649851EB"/>
    <w:rsid w:val="6498E22A"/>
    <w:rsid w:val="649C39D1"/>
    <w:rsid w:val="64A6AD4A"/>
    <w:rsid w:val="64A91956"/>
    <w:rsid w:val="64AF7BD5"/>
    <w:rsid w:val="64B0C45C"/>
    <w:rsid w:val="64B1194A"/>
    <w:rsid w:val="64B9A5B5"/>
    <w:rsid w:val="64BA9A73"/>
    <w:rsid w:val="64BADCA4"/>
    <w:rsid w:val="64C19122"/>
    <w:rsid w:val="64C61FFF"/>
    <w:rsid w:val="64D9E2A5"/>
    <w:rsid w:val="64E03D6F"/>
    <w:rsid w:val="64E752C6"/>
    <w:rsid w:val="64E8353C"/>
    <w:rsid w:val="64EDA2CD"/>
    <w:rsid w:val="64F6A5EA"/>
    <w:rsid w:val="64F88A5A"/>
    <w:rsid w:val="64FD603A"/>
    <w:rsid w:val="64FFF63D"/>
    <w:rsid w:val="65060A4D"/>
    <w:rsid w:val="650A4B6C"/>
    <w:rsid w:val="650D4CA6"/>
    <w:rsid w:val="65169FB1"/>
    <w:rsid w:val="652245E1"/>
    <w:rsid w:val="6538DCCD"/>
    <w:rsid w:val="654158C3"/>
    <w:rsid w:val="65422878"/>
    <w:rsid w:val="65441F4D"/>
    <w:rsid w:val="6549D378"/>
    <w:rsid w:val="6555A50A"/>
    <w:rsid w:val="65629663"/>
    <w:rsid w:val="6562E1D6"/>
    <w:rsid w:val="6562F515"/>
    <w:rsid w:val="6567763C"/>
    <w:rsid w:val="656CD23A"/>
    <w:rsid w:val="6579FE9A"/>
    <w:rsid w:val="657E6ABF"/>
    <w:rsid w:val="6580201C"/>
    <w:rsid w:val="6582AF10"/>
    <w:rsid w:val="65881AB2"/>
    <w:rsid w:val="658BD825"/>
    <w:rsid w:val="658D04FA"/>
    <w:rsid w:val="659389A5"/>
    <w:rsid w:val="65959263"/>
    <w:rsid w:val="6595DA4B"/>
    <w:rsid w:val="65AAB426"/>
    <w:rsid w:val="65AE08B6"/>
    <w:rsid w:val="65AF181C"/>
    <w:rsid w:val="65B07FFA"/>
    <w:rsid w:val="65B68B49"/>
    <w:rsid w:val="65B90BB0"/>
    <w:rsid w:val="65BFE000"/>
    <w:rsid w:val="65C157B1"/>
    <w:rsid w:val="65D87F1A"/>
    <w:rsid w:val="65E7B41C"/>
    <w:rsid w:val="65E7FC75"/>
    <w:rsid w:val="65F2D7FB"/>
    <w:rsid w:val="65F3A922"/>
    <w:rsid w:val="65F4ECB2"/>
    <w:rsid w:val="65F74F9C"/>
    <w:rsid w:val="65FDA7E0"/>
    <w:rsid w:val="66017422"/>
    <w:rsid w:val="6602B249"/>
    <w:rsid w:val="66049B1F"/>
    <w:rsid w:val="660C8615"/>
    <w:rsid w:val="66107373"/>
    <w:rsid w:val="66162BBF"/>
    <w:rsid w:val="661645AB"/>
    <w:rsid w:val="661880A7"/>
    <w:rsid w:val="6618BBA3"/>
    <w:rsid w:val="6621A30A"/>
    <w:rsid w:val="6622B0B4"/>
    <w:rsid w:val="662AA7F4"/>
    <w:rsid w:val="662C4975"/>
    <w:rsid w:val="662E7792"/>
    <w:rsid w:val="6637F236"/>
    <w:rsid w:val="6651DC0B"/>
    <w:rsid w:val="66529F06"/>
    <w:rsid w:val="6661F437"/>
    <w:rsid w:val="6665B0DE"/>
    <w:rsid w:val="666D3221"/>
    <w:rsid w:val="6677F916"/>
    <w:rsid w:val="668895E3"/>
    <w:rsid w:val="668F2962"/>
    <w:rsid w:val="66A8F790"/>
    <w:rsid w:val="66B07CF4"/>
    <w:rsid w:val="66B71D47"/>
    <w:rsid w:val="66CD6241"/>
    <w:rsid w:val="66CD6922"/>
    <w:rsid w:val="66CF3341"/>
    <w:rsid w:val="66D2A48B"/>
    <w:rsid w:val="66D88333"/>
    <w:rsid w:val="66E4BCD9"/>
    <w:rsid w:val="66E94CA0"/>
    <w:rsid w:val="66E9CAC6"/>
    <w:rsid w:val="66EB89B9"/>
    <w:rsid w:val="66EF8231"/>
    <w:rsid w:val="66FDC7E7"/>
    <w:rsid w:val="672AE8E1"/>
    <w:rsid w:val="672BD245"/>
    <w:rsid w:val="67316DA2"/>
    <w:rsid w:val="67355759"/>
    <w:rsid w:val="6743B414"/>
    <w:rsid w:val="6743C4B1"/>
    <w:rsid w:val="674BDE21"/>
    <w:rsid w:val="67529E14"/>
    <w:rsid w:val="6758697E"/>
    <w:rsid w:val="6759A3E5"/>
    <w:rsid w:val="675D3935"/>
    <w:rsid w:val="676705EC"/>
    <w:rsid w:val="67715742"/>
    <w:rsid w:val="677C1B22"/>
    <w:rsid w:val="677E0575"/>
    <w:rsid w:val="67835E77"/>
    <w:rsid w:val="678693DB"/>
    <w:rsid w:val="678B0B3C"/>
    <w:rsid w:val="678CFBA7"/>
    <w:rsid w:val="6795A505"/>
    <w:rsid w:val="67962420"/>
    <w:rsid w:val="6799E448"/>
    <w:rsid w:val="679D52D4"/>
    <w:rsid w:val="67A0482B"/>
    <w:rsid w:val="67AAA806"/>
    <w:rsid w:val="67BCD5C9"/>
    <w:rsid w:val="67C261E6"/>
    <w:rsid w:val="67C36D83"/>
    <w:rsid w:val="67C403D2"/>
    <w:rsid w:val="67C8F532"/>
    <w:rsid w:val="67CCF47D"/>
    <w:rsid w:val="67D6ADB2"/>
    <w:rsid w:val="67D882DA"/>
    <w:rsid w:val="67DC6B35"/>
    <w:rsid w:val="67DEA17E"/>
    <w:rsid w:val="67E5EC9E"/>
    <w:rsid w:val="67E845B4"/>
    <w:rsid w:val="67EC8B5C"/>
    <w:rsid w:val="67EE11A7"/>
    <w:rsid w:val="67F8EB2E"/>
    <w:rsid w:val="68002945"/>
    <w:rsid w:val="6824775D"/>
    <w:rsid w:val="682DB1E2"/>
    <w:rsid w:val="682E62DC"/>
    <w:rsid w:val="68305570"/>
    <w:rsid w:val="683130A2"/>
    <w:rsid w:val="683C1472"/>
    <w:rsid w:val="68477268"/>
    <w:rsid w:val="68492F31"/>
    <w:rsid w:val="68522DE3"/>
    <w:rsid w:val="685642E9"/>
    <w:rsid w:val="68670BAE"/>
    <w:rsid w:val="686F3061"/>
    <w:rsid w:val="6870B353"/>
    <w:rsid w:val="6875C46F"/>
    <w:rsid w:val="687DB3F7"/>
    <w:rsid w:val="6880553E"/>
    <w:rsid w:val="6882BDF5"/>
    <w:rsid w:val="6893252E"/>
    <w:rsid w:val="68998E84"/>
    <w:rsid w:val="689B9E02"/>
    <w:rsid w:val="68A50C81"/>
    <w:rsid w:val="68A9752E"/>
    <w:rsid w:val="68AA5CF1"/>
    <w:rsid w:val="68B7E7DD"/>
    <w:rsid w:val="68BF7551"/>
    <w:rsid w:val="68C1AAA3"/>
    <w:rsid w:val="68C78216"/>
    <w:rsid w:val="68CA7CB5"/>
    <w:rsid w:val="68CAC458"/>
    <w:rsid w:val="68D60040"/>
    <w:rsid w:val="68D93619"/>
    <w:rsid w:val="68DE995F"/>
    <w:rsid w:val="68DF843C"/>
    <w:rsid w:val="68E56A3A"/>
    <w:rsid w:val="68E7926E"/>
    <w:rsid w:val="68EEE5B3"/>
    <w:rsid w:val="68F029D4"/>
    <w:rsid w:val="68F1DBE5"/>
    <w:rsid w:val="68F506C9"/>
    <w:rsid w:val="68F5A1AB"/>
    <w:rsid w:val="68FAF8F5"/>
    <w:rsid w:val="68FFE7B5"/>
    <w:rsid w:val="69004782"/>
    <w:rsid w:val="69071067"/>
    <w:rsid w:val="690CBFD6"/>
    <w:rsid w:val="690D65BE"/>
    <w:rsid w:val="6910E4A1"/>
    <w:rsid w:val="6915221A"/>
    <w:rsid w:val="69170483"/>
    <w:rsid w:val="69182E80"/>
    <w:rsid w:val="691D36E1"/>
    <w:rsid w:val="69203672"/>
    <w:rsid w:val="6928A6C9"/>
    <w:rsid w:val="6928CEF5"/>
    <w:rsid w:val="692A371D"/>
    <w:rsid w:val="692CBC23"/>
    <w:rsid w:val="69309009"/>
    <w:rsid w:val="69379ABF"/>
    <w:rsid w:val="694598AC"/>
    <w:rsid w:val="694C7607"/>
    <w:rsid w:val="6958DF10"/>
    <w:rsid w:val="6964363C"/>
    <w:rsid w:val="696DD79A"/>
    <w:rsid w:val="69761E1A"/>
    <w:rsid w:val="6979A344"/>
    <w:rsid w:val="697C7462"/>
    <w:rsid w:val="697F338C"/>
    <w:rsid w:val="698B0F17"/>
    <w:rsid w:val="698BB813"/>
    <w:rsid w:val="699A6141"/>
    <w:rsid w:val="699D2579"/>
    <w:rsid w:val="699F6841"/>
    <w:rsid w:val="69A5CE43"/>
    <w:rsid w:val="69A9C63E"/>
    <w:rsid w:val="69AC965F"/>
    <w:rsid w:val="69B9F006"/>
    <w:rsid w:val="69C46955"/>
    <w:rsid w:val="69C4DB40"/>
    <w:rsid w:val="69CD1599"/>
    <w:rsid w:val="69CDFC92"/>
    <w:rsid w:val="69CFAC77"/>
    <w:rsid w:val="69D5E774"/>
    <w:rsid w:val="69DBBC52"/>
    <w:rsid w:val="69DC55BE"/>
    <w:rsid w:val="69DE1999"/>
    <w:rsid w:val="69E5A3A7"/>
    <w:rsid w:val="69F4B2AB"/>
    <w:rsid w:val="69F77BE2"/>
    <w:rsid w:val="69F78125"/>
    <w:rsid w:val="6A08CA80"/>
    <w:rsid w:val="6A13BFAA"/>
    <w:rsid w:val="6A167A7D"/>
    <w:rsid w:val="6A18395C"/>
    <w:rsid w:val="6A1D449B"/>
    <w:rsid w:val="6A1D638D"/>
    <w:rsid w:val="6A2073AF"/>
    <w:rsid w:val="6A20A399"/>
    <w:rsid w:val="6A227A2D"/>
    <w:rsid w:val="6A27109D"/>
    <w:rsid w:val="6A2E360B"/>
    <w:rsid w:val="6A3DF42B"/>
    <w:rsid w:val="6A48790A"/>
    <w:rsid w:val="6A50AF10"/>
    <w:rsid w:val="6A5295B5"/>
    <w:rsid w:val="6A5572D8"/>
    <w:rsid w:val="6A578133"/>
    <w:rsid w:val="6A5832A8"/>
    <w:rsid w:val="6A5E09BE"/>
    <w:rsid w:val="6A64A055"/>
    <w:rsid w:val="6A6649A7"/>
    <w:rsid w:val="6A7A9EA3"/>
    <w:rsid w:val="6A7BB32F"/>
    <w:rsid w:val="6A7CECC2"/>
    <w:rsid w:val="6A7DB945"/>
    <w:rsid w:val="6A8940B0"/>
    <w:rsid w:val="6A8D3C84"/>
    <w:rsid w:val="6A94C44F"/>
    <w:rsid w:val="6A98E1EC"/>
    <w:rsid w:val="6A9F8160"/>
    <w:rsid w:val="6AA441D2"/>
    <w:rsid w:val="6AA6D789"/>
    <w:rsid w:val="6AB156F8"/>
    <w:rsid w:val="6AB1B278"/>
    <w:rsid w:val="6AC4518A"/>
    <w:rsid w:val="6AC7B9E3"/>
    <w:rsid w:val="6ACBF004"/>
    <w:rsid w:val="6ACC16ED"/>
    <w:rsid w:val="6ACD7571"/>
    <w:rsid w:val="6AE0C0DC"/>
    <w:rsid w:val="6AEAAFC6"/>
    <w:rsid w:val="6AECC7CB"/>
    <w:rsid w:val="6AF21CEC"/>
    <w:rsid w:val="6B00642F"/>
    <w:rsid w:val="6B013608"/>
    <w:rsid w:val="6B042DD9"/>
    <w:rsid w:val="6B07688F"/>
    <w:rsid w:val="6B0CEED1"/>
    <w:rsid w:val="6B136DA8"/>
    <w:rsid w:val="6B15F7A1"/>
    <w:rsid w:val="6B23FEA5"/>
    <w:rsid w:val="6B24476F"/>
    <w:rsid w:val="6B2556D0"/>
    <w:rsid w:val="6B26C15F"/>
    <w:rsid w:val="6B2F6F88"/>
    <w:rsid w:val="6B3699A5"/>
    <w:rsid w:val="6B3829D2"/>
    <w:rsid w:val="6B39B34E"/>
    <w:rsid w:val="6B4B7920"/>
    <w:rsid w:val="6B4CABE7"/>
    <w:rsid w:val="6B4FFDC9"/>
    <w:rsid w:val="6B59971E"/>
    <w:rsid w:val="6B5B1C9A"/>
    <w:rsid w:val="6B61A092"/>
    <w:rsid w:val="6B62FA81"/>
    <w:rsid w:val="6B655F38"/>
    <w:rsid w:val="6B6A9913"/>
    <w:rsid w:val="6B6C24B2"/>
    <w:rsid w:val="6B6D664C"/>
    <w:rsid w:val="6B7C6642"/>
    <w:rsid w:val="6B8F7C65"/>
    <w:rsid w:val="6B982C28"/>
    <w:rsid w:val="6BA30DC7"/>
    <w:rsid w:val="6BB63DB5"/>
    <w:rsid w:val="6BB6F201"/>
    <w:rsid w:val="6BC08E9E"/>
    <w:rsid w:val="6BC9F1F2"/>
    <w:rsid w:val="6BCDCD23"/>
    <w:rsid w:val="6BD32973"/>
    <w:rsid w:val="6BE23796"/>
    <w:rsid w:val="6BE79D18"/>
    <w:rsid w:val="6BF3C2EB"/>
    <w:rsid w:val="6BFD6B57"/>
    <w:rsid w:val="6C022F38"/>
    <w:rsid w:val="6C0544A1"/>
    <w:rsid w:val="6C0BA78A"/>
    <w:rsid w:val="6C0DB356"/>
    <w:rsid w:val="6C0ED5AB"/>
    <w:rsid w:val="6C1989A6"/>
    <w:rsid w:val="6C1A04C0"/>
    <w:rsid w:val="6C205711"/>
    <w:rsid w:val="6C21F21A"/>
    <w:rsid w:val="6C29AAC6"/>
    <w:rsid w:val="6C2A9E3B"/>
    <w:rsid w:val="6C342385"/>
    <w:rsid w:val="6C3B409E"/>
    <w:rsid w:val="6C4131F2"/>
    <w:rsid w:val="6C495635"/>
    <w:rsid w:val="6C4E9C2B"/>
    <w:rsid w:val="6C57B0E8"/>
    <w:rsid w:val="6C62C7E2"/>
    <w:rsid w:val="6C654C86"/>
    <w:rsid w:val="6C6F15AB"/>
    <w:rsid w:val="6C72CFD6"/>
    <w:rsid w:val="6C7588FA"/>
    <w:rsid w:val="6C77106E"/>
    <w:rsid w:val="6C7EA9E3"/>
    <w:rsid w:val="6C7F8658"/>
    <w:rsid w:val="6C865CF4"/>
    <w:rsid w:val="6C8B1CF1"/>
    <w:rsid w:val="6C95B8B0"/>
    <w:rsid w:val="6C9A5513"/>
    <w:rsid w:val="6C9B578A"/>
    <w:rsid w:val="6C9F636F"/>
    <w:rsid w:val="6CA0D3E5"/>
    <w:rsid w:val="6CA87159"/>
    <w:rsid w:val="6CBD0AC0"/>
    <w:rsid w:val="6CC3BC2F"/>
    <w:rsid w:val="6CCFFE03"/>
    <w:rsid w:val="6CD2672E"/>
    <w:rsid w:val="6CD4534F"/>
    <w:rsid w:val="6CD68FCA"/>
    <w:rsid w:val="6CDD2D82"/>
    <w:rsid w:val="6CDE049B"/>
    <w:rsid w:val="6CDFC62B"/>
    <w:rsid w:val="6CE42521"/>
    <w:rsid w:val="6CEAB1EF"/>
    <w:rsid w:val="6CEB608B"/>
    <w:rsid w:val="6CEE4F0C"/>
    <w:rsid w:val="6CF77AD9"/>
    <w:rsid w:val="6CFCBEA1"/>
    <w:rsid w:val="6D001586"/>
    <w:rsid w:val="6D019E12"/>
    <w:rsid w:val="6D101CDF"/>
    <w:rsid w:val="6D207C70"/>
    <w:rsid w:val="6D21ACE0"/>
    <w:rsid w:val="6D39DB6D"/>
    <w:rsid w:val="6D3DE315"/>
    <w:rsid w:val="6D408030"/>
    <w:rsid w:val="6D467A24"/>
    <w:rsid w:val="6D4C3B0E"/>
    <w:rsid w:val="6D5EDC84"/>
    <w:rsid w:val="6D659343"/>
    <w:rsid w:val="6D6D9A2F"/>
    <w:rsid w:val="6D724EC3"/>
    <w:rsid w:val="6D80E7A2"/>
    <w:rsid w:val="6D8C681A"/>
    <w:rsid w:val="6D963B18"/>
    <w:rsid w:val="6D9807CE"/>
    <w:rsid w:val="6DAB934E"/>
    <w:rsid w:val="6DADEF09"/>
    <w:rsid w:val="6DB8D228"/>
    <w:rsid w:val="6DBFF665"/>
    <w:rsid w:val="6DC82F47"/>
    <w:rsid w:val="6DD2BDCA"/>
    <w:rsid w:val="6DECA7E7"/>
    <w:rsid w:val="6DF1E5D0"/>
    <w:rsid w:val="6DFDE8B7"/>
    <w:rsid w:val="6DFE4B70"/>
    <w:rsid w:val="6E0431D1"/>
    <w:rsid w:val="6E05AC70"/>
    <w:rsid w:val="6E096335"/>
    <w:rsid w:val="6E15D0EE"/>
    <w:rsid w:val="6E1DEF74"/>
    <w:rsid w:val="6E2029DC"/>
    <w:rsid w:val="6E33A1A5"/>
    <w:rsid w:val="6E3631A5"/>
    <w:rsid w:val="6E36D053"/>
    <w:rsid w:val="6E3A4057"/>
    <w:rsid w:val="6E40AE1B"/>
    <w:rsid w:val="6E416B77"/>
    <w:rsid w:val="6E41DAA7"/>
    <w:rsid w:val="6E43E47E"/>
    <w:rsid w:val="6E4A58CC"/>
    <w:rsid w:val="6E4CA19D"/>
    <w:rsid w:val="6E5B9502"/>
    <w:rsid w:val="6E5DA53A"/>
    <w:rsid w:val="6E61EB9E"/>
    <w:rsid w:val="6E679552"/>
    <w:rsid w:val="6E70CE80"/>
    <w:rsid w:val="6E76ECB8"/>
    <w:rsid w:val="6E9678D8"/>
    <w:rsid w:val="6EA46CC7"/>
    <w:rsid w:val="6EA49BC3"/>
    <w:rsid w:val="6EA56E9B"/>
    <w:rsid w:val="6EAB083E"/>
    <w:rsid w:val="6EACA618"/>
    <w:rsid w:val="6EAD8559"/>
    <w:rsid w:val="6EC74FED"/>
    <w:rsid w:val="6ECCC71D"/>
    <w:rsid w:val="6ED6FB44"/>
    <w:rsid w:val="6EDEE0E7"/>
    <w:rsid w:val="6EE0B6B9"/>
    <w:rsid w:val="6EECBCF6"/>
    <w:rsid w:val="6EF3438D"/>
    <w:rsid w:val="6EF6208D"/>
    <w:rsid w:val="6EF9C225"/>
    <w:rsid w:val="6F018990"/>
    <w:rsid w:val="6F154764"/>
    <w:rsid w:val="6F1B76B1"/>
    <w:rsid w:val="6F20C4F0"/>
    <w:rsid w:val="6F2FD5C4"/>
    <w:rsid w:val="6F31E9BD"/>
    <w:rsid w:val="6F33896C"/>
    <w:rsid w:val="6F38153F"/>
    <w:rsid w:val="6F3AC8E5"/>
    <w:rsid w:val="6F3DD0D1"/>
    <w:rsid w:val="6F4170ED"/>
    <w:rsid w:val="6F4B941A"/>
    <w:rsid w:val="6F4EBEDF"/>
    <w:rsid w:val="6F72D939"/>
    <w:rsid w:val="6F811B64"/>
    <w:rsid w:val="6F885D64"/>
    <w:rsid w:val="6F890C2B"/>
    <w:rsid w:val="6F8BAFAE"/>
    <w:rsid w:val="6F9FB41E"/>
    <w:rsid w:val="6FA19451"/>
    <w:rsid w:val="6FA36428"/>
    <w:rsid w:val="6FA6505A"/>
    <w:rsid w:val="6FA7ADCC"/>
    <w:rsid w:val="6FA7BAC7"/>
    <w:rsid w:val="6FACCA84"/>
    <w:rsid w:val="6FBC326A"/>
    <w:rsid w:val="6FBDA290"/>
    <w:rsid w:val="6FC61675"/>
    <w:rsid w:val="6FC9D0BC"/>
    <w:rsid w:val="6FCF87B0"/>
    <w:rsid w:val="6FDEBC8A"/>
    <w:rsid w:val="6FE9189D"/>
    <w:rsid w:val="6FEADFDC"/>
    <w:rsid w:val="6FEF01F7"/>
    <w:rsid w:val="7000A3A8"/>
    <w:rsid w:val="7001FFEC"/>
    <w:rsid w:val="70089C08"/>
    <w:rsid w:val="700A73D2"/>
    <w:rsid w:val="701650AF"/>
    <w:rsid w:val="70169A0D"/>
    <w:rsid w:val="701FAB9A"/>
    <w:rsid w:val="7022A7C1"/>
    <w:rsid w:val="70306ABD"/>
    <w:rsid w:val="703674E6"/>
    <w:rsid w:val="703D3F2C"/>
    <w:rsid w:val="703EF16B"/>
    <w:rsid w:val="70436D4E"/>
    <w:rsid w:val="7056EFB8"/>
    <w:rsid w:val="7057B131"/>
    <w:rsid w:val="7061B2D3"/>
    <w:rsid w:val="7068977E"/>
    <w:rsid w:val="7068A2B5"/>
    <w:rsid w:val="706C19B1"/>
    <w:rsid w:val="7072B834"/>
    <w:rsid w:val="707CB6AE"/>
    <w:rsid w:val="70916042"/>
    <w:rsid w:val="709259D4"/>
    <w:rsid w:val="70998DBD"/>
    <w:rsid w:val="709BCF62"/>
    <w:rsid w:val="70A3528D"/>
    <w:rsid w:val="70A6CA42"/>
    <w:rsid w:val="70A84AFC"/>
    <w:rsid w:val="70ADCF54"/>
    <w:rsid w:val="70BD05C0"/>
    <w:rsid w:val="70CF80B7"/>
    <w:rsid w:val="70D3CABF"/>
    <w:rsid w:val="70D623C3"/>
    <w:rsid w:val="70E47E9F"/>
    <w:rsid w:val="70E8DAA3"/>
    <w:rsid w:val="70EA2DB3"/>
    <w:rsid w:val="70F1AC72"/>
    <w:rsid w:val="70F433FB"/>
    <w:rsid w:val="70FCD863"/>
    <w:rsid w:val="7109BBAE"/>
    <w:rsid w:val="712B12B2"/>
    <w:rsid w:val="712B4857"/>
    <w:rsid w:val="713B58E6"/>
    <w:rsid w:val="71429D80"/>
    <w:rsid w:val="714C9B74"/>
    <w:rsid w:val="714D2EF9"/>
    <w:rsid w:val="715535E5"/>
    <w:rsid w:val="71634A49"/>
    <w:rsid w:val="716996A8"/>
    <w:rsid w:val="7169D87A"/>
    <w:rsid w:val="716A0702"/>
    <w:rsid w:val="716CE734"/>
    <w:rsid w:val="71730252"/>
    <w:rsid w:val="7174B91A"/>
    <w:rsid w:val="717C8969"/>
    <w:rsid w:val="71839FEF"/>
    <w:rsid w:val="718AEA3F"/>
    <w:rsid w:val="7190F3BE"/>
    <w:rsid w:val="7199909E"/>
    <w:rsid w:val="719A81FD"/>
    <w:rsid w:val="719BA9B4"/>
    <w:rsid w:val="71A39119"/>
    <w:rsid w:val="71AB54A4"/>
    <w:rsid w:val="71AB97C2"/>
    <w:rsid w:val="71BBCEF6"/>
    <w:rsid w:val="71C6A3BC"/>
    <w:rsid w:val="71D2D541"/>
    <w:rsid w:val="71D3D3D1"/>
    <w:rsid w:val="71EF99E8"/>
    <w:rsid w:val="71FCB781"/>
    <w:rsid w:val="72015F80"/>
    <w:rsid w:val="720404FC"/>
    <w:rsid w:val="72075E11"/>
    <w:rsid w:val="720CA635"/>
    <w:rsid w:val="721B8A26"/>
    <w:rsid w:val="7220C88B"/>
    <w:rsid w:val="722C67AE"/>
    <w:rsid w:val="722DCF1E"/>
    <w:rsid w:val="72323341"/>
    <w:rsid w:val="7233F531"/>
    <w:rsid w:val="72461A26"/>
    <w:rsid w:val="7249DC12"/>
    <w:rsid w:val="724A675D"/>
    <w:rsid w:val="724E0E30"/>
    <w:rsid w:val="724FC628"/>
    <w:rsid w:val="725174B5"/>
    <w:rsid w:val="7252DC61"/>
    <w:rsid w:val="725431E4"/>
    <w:rsid w:val="725E1F24"/>
    <w:rsid w:val="726005B2"/>
    <w:rsid w:val="727956BB"/>
    <w:rsid w:val="72796172"/>
    <w:rsid w:val="727A6099"/>
    <w:rsid w:val="727C20C9"/>
    <w:rsid w:val="727D1752"/>
    <w:rsid w:val="728726DA"/>
    <w:rsid w:val="7289AD0C"/>
    <w:rsid w:val="72939067"/>
    <w:rsid w:val="7299E92E"/>
    <w:rsid w:val="729C4B15"/>
    <w:rsid w:val="729E027E"/>
    <w:rsid w:val="72BF08EA"/>
    <w:rsid w:val="72C33548"/>
    <w:rsid w:val="72C483A6"/>
    <w:rsid w:val="72D32E5B"/>
    <w:rsid w:val="72D34FBF"/>
    <w:rsid w:val="72D7A2F4"/>
    <w:rsid w:val="72E884F7"/>
    <w:rsid w:val="72E8DCE2"/>
    <w:rsid w:val="730187C6"/>
    <w:rsid w:val="7305C734"/>
    <w:rsid w:val="7309C1EB"/>
    <w:rsid w:val="730F4A02"/>
    <w:rsid w:val="7312B51D"/>
    <w:rsid w:val="7313C93A"/>
    <w:rsid w:val="731C0118"/>
    <w:rsid w:val="732B9FFB"/>
    <w:rsid w:val="732D16B7"/>
    <w:rsid w:val="732DC879"/>
    <w:rsid w:val="732EAEDC"/>
    <w:rsid w:val="7330000C"/>
    <w:rsid w:val="7343B977"/>
    <w:rsid w:val="734B020C"/>
    <w:rsid w:val="7364D556"/>
    <w:rsid w:val="737187DF"/>
    <w:rsid w:val="7380575B"/>
    <w:rsid w:val="7381B787"/>
    <w:rsid w:val="738475DA"/>
    <w:rsid w:val="738FAC02"/>
    <w:rsid w:val="73952B16"/>
    <w:rsid w:val="73980A79"/>
    <w:rsid w:val="7399C434"/>
    <w:rsid w:val="739A441D"/>
    <w:rsid w:val="73A8A38A"/>
    <w:rsid w:val="73AF25DD"/>
    <w:rsid w:val="73BCEADD"/>
    <w:rsid w:val="73C24D00"/>
    <w:rsid w:val="73C26A93"/>
    <w:rsid w:val="73D20C27"/>
    <w:rsid w:val="73D46A98"/>
    <w:rsid w:val="73D931D1"/>
    <w:rsid w:val="73DD7BA8"/>
    <w:rsid w:val="73DE71EB"/>
    <w:rsid w:val="73DFE070"/>
    <w:rsid w:val="73E635D5"/>
    <w:rsid w:val="73EBB836"/>
    <w:rsid w:val="73EC6A81"/>
    <w:rsid w:val="73EDB6E5"/>
    <w:rsid w:val="73EF1BCA"/>
    <w:rsid w:val="73F93EAF"/>
    <w:rsid w:val="73F9E7C0"/>
    <w:rsid w:val="73FADDA4"/>
    <w:rsid w:val="73FCDD42"/>
    <w:rsid w:val="740041F2"/>
    <w:rsid w:val="74045464"/>
    <w:rsid w:val="74094B35"/>
    <w:rsid w:val="741184FB"/>
    <w:rsid w:val="74141E02"/>
    <w:rsid w:val="7414A951"/>
    <w:rsid w:val="74152F4D"/>
    <w:rsid w:val="74217483"/>
    <w:rsid w:val="74278149"/>
    <w:rsid w:val="742A8E59"/>
    <w:rsid w:val="742B2BCD"/>
    <w:rsid w:val="742B6F47"/>
    <w:rsid w:val="7431C8BE"/>
    <w:rsid w:val="7432D0F0"/>
    <w:rsid w:val="743D9584"/>
    <w:rsid w:val="7442DEEA"/>
    <w:rsid w:val="74508D6D"/>
    <w:rsid w:val="7451EE9E"/>
    <w:rsid w:val="7453E23E"/>
    <w:rsid w:val="7454CB05"/>
    <w:rsid w:val="7457E564"/>
    <w:rsid w:val="74595C38"/>
    <w:rsid w:val="746AA0A7"/>
    <w:rsid w:val="746EFC5E"/>
    <w:rsid w:val="7477FD83"/>
    <w:rsid w:val="747EF835"/>
    <w:rsid w:val="74808D27"/>
    <w:rsid w:val="74825E19"/>
    <w:rsid w:val="7484FB7B"/>
    <w:rsid w:val="7490893B"/>
    <w:rsid w:val="7498008B"/>
    <w:rsid w:val="749E275E"/>
    <w:rsid w:val="74AA99CA"/>
    <w:rsid w:val="74ABED89"/>
    <w:rsid w:val="74AF7043"/>
    <w:rsid w:val="74B5A20A"/>
    <w:rsid w:val="74C40913"/>
    <w:rsid w:val="74E229CE"/>
    <w:rsid w:val="74EB3BC4"/>
    <w:rsid w:val="74F2C4C9"/>
    <w:rsid w:val="75010410"/>
    <w:rsid w:val="75040E70"/>
    <w:rsid w:val="7504A844"/>
    <w:rsid w:val="75068073"/>
    <w:rsid w:val="750B1A3C"/>
    <w:rsid w:val="750EF1B4"/>
    <w:rsid w:val="75134FB9"/>
    <w:rsid w:val="751BDED9"/>
    <w:rsid w:val="751DEE24"/>
    <w:rsid w:val="7521423F"/>
    <w:rsid w:val="752475B3"/>
    <w:rsid w:val="752B481E"/>
    <w:rsid w:val="7538AEA2"/>
    <w:rsid w:val="753D4EFA"/>
    <w:rsid w:val="753F1191"/>
    <w:rsid w:val="75416356"/>
    <w:rsid w:val="755D8A6A"/>
    <w:rsid w:val="756D3F8B"/>
    <w:rsid w:val="756FEEEF"/>
    <w:rsid w:val="75701E77"/>
    <w:rsid w:val="7579A8DC"/>
    <w:rsid w:val="75804068"/>
    <w:rsid w:val="758B9493"/>
    <w:rsid w:val="758D333C"/>
    <w:rsid w:val="759AFEAA"/>
    <w:rsid w:val="759E849A"/>
    <w:rsid w:val="75A8C527"/>
    <w:rsid w:val="75AA76E9"/>
    <w:rsid w:val="75AD2722"/>
    <w:rsid w:val="75ADEE1C"/>
    <w:rsid w:val="75B3C373"/>
    <w:rsid w:val="75B67EA2"/>
    <w:rsid w:val="75B7192A"/>
    <w:rsid w:val="75B817AE"/>
    <w:rsid w:val="75BB6104"/>
    <w:rsid w:val="75C5C9CD"/>
    <w:rsid w:val="75CA062C"/>
    <w:rsid w:val="75CEAC7D"/>
    <w:rsid w:val="75D009D2"/>
    <w:rsid w:val="75DD3458"/>
    <w:rsid w:val="75DD441E"/>
    <w:rsid w:val="75E4E132"/>
    <w:rsid w:val="75E504F6"/>
    <w:rsid w:val="75F102F1"/>
    <w:rsid w:val="75F641C4"/>
    <w:rsid w:val="75FA2080"/>
    <w:rsid w:val="75FC4327"/>
    <w:rsid w:val="75FCBC3A"/>
    <w:rsid w:val="7608BE1E"/>
    <w:rsid w:val="760B7378"/>
    <w:rsid w:val="760BE408"/>
    <w:rsid w:val="760E3650"/>
    <w:rsid w:val="76103483"/>
    <w:rsid w:val="7610790B"/>
    <w:rsid w:val="7616D72A"/>
    <w:rsid w:val="76303FC7"/>
    <w:rsid w:val="76322C9D"/>
    <w:rsid w:val="76337471"/>
    <w:rsid w:val="76342516"/>
    <w:rsid w:val="76384BB3"/>
    <w:rsid w:val="763A25AE"/>
    <w:rsid w:val="763E2A24"/>
    <w:rsid w:val="7640D8B1"/>
    <w:rsid w:val="7646EB24"/>
    <w:rsid w:val="7649D68C"/>
    <w:rsid w:val="764BDCBB"/>
    <w:rsid w:val="764BFEB7"/>
    <w:rsid w:val="764E384E"/>
    <w:rsid w:val="764F43B0"/>
    <w:rsid w:val="765147F1"/>
    <w:rsid w:val="7652B9B6"/>
    <w:rsid w:val="76531CBF"/>
    <w:rsid w:val="76537AF4"/>
    <w:rsid w:val="7653C06D"/>
    <w:rsid w:val="7657C433"/>
    <w:rsid w:val="76612DCC"/>
    <w:rsid w:val="7667855A"/>
    <w:rsid w:val="766B792C"/>
    <w:rsid w:val="766EDB8D"/>
    <w:rsid w:val="7675BADC"/>
    <w:rsid w:val="7678E296"/>
    <w:rsid w:val="7678FFC9"/>
    <w:rsid w:val="767BD4C1"/>
    <w:rsid w:val="7684A7C7"/>
    <w:rsid w:val="768FC0F8"/>
    <w:rsid w:val="769398FC"/>
    <w:rsid w:val="76985949"/>
    <w:rsid w:val="7699C464"/>
    <w:rsid w:val="769ACB9D"/>
    <w:rsid w:val="769E19E0"/>
    <w:rsid w:val="76AC9F58"/>
    <w:rsid w:val="76AD63BC"/>
    <w:rsid w:val="76AEFAA3"/>
    <w:rsid w:val="76B19C9F"/>
    <w:rsid w:val="76B4E45C"/>
    <w:rsid w:val="76B7C73D"/>
    <w:rsid w:val="76B8D0D8"/>
    <w:rsid w:val="76BBB06C"/>
    <w:rsid w:val="76C0C886"/>
    <w:rsid w:val="76C42D1D"/>
    <w:rsid w:val="76C90339"/>
    <w:rsid w:val="76C943B0"/>
    <w:rsid w:val="76CD72BF"/>
    <w:rsid w:val="76CF56E8"/>
    <w:rsid w:val="76D337E4"/>
    <w:rsid w:val="76D56526"/>
    <w:rsid w:val="76EA4152"/>
    <w:rsid w:val="76F4DEE7"/>
    <w:rsid w:val="76F5926F"/>
    <w:rsid w:val="76F8CBCE"/>
    <w:rsid w:val="76F9CA89"/>
    <w:rsid w:val="76FAC724"/>
    <w:rsid w:val="77025154"/>
    <w:rsid w:val="77047D5A"/>
    <w:rsid w:val="770C8748"/>
    <w:rsid w:val="771FC8E0"/>
    <w:rsid w:val="772476D8"/>
    <w:rsid w:val="772AC010"/>
    <w:rsid w:val="772E9FAC"/>
    <w:rsid w:val="773F076D"/>
    <w:rsid w:val="7740AB38"/>
    <w:rsid w:val="774788E7"/>
    <w:rsid w:val="774CD3F9"/>
    <w:rsid w:val="775B53A1"/>
    <w:rsid w:val="7765709A"/>
    <w:rsid w:val="776ED7B7"/>
    <w:rsid w:val="776F22D4"/>
    <w:rsid w:val="77779486"/>
    <w:rsid w:val="777C1F90"/>
    <w:rsid w:val="7786B5F0"/>
    <w:rsid w:val="778867E5"/>
    <w:rsid w:val="778A5231"/>
    <w:rsid w:val="7792D01C"/>
    <w:rsid w:val="779AFD0A"/>
    <w:rsid w:val="77AA932F"/>
    <w:rsid w:val="77BB16B5"/>
    <w:rsid w:val="77C56E70"/>
    <w:rsid w:val="77C7CD7C"/>
    <w:rsid w:val="77C929BF"/>
    <w:rsid w:val="77C9EA0D"/>
    <w:rsid w:val="77CAEE92"/>
    <w:rsid w:val="77CDC885"/>
    <w:rsid w:val="77D555A1"/>
    <w:rsid w:val="77DA8992"/>
    <w:rsid w:val="77DDD6C5"/>
    <w:rsid w:val="77E67F55"/>
    <w:rsid w:val="77F1E618"/>
    <w:rsid w:val="78006BDE"/>
    <w:rsid w:val="7801E7E6"/>
    <w:rsid w:val="780957B2"/>
    <w:rsid w:val="78138D4C"/>
    <w:rsid w:val="78204B9A"/>
    <w:rsid w:val="782996B7"/>
    <w:rsid w:val="78320987"/>
    <w:rsid w:val="783AC39E"/>
    <w:rsid w:val="783D77F6"/>
    <w:rsid w:val="783F24B7"/>
    <w:rsid w:val="784238D9"/>
    <w:rsid w:val="7844F24E"/>
    <w:rsid w:val="785D0E21"/>
    <w:rsid w:val="785DBDD9"/>
    <w:rsid w:val="785E2C1F"/>
    <w:rsid w:val="78651411"/>
    <w:rsid w:val="7868C728"/>
    <w:rsid w:val="786C29D3"/>
    <w:rsid w:val="786E93AD"/>
    <w:rsid w:val="787020FD"/>
    <w:rsid w:val="7873FAAD"/>
    <w:rsid w:val="788EF9E6"/>
    <w:rsid w:val="789B0722"/>
    <w:rsid w:val="789D26B7"/>
    <w:rsid w:val="78A677CD"/>
    <w:rsid w:val="78B6D0BD"/>
    <w:rsid w:val="78C07980"/>
    <w:rsid w:val="78D6255C"/>
    <w:rsid w:val="78E1C912"/>
    <w:rsid w:val="78E2F339"/>
    <w:rsid w:val="78E5EDFF"/>
    <w:rsid w:val="78F5F956"/>
    <w:rsid w:val="78F605A4"/>
    <w:rsid w:val="7902A4CC"/>
    <w:rsid w:val="790E559C"/>
    <w:rsid w:val="7918D833"/>
    <w:rsid w:val="7931A423"/>
    <w:rsid w:val="79375C37"/>
    <w:rsid w:val="794690E4"/>
    <w:rsid w:val="79491E1F"/>
    <w:rsid w:val="794EAB84"/>
    <w:rsid w:val="7956EFA4"/>
    <w:rsid w:val="795B2197"/>
    <w:rsid w:val="795CB3A9"/>
    <w:rsid w:val="796148CE"/>
    <w:rsid w:val="796C0FB5"/>
    <w:rsid w:val="79737F7D"/>
    <w:rsid w:val="797B540F"/>
    <w:rsid w:val="797DF82B"/>
    <w:rsid w:val="7981FD69"/>
    <w:rsid w:val="7982D62C"/>
    <w:rsid w:val="79848FE3"/>
    <w:rsid w:val="7985CB05"/>
    <w:rsid w:val="79861AA3"/>
    <w:rsid w:val="7988BB05"/>
    <w:rsid w:val="799651F9"/>
    <w:rsid w:val="7998C99E"/>
    <w:rsid w:val="799A7EA1"/>
    <w:rsid w:val="799AD19A"/>
    <w:rsid w:val="79A35F56"/>
    <w:rsid w:val="79A4BD10"/>
    <w:rsid w:val="79A67C7E"/>
    <w:rsid w:val="79A955C2"/>
    <w:rsid w:val="79AEC1FF"/>
    <w:rsid w:val="79AEE005"/>
    <w:rsid w:val="79B325AC"/>
    <w:rsid w:val="79BC988B"/>
    <w:rsid w:val="79C2DAB0"/>
    <w:rsid w:val="79C59825"/>
    <w:rsid w:val="79D0013B"/>
    <w:rsid w:val="79D31348"/>
    <w:rsid w:val="79D36D2D"/>
    <w:rsid w:val="79DE7FA1"/>
    <w:rsid w:val="79E59CF9"/>
    <w:rsid w:val="79E79ED2"/>
    <w:rsid w:val="79EF01E4"/>
    <w:rsid w:val="79F76B7A"/>
    <w:rsid w:val="79FAD4D0"/>
    <w:rsid w:val="7A008DFA"/>
    <w:rsid w:val="7A00E472"/>
    <w:rsid w:val="7A03F03E"/>
    <w:rsid w:val="7A0D3844"/>
    <w:rsid w:val="7A1DB5D0"/>
    <w:rsid w:val="7A278807"/>
    <w:rsid w:val="7A29763C"/>
    <w:rsid w:val="7A330816"/>
    <w:rsid w:val="7A34DA4F"/>
    <w:rsid w:val="7A3B16AA"/>
    <w:rsid w:val="7A3C2154"/>
    <w:rsid w:val="7A3E59A7"/>
    <w:rsid w:val="7A431087"/>
    <w:rsid w:val="7A43D90C"/>
    <w:rsid w:val="7A4B5151"/>
    <w:rsid w:val="7A501234"/>
    <w:rsid w:val="7A53CC13"/>
    <w:rsid w:val="7A5E9E32"/>
    <w:rsid w:val="7A774788"/>
    <w:rsid w:val="7A779D45"/>
    <w:rsid w:val="7A8D2E5F"/>
    <w:rsid w:val="7A956FBB"/>
    <w:rsid w:val="7AA1ABF9"/>
    <w:rsid w:val="7AB69988"/>
    <w:rsid w:val="7AB87DCC"/>
    <w:rsid w:val="7ABE8AA9"/>
    <w:rsid w:val="7AC2CC27"/>
    <w:rsid w:val="7AC5E22C"/>
    <w:rsid w:val="7AC6425A"/>
    <w:rsid w:val="7ACB66AA"/>
    <w:rsid w:val="7ACE36F4"/>
    <w:rsid w:val="7AD59FD0"/>
    <w:rsid w:val="7AD6A28D"/>
    <w:rsid w:val="7AE4B2F3"/>
    <w:rsid w:val="7AE765FE"/>
    <w:rsid w:val="7AEFBA3F"/>
    <w:rsid w:val="7AF27E7C"/>
    <w:rsid w:val="7AF2C326"/>
    <w:rsid w:val="7AFF3A6B"/>
    <w:rsid w:val="7AFF9922"/>
    <w:rsid w:val="7B07FFA0"/>
    <w:rsid w:val="7B0E65EF"/>
    <w:rsid w:val="7B0EF333"/>
    <w:rsid w:val="7B12E8C7"/>
    <w:rsid w:val="7B134F19"/>
    <w:rsid w:val="7B139290"/>
    <w:rsid w:val="7B179AE6"/>
    <w:rsid w:val="7B18417F"/>
    <w:rsid w:val="7B19801D"/>
    <w:rsid w:val="7B19D63B"/>
    <w:rsid w:val="7B1A7AFC"/>
    <w:rsid w:val="7B1D1B05"/>
    <w:rsid w:val="7B290FA5"/>
    <w:rsid w:val="7B3256E5"/>
    <w:rsid w:val="7B3D7C4D"/>
    <w:rsid w:val="7B3E20DC"/>
    <w:rsid w:val="7B43BD9F"/>
    <w:rsid w:val="7B4E9D40"/>
    <w:rsid w:val="7B51EED3"/>
    <w:rsid w:val="7B533C9B"/>
    <w:rsid w:val="7B58C7AF"/>
    <w:rsid w:val="7B5935E7"/>
    <w:rsid w:val="7B5BFAA0"/>
    <w:rsid w:val="7B65AD1D"/>
    <w:rsid w:val="7B70F0AC"/>
    <w:rsid w:val="7B75E7C7"/>
    <w:rsid w:val="7B76C848"/>
    <w:rsid w:val="7B7A6BD2"/>
    <w:rsid w:val="7B7BCFBA"/>
    <w:rsid w:val="7B804B5C"/>
    <w:rsid w:val="7B908204"/>
    <w:rsid w:val="7B91E582"/>
    <w:rsid w:val="7B989065"/>
    <w:rsid w:val="7B9F093E"/>
    <w:rsid w:val="7BA05FC4"/>
    <w:rsid w:val="7BAAF866"/>
    <w:rsid w:val="7BB1C67D"/>
    <w:rsid w:val="7BB85D0C"/>
    <w:rsid w:val="7BBCB254"/>
    <w:rsid w:val="7BC0A4B2"/>
    <w:rsid w:val="7BC94B10"/>
    <w:rsid w:val="7BD19E8C"/>
    <w:rsid w:val="7BD6E70B"/>
    <w:rsid w:val="7BD7C317"/>
    <w:rsid w:val="7BE3B521"/>
    <w:rsid w:val="7BE930BF"/>
    <w:rsid w:val="7BEC5E41"/>
    <w:rsid w:val="7BED30E9"/>
    <w:rsid w:val="7BEFE13D"/>
    <w:rsid w:val="7BF01F99"/>
    <w:rsid w:val="7BF915E8"/>
    <w:rsid w:val="7C1420A4"/>
    <w:rsid w:val="7C1D3428"/>
    <w:rsid w:val="7C2315B7"/>
    <w:rsid w:val="7C255434"/>
    <w:rsid w:val="7C26FFAA"/>
    <w:rsid w:val="7C2F2C7F"/>
    <w:rsid w:val="7C359A22"/>
    <w:rsid w:val="7C36F378"/>
    <w:rsid w:val="7C45C805"/>
    <w:rsid w:val="7C4CC649"/>
    <w:rsid w:val="7C4E9E36"/>
    <w:rsid w:val="7C51D6CC"/>
    <w:rsid w:val="7C6189B0"/>
    <w:rsid w:val="7C62A35B"/>
    <w:rsid w:val="7C673F5F"/>
    <w:rsid w:val="7C694994"/>
    <w:rsid w:val="7C708A39"/>
    <w:rsid w:val="7C71607A"/>
    <w:rsid w:val="7C743F42"/>
    <w:rsid w:val="7C796D94"/>
    <w:rsid w:val="7C9E2100"/>
    <w:rsid w:val="7CB018F7"/>
    <w:rsid w:val="7CB6247C"/>
    <w:rsid w:val="7CB6A235"/>
    <w:rsid w:val="7CCE3F54"/>
    <w:rsid w:val="7CD494BD"/>
    <w:rsid w:val="7CD50EDE"/>
    <w:rsid w:val="7CD743FC"/>
    <w:rsid w:val="7CE250F2"/>
    <w:rsid w:val="7CE5441E"/>
    <w:rsid w:val="7CE7543C"/>
    <w:rsid w:val="7CF19E65"/>
    <w:rsid w:val="7CF92F84"/>
    <w:rsid w:val="7CFBB51A"/>
    <w:rsid w:val="7D058AD8"/>
    <w:rsid w:val="7D18CA65"/>
    <w:rsid w:val="7D1C21C8"/>
    <w:rsid w:val="7D27FDA6"/>
    <w:rsid w:val="7D28A7D4"/>
    <w:rsid w:val="7D2BD973"/>
    <w:rsid w:val="7D2D5136"/>
    <w:rsid w:val="7D2F25A0"/>
    <w:rsid w:val="7D31CF4A"/>
    <w:rsid w:val="7D321268"/>
    <w:rsid w:val="7D35B9DE"/>
    <w:rsid w:val="7D3BF46A"/>
    <w:rsid w:val="7D3F2E52"/>
    <w:rsid w:val="7D40B377"/>
    <w:rsid w:val="7D4177EF"/>
    <w:rsid w:val="7D48DA87"/>
    <w:rsid w:val="7D4F0467"/>
    <w:rsid w:val="7D4FCA6F"/>
    <w:rsid w:val="7D535AA6"/>
    <w:rsid w:val="7D61DD80"/>
    <w:rsid w:val="7D662E57"/>
    <w:rsid w:val="7D686296"/>
    <w:rsid w:val="7D6A51F4"/>
    <w:rsid w:val="7D6BFE1A"/>
    <w:rsid w:val="7D6F1C90"/>
    <w:rsid w:val="7D6F4082"/>
    <w:rsid w:val="7D72B94D"/>
    <w:rsid w:val="7D72F6AD"/>
    <w:rsid w:val="7D7D4F1D"/>
    <w:rsid w:val="7D8B2F3E"/>
    <w:rsid w:val="7D8C41D8"/>
    <w:rsid w:val="7D9A33EC"/>
    <w:rsid w:val="7DA367F3"/>
    <w:rsid w:val="7DAE354E"/>
    <w:rsid w:val="7DB0BFF7"/>
    <w:rsid w:val="7DC4A4DF"/>
    <w:rsid w:val="7DC5B0C2"/>
    <w:rsid w:val="7DC630A5"/>
    <w:rsid w:val="7DCBA871"/>
    <w:rsid w:val="7DD853BC"/>
    <w:rsid w:val="7DDBF875"/>
    <w:rsid w:val="7DE2F00C"/>
    <w:rsid w:val="7DE33C78"/>
    <w:rsid w:val="7DE944BA"/>
    <w:rsid w:val="7DF070E7"/>
    <w:rsid w:val="7DF18737"/>
    <w:rsid w:val="7DFA2703"/>
    <w:rsid w:val="7DFDFD50"/>
    <w:rsid w:val="7E01C541"/>
    <w:rsid w:val="7E04F086"/>
    <w:rsid w:val="7E06C17C"/>
    <w:rsid w:val="7E0E1713"/>
    <w:rsid w:val="7E151362"/>
    <w:rsid w:val="7E152004"/>
    <w:rsid w:val="7E21213B"/>
    <w:rsid w:val="7E2196E4"/>
    <w:rsid w:val="7E2498BE"/>
    <w:rsid w:val="7E285A04"/>
    <w:rsid w:val="7E3CB6B3"/>
    <w:rsid w:val="7E41BDE2"/>
    <w:rsid w:val="7E503DFB"/>
    <w:rsid w:val="7E5548D3"/>
    <w:rsid w:val="7E56D662"/>
    <w:rsid w:val="7E73F346"/>
    <w:rsid w:val="7E7F4C9B"/>
    <w:rsid w:val="7E85869B"/>
    <w:rsid w:val="7E884DF3"/>
    <w:rsid w:val="7E90FBE2"/>
    <w:rsid w:val="7E911760"/>
    <w:rsid w:val="7E981455"/>
    <w:rsid w:val="7E9FFF9E"/>
    <w:rsid w:val="7EA21882"/>
    <w:rsid w:val="7EA614D5"/>
    <w:rsid w:val="7EA911D6"/>
    <w:rsid w:val="7EAAE9C0"/>
    <w:rsid w:val="7EAB84A9"/>
    <w:rsid w:val="7EAC1807"/>
    <w:rsid w:val="7EB12578"/>
    <w:rsid w:val="7EC3D8D8"/>
    <w:rsid w:val="7EC3E777"/>
    <w:rsid w:val="7EE3E390"/>
    <w:rsid w:val="7EE5C87F"/>
    <w:rsid w:val="7EE972E2"/>
    <w:rsid w:val="7EEA9C30"/>
    <w:rsid w:val="7EFFBABE"/>
    <w:rsid w:val="7F006BC5"/>
    <w:rsid w:val="7F0FA26A"/>
    <w:rsid w:val="7F114DA8"/>
    <w:rsid w:val="7F13D750"/>
    <w:rsid w:val="7F15C76A"/>
    <w:rsid w:val="7F1672E6"/>
    <w:rsid w:val="7F17CCDA"/>
    <w:rsid w:val="7F18E430"/>
    <w:rsid w:val="7F22969A"/>
    <w:rsid w:val="7F235524"/>
    <w:rsid w:val="7F28879B"/>
    <w:rsid w:val="7F3D03CE"/>
    <w:rsid w:val="7F44C4FD"/>
    <w:rsid w:val="7F4584FF"/>
    <w:rsid w:val="7F46FA77"/>
    <w:rsid w:val="7F4E006F"/>
    <w:rsid w:val="7F4F05C8"/>
    <w:rsid w:val="7F6509BA"/>
    <w:rsid w:val="7F6A9B22"/>
    <w:rsid w:val="7F6B044F"/>
    <w:rsid w:val="7F74E061"/>
    <w:rsid w:val="7F7A1203"/>
    <w:rsid w:val="7F7E541F"/>
    <w:rsid w:val="7F832467"/>
    <w:rsid w:val="7F8EB566"/>
    <w:rsid w:val="7F9EF9A6"/>
    <w:rsid w:val="7F9F8884"/>
    <w:rsid w:val="7FA0536B"/>
    <w:rsid w:val="7FA8BEFB"/>
    <w:rsid w:val="7FAD0883"/>
    <w:rsid w:val="7FB621C9"/>
    <w:rsid w:val="7FBEF513"/>
    <w:rsid w:val="7FC0D065"/>
    <w:rsid w:val="7FC7C757"/>
    <w:rsid w:val="7FC922D6"/>
    <w:rsid w:val="7FD9CFBC"/>
    <w:rsid w:val="7FE2617A"/>
    <w:rsid w:val="7FE3D8C0"/>
    <w:rsid w:val="7FEC3777"/>
    <w:rsid w:val="7FF1584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1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color w:val="00577E" w:themeColor="text1"/>
        <w:lang w:val="en-GB" w:eastAsia="en-GB" w:bidi="ar-SA"/>
      </w:rPr>
    </w:rPrDefault>
    <w:pPrDefault>
      <w:pPr>
        <w:spacing w:line="271" w:lineRule="auto"/>
      </w:pPr>
    </w:pPrDefault>
  </w:docDefaults>
  <w:latentStyles w:defLockedState="0" w:defUIPriority="99" w:defSemiHidden="0" w:defUnhideWhenUsed="0" w:defQFormat="0" w:count="371">
    <w:lsdException w:name="Normal" w:uiPriority="0" w:unhideWhenUsed="1"/>
    <w:lsdException w:name="heading 1" w:uiPriority="0" w:unhideWhenUsed="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lsdException w:name="List 5" w:semiHidden="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unhideWhenUsed="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unhideWhenUsed="1" w:qFormat="1"/>
    <w:lsdException w:name="Emphasis"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nhideWhenUsed/>
    <w:rsid w:val="0098405C"/>
    <w:rPr>
      <w:lang w:val="nl-NL"/>
    </w:rPr>
  </w:style>
  <w:style w:type="paragraph" w:styleId="Heading1">
    <w:name w:val="heading 1"/>
    <w:basedOn w:val="BaseHeadings"/>
    <w:next w:val="BodyText"/>
    <w:link w:val="Heading1Char"/>
    <w:unhideWhenUsed/>
    <w:qFormat/>
    <w:rsid w:val="00AD4223"/>
    <w:pPr>
      <w:keepLines/>
      <w:numPr>
        <w:numId w:val="7"/>
      </w:numPr>
      <w:spacing w:before="240" w:after="120" w:line="298" w:lineRule="auto"/>
      <w:outlineLvl w:val="0"/>
    </w:pPr>
    <w:rPr>
      <w:rFonts w:ascii="Verdana" w:eastAsiaTheme="majorEastAsia" w:hAnsi="Verdana" w:cstheme="majorBidi"/>
      <w:bCs/>
      <w:color w:val="auto"/>
      <w:sz w:val="24"/>
      <w:szCs w:val="28"/>
    </w:rPr>
  </w:style>
  <w:style w:type="paragraph" w:styleId="Heading2">
    <w:name w:val="heading 2"/>
    <w:basedOn w:val="BaseHeadings"/>
    <w:next w:val="BodyText"/>
    <w:link w:val="Heading2Char"/>
    <w:unhideWhenUsed/>
    <w:qFormat/>
    <w:rsid w:val="00AD4223"/>
    <w:pPr>
      <w:keepLines/>
      <w:numPr>
        <w:ilvl w:val="1"/>
        <w:numId w:val="7"/>
      </w:numPr>
      <w:spacing w:before="240" w:after="120" w:line="274" w:lineRule="auto"/>
      <w:outlineLvl w:val="1"/>
    </w:pPr>
    <w:rPr>
      <w:rFonts w:ascii="Verdana" w:eastAsiaTheme="majorEastAsia" w:hAnsi="Verdana" w:cstheme="majorBidi"/>
      <w:b/>
      <w:bCs/>
      <w:color w:val="auto"/>
      <w:sz w:val="18"/>
      <w:szCs w:val="26"/>
    </w:rPr>
  </w:style>
  <w:style w:type="paragraph" w:styleId="Heading3">
    <w:name w:val="heading 3"/>
    <w:basedOn w:val="BaseHeadings"/>
    <w:next w:val="BodyText"/>
    <w:link w:val="Heading3Char"/>
    <w:unhideWhenUsed/>
    <w:qFormat/>
    <w:rsid w:val="00AD4223"/>
    <w:pPr>
      <w:keepLines/>
      <w:numPr>
        <w:ilvl w:val="2"/>
        <w:numId w:val="7"/>
      </w:numPr>
      <w:spacing w:before="240" w:after="120" w:line="278" w:lineRule="auto"/>
      <w:outlineLvl w:val="2"/>
    </w:pPr>
    <w:rPr>
      <w:rFonts w:eastAsiaTheme="majorEastAsia" w:cstheme="majorBidi"/>
      <w:b/>
      <w:bCs/>
      <w:sz w:val="24"/>
    </w:rPr>
  </w:style>
  <w:style w:type="paragraph" w:styleId="Heading4">
    <w:name w:val="heading 4"/>
    <w:basedOn w:val="BaseHeadings"/>
    <w:next w:val="BodyText"/>
    <w:link w:val="Heading4Char"/>
    <w:unhideWhenUsed/>
    <w:qFormat/>
    <w:rsid w:val="00AD4223"/>
    <w:pPr>
      <w:keepLines/>
      <w:numPr>
        <w:ilvl w:val="3"/>
        <w:numId w:val="7"/>
      </w:numPr>
      <w:spacing w:before="120" w:after="120" w:line="280" w:lineRule="atLeast"/>
      <w:outlineLvl w:val="3"/>
    </w:pPr>
    <w:rPr>
      <w:rFonts w:eastAsiaTheme="majorEastAsia" w:cstheme="majorBidi"/>
      <w:b/>
      <w:bCs/>
      <w:iCs/>
      <w:sz w:val="22"/>
    </w:rPr>
  </w:style>
  <w:style w:type="paragraph" w:styleId="Heading5">
    <w:name w:val="heading 5"/>
    <w:basedOn w:val="BaseHeadings"/>
    <w:next w:val="BodyText"/>
    <w:link w:val="Heading5Char"/>
    <w:unhideWhenUsed/>
    <w:qFormat/>
    <w:rsid w:val="00AD4223"/>
    <w:pPr>
      <w:keepLines/>
      <w:outlineLvl w:val="4"/>
    </w:pPr>
    <w:rPr>
      <w:rFonts w:ascii="Verdana" w:eastAsiaTheme="majorEastAsia" w:hAnsi="Verdana" w:cstheme="majorBidi"/>
      <w:b/>
      <w:color w:val="auto"/>
      <w:sz w:val="18"/>
    </w:rPr>
  </w:style>
  <w:style w:type="paragraph" w:styleId="Heading6">
    <w:name w:val="heading 6"/>
    <w:basedOn w:val="BaseHeadings"/>
    <w:next w:val="BodyText"/>
    <w:link w:val="Heading6Char"/>
    <w:unhideWhenUsed/>
    <w:qFormat/>
    <w:rsid w:val="007644BD"/>
    <w:pPr>
      <w:keepLines/>
      <w:pageBreakBefore/>
      <w:spacing w:after="240" w:line="238" w:lineRule="auto"/>
      <w:outlineLvl w:val="5"/>
    </w:pPr>
    <w:rPr>
      <w:rFonts w:eastAsiaTheme="majorEastAsia" w:cstheme="majorBidi"/>
      <w:b/>
      <w:iCs/>
      <w:sz w:val="28"/>
    </w:rPr>
  </w:style>
  <w:style w:type="paragraph" w:styleId="Heading7">
    <w:name w:val="heading 7"/>
    <w:basedOn w:val="BaseHeadings"/>
    <w:next w:val="BodyText"/>
    <w:link w:val="Heading7Char"/>
    <w:unhideWhenUsed/>
    <w:qFormat/>
    <w:rsid w:val="003D0837"/>
    <w:pPr>
      <w:keepLines/>
      <w:spacing w:before="240" w:after="125" w:line="274" w:lineRule="auto"/>
      <w:outlineLvl w:val="6"/>
    </w:pPr>
    <w:rPr>
      <w:rFonts w:eastAsiaTheme="majorEastAsia" w:cstheme="majorBidi"/>
      <w:b/>
      <w:iCs/>
      <w:sz w:val="26"/>
    </w:rPr>
  </w:style>
  <w:style w:type="paragraph" w:styleId="Heading8">
    <w:name w:val="heading 8"/>
    <w:basedOn w:val="BaseHeadings"/>
    <w:next w:val="Title"/>
    <w:link w:val="Heading8Char"/>
    <w:unhideWhenUsed/>
    <w:qFormat/>
    <w:rsid w:val="00C446EB"/>
    <w:pPr>
      <w:spacing w:after="120" w:line="288" w:lineRule="auto"/>
      <w:outlineLvl w:val="7"/>
    </w:pPr>
    <w:rPr>
      <w:caps/>
      <w:sz w:val="32"/>
    </w:rPr>
  </w:style>
  <w:style w:type="paragraph" w:styleId="Heading9">
    <w:name w:val="heading 9"/>
    <w:basedOn w:val="BaseHeadings"/>
    <w:next w:val="BodyText"/>
    <w:link w:val="Heading9Char"/>
    <w:unhideWhenUsed/>
    <w:qFormat/>
    <w:rsid w:val="00225725"/>
    <w:pPr>
      <w:keepLines/>
      <w:spacing w:after="80" w:line="266" w:lineRule="auto"/>
      <w:outlineLvl w:val="8"/>
    </w:pPr>
    <w:rPr>
      <w:rFonts w:eastAsiaTheme="majorEastAsia" w:cstheme="majorBidi"/>
      <w:b/>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Headings">
    <w:name w:val="Base Headings"/>
    <w:semiHidden/>
    <w:rsid w:val="00941E19"/>
    <w:pPr>
      <w:keepNext/>
    </w:pPr>
    <w:rPr>
      <w:rFonts w:cs="Arial"/>
      <w:color w:val="00577E" w:themeColor="accent1"/>
      <w:lang w:val="nl-NL"/>
    </w:rPr>
  </w:style>
  <w:style w:type="paragraph" w:customStyle="1" w:styleId="BaseText">
    <w:name w:val="Base Text"/>
    <w:link w:val="BaseTextChar"/>
    <w:semiHidden/>
    <w:rsid w:val="00941E19"/>
    <w:rPr>
      <w:rFonts w:cs="Arial"/>
      <w:lang w:val="nl-NL"/>
    </w:rPr>
  </w:style>
  <w:style w:type="paragraph" w:styleId="BodyText">
    <w:name w:val="Body Text"/>
    <w:basedOn w:val="BaseText"/>
    <w:link w:val="BodyTextChar"/>
    <w:unhideWhenUsed/>
    <w:qFormat/>
    <w:rsid w:val="00F65B5C"/>
    <w:rPr>
      <w:rFonts w:ascii="Verdana" w:hAnsi="Verdana"/>
      <w:color w:val="auto"/>
      <w:sz w:val="18"/>
    </w:rPr>
  </w:style>
  <w:style w:type="character" w:customStyle="1" w:styleId="BodyTextChar">
    <w:name w:val="Body Text Char"/>
    <w:basedOn w:val="DefaultParagraphFont"/>
    <w:link w:val="BodyText"/>
    <w:rsid w:val="00941E19"/>
    <w:rPr>
      <w:rFonts w:ascii="Verdana" w:hAnsi="Verdana" w:cs="Arial"/>
      <w:color w:val="auto"/>
      <w:sz w:val="18"/>
      <w:lang w:val="nl-NL"/>
    </w:rPr>
  </w:style>
  <w:style w:type="paragraph" w:styleId="BodyText2">
    <w:name w:val="Body Text 2"/>
    <w:basedOn w:val="BaseText"/>
    <w:link w:val="BodyText2Char"/>
    <w:unhideWhenUsed/>
    <w:rsid w:val="00941E19"/>
    <w:pPr>
      <w:spacing w:line="302" w:lineRule="auto"/>
    </w:pPr>
    <w:rPr>
      <w:sz w:val="18"/>
    </w:rPr>
  </w:style>
  <w:style w:type="character" w:customStyle="1" w:styleId="BodyText2Char">
    <w:name w:val="Body Text 2 Char"/>
    <w:basedOn w:val="DefaultParagraphFont"/>
    <w:link w:val="BodyText2"/>
    <w:rsid w:val="00941E19"/>
    <w:rPr>
      <w:rFonts w:cs="Arial"/>
      <w:sz w:val="18"/>
      <w:lang w:val="nl-NL"/>
    </w:rPr>
  </w:style>
  <w:style w:type="paragraph" w:styleId="Caption">
    <w:name w:val="caption"/>
    <w:basedOn w:val="BaseText"/>
    <w:next w:val="BodyText"/>
    <w:unhideWhenUsed/>
    <w:qFormat/>
    <w:rsid w:val="00C2400E"/>
    <w:pPr>
      <w:spacing w:before="120" w:line="288" w:lineRule="auto"/>
    </w:pPr>
    <w:rPr>
      <w:bCs/>
      <w:i/>
      <w:sz w:val="16"/>
      <w:szCs w:val="18"/>
    </w:rPr>
  </w:style>
  <w:style w:type="paragraph" w:customStyle="1" w:styleId="ColophonLabel">
    <w:name w:val="Colophon Label"/>
    <w:basedOn w:val="BaseText"/>
    <w:unhideWhenUsed/>
    <w:qFormat/>
    <w:rsid w:val="00941E19"/>
    <w:pPr>
      <w:spacing w:line="240" w:lineRule="exact"/>
      <w:ind w:right="57"/>
      <w:jc w:val="right"/>
    </w:pPr>
    <w:rPr>
      <w:sz w:val="18"/>
    </w:rPr>
  </w:style>
  <w:style w:type="paragraph" w:customStyle="1" w:styleId="ColophonText">
    <w:name w:val="Colophon Text"/>
    <w:basedOn w:val="BaseText"/>
    <w:unhideWhenUsed/>
    <w:qFormat/>
    <w:rsid w:val="00941E19"/>
    <w:pPr>
      <w:spacing w:line="240" w:lineRule="exact"/>
      <w:ind w:left="57"/>
    </w:pPr>
  </w:style>
  <w:style w:type="paragraph" w:customStyle="1" w:styleId="DisclaimerText">
    <w:name w:val="Disclaimer Text"/>
    <w:basedOn w:val="BaseText"/>
    <w:unhideWhenUsed/>
    <w:qFormat/>
    <w:rsid w:val="00941E19"/>
    <w:pPr>
      <w:framePr w:h="1701" w:vSpace="510" w:wrap="notBeside" w:hAnchor="margin" w:yAlign="bottom"/>
      <w:spacing w:line="254" w:lineRule="auto"/>
    </w:pPr>
    <w:rPr>
      <w:i/>
      <w:sz w:val="18"/>
    </w:rPr>
  </w:style>
  <w:style w:type="paragraph" w:customStyle="1" w:styleId="DisclaimerHeading">
    <w:name w:val="Disclaimer Heading"/>
    <w:basedOn w:val="DisclaimerText"/>
    <w:next w:val="DisclaimerText"/>
    <w:unhideWhenUsed/>
    <w:qFormat/>
    <w:rsid w:val="00941E19"/>
    <w:pPr>
      <w:framePr w:wrap="notBeside"/>
      <w:spacing w:line="271" w:lineRule="auto"/>
    </w:pPr>
    <w:rPr>
      <w:b/>
      <w:i w:val="0"/>
      <w:sz w:val="20"/>
    </w:rPr>
  </w:style>
  <w:style w:type="paragraph" w:customStyle="1" w:styleId="DocumentDetails">
    <w:name w:val="Document Details"/>
    <w:basedOn w:val="BaseText"/>
    <w:unhideWhenUsed/>
    <w:rsid w:val="00941E19"/>
    <w:pPr>
      <w:spacing w:line="293" w:lineRule="auto"/>
    </w:pPr>
  </w:style>
  <w:style w:type="paragraph" w:styleId="Footer">
    <w:name w:val="footer"/>
    <w:basedOn w:val="BaseText"/>
    <w:link w:val="FooterChar"/>
    <w:unhideWhenUsed/>
    <w:rsid w:val="00941E19"/>
    <w:pPr>
      <w:spacing w:line="238" w:lineRule="auto"/>
    </w:pPr>
    <w:rPr>
      <w:sz w:val="14"/>
    </w:rPr>
  </w:style>
  <w:style w:type="character" w:customStyle="1" w:styleId="FooterChar">
    <w:name w:val="Footer Char"/>
    <w:basedOn w:val="DefaultParagraphFont"/>
    <w:link w:val="Footer"/>
    <w:rsid w:val="00941E19"/>
    <w:rPr>
      <w:rFonts w:cs="Arial"/>
      <w:sz w:val="14"/>
      <w:lang w:val="nl-NL"/>
    </w:rPr>
  </w:style>
  <w:style w:type="paragraph" w:customStyle="1" w:styleId="FooterBold">
    <w:name w:val="Footer Bold"/>
    <w:basedOn w:val="Footer"/>
    <w:unhideWhenUsed/>
    <w:qFormat/>
    <w:rsid w:val="00941E19"/>
    <w:pPr>
      <w:spacing w:line="160" w:lineRule="exact"/>
    </w:pPr>
    <w:rPr>
      <w:b/>
      <w:caps/>
      <w:sz w:val="16"/>
    </w:rPr>
  </w:style>
  <w:style w:type="character" w:styleId="FootnoteReference">
    <w:name w:val="footnote reference"/>
    <w:basedOn w:val="DefaultParagraphFont"/>
    <w:unhideWhenUsed/>
    <w:rsid w:val="00941E19"/>
    <w:rPr>
      <w:vertAlign w:val="superscript"/>
      <w:lang w:val="nl-NL"/>
    </w:rPr>
  </w:style>
  <w:style w:type="paragraph" w:styleId="FootnoteText">
    <w:name w:val="footnote text"/>
    <w:basedOn w:val="BaseText"/>
    <w:link w:val="FootnoteTextChar"/>
    <w:unhideWhenUsed/>
    <w:rsid w:val="00941E19"/>
    <w:pPr>
      <w:spacing w:line="240" w:lineRule="auto"/>
    </w:pPr>
    <w:rPr>
      <w:i/>
      <w:sz w:val="16"/>
    </w:rPr>
  </w:style>
  <w:style w:type="character" w:customStyle="1" w:styleId="FootnoteTextChar">
    <w:name w:val="Footnote Text Char"/>
    <w:basedOn w:val="DefaultParagraphFont"/>
    <w:link w:val="FootnoteText"/>
    <w:rsid w:val="00941E19"/>
    <w:rPr>
      <w:rFonts w:cs="Arial"/>
      <w:i/>
      <w:sz w:val="16"/>
      <w:lang w:val="nl-NL"/>
    </w:rPr>
  </w:style>
  <w:style w:type="paragraph" w:customStyle="1" w:styleId="GlossaryTerm">
    <w:name w:val="Glossary Term"/>
    <w:basedOn w:val="BaseHeadings"/>
    <w:unhideWhenUsed/>
    <w:qFormat/>
    <w:rsid w:val="00941E19"/>
    <w:pPr>
      <w:spacing w:line="334" w:lineRule="auto"/>
      <w:ind w:right="113"/>
    </w:pPr>
    <w:rPr>
      <w:b/>
    </w:rPr>
  </w:style>
  <w:style w:type="paragraph" w:customStyle="1" w:styleId="GlossaryText">
    <w:name w:val="Glossary Text"/>
    <w:basedOn w:val="DocumentDetails"/>
    <w:unhideWhenUsed/>
    <w:qFormat/>
    <w:rsid w:val="00941E19"/>
    <w:pPr>
      <w:spacing w:line="334" w:lineRule="auto"/>
    </w:pPr>
  </w:style>
  <w:style w:type="paragraph" w:styleId="Header">
    <w:name w:val="header"/>
    <w:basedOn w:val="BaseText"/>
    <w:link w:val="HeaderChar"/>
    <w:unhideWhenUsed/>
    <w:rsid w:val="00941E19"/>
    <w:pPr>
      <w:tabs>
        <w:tab w:val="center" w:pos="4513"/>
        <w:tab w:val="right" w:pos="9026"/>
      </w:tabs>
      <w:spacing w:line="228" w:lineRule="auto"/>
      <w:jc w:val="center"/>
    </w:pPr>
    <w:rPr>
      <w:color w:val="00577E" w:themeColor="accent1"/>
      <w:spacing w:val="40"/>
      <w:sz w:val="22"/>
    </w:rPr>
  </w:style>
  <w:style w:type="character" w:customStyle="1" w:styleId="HeaderChar">
    <w:name w:val="Header Char"/>
    <w:basedOn w:val="DefaultParagraphFont"/>
    <w:link w:val="Header"/>
    <w:rsid w:val="00941E19"/>
    <w:rPr>
      <w:rFonts w:cs="Arial"/>
      <w:color w:val="00577E" w:themeColor="accent1"/>
      <w:spacing w:val="40"/>
      <w:sz w:val="22"/>
      <w:lang w:val="nl-NL"/>
    </w:rPr>
  </w:style>
  <w:style w:type="paragraph" w:customStyle="1" w:styleId="LegalEntity">
    <w:name w:val="Legal Entity"/>
    <w:basedOn w:val="BaseText"/>
    <w:unhideWhenUsed/>
    <w:qFormat/>
    <w:rsid w:val="00E07ADF"/>
    <w:pPr>
      <w:spacing w:line="338" w:lineRule="auto"/>
      <w:jc w:val="right"/>
    </w:pPr>
    <w:rPr>
      <w:b/>
      <w:caps/>
      <w:sz w:val="16"/>
    </w:rPr>
  </w:style>
  <w:style w:type="numbering" w:customStyle="1" w:styleId="ListBullets">
    <w:name w:val="List Bullets"/>
    <w:uiPriority w:val="99"/>
    <w:rsid w:val="00DB1543"/>
    <w:pPr>
      <w:numPr>
        <w:numId w:val="1"/>
      </w:numPr>
    </w:pPr>
  </w:style>
  <w:style w:type="numbering" w:customStyle="1" w:styleId="ListHeadings">
    <w:name w:val="List Headings"/>
    <w:uiPriority w:val="99"/>
    <w:rsid w:val="00036B25"/>
    <w:pPr>
      <w:numPr>
        <w:numId w:val="2"/>
      </w:numPr>
    </w:pPr>
  </w:style>
  <w:style w:type="numbering" w:customStyle="1" w:styleId="ListNumbers">
    <w:name w:val="List Numbers"/>
    <w:uiPriority w:val="99"/>
    <w:rsid w:val="009452E4"/>
    <w:pPr>
      <w:numPr>
        <w:numId w:val="11"/>
      </w:numPr>
    </w:pPr>
  </w:style>
  <w:style w:type="paragraph" w:customStyle="1" w:styleId="RHDHVAddress">
    <w:name w:val="RHDHV Address"/>
    <w:basedOn w:val="BaseText"/>
    <w:link w:val="RHDHVAddressChar"/>
    <w:unhideWhenUsed/>
    <w:qFormat/>
    <w:rsid w:val="00941E19"/>
    <w:pPr>
      <w:spacing w:line="312" w:lineRule="auto"/>
      <w:jc w:val="right"/>
    </w:pPr>
    <w:rPr>
      <w:sz w:val="16"/>
    </w:rPr>
  </w:style>
  <w:style w:type="paragraph" w:customStyle="1" w:styleId="RHDHVAddressLabel">
    <w:name w:val="RHDHV Address Label"/>
    <w:basedOn w:val="RHDHVAddress"/>
    <w:link w:val="RHDHVAddressLabelChar"/>
    <w:unhideWhenUsed/>
    <w:qFormat/>
    <w:rsid w:val="00E07ADF"/>
    <w:pPr>
      <w:ind w:left="113"/>
      <w:jc w:val="left"/>
    </w:pPr>
    <w:rPr>
      <w:b/>
      <w:caps/>
      <w:color w:val="00577E" w:themeColor="accent1"/>
    </w:rPr>
  </w:style>
  <w:style w:type="table" w:customStyle="1" w:styleId="RHDHVOverview">
    <w:name w:val="RHDHV Overview"/>
    <w:basedOn w:val="TableNormal"/>
    <w:uiPriority w:val="99"/>
    <w:unhideWhenUsed/>
    <w:rsid w:val="00C446EB"/>
    <w:rPr>
      <w:rFonts w:asciiTheme="minorHAnsi" w:hAnsiTheme="minorHAnsi"/>
    </w:rPr>
    <w:tblPr>
      <w:tblStyleRowBandSize w:val="1"/>
      <w:tblInd w:w="113" w:type="dxa"/>
      <w:tblBorders>
        <w:top w:val="single" w:sz="4" w:space="0" w:color="auto"/>
        <w:bottom w:val="single" w:sz="4" w:space="0" w:color="00577E" w:themeColor="text1"/>
        <w:insideH w:val="single" w:sz="4" w:space="0" w:color="00577E" w:themeColor="text1"/>
      </w:tblBorders>
      <w:tblCellMar>
        <w:top w:w="113" w:type="dxa"/>
        <w:left w:w="113" w:type="dxa"/>
        <w:bottom w:w="113" w:type="dxa"/>
        <w:right w:w="113" w:type="dxa"/>
      </w:tblCellMar>
    </w:tblPr>
    <w:tblStylePr w:type="firstRow">
      <w:rPr>
        <w:b/>
      </w:rPr>
      <w:tblPr/>
      <w:tcPr>
        <w:tcBorders>
          <w:top w:val="nil"/>
          <w:left w:val="nil"/>
          <w:bottom w:val="nil"/>
          <w:right w:val="nil"/>
          <w:insideH w:val="nil"/>
          <w:insideV w:val="nil"/>
          <w:tl2br w:val="nil"/>
          <w:tr2bl w:val="nil"/>
        </w:tcBorders>
        <w:shd w:val="clear" w:color="auto" w:fill="B2E7FF" w:themeFill="accent1" w:themeFillTint="33"/>
      </w:tcPr>
    </w:tblStylePr>
    <w:tblStylePr w:type="band1Horz">
      <w:tblPr/>
      <w:tcPr>
        <w:tcBorders>
          <w:top w:val="nil"/>
          <w:left w:val="nil"/>
          <w:bottom w:val="nil"/>
          <w:right w:val="nil"/>
          <w:insideH w:val="nil"/>
          <w:insideV w:val="single" w:sz="8" w:space="0" w:color="FFFFFF" w:themeColor="background1"/>
          <w:tl2br w:val="nil"/>
          <w:tr2bl w:val="nil"/>
        </w:tcBorders>
        <w:shd w:val="clear" w:color="auto" w:fill="B2E7FF" w:themeFill="accent1" w:themeFillTint="33"/>
      </w:tcPr>
    </w:tblStylePr>
    <w:tblStylePr w:type="band2Horz">
      <w:tblPr/>
      <w:tcPr>
        <w:tcBorders>
          <w:top w:val="nil"/>
          <w:left w:val="nil"/>
          <w:bottom w:val="nil"/>
          <w:right w:val="nil"/>
          <w:insideH w:val="nil"/>
          <w:insideV w:val="single" w:sz="8" w:space="0" w:color="FFFFFF" w:themeColor="background1"/>
          <w:tl2br w:val="nil"/>
          <w:tr2bl w:val="nil"/>
        </w:tcBorders>
      </w:tcPr>
    </w:tblStylePr>
  </w:style>
  <w:style w:type="table" w:customStyle="1" w:styleId="RHDHVOverviewImage">
    <w:name w:val="RHDHV Overview Image"/>
    <w:basedOn w:val="TableNormal"/>
    <w:uiPriority w:val="99"/>
    <w:unhideWhenUsed/>
    <w:rsid w:val="00906157"/>
    <w:pPr>
      <w:spacing w:line="240" w:lineRule="auto"/>
    </w:pPr>
    <w:rPr>
      <w:rFonts w:asciiTheme="minorHAnsi" w:hAnsiTheme="minorHAnsi"/>
    </w:rPr>
    <w:tblPr>
      <w:tblCellMar>
        <w:top w:w="113" w:type="dxa"/>
        <w:left w:w="0" w:type="dxa"/>
        <w:right w:w="0" w:type="dxa"/>
      </w:tblCellMar>
    </w:tblPr>
  </w:style>
  <w:style w:type="table" w:customStyle="1" w:styleId="RHDHVTableNormal">
    <w:name w:val="RHDHV Table Normal"/>
    <w:basedOn w:val="TableNormal"/>
    <w:uiPriority w:val="99"/>
    <w:unhideWhenUsed/>
    <w:rsid w:val="00941E19"/>
    <w:rPr>
      <w:rFonts w:asciiTheme="minorHAnsi" w:hAnsiTheme="minorHAnsi"/>
    </w:rPr>
    <w:tblPr>
      <w:tblCellMar>
        <w:top w:w="57" w:type="dxa"/>
        <w:left w:w="0" w:type="dxa"/>
        <w:bottom w:w="57" w:type="dxa"/>
        <w:right w:w="0" w:type="dxa"/>
      </w:tblCellMar>
    </w:tblPr>
    <w:tcPr>
      <w:vAlign w:val="center"/>
    </w:tcPr>
  </w:style>
  <w:style w:type="table" w:customStyle="1" w:styleId="RHDHVTable">
    <w:name w:val="RHDHV Table"/>
    <w:basedOn w:val="RHDHVTableNormal"/>
    <w:uiPriority w:val="99"/>
    <w:unhideWhenUsed/>
    <w:rsid w:val="006A2721"/>
    <w:tblPr>
      <w:tblBorders>
        <w:insideH w:val="single" w:sz="8" w:space="0" w:color="FFFFFF" w:themeColor="background1"/>
        <w:insideV w:val="single" w:sz="8" w:space="0" w:color="FFFFFF" w:themeColor="background1"/>
      </w:tblBorders>
      <w:tblCellMar>
        <w:left w:w="113" w:type="dxa"/>
        <w:right w:w="113" w:type="dxa"/>
      </w:tblCellMar>
    </w:tblPr>
    <w:tcPr>
      <w:shd w:val="clear" w:color="auto" w:fill="B2E7FF" w:themeFill="accent1" w:themeFillTint="33"/>
    </w:tcPr>
    <w:tblStylePr w:type="firstRow">
      <w:rPr>
        <w:b/>
        <w:color w:val="FFFFFF" w:themeColor="background1"/>
      </w:rPr>
      <w:tblPr/>
      <w:tcPr>
        <w:tcBorders>
          <w:top w:val="nil"/>
          <w:left w:val="nil"/>
          <w:bottom w:val="nil"/>
          <w:right w:val="nil"/>
          <w:insideH w:val="nil"/>
          <w:insideV w:val="single" w:sz="8" w:space="0" w:color="FFFFFF" w:themeColor="background1"/>
          <w:tl2br w:val="nil"/>
          <w:tr2bl w:val="nil"/>
        </w:tcBorders>
        <w:shd w:val="clear" w:color="auto" w:fill="00577E" w:themeFill="accent1"/>
      </w:tcPr>
    </w:tblStylePr>
    <w:tblStylePr w:type="lastRow">
      <w:tblPr/>
      <w:tcPr>
        <w:tcBorders>
          <w:top w:val="nil"/>
          <w:left w:val="nil"/>
          <w:bottom w:val="nil"/>
          <w:right w:val="nil"/>
          <w:insideH w:val="nil"/>
          <w:insideV w:val="single" w:sz="8" w:space="0" w:color="FFFFFF" w:themeColor="background1"/>
          <w:tl2br w:val="nil"/>
          <w:tr2bl w:val="nil"/>
        </w:tcBorders>
        <w:shd w:val="clear" w:color="auto" w:fill="65CFFF" w:themeFill="accent1" w:themeFillTint="66"/>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table" w:customStyle="1" w:styleId="RHDHVTableMono">
    <w:name w:val="RHDHV Table Mono"/>
    <w:basedOn w:val="RHDHVTableNormal"/>
    <w:uiPriority w:val="99"/>
    <w:semiHidden/>
    <w:unhideWhenUsed/>
    <w:rsid w:val="00C446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b/>
      </w:rPr>
      <w:tblPr/>
      <w:trPr>
        <w:tblHeader/>
      </w:tr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clear" w:color="auto" w:fill="000000"/>
      </w:tcPr>
    </w:tblStylePr>
    <w:tblStylePr w:type="swCell">
      <w:tblPr/>
      <w:tcPr>
        <w:tcBorders>
          <w:top w:val="nil"/>
          <w:left w:val="nil"/>
          <w:bottom w:val="nil"/>
          <w:right w:val="nil"/>
          <w:insideH w:val="nil"/>
          <w:insideV w:val="nil"/>
          <w:tl2br w:val="nil"/>
          <w:tr2bl w:val="nil"/>
        </w:tcBorders>
        <w:shd w:val="clear" w:color="auto" w:fill="FFFFFF" w:themeFill="background1"/>
      </w:tcPr>
    </w:tblStylePr>
  </w:style>
  <w:style w:type="paragraph" w:styleId="Subtitle">
    <w:name w:val="Subtitle"/>
    <w:basedOn w:val="BaseHeadings"/>
    <w:next w:val="BodyText"/>
    <w:link w:val="SubtitleChar"/>
    <w:unhideWhenUsed/>
    <w:qFormat/>
    <w:rsid w:val="00532503"/>
    <w:pPr>
      <w:numPr>
        <w:ilvl w:val="1"/>
      </w:numPr>
      <w:spacing w:after="320" w:line="278" w:lineRule="auto"/>
      <w:contextualSpacing/>
    </w:pPr>
    <w:rPr>
      <w:rFonts w:eastAsiaTheme="majorEastAsia" w:cstheme="majorBidi"/>
      <w:iCs/>
      <w:color w:val="00577E" w:themeColor="text1"/>
      <w:sz w:val="24"/>
      <w:szCs w:val="24"/>
    </w:rPr>
  </w:style>
  <w:style w:type="character" w:customStyle="1" w:styleId="SubtitleChar">
    <w:name w:val="Subtitle Char"/>
    <w:basedOn w:val="DefaultParagraphFont"/>
    <w:link w:val="Subtitle"/>
    <w:rsid w:val="00532503"/>
    <w:rPr>
      <w:rFonts w:eastAsiaTheme="majorEastAsia" w:cstheme="majorBidi"/>
      <w:iCs/>
      <w:sz w:val="24"/>
      <w:szCs w:val="24"/>
      <w:lang w:val="nl-NL"/>
    </w:rPr>
  </w:style>
  <w:style w:type="paragraph" w:customStyle="1" w:styleId="TableText">
    <w:name w:val="Table Text"/>
    <w:basedOn w:val="BaseText"/>
    <w:unhideWhenUsed/>
    <w:rsid w:val="006A2721"/>
    <w:pPr>
      <w:spacing w:line="288" w:lineRule="auto"/>
    </w:pPr>
    <w:rPr>
      <w:sz w:val="16"/>
    </w:rPr>
  </w:style>
  <w:style w:type="paragraph" w:customStyle="1" w:styleId="TableHeading">
    <w:name w:val="Table Heading"/>
    <w:basedOn w:val="TableText"/>
    <w:unhideWhenUsed/>
    <w:rsid w:val="00941E19"/>
    <w:rPr>
      <w:b/>
      <w:color w:val="FFFFFF" w:themeColor="background1"/>
    </w:rPr>
  </w:style>
  <w:style w:type="paragraph" w:customStyle="1" w:styleId="TableTextImage">
    <w:name w:val="Table Text Image"/>
    <w:basedOn w:val="TableText"/>
    <w:unhideWhenUsed/>
    <w:qFormat/>
    <w:rsid w:val="00941E19"/>
  </w:style>
  <w:style w:type="paragraph" w:styleId="Title">
    <w:name w:val="Title"/>
    <w:basedOn w:val="BaseHeadings"/>
    <w:next w:val="Subtitle"/>
    <w:link w:val="TitleChar"/>
    <w:unhideWhenUsed/>
    <w:qFormat/>
    <w:rsid w:val="00941E19"/>
    <w:pPr>
      <w:spacing w:after="400" w:line="262" w:lineRule="auto"/>
      <w:contextualSpacing/>
    </w:pPr>
    <w:rPr>
      <w:rFonts w:eastAsiaTheme="majorEastAsia" w:cstheme="majorBidi"/>
      <w:b/>
      <w:color w:val="00577E" w:themeColor="text1"/>
      <w:spacing w:val="5"/>
      <w:kern w:val="28"/>
      <w:sz w:val="32"/>
      <w:szCs w:val="52"/>
    </w:rPr>
  </w:style>
  <w:style w:type="character" w:customStyle="1" w:styleId="TitleChar">
    <w:name w:val="Title Char"/>
    <w:basedOn w:val="DefaultParagraphFont"/>
    <w:link w:val="Title"/>
    <w:rsid w:val="00941E19"/>
    <w:rPr>
      <w:rFonts w:eastAsiaTheme="majorEastAsia" w:cstheme="majorBidi"/>
      <w:b/>
      <w:spacing w:val="5"/>
      <w:kern w:val="28"/>
      <w:sz w:val="32"/>
      <w:szCs w:val="52"/>
      <w:lang w:val="nl-NL"/>
    </w:rPr>
  </w:style>
  <w:style w:type="paragraph" w:styleId="TOC1">
    <w:name w:val="toc 1"/>
    <w:basedOn w:val="BaseHeadings"/>
    <w:next w:val="Normal"/>
    <w:uiPriority w:val="39"/>
    <w:unhideWhenUsed/>
    <w:rsid w:val="00AD4223"/>
    <w:pPr>
      <w:tabs>
        <w:tab w:val="left" w:pos="851"/>
        <w:tab w:val="right" w:pos="9412"/>
      </w:tabs>
      <w:spacing w:before="240" w:after="80" w:line="280" w:lineRule="atLeast"/>
    </w:pPr>
    <w:rPr>
      <w:rFonts w:ascii="Verdana" w:hAnsi="Verdana"/>
      <w:b/>
      <w:color w:val="auto"/>
    </w:rPr>
  </w:style>
  <w:style w:type="paragraph" w:styleId="TOC2">
    <w:name w:val="toc 2"/>
    <w:basedOn w:val="BaseText"/>
    <w:next w:val="Normal"/>
    <w:uiPriority w:val="39"/>
    <w:unhideWhenUsed/>
    <w:rsid w:val="00AD4223"/>
    <w:pPr>
      <w:tabs>
        <w:tab w:val="left" w:pos="851"/>
        <w:tab w:val="right" w:pos="9412"/>
      </w:tabs>
      <w:spacing w:after="80" w:line="280" w:lineRule="atLeast"/>
    </w:pPr>
    <w:rPr>
      <w:rFonts w:ascii="Verdana" w:hAnsi="Verdana"/>
      <w:color w:val="auto"/>
      <w:sz w:val="18"/>
    </w:rPr>
  </w:style>
  <w:style w:type="paragraph" w:styleId="TOC3">
    <w:name w:val="toc 3"/>
    <w:basedOn w:val="BaseText"/>
    <w:next w:val="Normal"/>
    <w:uiPriority w:val="39"/>
    <w:unhideWhenUsed/>
    <w:rsid w:val="00297E45"/>
    <w:pPr>
      <w:tabs>
        <w:tab w:val="left" w:pos="851"/>
        <w:tab w:val="right" w:pos="9412"/>
      </w:tabs>
      <w:spacing w:after="40" w:line="250" w:lineRule="auto"/>
    </w:pPr>
  </w:style>
  <w:style w:type="character" w:customStyle="1" w:styleId="Heading1Char">
    <w:name w:val="Heading 1 Char"/>
    <w:basedOn w:val="DefaultParagraphFont"/>
    <w:link w:val="Heading1"/>
    <w:rsid w:val="00225725"/>
    <w:rPr>
      <w:rFonts w:ascii="Verdana" w:eastAsiaTheme="majorEastAsia" w:hAnsi="Verdana" w:cstheme="majorBidi"/>
      <w:bCs/>
      <w:color w:val="auto"/>
      <w:sz w:val="24"/>
      <w:szCs w:val="28"/>
      <w:lang w:val="nl-NL"/>
    </w:rPr>
  </w:style>
  <w:style w:type="paragraph" w:styleId="TOCHeading">
    <w:name w:val="TOC Heading"/>
    <w:basedOn w:val="BaseHeadings"/>
    <w:next w:val="Normal"/>
    <w:unhideWhenUsed/>
    <w:qFormat/>
    <w:rsid w:val="00A76F7B"/>
    <w:pPr>
      <w:spacing w:before="240" w:after="240" w:line="238" w:lineRule="auto"/>
    </w:pPr>
    <w:rPr>
      <w:b/>
      <w:bCs/>
      <w:sz w:val="28"/>
    </w:rPr>
  </w:style>
  <w:style w:type="character" w:customStyle="1" w:styleId="Heading6Char">
    <w:name w:val="Heading 6 Char"/>
    <w:basedOn w:val="DefaultParagraphFont"/>
    <w:link w:val="Heading6"/>
    <w:rsid w:val="007644BD"/>
    <w:rPr>
      <w:rFonts w:eastAsiaTheme="majorEastAsia" w:cstheme="majorBidi"/>
      <w:b/>
      <w:iCs/>
      <w:color w:val="00577E" w:themeColor="accent1"/>
      <w:sz w:val="28"/>
      <w:lang w:val="nl-NL"/>
    </w:rPr>
  </w:style>
  <w:style w:type="paragraph" w:customStyle="1" w:styleId="WebAddress">
    <w:name w:val="Web Address"/>
    <w:basedOn w:val="BaseText"/>
    <w:link w:val="WebAddressChar"/>
    <w:unhideWhenUsed/>
    <w:qFormat/>
    <w:rsid w:val="00225725"/>
    <w:pPr>
      <w:framePr w:wrap="around" w:hAnchor="margin" w:yAlign="bottom"/>
      <w:spacing w:line="266" w:lineRule="auto"/>
    </w:pPr>
    <w:rPr>
      <w:b/>
      <w:sz w:val="22"/>
    </w:rPr>
  </w:style>
  <w:style w:type="character" w:customStyle="1" w:styleId="Heading2Char">
    <w:name w:val="Heading 2 Char"/>
    <w:basedOn w:val="DefaultParagraphFont"/>
    <w:link w:val="Heading2"/>
    <w:rsid w:val="00225725"/>
    <w:rPr>
      <w:rFonts w:ascii="Verdana" w:eastAsiaTheme="majorEastAsia" w:hAnsi="Verdana" w:cstheme="majorBidi"/>
      <w:b/>
      <w:bCs/>
      <w:color w:val="auto"/>
      <w:sz w:val="18"/>
      <w:szCs w:val="26"/>
      <w:lang w:val="nl-NL"/>
    </w:rPr>
  </w:style>
  <w:style w:type="character" w:customStyle="1" w:styleId="Heading3Char">
    <w:name w:val="Heading 3 Char"/>
    <w:basedOn w:val="DefaultParagraphFont"/>
    <w:link w:val="Heading3"/>
    <w:rsid w:val="00225725"/>
    <w:rPr>
      <w:rFonts w:eastAsiaTheme="majorEastAsia" w:cstheme="majorBidi"/>
      <w:b/>
      <w:bCs/>
      <w:color w:val="00577E" w:themeColor="accent1"/>
      <w:sz w:val="24"/>
      <w:lang w:val="nl-NL"/>
    </w:rPr>
  </w:style>
  <w:style w:type="character" w:customStyle="1" w:styleId="Heading4Char">
    <w:name w:val="Heading 4 Char"/>
    <w:basedOn w:val="DefaultParagraphFont"/>
    <w:link w:val="Heading4"/>
    <w:rsid w:val="001143BA"/>
    <w:rPr>
      <w:rFonts w:eastAsiaTheme="majorEastAsia" w:cstheme="majorBidi"/>
      <w:b/>
      <w:bCs/>
      <w:iCs/>
      <w:color w:val="00577E" w:themeColor="accent1"/>
      <w:sz w:val="22"/>
      <w:lang w:val="nl-NL"/>
    </w:rPr>
  </w:style>
  <w:style w:type="character" w:customStyle="1" w:styleId="Heading5Char">
    <w:name w:val="Heading 5 Char"/>
    <w:basedOn w:val="DefaultParagraphFont"/>
    <w:link w:val="Heading5"/>
    <w:rsid w:val="00225725"/>
    <w:rPr>
      <w:rFonts w:ascii="Verdana" w:eastAsiaTheme="majorEastAsia" w:hAnsi="Verdana" w:cstheme="majorBidi"/>
      <w:b/>
      <w:color w:val="auto"/>
      <w:sz w:val="18"/>
      <w:lang w:val="nl-NL"/>
    </w:rPr>
  </w:style>
  <w:style w:type="character" w:customStyle="1" w:styleId="Heading7Char">
    <w:name w:val="Heading 7 Char"/>
    <w:basedOn w:val="DefaultParagraphFont"/>
    <w:link w:val="Heading7"/>
    <w:rsid w:val="003D0837"/>
    <w:rPr>
      <w:rFonts w:eastAsiaTheme="majorEastAsia" w:cstheme="majorBidi"/>
      <w:b/>
      <w:iCs/>
      <w:color w:val="00577E" w:themeColor="accent1"/>
      <w:sz w:val="26"/>
      <w:lang w:val="nl-NL"/>
    </w:rPr>
  </w:style>
  <w:style w:type="character" w:customStyle="1" w:styleId="Heading8Char">
    <w:name w:val="Heading 8 Char"/>
    <w:basedOn w:val="DefaultParagraphFont"/>
    <w:link w:val="Heading8"/>
    <w:rsid w:val="00C446EB"/>
    <w:rPr>
      <w:rFonts w:cs="Arial"/>
      <w:caps/>
      <w:color w:val="00577E" w:themeColor="accent1"/>
      <w:sz w:val="32"/>
      <w:lang w:val="nl-NL"/>
    </w:rPr>
  </w:style>
  <w:style w:type="character" w:customStyle="1" w:styleId="Heading9Char">
    <w:name w:val="Heading 9 Char"/>
    <w:basedOn w:val="DefaultParagraphFont"/>
    <w:link w:val="Heading9"/>
    <w:rsid w:val="00225725"/>
    <w:rPr>
      <w:rFonts w:eastAsiaTheme="majorEastAsia" w:cstheme="majorBidi"/>
      <w:b/>
      <w:iCs/>
      <w:color w:val="00577E" w:themeColor="accent1"/>
      <w:sz w:val="22"/>
      <w:lang w:val="nl-NL"/>
    </w:rPr>
  </w:style>
  <w:style w:type="paragraph" w:styleId="ListBullet">
    <w:name w:val="List Bullet"/>
    <w:basedOn w:val="BaseText"/>
    <w:unhideWhenUsed/>
    <w:rsid w:val="00DB1543"/>
    <w:pPr>
      <w:numPr>
        <w:numId w:val="1"/>
      </w:numPr>
      <w:spacing w:before="120"/>
    </w:pPr>
  </w:style>
  <w:style w:type="paragraph" w:styleId="ListBullet2">
    <w:name w:val="List Bullet 2"/>
    <w:basedOn w:val="BaseText"/>
    <w:unhideWhenUsed/>
    <w:rsid w:val="00DB1543"/>
    <w:pPr>
      <w:numPr>
        <w:ilvl w:val="1"/>
        <w:numId w:val="1"/>
      </w:numPr>
      <w:spacing w:before="80"/>
    </w:pPr>
  </w:style>
  <w:style w:type="paragraph" w:styleId="ListBullet3">
    <w:name w:val="List Bullet 3"/>
    <w:basedOn w:val="BaseText"/>
    <w:unhideWhenUsed/>
    <w:rsid w:val="00DB1543"/>
    <w:pPr>
      <w:numPr>
        <w:ilvl w:val="2"/>
        <w:numId w:val="1"/>
      </w:numPr>
      <w:spacing w:before="80" w:line="302" w:lineRule="auto"/>
    </w:pPr>
    <w:rPr>
      <w:sz w:val="18"/>
    </w:rPr>
  </w:style>
  <w:style w:type="paragraph" w:styleId="ListNumber">
    <w:name w:val="List Number"/>
    <w:basedOn w:val="BaseText"/>
    <w:unhideWhenUsed/>
    <w:rsid w:val="009452E4"/>
    <w:pPr>
      <w:numPr>
        <w:numId w:val="3"/>
      </w:numPr>
      <w:spacing w:before="120"/>
    </w:pPr>
  </w:style>
  <w:style w:type="paragraph" w:styleId="ListNumber2">
    <w:name w:val="List Number 2"/>
    <w:basedOn w:val="BaseText"/>
    <w:unhideWhenUsed/>
    <w:rsid w:val="009452E4"/>
    <w:pPr>
      <w:numPr>
        <w:ilvl w:val="1"/>
        <w:numId w:val="3"/>
      </w:numPr>
      <w:spacing w:before="80"/>
    </w:pPr>
  </w:style>
  <w:style w:type="paragraph" w:styleId="ListNumber3">
    <w:name w:val="List Number 3"/>
    <w:basedOn w:val="BaseText"/>
    <w:unhideWhenUsed/>
    <w:rsid w:val="009452E4"/>
    <w:pPr>
      <w:numPr>
        <w:ilvl w:val="2"/>
        <w:numId w:val="3"/>
      </w:numPr>
      <w:spacing w:before="80" w:line="302" w:lineRule="auto"/>
    </w:pPr>
    <w:rPr>
      <w:sz w:val="18"/>
    </w:rPr>
  </w:style>
  <w:style w:type="table" w:styleId="TableGrid">
    <w:name w:val="Table Grid"/>
    <w:basedOn w:val="TableNormal"/>
    <w:uiPriority w:val="59"/>
    <w:semiHidden/>
    <w:rsid w:val="00152C2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Grid">
    <w:name w:val="Colorful Grid"/>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2E7FF" w:themeFill="text1" w:themeFillTint="33"/>
    </w:tcPr>
    <w:tblStylePr w:type="firstRow">
      <w:rPr>
        <w:b/>
        <w:bCs/>
      </w:rPr>
      <w:tblPr/>
      <w:tcPr>
        <w:shd w:val="clear" w:color="auto" w:fill="65CFFF" w:themeFill="text1" w:themeFillTint="66"/>
      </w:tcPr>
    </w:tblStylePr>
    <w:tblStylePr w:type="lastRow">
      <w:rPr>
        <w:b/>
        <w:bCs/>
        <w:color w:val="00577E" w:themeColor="text1"/>
      </w:rPr>
      <w:tblPr/>
      <w:tcPr>
        <w:shd w:val="clear" w:color="auto" w:fill="65CFFF" w:themeFill="text1" w:themeFillTint="66"/>
      </w:tcPr>
    </w:tblStylePr>
    <w:tblStylePr w:type="firstCol">
      <w:rPr>
        <w:color w:val="FFFFFF" w:themeColor="background1"/>
      </w:rPr>
      <w:tblPr/>
      <w:tcPr>
        <w:shd w:val="clear" w:color="auto" w:fill="00415E" w:themeFill="text1" w:themeFillShade="BF"/>
      </w:tcPr>
    </w:tblStylePr>
    <w:tblStylePr w:type="lastCol">
      <w:rPr>
        <w:color w:val="FFFFFF" w:themeColor="background1"/>
      </w:rPr>
      <w:tblPr/>
      <w:tcPr>
        <w:shd w:val="clear" w:color="auto" w:fill="00415E" w:themeFill="text1" w:themeFillShade="BF"/>
      </w:tc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styleId="ColorfulGrid-Accent1">
    <w:name w:val="Colorful Grid Accent 1"/>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2E7FF" w:themeFill="accent1" w:themeFillTint="33"/>
    </w:tcPr>
    <w:tblStylePr w:type="firstRow">
      <w:rPr>
        <w:b/>
        <w:bCs/>
      </w:rPr>
      <w:tblPr/>
      <w:tcPr>
        <w:shd w:val="clear" w:color="auto" w:fill="65CFFF" w:themeFill="accent1" w:themeFillTint="66"/>
      </w:tcPr>
    </w:tblStylePr>
    <w:tblStylePr w:type="lastRow">
      <w:rPr>
        <w:b/>
        <w:bCs/>
        <w:color w:val="00577E" w:themeColor="text1"/>
      </w:rPr>
      <w:tblPr/>
      <w:tcPr>
        <w:shd w:val="clear" w:color="auto" w:fill="65CFFF" w:themeFill="accent1" w:themeFillTint="66"/>
      </w:tcPr>
    </w:tblStylePr>
    <w:tblStylePr w:type="firstCol">
      <w:rPr>
        <w:color w:val="FFFFFF" w:themeColor="background1"/>
      </w:rPr>
      <w:tblPr/>
      <w:tcPr>
        <w:shd w:val="clear" w:color="auto" w:fill="00415E" w:themeFill="accent1" w:themeFillShade="BF"/>
      </w:tcPr>
    </w:tblStylePr>
    <w:tblStylePr w:type="lastCol">
      <w:rPr>
        <w:color w:val="FFFFFF" w:themeColor="background1"/>
      </w:rPr>
      <w:tblPr/>
      <w:tcPr>
        <w:shd w:val="clear" w:color="auto" w:fill="00415E" w:themeFill="accent1" w:themeFillShade="BF"/>
      </w:tcPr>
    </w:tblStylePr>
    <w:tblStylePr w:type="band1Vert">
      <w:tblPr/>
      <w:tcPr>
        <w:shd w:val="clear" w:color="auto" w:fill="3FC3FF" w:themeFill="accent1" w:themeFillTint="7F"/>
      </w:tcPr>
    </w:tblStylePr>
    <w:tblStylePr w:type="band1Horz">
      <w:tblPr/>
      <w:tcPr>
        <w:shd w:val="clear" w:color="auto" w:fill="3FC3FF" w:themeFill="accent1" w:themeFillTint="7F"/>
      </w:tcPr>
    </w:tblStylePr>
  </w:style>
  <w:style w:type="table" w:styleId="ColorfulGrid-Accent2">
    <w:name w:val="Colorful Grid Accent 2"/>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FBFFC3" w:themeFill="accent2" w:themeFillTint="33"/>
    </w:tcPr>
    <w:tblStylePr w:type="firstRow">
      <w:rPr>
        <w:b/>
        <w:bCs/>
      </w:rPr>
      <w:tblPr/>
      <w:tcPr>
        <w:shd w:val="clear" w:color="auto" w:fill="F7FF87" w:themeFill="accent2" w:themeFillTint="66"/>
      </w:tcPr>
    </w:tblStylePr>
    <w:tblStylePr w:type="lastRow">
      <w:rPr>
        <w:b/>
        <w:bCs/>
        <w:color w:val="00577E" w:themeColor="text1"/>
      </w:rPr>
      <w:tblPr/>
      <w:tcPr>
        <w:shd w:val="clear" w:color="auto" w:fill="F7FF87" w:themeFill="accent2" w:themeFillTint="66"/>
      </w:tcPr>
    </w:tblStylePr>
    <w:tblStylePr w:type="firstCol">
      <w:rPr>
        <w:color w:val="FFFFFF" w:themeColor="background1"/>
      </w:rPr>
      <w:tblPr/>
      <w:tcPr>
        <w:shd w:val="clear" w:color="auto" w:fill="949E00" w:themeFill="accent2" w:themeFillShade="BF"/>
      </w:tcPr>
    </w:tblStylePr>
    <w:tblStylePr w:type="lastCol">
      <w:rPr>
        <w:color w:val="FFFFFF" w:themeColor="background1"/>
      </w:rPr>
      <w:tblPr/>
      <w:tcPr>
        <w:shd w:val="clear" w:color="auto" w:fill="949E00" w:themeFill="accent2" w:themeFillShade="BF"/>
      </w:tcPr>
    </w:tblStylePr>
    <w:tblStylePr w:type="band1Vert">
      <w:tblPr/>
      <w:tcPr>
        <w:shd w:val="clear" w:color="auto" w:fill="F6FF6A" w:themeFill="accent2" w:themeFillTint="7F"/>
      </w:tcPr>
    </w:tblStylePr>
    <w:tblStylePr w:type="band1Horz">
      <w:tblPr/>
      <w:tcPr>
        <w:shd w:val="clear" w:color="auto" w:fill="F6FF6A" w:themeFill="accent2" w:themeFillTint="7F"/>
      </w:tcPr>
    </w:tblStylePr>
  </w:style>
  <w:style w:type="table" w:styleId="ColorfulGrid-Accent3">
    <w:name w:val="Colorful Grid Accent 3"/>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BAF0FF" w:themeFill="accent3" w:themeFillTint="33"/>
    </w:tcPr>
    <w:tblStylePr w:type="firstRow">
      <w:rPr>
        <w:b/>
        <w:bCs/>
      </w:rPr>
      <w:tblPr/>
      <w:tcPr>
        <w:shd w:val="clear" w:color="auto" w:fill="76E3FF" w:themeFill="accent3" w:themeFillTint="66"/>
      </w:tcPr>
    </w:tblStylePr>
    <w:tblStylePr w:type="lastRow">
      <w:rPr>
        <w:b/>
        <w:bCs/>
        <w:color w:val="00577E" w:themeColor="text1"/>
      </w:rPr>
      <w:tblPr/>
      <w:tcPr>
        <w:shd w:val="clear" w:color="auto" w:fill="76E3FF" w:themeFill="accent3" w:themeFillTint="66"/>
      </w:tcPr>
    </w:tblStylePr>
    <w:tblStylePr w:type="firstCol">
      <w:rPr>
        <w:color w:val="FFFFFF" w:themeColor="background1"/>
      </w:rPr>
      <w:tblPr/>
      <w:tcPr>
        <w:shd w:val="clear" w:color="auto" w:fill="00647D" w:themeFill="accent3" w:themeFillShade="BF"/>
      </w:tcPr>
    </w:tblStylePr>
    <w:tblStylePr w:type="lastCol">
      <w:rPr>
        <w:color w:val="FFFFFF" w:themeColor="background1"/>
      </w:rPr>
      <w:tblPr/>
      <w:tcPr>
        <w:shd w:val="clear" w:color="auto" w:fill="00647D" w:themeFill="accent3" w:themeFillShade="BF"/>
      </w:tcPr>
    </w:tblStylePr>
    <w:tblStylePr w:type="band1Vert">
      <w:tblPr/>
      <w:tcPr>
        <w:shd w:val="clear" w:color="auto" w:fill="54DCFF" w:themeFill="accent3" w:themeFillTint="7F"/>
      </w:tcPr>
    </w:tblStylePr>
    <w:tblStylePr w:type="band1Horz">
      <w:tblPr/>
      <w:tcPr>
        <w:shd w:val="clear" w:color="auto" w:fill="54DCFF" w:themeFill="accent3" w:themeFillTint="7F"/>
      </w:tcPr>
    </w:tblStylePr>
  </w:style>
  <w:style w:type="table" w:styleId="ColorfulGrid-Accent4">
    <w:name w:val="Colorful Grid Accent 4"/>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FAD1CF" w:themeFill="accent4" w:themeFillTint="33"/>
    </w:tcPr>
    <w:tblStylePr w:type="firstRow">
      <w:rPr>
        <w:b/>
        <w:bCs/>
      </w:rPr>
      <w:tblPr/>
      <w:tcPr>
        <w:shd w:val="clear" w:color="auto" w:fill="F5A3A1" w:themeFill="accent4" w:themeFillTint="66"/>
      </w:tcPr>
    </w:tblStylePr>
    <w:tblStylePr w:type="lastRow">
      <w:rPr>
        <w:b/>
        <w:bCs/>
        <w:color w:val="00577E" w:themeColor="text1"/>
      </w:rPr>
      <w:tblPr/>
      <w:tcPr>
        <w:shd w:val="clear" w:color="auto" w:fill="F5A3A1" w:themeFill="accent4" w:themeFillTint="66"/>
      </w:tcPr>
    </w:tblStylePr>
    <w:tblStylePr w:type="firstCol">
      <w:rPr>
        <w:color w:val="FFFFFF" w:themeColor="background1"/>
      </w:rPr>
      <w:tblPr/>
      <w:tcPr>
        <w:shd w:val="clear" w:color="auto" w:fill="A91612" w:themeFill="accent4" w:themeFillShade="BF"/>
      </w:tcPr>
    </w:tblStylePr>
    <w:tblStylePr w:type="lastCol">
      <w:rPr>
        <w:color w:val="FFFFFF" w:themeColor="background1"/>
      </w:rPr>
      <w:tblPr/>
      <w:tcPr>
        <w:shd w:val="clear" w:color="auto" w:fill="A91612" w:themeFill="accent4" w:themeFillShade="BF"/>
      </w:tcPr>
    </w:tblStylePr>
    <w:tblStylePr w:type="band1Vert">
      <w:tblPr/>
      <w:tcPr>
        <w:shd w:val="clear" w:color="auto" w:fill="F28D8A" w:themeFill="accent4" w:themeFillTint="7F"/>
      </w:tcPr>
    </w:tblStylePr>
    <w:tblStylePr w:type="band1Horz">
      <w:tblPr/>
      <w:tcPr>
        <w:shd w:val="clear" w:color="auto" w:fill="F28D8A" w:themeFill="accent4" w:themeFillTint="7F"/>
      </w:tcPr>
    </w:tblStylePr>
  </w:style>
  <w:style w:type="table" w:styleId="ColorfulGrid-Accent5">
    <w:name w:val="Colorful Grid Accent 5"/>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E6F5C6" w:themeFill="accent5" w:themeFillTint="33"/>
    </w:tcPr>
    <w:tblStylePr w:type="firstRow">
      <w:rPr>
        <w:b/>
        <w:bCs/>
      </w:rPr>
      <w:tblPr/>
      <w:tcPr>
        <w:shd w:val="clear" w:color="auto" w:fill="CEEA8E" w:themeFill="accent5" w:themeFillTint="66"/>
      </w:tcPr>
    </w:tblStylePr>
    <w:tblStylePr w:type="lastRow">
      <w:rPr>
        <w:b/>
        <w:bCs/>
        <w:color w:val="00577E" w:themeColor="text1"/>
      </w:rPr>
      <w:tblPr/>
      <w:tcPr>
        <w:shd w:val="clear" w:color="auto" w:fill="CEEA8E" w:themeFill="accent5" w:themeFillTint="66"/>
      </w:tcPr>
    </w:tblStylePr>
    <w:tblStylePr w:type="firstCol">
      <w:rPr>
        <w:color w:val="FFFFFF" w:themeColor="background1"/>
      </w:rPr>
      <w:tblPr/>
      <w:tcPr>
        <w:shd w:val="clear" w:color="auto" w:fill="547014" w:themeFill="accent5" w:themeFillShade="BF"/>
      </w:tcPr>
    </w:tblStylePr>
    <w:tblStylePr w:type="lastCol">
      <w:rPr>
        <w:color w:val="FFFFFF" w:themeColor="background1"/>
      </w:rPr>
      <w:tblPr/>
      <w:tcPr>
        <w:shd w:val="clear" w:color="auto" w:fill="547014" w:themeFill="accent5" w:themeFillShade="BF"/>
      </w:tcPr>
    </w:tblStylePr>
    <w:tblStylePr w:type="band1Vert">
      <w:tblPr/>
      <w:tcPr>
        <w:shd w:val="clear" w:color="auto" w:fill="C3E572" w:themeFill="accent5" w:themeFillTint="7F"/>
      </w:tcPr>
    </w:tblStylePr>
    <w:tblStylePr w:type="band1Horz">
      <w:tblPr/>
      <w:tcPr>
        <w:shd w:val="clear" w:color="auto" w:fill="C3E572" w:themeFill="accent5" w:themeFillTint="7F"/>
      </w:tcPr>
    </w:tblStylePr>
  </w:style>
  <w:style w:type="table" w:styleId="ColorfulGrid-Accent6">
    <w:name w:val="Colorful Grid Accent 6"/>
    <w:basedOn w:val="TableNormal"/>
    <w:uiPriority w:val="73"/>
    <w:semiHidden/>
    <w:rsid w:val="00272C4B"/>
    <w:pPr>
      <w:spacing w:line="240" w:lineRule="auto"/>
    </w:pPr>
    <w:tblPr>
      <w:tblStyleRowBandSize w:val="1"/>
      <w:tblStyleColBandSize w:val="1"/>
      <w:tblBorders>
        <w:insideH w:val="single" w:sz="4" w:space="0" w:color="FFFFFF" w:themeColor="background1"/>
      </w:tblBorders>
    </w:tblPr>
    <w:tcPr>
      <w:shd w:val="clear" w:color="auto" w:fill="E1E0E0" w:themeFill="accent6" w:themeFillTint="33"/>
    </w:tcPr>
    <w:tblStylePr w:type="firstRow">
      <w:rPr>
        <w:b/>
        <w:bCs/>
      </w:rPr>
      <w:tblPr/>
      <w:tcPr>
        <w:shd w:val="clear" w:color="auto" w:fill="C3C2C2" w:themeFill="accent6" w:themeFillTint="66"/>
      </w:tcPr>
    </w:tblStylePr>
    <w:tblStylePr w:type="lastRow">
      <w:rPr>
        <w:b/>
        <w:bCs/>
        <w:color w:val="00577E" w:themeColor="text1"/>
      </w:rPr>
      <w:tblPr/>
      <w:tcPr>
        <w:shd w:val="clear" w:color="auto" w:fill="C3C2C2" w:themeFill="accent6" w:themeFillTint="66"/>
      </w:tcPr>
    </w:tblStylePr>
    <w:tblStylePr w:type="firstCol">
      <w:rPr>
        <w:color w:val="FFFFFF" w:themeColor="background1"/>
      </w:rPr>
      <w:tblPr/>
      <w:tcPr>
        <w:shd w:val="clear" w:color="auto" w:fill="4E4D4D" w:themeFill="accent6" w:themeFillShade="BF"/>
      </w:tcPr>
    </w:tblStylePr>
    <w:tblStylePr w:type="lastCol">
      <w:rPr>
        <w:color w:val="FFFFFF" w:themeColor="background1"/>
      </w:rPr>
      <w:tblPr/>
      <w:tcPr>
        <w:shd w:val="clear" w:color="auto" w:fill="4E4D4D" w:themeFill="accent6" w:themeFillShade="BF"/>
      </w:tcPr>
    </w:tblStylePr>
    <w:tblStylePr w:type="band1Vert">
      <w:tblPr/>
      <w:tcPr>
        <w:shd w:val="clear" w:color="auto" w:fill="B4B3B3" w:themeFill="accent6" w:themeFillTint="7F"/>
      </w:tcPr>
    </w:tblStylePr>
    <w:tblStylePr w:type="band1Horz">
      <w:tblPr/>
      <w:tcPr>
        <w:shd w:val="clear" w:color="auto" w:fill="B4B3B3" w:themeFill="accent6" w:themeFillTint="7F"/>
      </w:tcPr>
    </w:tblStylePr>
  </w:style>
  <w:style w:type="table" w:styleId="ColorfulList">
    <w:name w:val="Colorful List"/>
    <w:basedOn w:val="TableNormal"/>
    <w:uiPriority w:val="72"/>
    <w:semiHidden/>
    <w:rsid w:val="00272C4B"/>
    <w:pPr>
      <w:spacing w:line="240" w:lineRule="auto"/>
    </w:pPr>
    <w:tblPr>
      <w:tblStyleRowBandSize w:val="1"/>
      <w:tblStyleColBandSize w:val="1"/>
    </w:tblPr>
    <w:tcPr>
      <w:shd w:val="clear" w:color="auto" w:fill="D9F3FF" w:themeFill="text1"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1FF" w:themeFill="text1" w:themeFillTint="3F"/>
      </w:tcPr>
    </w:tblStylePr>
    <w:tblStylePr w:type="band1Horz">
      <w:tblPr/>
      <w:tcPr>
        <w:shd w:val="clear" w:color="auto" w:fill="B2E7FF" w:themeFill="text1" w:themeFillTint="33"/>
      </w:tcPr>
    </w:tblStylePr>
  </w:style>
  <w:style w:type="table" w:styleId="ColorfulList-Accent1">
    <w:name w:val="Colorful List Accent 1"/>
    <w:basedOn w:val="TableNormal"/>
    <w:uiPriority w:val="72"/>
    <w:semiHidden/>
    <w:rsid w:val="00272C4B"/>
    <w:pPr>
      <w:spacing w:line="240" w:lineRule="auto"/>
    </w:pPr>
    <w:tblPr>
      <w:tblStyleRowBandSize w:val="1"/>
      <w:tblStyleColBandSize w:val="1"/>
    </w:tblPr>
    <w:tcPr>
      <w:shd w:val="clear" w:color="auto" w:fill="D9F3FF" w:themeFill="accent1"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E1FF" w:themeFill="accent1" w:themeFillTint="3F"/>
      </w:tcPr>
    </w:tblStylePr>
    <w:tblStylePr w:type="band1Horz">
      <w:tblPr/>
      <w:tcPr>
        <w:shd w:val="clear" w:color="auto" w:fill="B2E7FF" w:themeFill="accent1" w:themeFillTint="33"/>
      </w:tcPr>
    </w:tblStylePr>
  </w:style>
  <w:style w:type="table" w:styleId="ColorfulList-Accent2">
    <w:name w:val="Colorful List Accent 2"/>
    <w:basedOn w:val="TableNormal"/>
    <w:uiPriority w:val="72"/>
    <w:semiHidden/>
    <w:rsid w:val="00272C4B"/>
    <w:pPr>
      <w:spacing w:line="240" w:lineRule="auto"/>
    </w:pPr>
    <w:tblPr>
      <w:tblStyleRowBandSize w:val="1"/>
      <w:tblStyleColBandSize w:val="1"/>
    </w:tblPr>
    <w:tcPr>
      <w:shd w:val="clear" w:color="auto" w:fill="FDFFE1" w:themeFill="accent2" w:themeFillTint="19"/>
    </w:tcPr>
    <w:tblStylePr w:type="firstRow">
      <w:rPr>
        <w:b/>
        <w:bCs/>
        <w:color w:val="FFFFFF" w:themeColor="background1"/>
      </w:rPr>
      <w:tblPr/>
      <w:tcPr>
        <w:tcBorders>
          <w:bottom w:val="single" w:sz="12" w:space="0" w:color="FFFFFF" w:themeColor="background1"/>
        </w:tcBorders>
        <w:shd w:val="clear" w:color="auto" w:fill="9EA800" w:themeFill="accent2" w:themeFillShade="CC"/>
      </w:tcPr>
    </w:tblStylePr>
    <w:tblStylePr w:type="lastRow">
      <w:rPr>
        <w:b/>
        <w:bCs/>
        <w:color w:val="9EA800" w:themeColor="accent2"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5" w:themeFill="accent2" w:themeFillTint="3F"/>
      </w:tcPr>
    </w:tblStylePr>
    <w:tblStylePr w:type="band1Horz">
      <w:tblPr/>
      <w:tcPr>
        <w:shd w:val="clear" w:color="auto" w:fill="FBFFC3" w:themeFill="accent2" w:themeFillTint="33"/>
      </w:tcPr>
    </w:tblStylePr>
  </w:style>
  <w:style w:type="table" w:styleId="ColorfulList-Accent3">
    <w:name w:val="Colorful List Accent 3"/>
    <w:basedOn w:val="TableNormal"/>
    <w:uiPriority w:val="72"/>
    <w:semiHidden/>
    <w:rsid w:val="00272C4B"/>
    <w:pPr>
      <w:spacing w:line="240" w:lineRule="auto"/>
    </w:pPr>
    <w:tblPr>
      <w:tblStyleRowBandSize w:val="1"/>
      <w:tblStyleColBandSize w:val="1"/>
    </w:tblPr>
    <w:tcPr>
      <w:shd w:val="clear" w:color="auto" w:fill="DDF8FF" w:themeFill="accent3" w:themeFillTint="19"/>
    </w:tcPr>
    <w:tblStylePr w:type="firstRow">
      <w:rPr>
        <w:b/>
        <w:bCs/>
        <w:color w:val="FFFFFF" w:themeColor="background1"/>
      </w:rPr>
      <w:tblPr/>
      <w:tcPr>
        <w:tcBorders>
          <w:bottom w:val="single" w:sz="12" w:space="0" w:color="FFFFFF" w:themeColor="background1"/>
        </w:tcBorders>
        <w:shd w:val="clear" w:color="auto" w:fill="B51813" w:themeFill="accent4" w:themeFillShade="CC"/>
      </w:tcPr>
    </w:tblStylePr>
    <w:tblStylePr w:type="lastRow">
      <w:rPr>
        <w:b/>
        <w:bCs/>
        <w:color w:val="B51813" w:themeColor="accent4"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EDFF" w:themeFill="accent3" w:themeFillTint="3F"/>
      </w:tcPr>
    </w:tblStylePr>
    <w:tblStylePr w:type="band1Horz">
      <w:tblPr/>
      <w:tcPr>
        <w:shd w:val="clear" w:color="auto" w:fill="BAF0FF" w:themeFill="accent3" w:themeFillTint="33"/>
      </w:tcPr>
    </w:tblStylePr>
  </w:style>
  <w:style w:type="table" w:styleId="ColorfulList-Accent4">
    <w:name w:val="Colorful List Accent 4"/>
    <w:basedOn w:val="TableNormal"/>
    <w:uiPriority w:val="72"/>
    <w:semiHidden/>
    <w:rsid w:val="00272C4B"/>
    <w:pPr>
      <w:spacing w:line="240" w:lineRule="auto"/>
    </w:pPr>
    <w:tblPr>
      <w:tblStyleRowBandSize w:val="1"/>
      <w:tblStyleColBandSize w:val="1"/>
    </w:tblPr>
    <w:tcPr>
      <w:shd w:val="clear" w:color="auto" w:fill="FCE8E7" w:themeFill="accent4" w:themeFillTint="19"/>
    </w:tcPr>
    <w:tblStylePr w:type="firstRow">
      <w:rPr>
        <w:b/>
        <w:bCs/>
        <w:color w:val="FFFFFF" w:themeColor="background1"/>
      </w:rPr>
      <w:tblPr/>
      <w:tcPr>
        <w:tcBorders>
          <w:bottom w:val="single" w:sz="12" w:space="0" w:color="FFFFFF" w:themeColor="background1"/>
        </w:tcBorders>
        <w:shd w:val="clear" w:color="auto" w:fill="006A86" w:themeFill="accent3" w:themeFillShade="CC"/>
      </w:tcPr>
    </w:tblStylePr>
    <w:tblStylePr w:type="lastRow">
      <w:rPr>
        <w:b/>
        <w:bCs/>
        <w:color w:val="006A86" w:themeColor="accent3"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6C5" w:themeFill="accent4" w:themeFillTint="3F"/>
      </w:tcPr>
    </w:tblStylePr>
    <w:tblStylePr w:type="band1Horz">
      <w:tblPr/>
      <w:tcPr>
        <w:shd w:val="clear" w:color="auto" w:fill="FAD1CF" w:themeFill="accent4" w:themeFillTint="33"/>
      </w:tcPr>
    </w:tblStylePr>
  </w:style>
  <w:style w:type="table" w:styleId="ColorfulList-Accent5">
    <w:name w:val="Colorful List Accent 5"/>
    <w:basedOn w:val="TableNormal"/>
    <w:uiPriority w:val="72"/>
    <w:semiHidden/>
    <w:rsid w:val="00272C4B"/>
    <w:pPr>
      <w:spacing w:line="240" w:lineRule="auto"/>
    </w:pPr>
    <w:tblPr>
      <w:tblStyleRowBandSize w:val="1"/>
      <w:tblStyleColBandSize w:val="1"/>
    </w:tblPr>
    <w:tcPr>
      <w:shd w:val="clear" w:color="auto" w:fill="F3FAE3" w:themeFill="accent5" w:themeFillTint="19"/>
    </w:tcPr>
    <w:tblStylePr w:type="firstRow">
      <w:rPr>
        <w:b/>
        <w:bCs/>
        <w:color w:val="FFFFFF" w:themeColor="background1"/>
      </w:rPr>
      <w:tblPr/>
      <w:tcPr>
        <w:tcBorders>
          <w:bottom w:val="single" w:sz="12" w:space="0" w:color="FFFFFF" w:themeColor="background1"/>
        </w:tcBorders>
        <w:shd w:val="clear" w:color="auto" w:fill="535353" w:themeFill="accent6" w:themeFillShade="CC"/>
      </w:tcPr>
    </w:tblStylePr>
    <w:tblStylePr w:type="lastRow">
      <w:rPr>
        <w:b/>
        <w:bCs/>
        <w:color w:val="535353" w:themeColor="accent6"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B9" w:themeFill="accent5" w:themeFillTint="3F"/>
      </w:tcPr>
    </w:tblStylePr>
    <w:tblStylePr w:type="band1Horz">
      <w:tblPr/>
      <w:tcPr>
        <w:shd w:val="clear" w:color="auto" w:fill="E6F5C6" w:themeFill="accent5" w:themeFillTint="33"/>
      </w:tcPr>
    </w:tblStylePr>
  </w:style>
  <w:style w:type="table" w:styleId="ColorfulList-Accent6">
    <w:name w:val="Colorful List Accent 6"/>
    <w:basedOn w:val="TableNormal"/>
    <w:uiPriority w:val="72"/>
    <w:semiHidden/>
    <w:rsid w:val="00272C4B"/>
    <w:pPr>
      <w:spacing w:line="240" w:lineRule="auto"/>
    </w:pPr>
    <w:tblPr>
      <w:tblStyleRowBandSize w:val="1"/>
      <w:tblStyleColBandSize w:val="1"/>
    </w:tblPr>
    <w:tcPr>
      <w:shd w:val="clear" w:color="auto" w:fill="F0F0F0" w:themeFill="accent6" w:themeFillTint="19"/>
    </w:tcPr>
    <w:tblStylePr w:type="firstRow">
      <w:rPr>
        <w:b/>
        <w:bCs/>
        <w:color w:val="FFFFFF" w:themeColor="background1"/>
      </w:rPr>
      <w:tblPr/>
      <w:tcPr>
        <w:tcBorders>
          <w:bottom w:val="single" w:sz="12" w:space="0" w:color="FFFFFF" w:themeColor="background1"/>
        </w:tcBorders>
        <w:shd w:val="clear" w:color="auto" w:fill="5A7815" w:themeFill="accent5" w:themeFillShade="CC"/>
      </w:tcPr>
    </w:tblStylePr>
    <w:tblStylePr w:type="lastRow">
      <w:rPr>
        <w:b/>
        <w:bCs/>
        <w:color w:val="5A7815" w:themeColor="accent5" w:themeShade="CC"/>
      </w:rPr>
      <w:tblPr/>
      <w:tcPr>
        <w:tcBorders>
          <w:top w:val="single" w:sz="12" w:space="0" w:color="00577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D9D9" w:themeFill="accent6" w:themeFillTint="3F"/>
      </w:tcPr>
    </w:tblStylePr>
    <w:tblStylePr w:type="band1Horz">
      <w:tblPr/>
      <w:tcPr>
        <w:shd w:val="clear" w:color="auto" w:fill="E1E0E0" w:themeFill="accent6" w:themeFillTint="33"/>
      </w:tcPr>
    </w:tblStylePr>
  </w:style>
  <w:style w:type="table" w:styleId="ColorfulShading">
    <w:name w:val="Colorful Shading"/>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00577E" w:themeColor="text1"/>
        <w:bottom w:val="single" w:sz="4" w:space="0" w:color="00577E" w:themeColor="text1"/>
        <w:right w:val="single" w:sz="4" w:space="0" w:color="00577E" w:themeColor="text1"/>
        <w:insideH w:val="single" w:sz="4" w:space="0" w:color="FFFFFF" w:themeColor="background1"/>
        <w:insideV w:val="single" w:sz="4" w:space="0" w:color="FFFFFF" w:themeColor="background1"/>
      </w:tblBorders>
    </w:tblPr>
    <w:tcPr>
      <w:shd w:val="clear" w:color="auto" w:fill="D9F3FF" w:themeFill="text1"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4B" w:themeFill="text1" w:themeFillShade="99"/>
      </w:tcPr>
    </w:tblStylePr>
    <w:tblStylePr w:type="firstCol">
      <w:rPr>
        <w:color w:val="FFFFFF" w:themeColor="background1"/>
      </w:rPr>
      <w:tblPr/>
      <w:tcPr>
        <w:tcBorders>
          <w:top w:val="nil"/>
          <w:left w:val="nil"/>
          <w:bottom w:val="nil"/>
          <w:right w:val="nil"/>
          <w:insideH w:val="single" w:sz="4" w:space="0" w:color="00334B" w:themeColor="text1" w:themeShade="99"/>
          <w:insideV w:val="nil"/>
        </w:tcBorders>
        <w:shd w:val="clear" w:color="auto" w:fill="00334B"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415E" w:themeFill="text1" w:themeFillShade="BF"/>
      </w:tcPr>
    </w:tblStylePr>
    <w:tblStylePr w:type="band1Vert">
      <w:tblPr/>
      <w:tcPr>
        <w:shd w:val="clear" w:color="auto" w:fill="65CFFF" w:themeFill="text1" w:themeFillTint="66"/>
      </w:tcPr>
    </w:tblStylePr>
    <w:tblStylePr w:type="band1Horz">
      <w:tblPr/>
      <w:tcPr>
        <w:shd w:val="clear" w:color="auto" w:fill="3FC3FF" w:themeFill="text1" w:themeFillTint="7F"/>
      </w:tcPr>
    </w:tblStylePr>
    <w:tblStylePr w:type="neCell">
      <w:rPr>
        <w:color w:val="00577E" w:themeColor="text1"/>
      </w:rPr>
    </w:tblStylePr>
    <w:tblStylePr w:type="nwCell">
      <w:rPr>
        <w:color w:val="00577E" w:themeColor="text1"/>
      </w:rPr>
    </w:tblStylePr>
  </w:style>
  <w:style w:type="table" w:styleId="ColorfulShading-Accent1">
    <w:name w:val="Colorful Shading Accent 1"/>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00577E" w:themeColor="accent1"/>
        <w:bottom w:val="single" w:sz="4" w:space="0" w:color="00577E" w:themeColor="accent1"/>
        <w:right w:val="single" w:sz="4" w:space="0" w:color="00577E" w:themeColor="accent1"/>
        <w:insideH w:val="single" w:sz="4" w:space="0" w:color="FFFFFF" w:themeColor="background1"/>
        <w:insideV w:val="single" w:sz="4" w:space="0" w:color="FFFFFF" w:themeColor="background1"/>
      </w:tblBorders>
    </w:tblPr>
    <w:tcPr>
      <w:shd w:val="clear" w:color="auto" w:fill="D9F3FF" w:themeFill="accent1"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34B" w:themeFill="accent1" w:themeFillShade="99"/>
      </w:tcPr>
    </w:tblStylePr>
    <w:tblStylePr w:type="firstCol">
      <w:rPr>
        <w:color w:val="FFFFFF" w:themeColor="background1"/>
      </w:rPr>
      <w:tblPr/>
      <w:tcPr>
        <w:tcBorders>
          <w:top w:val="nil"/>
          <w:left w:val="nil"/>
          <w:bottom w:val="nil"/>
          <w:right w:val="nil"/>
          <w:insideH w:val="single" w:sz="4" w:space="0" w:color="00334B" w:themeColor="accent1" w:themeShade="99"/>
          <w:insideV w:val="nil"/>
        </w:tcBorders>
        <w:shd w:val="clear" w:color="auto" w:fill="00334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34B" w:themeFill="accent1" w:themeFillShade="99"/>
      </w:tcPr>
    </w:tblStylePr>
    <w:tblStylePr w:type="band1Vert">
      <w:tblPr/>
      <w:tcPr>
        <w:shd w:val="clear" w:color="auto" w:fill="65CFFF" w:themeFill="accent1" w:themeFillTint="66"/>
      </w:tcPr>
    </w:tblStylePr>
    <w:tblStylePr w:type="band1Horz">
      <w:tblPr/>
      <w:tcPr>
        <w:shd w:val="clear" w:color="auto" w:fill="3FC3FF" w:themeFill="accent1" w:themeFillTint="7F"/>
      </w:tcPr>
    </w:tblStylePr>
    <w:tblStylePr w:type="neCell">
      <w:rPr>
        <w:color w:val="00577E" w:themeColor="text1"/>
      </w:rPr>
    </w:tblStylePr>
    <w:tblStylePr w:type="nwCell">
      <w:rPr>
        <w:color w:val="00577E" w:themeColor="text1"/>
      </w:rPr>
    </w:tblStylePr>
  </w:style>
  <w:style w:type="table" w:styleId="ColorfulShading-Accent2">
    <w:name w:val="Colorful Shading Accent 2"/>
    <w:basedOn w:val="TableNormal"/>
    <w:uiPriority w:val="71"/>
    <w:semiHidden/>
    <w:rsid w:val="00272C4B"/>
    <w:pPr>
      <w:spacing w:line="240" w:lineRule="auto"/>
    </w:pPr>
    <w:tblPr>
      <w:tblStyleRowBandSize w:val="1"/>
      <w:tblStyleColBandSize w:val="1"/>
      <w:tblBorders>
        <w:top w:val="single" w:sz="24" w:space="0" w:color="C7D300" w:themeColor="accent2"/>
        <w:left w:val="single" w:sz="4" w:space="0" w:color="C7D300" w:themeColor="accent2"/>
        <w:bottom w:val="single" w:sz="4" w:space="0" w:color="C7D300" w:themeColor="accent2"/>
        <w:right w:val="single" w:sz="4" w:space="0" w:color="C7D300" w:themeColor="accent2"/>
        <w:insideH w:val="single" w:sz="4" w:space="0" w:color="FFFFFF" w:themeColor="background1"/>
        <w:insideV w:val="single" w:sz="4" w:space="0" w:color="FFFFFF" w:themeColor="background1"/>
      </w:tblBorders>
    </w:tblPr>
    <w:tcPr>
      <w:shd w:val="clear" w:color="auto" w:fill="FDFFE1" w:themeFill="accent2" w:themeFillTint="19"/>
    </w:tcPr>
    <w:tblStylePr w:type="firstRow">
      <w:rPr>
        <w:b/>
        <w:bCs/>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E00" w:themeFill="accent2" w:themeFillShade="99"/>
      </w:tcPr>
    </w:tblStylePr>
    <w:tblStylePr w:type="firstCol">
      <w:rPr>
        <w:color w:val="FFFFFF" w:themeColor="background1"/>
      </w:rPr>
      <w:tblPr/>
      <w:tcPr>
        <w:tcBorders>
          <w:top w:val="nil"/>
          <w:left w:val="nil"/>
          <w:bottom w:val="nil"/>
          <w:right w:val="nil"/>
          <w:insideH w:val="single" w:sz="4" w:space="0" w:color="767E00" w:themeColor="accent2" w:themeShade="99"/>
          <w:insideV w:val="nil"/>
        </w:tcBorders>
        <w:shd w:val="clear" w:color="auto" w:fill="767E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67E00" w:themeFill="accent2" w:themeFillShade="99"/>
      </w:tcPr>
    </w:tblStylePr>
    <w:tblStylePr w:type="band1Vert">
      <w:tblPr/>
      <w:tcPr>
        <w:shd w:val="clear" w:color="auto" w:fill="F7FF87" w:themeFill="accent2" w:themeFillTint="66"/>
      </w:tcPr>
    </w:tblStylePr>
    <w:tblStylePr w:type="band1Horz">
      <w:tblPr/>
      <w:tcPr>
        <w:shd w:val="clear" w:color="auto" w:fill="F6FF6A" w:themeFill="accent2" w:themeFillTint="7F"/>
      </w:tcPr>
    </w:tblStylePr>
    <w:tblStylePr w:type="neCell">
      <w:rPr>
        <w:color w:val="00577E" w:themeColor="text1"/>
      </w:rPr>
    </w:tblStylePr>
    <w:tblStylePr w:type="nwCell">
      <w:rPr>
        <w:color w:val="00577E" w:themeColor="text1"/>
      </w:rPr>
    </w:tblStylePr>
  </w:style>
  <w:style w:type="table" w:styleId="ColorfulShading-Accent3">
    <w:name w:val="Colorful Shading Accent 3"/>
    <w:basedOn w:val="TableNormal"/>
    <w:uiPriority w:val="71"/>
    <w:semiHidden/>
    <w:rsid w:val="00272C4B"/>
    <w:pPr>
      <w:spacing w:line="240" w:lineRule="auto"/>
    </w:pPr>
    <w:tblPr>
      <w:tblStyleRowBandSize w:val="1"/>
      <w:tblStyleColBandSize w:val="1"/>
      <w:tblBorders>
        <w:top w:val="single" w:sz="24" w:space="0" w:color="E31F18" w:themeColor="accent4"/>
        <w:left w:val="single" w:sz="4" w:space="0" w:color="0086A8" w:themeColor="accent3"/>
        <w:bottom w:val="single" w:sz="4" w:space="0" w:color="0086A8" w:themeColor="accent3"/>
        <w:right w:val="single" w:sz="4" w:space="0" w:color="0086A8" w:themeColor="accent3"/>
        <w:insideH w:val="single" w:sz="4" w:space="0" w:color="FFFFFF" w:themeColor="background1"/>
        <w:insideV w:val="single" w:sz="4" w:space="0" w:color="FFFFFF" w:themeColor="background1"/>
      </w:tblBorders>
    </w:tblPr>
    <w:tcPr>
      <w:shd w:val="clear" w:color="auto" w:fill="DDF8FF" w:themeFill="accent3" w:themeFillTint="19"/>
    </w:tcPr>
    <w:tblStylePr w:type="firstRow">
      <w:rPr>
        <w:b/>
        <w:bCs/>
      </w:rPr>
      <w:tblPr/>
      <w:tcPr>
        <w:tcBorders>
          <w:top w:val="nil"/>
          <w:left w:val="nil"/>
          <w:bottom w:val="single" w:sz="24" w:space="0" w:color="E31F1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064" w:themeFill="accent3" w:themeFillShade="99"/>
      </w:tcPr>
    </w:tblStylePr>
    <w:tblStylePr w:type="firstCol">
      <w:rPr>
        <w:color w:val="FFFFFF" w:themeColor="background1"/>
      </w:rPr>
      <w:tblPr/>
      <w:tcPr>
        <w:tcBorders>
          <w:top w:val="nil"/>
          <w:left w:val="nil"/>
          <w:bottom w:val="nil"/>
          <w:right w:val="nil"/>
          <w:insideH w:val="single" w:sz="4" w:space="0" w:color="005064" w:themeColor="accent3" w:themeShade="99"/>
          <w:insideV w:val="nil"/>
        </w:tcBorders>
        <w:shd w:val="clear" w:color="auto" w:fill="00506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064" w:themeFill="accent3" w:themeFillShade="99"/>
      </w:tcPr>
    </w:tblStylePr>
    <w:tblStylePr w:type="band1Vert">
      <w:tblPr/>
      <w:tcPr>
        <w:shd w:val="clear" w:color="auto" w:fill="76E3FF" w:themeFill="accent3" w:themeFillTint="66"/>
      </w:tcPr>
    </w:tblStylePr>
    <w:tblStylePr w:type="band1Horz">
      <w:tblPr/>
      <w:tcPr>
        <w:shd w:val="clear" w:color="auto" w:fill="54DCFF" w:themeFill="accent3" w:themeFillTint="7F"/>
      </w:tcPr>
    </w:tblStylePr>
  </w:style>
  <w:style w:type="table" w:styleId="ColorfulShading-Accent4">
    <w:name w:val="Colorful Shading Accent 4"/>
    <w:basedOn w:val="TableNormal"/>
    <w:uiPriority w:val="71"/>
    <w:semiHidden/>
    <w:rsid w:val="00272C4B"/>
    <w:pPr>
      <w:spacing w:line="240" w:lineRule="auto"/>
    </w:pPr>
    <w:tblPr>
      <w:tblStyleRowBandSize w:val="1"/>
      <w:tblStyleColBandSize w:val="1"/>
      <w:tblBorders>
        <w:top w:val="single" w:sz="24" w:space="0" w:color="0086A8" w:themeColor="accent3"/>
        <w:left w:val="single" w:sz="4" w:space="0" w:color="E31F18" w:themeColor="accent4"/>
        <w:bottom w:val="single" w:sz="4" w:space="0" w:color="E31F18" w:themeColor="accent4"/>
        <w:right w:val="single" w:sz="4" w:space="0" w:color="E31F18" w:themeColor="accent4"/>
        <w:insideH w:val="single" w:sz="4" w:space="0" w:color="FFFFFF" w:themeColor="background1"/>
        <w:insideV w:val="single" w:sz="4" w:space="0" w:color="FFFFFF" w:themeColor="background1"/>
      </w:tblBorders>
    </w:tblPr>
    <w:tcPr>
      <w:shd w:val="clear" w:color="auto" w:fill="FCE8E7" w:themeFill="accent4" w:themeFillTint="19"/>
    </w:tcPr>
    <w:tblStylePr w:type="firstRow">
      <w:rPr>
        <w:b/>
        <w:bCs/>
      </w:rPr>
      <w:tblPr/>
      <w:tcPr>
        <w:tcBorders>
          <w:top w:val="nil"/>
          <w:left w:val="nil"/>
          <w:bottom w:val="single" w:sz="24" w:space="0" w:color="0086A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120E" w:themeFill="accent4" w:themeFillShade="99"/>
      </w:tcPr>
    </w:tblStylePr>
    <w:tblStylePr w:type="firstCol">
      <w:rPr>
        <w:color w:val="FFFFFF" w:themeColor="background1"/>
      </w:rPr>
      <w:tblPr/>
      <w:tcPr>
        <w:tcBorders>
          <w:top w:val="nil"/>
          <w:left w:val="nil"/>
          <w:bottom w:val="nil"/>
          <w:right w:val="nil"/>
          <w:insideH w:val="single" w:sz="4" w:space="0" w:color="87120E" w:themeColor="accent4" w:themeShade="99"/>
          <w:insideV w:val="nil"/>
        </w:tcBorders>
        <w:shd w:val="clear" w:color="auto" w:fill="871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7120E" w:themeFill="accent4" w:themeFillShade="99"/>
      </w:tcPr>
    </w:tblStylePr>
    <w:tblStylePr w:type="band1Vert">
      <w:tblPr/>
      <w:tcPr>
        <w:shd w:val="clear" w:color="auto" w:fill="F5A3A1" w:themeFill="accent4" w:themeFillTint="66"/>
      </w:tcPr>
    </w:tblStylePr>
    <w:tblStylePr w:type="band1Horz">
      <w:tblPr/>
      <w:tcPr>
        <w:shd w:val="clear" w:color="auto" w:fill="F28D8A" w:themeFill="accent4" w:themeFillTint="7F"/>
      </w:tcPr>
    </w:tblStylePr>
    <w:tblStylePr w:type="neCell">
      <w:rPr>
        <w:color w:val="00577E" w:themeColor="text1"/>
      </w:rPr>
    </w:tblStylePr>
    <w:tblStylePr w:type="nwCell">
      <w:rPr>
        <w:color w:val="00577E" w:themeColor="text1"/>
      </w:rPr>
    </w:tblStylePr>
  </w:style>
  <w:style w:type="table" w:styleId="ColorfulShading-Accent5">
    <w:name w:val="Colorful Shading Accent 5"/>
    <w:basedOn w:val="TableNormal"/>
    <w:uiPriority w:val="71"/>
    <w:semiHidden/>
    <w:rsid w:val="00272C4B"/>
    <w:pPr>
      <w:spacing w:line="240" w:lineRule="auto"/>
    </w:pPr>
    <w:tblPr>
      <w:tblStyleRowBandSize w:val="1"/>
      <w:tblStyleColBandSize w:val="1"/>
      <w:tblBorders>
        <w:top w:val="single" w:sz="24" w:space="0" w:color="696868" w:themeColor="accent6"/>
        <w:left w:val="single" w:sz="4" w:space="0" w:color="72971B" w:themeColor="accent5"/>
        <w:bottom w:val="single" w:sz="4" w:space="0" w:color="72971B" w:themeColor="accent5"/>
        <w:right w:val="single" w:sz="4" w:space="0" w:color="72971B" w:themeColor="accent5"/>
        <w:insideH w:val="single" w:sz="4" w:space="0" w:color="FFFFFF" w:themeColor="background1"/>
        <w:insideV w:val="single" w:sz="4" w:space="0" w:color="FFFFFF" w:themeColor="background1"/>
      </w:tblBorders>
    </w:tblPr>
    <w:tcPr>
      <w:shd w:val="clear" w:color="auto" w:fill="F3FAE3" w:themeFill="accent5" w:themeFillTint="19"/>
    </w:tcPr>
    <w:tblStylePr w:type="firstRow">
      <w:rPr>
        <w:b/>
        <w:bCs/>
      </w:rPr>
      <w:tblPr/>
      <w:tcPr>
        <w:tcBorders>
          <w:top w:val="nil"/>
          <w:left w:val="nil"/>
          <w:bottom w:val="single" w:sz="24" w:space="0" w:color="69686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5A10" w:themeFill="accent5" w:themeFillShade="99"/>
      </w:tcPr>
    </w:tblStylePr>
    <w:tblStylePr w:type="firstCol">
      <w:rPr>
        <w:color w:val="FFFFFF" w:themeColor="background1"/>
      </w:rPr>
      <w:tblPr/>
      <w:tcPr>
        <w:tcBorders>
          <w:top w:val="nil"/>
          <w:left w:val="nil"/>
          <w:bottom w:val="nil"/>
          <w:right w:val="nil"/>
          <w:insideH w:val="single" w:sz="4" w:space="0" w:color="435A10" w:themeColor="accent5" w:themeShade="99"/>
          <w:insideV w:val="nil"/>
        </w:tcBorders>
        <w:shd w:val="clear" w:color="auto" w:fill="435A1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5A10" w:themeFill="accent5" w:themeFillShade="99"/>
      </w:tcPr>
    </w:tblStylePr>
    <w:tblStylePr w:type="band1Vert">
      <w:tblPr/>
      <w:tcPr>
        <w:shd w:val="clear" w:color="auto" w:fill="CEEA8E" w:themeFill="accent5" w:themeFillTint="66"/>
      </w:tcPr>
    </w:tblStylePr>
    <w:tblStylePr w:type="band1Horz">
      <w:tblPr/>
      <w:tcPr>
        <w:shd w:val="clear" w:color="auto" w:fill="C3E572" w:themeFill="accent5" w:themeFillTint="7F"/>
      </w:tcPr>
    </w:tblStylePr>
    <w:tblStylePr w:type="neCell">
      <w:rPr>
        <w:color w:val="00577E" w:themeColor="text1"/>
      </w:rPr>
    </w:tblStylePr>
    <w:tblStylePr w:type="nwCell">
      <w:rPr>
        <w:color w:val="00577E" w:themeColor="text1"/>
      </w:rPr>
    </w:tblStylePr>
  </w:style>
  <w:style w:type="table" w:styleId="ColorfulShading-Accent6">
    <w:name w:val="Colorful Shading Accent 6"/>
    <w:basedOn w:val="TableNormal"/>
    <w:uiPriority w:val="71"/>
    <w:semiHidden/>
    <w:rsid w:val="00272C4B"/>
    <w:pPr>
      <w:spacing w:line="240" w:lineRule="auto"/>
    </w:pPr>
    <w:tblPr>
      <w:tblStyleRowBandSize w:val="1"/>
      <w:tblStyleColBandSize w:val="1"/>
      <w:tblBorders>
        <w:top w:val="single" w:sz="24" w:space="0" w:color="72971B" w:themeColor="accent5"/>
        <w:left w:val="single" w:sz="4" w:space="0" w:color="696868" w:themeColor="accent6"/>
        <w:bottom w:val="single" w:sz="4" w:space="0" w:color="696868" w:themeColor="accent6"/>
        <w:right w:val="single" w:sz="4" w:space="0" w:color="696868" w:themeColor="accent6"/>
        <w:insideH w:val="single" w:sz="4" w:space="0" w:color="FFFFFF" w:themeColor="background1"/>
        <w:insideV w:val="single" w:sz="4" w:space="0" w:color="FFFFFF" w:themeColor="background1"/>
      </w:tblBorders>
    </w:tblPr>
    <w:tcPr>
      <w:shd w:val="clear" w:color="auto" w:fill="F0F0F0" w:themeFill="accent6" w:themeFillTint="19"/>
    </w:tcPr>
    <w:tblStylePr w:type="firstRow">
      <w:rPr>
        <w:b/>
        <w:bCs/>
      </w:rPr>
      <w:tblPr/>
      <w:tcPr>
        <w:tcBorders>
          <w:top w:val="nil"/>
          <w:left w:val="nil"/>
          <w:bottom w:val="single" w:sz="24" w:space="0" w:color="72971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3E3E" w:themeFill="accent6" w:themeFillShade="99"/>
      </w:tcPr>
    </w:tblStylePr>
    <w:tblStylePr w:type="firstCol">
      <w:rPr>
        <w:color w:val="FFFFFF" w:themeColor="background1"/>
      </w:rPr>
      <w:tblPr/>
      <w:tcPr>
        <w:tcBorders>
          <w:top w:val="nil"/>
          <w:left w:val="nil"/>
          <w:bottom w:val="nil"/>
          <w:right w:val="nil"/>
          <w:insideH w:val="single" w:sz="4" w:space="0" w:color="3E3E3E" w:themeColor="accent6" w:themeShade="99"/>
          <w:insideV w:val="nil"/>
        </w:tcBorders>
        <w:shd w:val="clear" w:color="auto" w:fill="3E3E3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3E3E" w:themeFill="accent6" w:themeFillShade="99"/>
      </w:tcPr>
    </w:tblStylePr>
    <w:tblStylePr w:type="band1Vert">
      <w:tblPr/>
      <w:tcPr>
        <w:shd w:val="clear" w:color="auto" w:fill="C3C2C2" w:themeFill="accent6" w:themeFillTint="66"/>
      </w:tcPr>
    </w:tblStylePr>
    <w:tblStylePr w:type="band1Horz">
      <w:tblPr/>
      <w:tcPr>
        <w:shd w:val="clear" w:color="auto" w:fill="B4B3B3" w:themeFill="accent6" w:themeFillTint="7F"/>
      </w:tcPr>
    </w:tblStylePr>
    <w:tblStylePr w:type="neCell">
      <w:rPr>
        <w:color w:val="00577E" w:themeColor="text1"/>
      </w:rPr>
    </w:tblStylePr>
    <w:tblStylePr w:type="nwCell">
      <w:rPr>
        <w:color w:val="00577E" w:themeColor="text1"/>
      </w:rPr>
    </w:tblStylePr>
  </w:style>
  <w:style w:type="table" w:styleId="DarkList">
    <w:name w:val="Dark List"/>
    <w:basedOn w:val="TableNormal"/>
    <w:uiPriority w:val="70"/>
    <w:semiHidden/>
    <w:rsid w:val="00272C4B"/>
    <w:pPr>
      <w:spacing w:line="240" w:lineRule="auto"/>
    </w:pPr>
    <w:rPr>
      <w:color w:val="FFFFFF" w:themeColor="background1"/>
    </w:rPr>
    <w:tblPr>
      <w:tblStyleRowBandSize w:val="1"/>
      <w:tblStyleColBandSize w:val="1"/>
    </w:tblPr>
    <w:tcPr>
      <w:shd w:val="clear" w:color="auto" w:fill="00577E"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2B3E"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5E"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415E" w:themeFill="text1" w:themeFillShade="BF"/>
      </w:tcPr>
    </w:tblStylePr>
    <w:tblStylePr w:type="band1Vert">
      <w:tblPr/>
      <w:tcPr>
        <w:tcBorders>
          <w:top w:val="nil"/>
          <w:left w:val="nil"/>
          <w:bottom w:val="nil"/>
          <w:right w:val="nil"/>
          <w:insideH w:val="nil"/>
          <w:insideV w:val="nil"/>
        </w:tcBorders>
        <w:shd w:val="clear" w:color="auto" w:fill="00415E" w:themeFill="text1" w:themeFillShade="BF"/>
      </w:tcPr>
    </w:tblStylePr>
    <w:tblStylePr w:type="band1Horz">
      <w:tblPr/>
      <w:tcPr>
        <w:tcBorders>
          <w:top w:val="nil"/>
          <w:left w:val="nil"/>
          <w:bottom w:val="nil"/>
          <w:right w:val="nil"/>
          <w:insideH w:val="nil"/>
          <w:insideV w:val="nil"/>
        </w:tcBorders>
        <w:shd w:val="clear" w:color="auto" w:fill="00415E" w:themeFill="text1" w:themeFillShade="BF"/>
      </w:tcPr>
    </w:tblStylePr>
  </w:style>
  <w:style w:type="table" w:styleId="DarkList-Accent1">
    <w:name w:val="Dark List Accent 1"/>
    <w:basedOn w:val="TableNormal"/>
    <w:uiPriority w:val="70"/>
    <w:semiHidden/>
    <w:rsid w:val="00272C4B"/>
    <w:pPr>
      <w:spacing w:line="240" w:lineRule="auto"/>
    </w:pPr>
    <w:rPr>
      <w:color w:val="FFFFFF" w:themeColor="background1"/>
    </w:rPr>
    <w:tblPr>
      <w:tblStyleRowBandSize w:val="1"/>
      <w:tblStyleColBandSize w:val="1"/>
    </w:tblPr>
    <w:tcPr>
      <w:shd w:val="clear" w:color="auto" w:fill="00577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2B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15E" w:themeFill="accent1" w:themeFillShade="BF"/>
      </w:tcPr>
    </w:tblStylePr>
    <w:tblStylePr w:type="band1Vert">
      <w:tblPr/>
      <w:tcPr>
        <w:tcBorders>
          <w:top w:val="nil"/>
          <w:left w:val="nil"/>
          <w:bottom w:val="nil"/>
          <w:right w:val="nil"/>
          <w:insideH w:val="nil"/>
          <w:insideV w:val="nil"/>
        </w:tcBorders>
        <w:shd w:val="clear" w:color="auto" w:fill="00415E" w:themeFill="accent1" w:themeFillShade="BF"/>
      </w:tcPr>
    </w:tblStylePr>
    <w:tblStylePr w:type="band1Horz">
      <w:tblPr/>
      <w:tcPr>
        <w:tcBorders>
          <w:top w:val="nil"/>
          <w:left w:val="nil"/>
          <w:bottom w:val="nil"/>
          <w:right w:val="nil"/>
          <w:insideH w:val="nil"/>
          <w:insideV w:val="nil"/>
        </w:tcBorders>
        <w:shd w:val="clear" w:color="auto" w:fill="00415E" w:themeFill="accent1" w:themeFillShade="BF"/>
      </w:tcPr>
    </w:tblStylePr>
  </w:style>
  <w:style w:type="table" w:styleId="DarkList-Accent2">
    <w:name w:val="Dark List Accent 2"/>
    <w:basedOn w:val="TableNormal"/>
    <w:uiPriority w:val="70"/>
    <w:semiHidden/>
    <w:rsid w:val="00272C4B"/>
    <w:pPr>
      <w:spacing w:line="240" w:lineRule="auto"/>
    </w:pPr>
    <w:rPr>
      <w:color w:val="FFFFFF" w:themeColor="background1"/>
    </w:rPr>
    <w:tblPr>
      <w:tblStyleRowBandSize w:val="1"/>
      <w:tblStyleColBandSize w:val="1"/>
    </w:tblPr>
    <w:tcPr>
      <w:shd w:val="clear" w:color="auto" w:fill="C7D3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6269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9E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9E00" w:themeFill="accent2" w:themeFillShade="BF"/>
      </w:tcPr>
    </w:tblStylePr>
    <w:tblStylePr w:type="band1Vert">
      <w:tblPr/>
      <w:tcPr>
        <w:tcBorders>
          <w:top w:val="nil"/>
          <w:left w:val="nil"/>
          <w:bottom w:val="nil"/>
          <w:right w:val="nil"/>
          <w:insideH w:val="nil"/>
          <w:insideV w:val="nil"/>
        </w:tcBorders>
        <w:shd w:val="clear" w:color="auto" w:fill="949E00" w:themeFill="accent2" w:themeFillShade="BF"/>
      </w:tcPr>
    </w:tblStylePr>
    <w:tblStylePr w:type="band1Horz">
      <w:tblPr/>
      <w:tcPr>
        <w:tcBorders>
          <w:top w:val="nil"/>
          <w:left w:val="nil"/>
          <w:bottom w:val="nil"/>
          <w:right w:val="nil"/>
          <w:insideH w:val="nil"/>
          <w:insideV w:val="nil"/>
        </w:tcBorders>
        <w:shd w:val="clear" w:color="auto" w:fill="949E00" w:themeFill="accent2" w:themeFillShade="BF"/>
      </w:tcPr>
    </w:tblStylePr>
  </w:style>
  <w:style w:type="table" w:styleId="DarkList-Accent3">
    <w:name w:val="Dark List Accent 3"/>
    <w:basedOn w:val="TableNormal"/>
    <w:uiPriority w:val="70"/>
    <w:semiHidden/>
    <w:rsid w:val="00272C4B"/>
    <w:pPr>
      <w:spacing w:line="240" w:lineRule="auto"/>
    </w:pPr>
    <w:rPr>
      <w:color w:val="FFFFFF" w:themeColor="background1"/>
    </w:rPr>
    <w:tblPr>
      <w:tblStyleRowBandSize w:val="1"/>
      <w:tblStyleColBandSize w:val="1"/>
    </w:tblPr>
    <w:tcPr>
      <w:shd w:val="clear" w:color="auto" w:fill="0086A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0042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47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47D" w:themeFill="accent3" w:themeFillShade="BF"/>
      </w:tcPr>
    </w:tblStylePr>
    <w:tblStylePr w:type="band1Vert">
      <w:tblPr/>
      <w:tcPr>
        <w:tcBorders>
          <w:top w:val="nil"/>
          <w:left w:val="nil"/>
          <w:bottom w:val="nil"/>
          <w:right w:val="nil"/>
          <w:insideH w:val="nil"/>
          <w:insideV w:val="nil"/>
        </w:tcBorders>
        <w:shd w:val="clear" w:color="auto" w:fill="00647D" w:themeFill="accent3" w:themeFillShade="BF"/>
      </w:tcPr>
    </w:tblStylePr>
    <w:tblStylePr w:type="band1Horz">
      <w:tblPr/>
      <w:tcPr>
        <w:tcBorders>
          <w:top w:val="nil"/>
          <w:left w:val="nil"/>
          <w:bottom w:val="nil"/>
          <w:right w:val="nil"/>
          <w:insideH w:val="nil"/>
          <w:insideV w:val="nil"/>
        </w:tcBorders>
        <w:shd w:val="clear" w:color="auto" w:fill="00647D" w:themeFill="accent3" w:themeFillShade="BF"/>
      </w:tcPr>
    </w:tblStylePr>
  </w:style>
  <w:style w:type="table" w:styleId="DarkList-Accent4">
    <w:name w:val="Dark List Accent 4"/>
    <w:basedOn w:val="TableNormal"/>
    <w:uiPriority w:val="70"/>
    <w:semiHidden/>
    <w:rsid w:val="00272C4B"/>
    <w:pPr>
      <w:spacing w:line="240" w:lineRule="auto"/>
    </w:pPr>
    <w:rPr>
      <w:color w:val="FFFFFF" w:themeColor="background1"/>
    </w:rPr>
    <w:tblPr>
      <w:tblStyleRowBandSize w:val="1"/>
      <w:tblStyleColBandSize w:val="1"/>
    </w:tblPr>
    <w:tcPr>
      <w:shd w:val="clear" w:color="auto" w:fill="E31F1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710F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916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91612" w:themeFill="accent4" w:themeFillShade="BF"/>
      </w:tcPr>
    </w:tblStylePr>
    <w:tblStylePr w:type="band1Vert">
      <w:tblPr/>
      <w:tcPr>
        <w:tcBorders>
          <w:top w:val="nil"/>
          <w:left w:val="nil"/>
          <w:bottom w:val="nil"/>
          <w:right w:val="nil"/>
          <w:insideH w:val="nil"/>
          <w:insideV w:val="nil"/>
        </w:tcBorders>
        <w:shd w:val="clear" w:color="auto" w:fill="A91612" w:themeFill="accent4" w:themeFillShade="BF"/>
      </w:tcPr>
    </w:tblStylePr>
    <w:tblStylePr w:type="band1Horz">
      <w:tblPr/>
      <w:tcPr>
        <w:tcBorders>
          <w:top w:val="nil"/>
          <w:left w:val="nil"/>
          <w:bottom w:val="nil"/>
          <w:right w:val="nil"/>
          <w:insideH w:val="nil"/>
          <w:insideV w:val="nil"/>
        </w:tcBorders>
        <w:shd w:val="clear" w:color="auto" w:fill="A91612" w:themeFill="accent4" w:themeFillShade="BF"/>
      </w:tcPr>
    </w:tblStylePr>
  </w:style>
  <w:style w:type="table" w:styleId="DarkList-Accent5">
    <w:name w:val="Dark List Accent 5"/>
    <w:basedOn w:val="TableNormal"/>
    <w:uiPriority w:val="70"/>
    <w:semiHidden/>
    <w:rsid w:val="00272C4B"/>
    <w:pPr>
      <w:spacing w:line="240" w:lineRule="auto"/>
    </w:pPr>
    <w:rPr>
      <w:color w:val="FFFFFF" w:themeColor="background1"/>
    </w:rPr>
    <w:tblPr>
      <w:tblStyleRowBandSize w:val="1"/>
      <w:tblStyleColBandSize w:val="1"/>
    </w:tblPr>
    <w:tcPr>
      <w:shd w:val="clear" w:color="auto" w:fill="72971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384A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701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7014" w:themeFill="accent5" w:themeFillShade="BF"/>
      </w:tcPr>
    </w:tblStylePr>
    <w:tblStylePr w:type="band1Vert">
      <w:tblPr/>
      <w:tcPr>
        <w:tcBorders>
          <w:top w:val="nil"/>
          <w:left w:val="nil"/>
          <w:bottom w:val="nil"/>
          <w:right w:val="nil"/>
          <w:insideH w:val="nil"/>
          <w:insideV w:val="nil"/>
        </w:tcBorders>
        <w:shd w:val="clear" w:color="auto" w:fill="547014" w:themeFill="accent5" w:themeFillShade="BF"/>
      </w:tcPr>
    </w:tblStylePr>
    <w:tblStylePr w:type="band1Horz">
      <w:tblPr/>
      <w:tcPr>
        <w:tcBorders>
          <w:top w:val="nil"/>
          <w:left w:val="nil"/>
          <w:bottom w:val="nil"/>
          <w:right w:val="nil"/>
          <w:insideH w:val="nil"/>
          <w:insideV w:val="nil"/>
        </w:tcBorders>
        <w:shd w:val="clear" w:color="auto" w:fill="547014" w:themeFill="accent5" w:themeFillShade="BF"/>
      </w:tcPr>
    </w:tblStylePr>
  </w:style>
  <w:style w:type="table" w:styleId="DarkList-Accent6">
    <w:name w:val="Dark List Accent 6"/>
    <w:basedOn w:val="TableNormal"/>
    <w:uiPriority w:val="70"/>
    <w:semiHidden/>
    <w:rsid w:val="00272C4B"/>
    <w:pPr>
      <w:spacing w:line="240" w:lineRule="auto"/>
    </w:pPr>
    <w:rPr>
      <w:color w:val="FFFFFF" w:themeColor="background1"/>
    </w:rPr>
    <w:tblPr>
      <w:tblStyleRowBandSize w:val="1"/>
      <w:tblStyleColBandSize w:val="1"/>
    </w:tblPr>
    <w:tcPr>
      <w:shd w:val="clear" w:color="auto" w:fill="69686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577E" w:themeFill="text1"/>
      </w:tcPr>
    </w:tblStylePr>
    <w:tblStylePr w:type="lastRow">
      <w:tblPr/>
      <w:tcPr>
        <w:tcBorders>
          <w:top w:val="single" w:sz="18" w:space="0" w:color="FFFFFF" w:themeColor="background1"/>
          <w:left w:val="nil"/>
          <w:bottom w:val="nil"/>
          <w:right w:val="nil"/>
          <w:insideH w:val="nil"/>
          <w:insideV w:val="nil"/>
        </w:tcBorders>
        <w:shd w:val="clear" w:color="auto" w:fill="34333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4D4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4D4D" w:themeFill="accent6" w:themeFillShade="BF"/>
      </w:tcPr>
    </w:tblStylePr>
    <w:tblStylePr w:type="band1Vert">
      <w:tblPr/>
      <w:tcPr>
        <w:tcBorders>
          <w:top w:val="nil"/>
          <w:left w:val="nil"/>
          <w:bottom w:val="nil"/>
          <w:right w:val="nil"/>
          <w:insideH w:val="nil"/>
          <w:insideV w:val="nil"/>
        </w:tcBorders>
        <w:shd w:val="clear" w:color="auto" w:fill="4E4D4D" w:themeFill="accent6" w:themeFillShade="BF"/>
      </w:tcPr>
    </w:tblStylePr>
    <w:tblStylePr w:type="band1Horz">
      <w:tblPr/>
      <w:tcPr>
        <w:tcBorders>
          <w:top w:val="nil"/>
          <w:left w:val="nil"/>
          <w:bottom w:val="nil"/>
          <w:right w:val="nil"/>
          <w:insideH w:val="nil"/>
          <w:insideV w:val="nil"/>
        </w:tcBorders>
        <w:shd w:val="clear" w:color="auto" w:fill="4E4D4D" w:themeFill="accent6" w:themeFillShade="BF"/>
      </w:tcPr>
    </w:tblStylePr>
  </w:style>
  <w:style w:type="table" w:styleId="LightGrid">
    <w:name w:val="Light Grid"/>
    <w:basedOn w:val="TableNormal"/>
    <w:uiPriority w:val="62"/>
    <w:semiHidden/>
    <w:rsid w:val="00272C4B"/>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18" w:space="0" w:color="00577E" w:themeColor="text1"/>
          <w:right w:val="single" w:sz="8" w:space="0" w:color="00577E" w:themeColor="text1"/>
          <w:insideH w:val="nil"/>
          <w:insideV w:val="single" w:sz="8" w:space="0" w:color="00577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insideH w:val="nil"/>
          <w:insideV w:val="single" w:sz="8" w:space="0" w:color="00577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shd w:val="clear" w:color="auto" w:fill="A0E1FF" w:themeFill="text1" w:themeFillTint="3F"/>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shd w:val="clear" w:color="auto" w:fill="A0E1FF" w:themeFill="text1" w:themeFillTint="3F"/>
      </w:tcPr>
    </w:tblStylePr>
    <w:tblStylePr w:type="band2Horz">
      <w:tblPr/>
      <w:tcPr>
        <w:tcBorders>
          <w:top w:val="single" w:sz="8" w:space="0" w:color="00577E" w:themeColor="text1"/>
          <w:left w:val="single" w:sz="8" w:space="0" w:color="00577E" w:themeColor="text1"/>
          <w:bottom w:val="single" w:sz="8" w:space="0" w:color="00577E" w:themeColor="text1"/>
          <w:right w:val="single" w:sz="8" w:space="0" w:color="00577E" w:themeColor="text1"/>
          <w:insideV w:val="single" w:sz="8" w:space="0" w:color="00577E" w:themeColor="text1"/>
        </w:tcBorders>
      </w:tcPr>
    </w:tblStylePr>
  </w:style>
  <w:style w:type="table" w:styleId="LightGrid-Accent1">
    <w:name w:val="Light Grid Accent 1"/>
    <w:basedOn w:val="TableNormal"/>
    <w:uiPriority w:val="62"/>
    <w:semiHidden/>
    <w:rsid w:val="00272C4B"/>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insideH w:val="single" w:sz="8" w:space="0" w:color="00577E" w:themeColor="accent1"/>
        <w:insideV w:val="single" w:sz="8" w:space="0" w:color="00577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18" w:space="0" w:color="00577E" w:themeColor="accent1"/>
          <w:right w:val="single" w:sz="8" w:space="0" w:color="00577E" w:themeColor="accent1"/>
          <w:insideH w:val="nil"/>
          <w:insideV w:val="single" w:sz="8" w:space="0" w:color="00577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insideH w:val="nil"/>
          <w:insideV w:val="single" w:sz="8" w:space="0" w:color="00577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shd w:val="clear" w:color="auto" w:fill="A0E1FF" w:themeFill="accent1" w:themeFillTint="3F"/>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shd w:val="clear" w:color="auto" w:fill="A0E1FF" w:themeFill="accent1" w:themeFillTint="3F"/>
      </w:tcPr>
    </w:tblStylePr>
    <w:tblStylePr w:type="band2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insideV w:val="single" w:sz="8" w:space="0" w:color="00577E" w:themeColor="accent1"/>
        </w:tcBorders>
      </w:tcPr>
    </w:tblStylePr>
  </w:style>
  <w:style w:type="table" w:styleId="LightGrid-Accent2">
    <w:name w:val="Light Grid Accent 2"/>
    <w:basedOn w:val="TableNormal"/>
    <w:uiPriority w:val="62"/>
    <w:semiHidden/>
    <w:rsid w:val="00272C4B"/>
    <w:pPr>
      <w:spacing w:line="240" w:lineRule="auto"/>
    </w:p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insideH w:val="single" w:sz="8" w:space="0" w:color="C7D300" w:themeColor="accent2"/>
        <w:insideV w:val="single" w:sz="8" w:space="0" w:color="C7D3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D300" w:themeColor="accent2"/>
          <w:left w:val="single" w:sz="8" w:space="0" w:color="C7D300" w:themeColor="accent2"/>
          <w:bottom w:val="single" w:sz="18" w:space="0" w:color="C7D300" w:themeColor="accent2"/>
          <w:right w:val="single" w:sz="8" w:space="0" w:color="C7D300" w:themeColor="accent2"/>
          <w:insideH w:val="nil"/>
          <w:insideV w:val="single" w:sz="8" w:space="0" w:color="C7D3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D300" w:themeColor="accent2"/>
          <w:left w:val="single" w:sz="8" w:space="0" w:color="C7D300" w:themeColor="accent2"/>
          <w:bottom w:val="single" w:sz="8" w:space="0" w:color="C7D300" w:themeColor="accent2"/>
          <w:right w:val="single" w:sz="8" w:space="0" w:color="C7D300" w:themeColor="accent2"/>
          <w:insideH w:val="nil"/>
          <w:insideV w:val="single" w:sz="8" w:space="0" w:color="C7D3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tblStylePr w:type="band1Vert">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shd w:val="clear" w:color="auto" w:fill="FAFFB5" w:themeFill="accent2" w:themeFillTint="3F"/>
      </w:tcPr>
    </w:tblStylePr>
    <w:tblStylePr w:type="band1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insideV w:val="single" w:sz="8" w:space="0" w:color="C7D300" w:themeColor="accent2"/>
        </w:tcBorders>
        <w:shd w:val="clear" w:color="auto" w:fill="FAFFB5" w:themeFill="accent2" w:themeFillTint="3F"/>
      </w:tcPr>
    </w:tblStylePr>
    <w:tblStylePr w:type="band2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insideV w:val="single" w:sz="8" w:space="0" w:color="C7D300" w:themeColor="accent2"/>
        </w:tcBorders>
      </w:tcPr>
    </w:tblStylePr>
  </w:style>
  <w:style w:type="table" w:styleId="LightGrid-Accent3">
    <w:name w:val="Light Grid Accent 3"/>
    <w:basedOn w:val="TableNormal"/>
    <w:uiPriority w:val="62"/>
    <w:semiHidden/>
    <w:rsid w:val="00272C4B"/>
    <w:pPr>
      <w:spacing w:line="240" w:lineRule="auto"/>
    </w:p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insideH w:val="single" w:sz="8" w:space="0" w:color="0086A8" w:themeColor="accent3"/>
        <w:insideV w:val="single" w:sz="8" w:space="0" w:color="0086A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6A8" w:themeColor="accent3"/>
          <w:left w:val="single" w:sz="8" w:space="0" w:color="0086A8" w:themeColor="accent3"/>
          <w:bottom w:val="single" w:sz="18" w:space="0" w:color="0086A8" w:themeColor="accent3"/>
          <w:right w:val="single" w:sz="8" w:space="0" w:color="0086A8" w:themeColor="accent3"/>
          <w:insideH w:val="nil"/>
          <w:insideV w:val="single" w:sz="8" w:space="0" w:color="0086A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6A8" w:themeColor="accent3"/>
          <w:left w:val="single" w:sz="8" w:space="0" w:color="0086A8" w:themeColor="accent3"/>
          <w:bottom w:val="single" w:sz="8" w:space="0" w:color="0086A8" w:themeColor="accent3"/>
          <w:right w:val="single" w:sz="8" w:space="0" w:color="0086A8" w:themeColor="accent3"/>
          <w:insideH w:val="nil"/>
          <w:insideV w:val="single" w:sz="8" w:space="0" w:color="0086A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tblStylePr w:type="band1Vert">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shd w:val="clear" w:color="auto" w:fill="AAEDFF" w:themeFill="accent3" w:themeFillTint="3F"/>
      </w:tcPr>
    </w:tblStylePr>
    <w:tblStylePr w:type="band1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insideV w:val="single" w:sz="8" w:space="0" w:color="0086A8" w:themeColor="accent3"/>
        </w:tcBorders>
        <w:shd w:val="clear" w:color="auto" w:fill="AAEDFF" w:themeFill="accent3" w:themeFillTint="3F"/>
      </w:tcPr>
    </w:tblStylePr>
    <w:tblStylePr w:type="band2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insideV w:val="single" w:sz="8" w:space="0" w:color="0086A8" w:themeColor="accent3"/>
        </w:tcBorders>
      </w:tcPr>
    </w:tblStylePr>
  </w:style>
  <w:style w:type="table" w:styleId="LightGrid-Accent4">
    <w:name w:val="Light Grid Accent 4"/>
    <w:basedOn w:val="TableNormal"/>
    <w:uiPriority w:val="62"/>
    <w:semiHidden/>
    <w:rsid w:val="00272C4B"/>
    <w:pPr>
      <w:spacing w:line="240" w:lineRule="auto"/>
    </w:p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insideH w:val="single" w:sz="8" w:space="0" w:color="E31F18" w:themeColor="accent4"/>
        <w:insideV w:val="single" w:sz="8" w:space="0" w:color="E31F1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1F18" w:themeColor="accent4"/>
          <w:left w:val="single" w:sz="8" w:space="0" w:color="E31F18" w:themeColor="accent4"/>
          <w:bottom w:val="single" w:sz="18" w:space="0" w:color="E31F18" w:themeColor="accent4"/>
          <w:right w:val="single" w:sz="8" w:space="0" w:color="E31F18" w:themeColor="accent4"/>
          <w:insideH w:val="nil"/>
          <w:insideV w:val="single" w:sz="8" w:space="0" w:color="E31F1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1F18" w:themeColor="accent4"/>
          <w:left w:val="single" w:sz="8" w:space="0" w:color="E31F18" w:themeColor="accent4"/>
          <w:bottom w:val="single" w:sz="8" w:space="0" w:color="E31F18" w:themeColor="accent4"/>
          <w:right w:val="single" w:sz="8" w:space="0" w:color="E31F18" w:themeColor="accent4"/>
          <w:insideH w:val="nil"/>
          <w:insideV w:val="single" w:sz="8" w:space="0" w:color="E31F1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tblStylePr w:type="band1Vert">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shd w:val="clear" w:color="auto" w:fill="F9C6C5" w:themeFill="accent4" w:themeFillTint="3F"/>
      </w:tcPr>
    </w:tblStylePr>
    <w:tblStylePr w:type="band1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insideV w:val="single" w:sz="8" w:space="0" w:color="E31F18" w:themeColor="accent4"/>
        </w:tcBorders>
        <w:shd w:val="clear" w:color="auto" w:fill="F9C6C5" w:themeFill="accent4" w:themeFillTint="3F"/>
      </w:tcPr>
    </w:tblStylePr>
    <w:tblStylePr w:type="band2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insideV w:val="single" w:sz="8" w:space="0" w:color="E31F18" w:themeColor="accent4"/>
        </w:tcBorders>
      </w:tcPr>
    </w:tblStylePr>
  </w:style>
  <w:style w:type="table" w:styleId="LightGrid-Accent5">
    <w:name w:val="Light Grid Accent 5"/>
    <w:basedOn w:val="TableNormal"/>
    <w:uiPriority w:val="62"/>
    <w:semiHidden/>
    <w:rsid w:val="00272C4B"/>
    <w:pPr>
      <w:spacing w:line="240" w:lineRule="auto"/>
    </w:p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insideH w:val="single" w:sz="8" w:space="0" w:color="72971B" w:themeColor="accent5"/>
        <w:insideV w:val="single" w:sz="8" w:space="0" w:color="72971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2971B" w:themeColor="accent5"/>
          <w:left w:val="single" w:sz="8" w:space="0" w:color="72971B" w:themeColor="accent5"/>
          <w:bottom w:val="single" w:sz="18" w:space="0" w:color="72971B" w:themeColor="accent5"/>
          <w:right w:val="single" w:sz="8" w:space="0" w:color="72971B" w:themeColor="accent5"/>
          <w:insideH w:val="nil"/>
          <w:insideV w:val="single" w:sz="8" w:space="0" w:color="72971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2971B" w:themeColor="accent5"/>
          <w:left w:val="single" w:sz="8" w:space="0" w:color="72971B" w:themeColor="accent5"/>
          <w:bottom w:val="single" w:sz="8" w:space="0" w:color="72971B" w:themeColor="accent5"/>
          <w:right w:val="single" w:sz="8" w:space="0" w:color="72971B" w:themeColor="accent5"/>
          <w:insideH w:val="nil"/>
          <w:insideV w:val="single" w:sz="8" w:space="0" w:color="72971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tblStylePr w:type="band1Vert">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shd w:val="clear" w:color="auto" w:fill="E1F2B9" w:themeFill="accent5" w:themeFillTint="3F"/>
      </w:tcPr>
    </w:tblStylePr>
    <w:tblStylePr w:type="band1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insideV w:val="single" w:sz="8" w:space="0" w:color="72971B" w:themeColor="accent5"/>
        </w:tcBorders>
        <w:shd w:val="clear" w:color="auto" w:fill="E1F2B9" w:themeFill="accent5" w:themeFillTint="3F"/>
      </w:tcPr>
    </w:tblStylePr>
    <w:tblStylePr w:type="band2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insideV w:val="single" w:sz="8" w:space="0" w:color="72971B" w:themeColor="accent5"/>
        </w:tcBorders>
      </w:tcPr>
    </w:tblStylePr>
  </w:style>
  <w:style w:type="table" w:styleId="LightGrid-Accent6">
    <w:name w:val="Light Grid Accent 6"/>
    <w:basedOn w:val="TableNormal"/>
    <w:uiPriority w:val="62"/>
    <w:semiHidden/>
    <w:rsid w:val="00272C4B"/>
    <w:pPr>
      <w:spacing w:line="240" w:lineRule="auto"/>
    </w:p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insideH w:val="single" w:sz="8" w:space="0" w:color="696868" w:themeColor="accent6"/>
        <w:insideV w:val="single" w:sz="8" w:space="0" w:color="69686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96868" w:themeColor="accent6"/>
          <w:left w:val="single" w:sz="8" w:space="0" w:color="696868" w:themeColor="accent6"/>
          <w:bottom w:val="single" w:sz="18" w:space="0" w:color="696868" w:themeColor="accent6"/>
          <w:right w:val="single" w:sz="8" w:space="0" w:color="696868" w:themeColor="accent6"/>
          <w:insideH w:val="nil"/>
          <w:insideV w:val="single" w:sz="8" w:space="0" w:color="69686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96868" w:themeColor="accent6"/>
          <w:left w:val="single" w:sz="8" w:space="0" w:color="696868" w:themeColor="accent6"/>
          <w:bottom w:val="single" w:sz="8" w:space="0" w:color="696868" w:themeColor="accent6"/>
          <w:right w:val="single" w:sz="8" w:space="0" w:color="696868" w:themeColor="accent6"/>
          <w:insideH w:val="nil"/>
          <w:insideV w:val="single" w:sz="8" w:space="0" w:color="69686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tblStylePr w:type="band1Vert">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shd w:val="clear" w:color="auto" w:fill="DAD9D9" w:themeFill="accent6" w:themeFillTint="3F"/>
      </w:tcPr>
    </w:tblStylePr>
    <w:tblStylePr w:type="band1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insideV w:val="single" w:sz="8" w:space="0" w:color="696868" w:themeColor="accent6"/>
        </w:tcBorders>
        <w:shd w:val="clear" w:color="auto" w:fill="DAD9D9" w:themeFill="accent6" w:themeFillTint="3F"/>
      </w:tcPr>
    </w:tblStylePr>
    <w:tblStylePr w:type="band2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insideV w:val="single" w:sz="8" w:space="0" w:color="696868" w:themeColor="accent6"/>
        </w:tcBorders>
      </w:tcPr>
    </w:tblStylePr>
  </w:style>
  <w:style w:type="table" w:styleId="LightList">
    <w:name w:val="Light List"/>
    <w:basedOn w:val="TableNormal"/>
    <w:uiPriority w:val="61"/>
    <w:semiHidden/>
    <w:rsid w:val="00272C4B"/>
    <w:pPr>
      <w:spacing w:line="240" w:lineRule="auto"/>
    </w:p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pPr>
        <w:spacing w:before="0" w:after="0" w:line="240" w:lineRule="auto"/>
      </w:pPr>
      <w:rPr>
        <w:b/>
        <w:bCs/>
        <w:color w:val="FFFFFF" w:themeColor="background1"/>
      </w:rPr>
      <w:tblPr/>
      <w:tcPr>
        <w:shd w:val="clear" w:color="auto" w:fill="00577E" w:themeFill="text1"/>
      </w:tcPr>
    </w:tblStylePr>
    <w:tblStylePr w:type="lastRow">
      <w:pPr>
        <w:spacing w:before="0" w:after="0" w:line="240" w:lineRule="auto"/>
      </w:pPr>
      <w:rPr>
        <w:b/>
        <w:bCs/>
      </w:rPr>
      <w:tblPr/>
      <w:tcPr>
        <w:tcBorders>
          <w:top w:val="double" w:sz="6" w:space="0" w:color="00577E" w:themeColor="text1"/>
          <w:left w:val="single" w:sz="8" w:space="0" w:color="00577E" w:themeColor="text1"/>
          <w:bottom w:val="single" w:sz="8" w:space="0" w:color="00577E" w:themeColor="text1"/>
          <w:right w:val="single" w:sz="8" w:space="0" w:color="00577E" w:themeColor="text1"/>
        </w:tcBorders>
      </w:tcPr>
    </w:tblStylePr>
    <w:tblStylePr w:type="firstCol">
      <w:rPr>
        <w:b/>
        <w:bCs/>
      </w:rPr>
    </w:tblStylePr>
    <w:tblStylePr w:type="lastCol">
      <w:rPr>
        <w:b/>
        <w:bCs/>
      </w:rPr>
    </w:tblStylePr>
    <w:tblStylePr w:type="band1Vert">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tblStylePr w:type="band1Horz">
      <w:tblPr/>
      <w:tcPr>
        <w:tcBorders>
          <w:top w:val="single" w:sz="8" w:space="0" w:color="00577E" w:themeColor="text1"/>
          <w:left w:val="single" w:sz="8" w:space="0" w:color="00577E" w:themeColor="text1"/>
          <w:bottom w:val="single" w:sz="8" w:space="0" w:color="00577E" w:themeColor="text1"/>
          <w:right w:val="single" w:sz="8" w:space="0" w:color="00577E" w:themeColor="text1"/>
        </w:tcBorders>
      </w:tcPr>
    </w:tblStylePr>
  </w:style>
  <w:style w:type="table" w:styleId="LightList-Accent1">
    <w:name w:val="Light List Accent 1"/>
    <w:basedOn w:val="TableNormal"/>
    <w:uiPriority w:val="61"/>
    <w:semiHidden/>
    <w:rsid w:val="00272C4B"/>
    <w:pPr>
      <w:spacing w:line="240" w:lineRule="auto"/>
    </w:p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tblBorders>
    </w:tblPr>
    <w:tblStylePr w:type="firstRow">
      <w:pPr>
        <w:spacing w:before="0" w:after="0" w:line="240" w:lineRule="auto"/>
      </w:pPr>
      <w:rPr>
        <w:b/>
        <w:bCs/>
        <w:color w:val="FFFFFF" w:themeColor="background1"/>
      </w:rPr>
      <w:tblPr/>
      <w:tcPr>
        <w:shd w:val="clear" w:color="auto" w:fill="00577E" w:themeFill="accent1"/>
      </w:tcPr>
    </w:tblStylePr>
    <w:tblStylePr w:type="lastRow">
      <w:pPr>
        <w:spacing w:before="0" w:after="0" w:line="240" w:lineRule="auto"/>
      </w:pPr>
      <w:rPr>
        <w:b/>
        <w:bCs/>
      </w:rPr>
      <w:tblPr/>
      <w:tcPr>
        <w:tcBorders>
          <w:top w:val="double" w:sz="6" w:space="0" w:color="00577E" w:themeColor="accent1"/>
          <w:left w:val="single" w:sz="8" w:space="0" w:color="00577E" w:themeColor="accent1"/>
          <w:bottom w:val="single" w:sz="8" w:space="0" w:color="00577E" w:themeColor="accent1"/>
          <w:right w:val="single" w:sz="8" w:space="0" w:color="00577E" w:themeColor="accent1"/>
        </w:tcBorders>
      </w:tcPr>
    </w:tblStylePr>
    <w:tblStylePr w:type="firstCol">
      <w:rPr>
        <w:b/>
        <w:bCs/>
      </w:rPr>
    </w:tblStylePr>
    <w:tblStylePr w:type="lastCol">
      <w:rPr>
        <w:b/>
        <w:bCs/>
      </w:rPr>
    </w:tblStylePr>
    <w:tblStylePr w:type="band1Vert">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tblStylePr w:type="band1Horz">
      <w:tblPr/>
      <w:tcPr>
        <w:tcBorders>
          <w:top w:val="single" w:sz="8" w:space="0" w:color="00577E" w:themeColor="accent1"/>
          <w:left w:val="single" w:sz="8" w:space="0" w:color="00577E" w:themeColor="accent1"/>
          <w:bottom w:val="single" w:sz="8" w:space="0" w:color="00577E" w:themeColor="accent1"/>
          <w:right w:val="single" w:sz="8" w:space="0" w:color="00577E" w:themeColor="accent1"/>
        </w:tcBorders>
      </w:tcPr>
    </w:tblStylePr>
  </w:style>
  <w:style w:type="table" w:styleId="LightList-Accent2">
    <w:name w:val="Light List Accent 2"/>
    <w:basedOn w:val="TableNormal"/>
    <w:uiPriority w:val="61"/>
    <w:semiHidden/>
    <w:rsid w:val="00272C4B"/>
    <w:pPr>
      <w:spacing w:line="240" w:lineRule="auto"/>
    </w:p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tblBorders>
    </w:tblPr>
    <w:tblStylePr w:type="firstRow">
      <w:pPr>
        <w:spacing w:before="0" w:after="0" w:line="240" w:lineRule="auto"/>
      </w:pPr>
      <w:rPr>
        <w:b/>
        <w:bCs/>
        <w:color w:val="FFFFFF" w:themeColor="background1"/>
      </w:rPr>
      <w:tblPr/>
      <w:tcPr>
        <w:shd w:val="clear" w:color="auto" w:fill="C7D300" w:themeFill="accent2"/>
      </w:tcPr>
    </w:tblStylePr>
    <w:tblStylePr w:type="lastRow">
      <w:pPr>
        <w:spacing w:before="0" w:after="0" w:line="240" w:lineRule="auto"/>
      </w:pPr>
      <w:rPr>
        <w:b/>
        <w:bCs/>
      </w:rPr>
      <w:tblPr/>
      <w:tcPr>
        <w:tcBorders>
          <w:top w:val="double" w:sz="6" w:space="0" w:color="C7D300" w:themeColor="accent2"/>
          <w:left w:val="single" w:sz="8" w:space="0" w:color="C7D300" w:themeColor="accent2"/>
          <w:bottom w:val="single" w:sz="8" w:space="0" w:color="C7D300" w:themeColor="accent2"/>
          <w:right w:val="single" w:sz="8" w:space="0" w:color="C7D300" w:themeColor="accent2"/>
        </w:tcBorders>
      </w:tcPr>
    </w:tblStylePr>
    <w:tblStylePr w:type="firstCol">
      <w:rPr>
        <w:b/>
        <w:bCs/>
      </w:rPr>
    </w:tblStylePr>
    <w:tblStylePr w:type="lastCol">
      <w:rPr>
        <w:b/>
        <w:bCs/>
      </w:rPr>
    </w:tblStylePr>
    <w:tblStylePr w:type="band1Vert">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tblStylePr w:type="band1Horz">
      <w:tblPr/>
      <w:tcPr>
        <w:tcBorders>
          <w:top w:val="single" w:sz="8" w:space="0" w:color="C7D300" w:themeColor="accent2"/>
          <w:left w:val="single" w:sz="8" w:space="0" w:color="C7D300" w:themeColor="accent2"/>
          <w:bottom w:val="single" w:sz="8" w:space="0" w:color="C7D300" w:themeColor="accent2"/>
          <w:right w:val="single" w:sz="8" w:space="0" w:color="C7D300" w:themeColor="accent2"/>
        </w:tcBorders>
      </w:tcPr>
    </w:tblStylePr>
  </w:style>
  <w:style w:type="table" w:styleId="LightList-Accent3">
    <w:name w:val="Light List Accent 3"/>
    <w:basedOn w:val="TableNormal"/>
    <w:uiPriority w:val="61"/>
    <w:semiHidden/>
    <w:rsid w:val="00272C4B"/>
    <w:pPr>
      <w:spacing w:line="240" w:lineRule="auto"/>
    </w:p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tblBorders>
    </w:tblPr>
    <w:tblStylePr w:type="firstRow">
      <w:pPr>
        <w:spacing w:before="0" w:after="0" w:line="240" w:lineRule="auto"/>
      </w:pPr>
      <w:rPr>
        <w:b/>
        <w:bCs/>
        <w:color w:val="FFFFFF" w:themeColor="background1"/>
      </w:rPr>
      <w:tblPr/>
      <w:tcPr>
        <w:shd w:val="clear" w:color="auto" w:fill="0086A8" w:themeFill="accent3"/>
      </w:tcPr>
    </w:tblStylePr>
    <w:tblStylePr w:type="lastRow">
      <w:pPr>
        <w:spacing w:before="0" w:after="0" w:line="240" w:lineRule="auto"/>
      </w:pPr>
      <w:rPr>
        <w:b/>
        <w:bCs/>
      </w:rPr>
      <w:tblPr/>
      <w:tcPr>
        <w:tcBorders>
          <w:top w:val="double" w:sz="6" w:space="0" w:color="0086A8" w:themeColor="accent3"/>
          <w:left w:val="single" w:sz="8" w:space="0" w:color="0086A8" w:themeColor="accent3"/>
          <w:bottom w:val="single" w:sz="8" w:space="0" w:color="0086A8" w:themeColor="accent3"/>
          <w:right w:val="single" w:sz="8" w:space="0" w:color="0086A8" w:themeColor="accent3"/>
        </w:tcBorders>
      </w:tcPr>
    </w:tblStylePr>
    <w:tblStylePr w:type="firstCol">
      <w:rPr>
        <w:b/>
        <w:bCs/>
      </w:rPr>
    </w:tblStylePr>
    <w:tblStylePr w:type="lastCol">
      <w:rPr>
        <w:b/>
        <w:bCs/>
      </w:rPr>
    </w:tblStylePr>
    <w:tblStylePr w:type="band1Vert">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tblStylePr w:type="band1Horz">
      <w:tblPr/>
      <w:tcPr>
        <w:tcBorders>
          <w:top w:val="single" w:sz="8" w:space="0" w:color="0086A8" w:themeColor="accent3"/>
          <w:left w:val="single" w:sz="8" w:space="0" w:color="0086A8" w:themeColor="accent3"/>
          <w:bottom w:val="single" w:sz="8" w:space="0" w:color="0086A8" w:themeColor="accent3"/>
          <w:right w:val="single" w:sz="8" w:space="0" w:color="0086A8" w:themeColor="accent3"/>
        </w:tcBorders>
      </w:tcPr>
    </w:tblStylePr>
  </w:style>
  <w:style w:type="table" w:styleId="LightList-Accent4">
    <w:name w:val="Light List Accent 4"/>
    <w:basedOn w:val="TableNormal"/>
    <w:uiPriority w:val="61"/>
    <w:semiHidden/>
    <w:rsid w:val="00272C4B"/>
    <w:pPr>
      <w:spacing w:line="240" w:lineRule="auto"/>
    </w:p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tblBorders>
    </w:tblPr>
    <w:tblStylePr w:type="firstRow">
      <w:pPr>
        <w:spacing w:before="0" w:after="0" w:line="240" w:lineRule="auto"/>
      </w:pPr>
      <w:rPr>
        <w:b/>
        <w:bCs/>
        <w:color w:val="FFFFFF" w:themeColor="background1"/>
      </w:rPr>
      <w:tblPr/>
      <w:tcPr>
        <w:shd w:val="clear" w:color="auto" w:fill="E31F18" w:themeFill="accent4"/>
      </w:tcPr>
    </w:tblStylePr>
    <w:tblStylePr w:type="lastRow">
      <w:pPr>
        <w:spacing w:before="0" w:after="0" w:line="240" w:lineRule="auto"/>
      </w:pPr>
      <w:rPr>
        <w:b/>
        <w:bCs/>
      </w:rPr>
      <w:tblPr/>
      <w:tcPr>
        <w:tcBorders>
          <w:top w:val="double" w:sz="6" w:space="0" w:color="E31F18" w:themeColor="accent4"/>
          <w:left w:val="single" w:sz="8" w:space="0" w:color="E31F18" w:themeColor="accent4"/>
          <w:bottom w:val="single" w:sz="8" w:space="0" w:color="E31F18" w:themeColor="accent4"/>
          <w:right w:val="single" w:sz="8" w:space="0" w:color="E31F18" w:themeColor="accent4"/>
        </w:tcBorders>
      </w:tcPr>
    </w:tblStylePr>
    <w:tblStylePr w:type="firstCol">
      <w:rPr>
        <w:b/>
        <w:bCs/>
      </w:rPr>
    </w:tblStylePr>
    <w:tblStylePr w:type="lastCol">
      <w:rPr>
        <w:b/>
        <w:bCs/>
      </w:rPr>
    </w:tblStylePr>
    <w:tblStylePr w:type="band1Vert">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tblStylePr w:type="band1Horz">
      <w:tblPr/>
      <w:tcPr>
        <w:tcBorders>
          <w:top w:val="single" w:sz="8" w:space="0" w:color="E31F18" w:themeColor="accent4"/>
          <w:left w:val="single" w:sz="8" w:space="0" w:color="E31F18" w:themeColor="accent4"/>
          <w:bottom w:val="single" w:sz="8" w:space="0" w:color="E31F18" w:themeColor="accent4"/>
          <w:right w:val="single" w:sz="8" w:space="0" w:color="E31F18" w:themeColor="accent4"/>
        </w:tcBorders>
      </w:tcPr>
    </w:tblStylePr>
  </w:style>
  <w:style w:type="table" w:styleId="LightList-Accent5">
    <w:name w:val="Light List Accent 5"/>
    <w:basedOn w:val="TableNormal"/>
    <w:uiPriority w:val="61"/>
    <w:semiHidden/>
    <w:rsid w:val="00272C4B"/>
    <w:pPr>
      <w:spacing w:line="240" w:lineRule="auto"/>
    </w:p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tblBorders>
    </w:tblPr>
    <w:tblStylePr w:type="firstRow">
      <w:pPr>
        <w:spacing w:before="0" w:after="0" w:line="240" w:lineRule="auto"/>
      </w:pPr>
      <w:rPr>
        <w:b/>
        <w:bCs/>
        <w:color w:val="FFFFFF" w:themeColor="background1"/>
      </w:rPr>
      <w:tblPr/>
      <w:tcPr>
        <w:shd w:val="clear" w:color="auto" w:fill="72971B" w:themeFill="accent5"/>
      </w:tcPr>
    </w:tblStylePr>
    <w:tblStylePr w:type="lastRow">
      <w:pPr>
        <w:spacing w:before="0" w:after="0" w:line="240" w:lineRule="auto"/>
      </w:pPr>
      <w:rPr>
        <w:b/>
        <w:bCs/>
      </w:rPr>
      <w:tblPr/>
      <w:tcPr>
        <w:tcBorders>
          <w:top w:val="double" w:sz="6" w:space="0" w:color="72971B" w:themeColor="accent5"/>
          <w:left w:val="single" w:sz="8" w:space="0" w:color="72971B" w:themeColor="accent5"/>
          <w:bottom w:val="single" w:sz="8" w:space="0" w:color="72971B" w:themeColor="accent5"/>
          <w:right w:val="single" w:sz="8" w:space="0" w:color="72971B" w:themeColor="accent5"/>
        </w:tcBorders>
      </w:tcPr>
    </w:tblStylePr>
    <w:tblStylePr w:type="firstCol">
      <w:rPr>
        <w:b/>
        <w:bCs/>
      </w:rPr>
    </w:tblStylePr>
    <w:tblStylePr w:type="lastCol">
      <w:rPr>
        <w:b/>
        <w:bCs/>
      </w:rPr>
    </w:tblStylePr>
    <w:tblStylePr w:type="band1Vert">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tblStylePr w:type="band1Horz">
      <w:tblPr/>
      <w:tcPr>
        <w:tcBorders>
          <w:top w:val="single" w:sz="8" w:space="0" w:color="72971B" w:themeColor="accent5"/>
          <w:left w:val="single" w:sz="8" w:space="0" w:color="72971B" w:themeColor="accent5"/>
          <w:bottom w:val="single" w:sz="8" w:space="0" w:color="72971B" w:themeColor="accent5"/>
          <w:right w:val="single" w:sz="8" w:space="0" w:color="72971B" w:themeColor="accent5"/>
        </w:tcBorders>
      </w:tcPr>
    </w:tblStylePr>
  </w:style>
  <w:style w:type="table" w:styleId="LightList-Accent6">
    <w:name w:val="Light List Accent 6"/>
    <w:basedOn w:val="TableNormal"/>
    <w:uiPriority w:val="61"/>
    <w:semiHidden/>
    <w:rsid w:val="00272C4B"/>
    <w:pPr>
      <w:spacing w:line="240" w:lineRule="auto"/>
    </w:p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tblBorders>
    </w:tblPr>
    <w:tblStylePr w:type="firstRow">
      <w:pPr>
        <w:spacing w:before="0" w:after="0" w:line="240" w:lineRule="auto"/>
      </w:pPr>
      <w:rPr>
        <w:b/>
        <w:bCs/>
        <w:color w:val="FFFFFF" w:themeColor="background1"/>
      </w:rPr>
      <w:tblPr/>
      <w:tcPr>
        <w:shd w:val="clear" w:color="auto" w:fill="696868" w:themeFill="accent6"/>
      </w:tcPr>
    </w:tblStylePr>
    <w:tblStylePr w:type="lastRow">
      <w:pPr>
        <w:spacing w:before="0" w:after="0" w:line="240" w:lineRule="auto"/>
      </w:pPr>
      <w:rPr>
        <w:b/>
        <w:bCs/>
      </w:rPr>
      <w:tblPr/>
      <w:tcPr>
        <w:tcBorders>
          <w:top w:val="double" w:sz="6" w:space="0" w:color="696868" w:themeColor="accent6"/>
          <w:left w:val="single" w:sz="8" w:space="0" w:color="696868" w:themeColor="accent6"/>
          <w:bottom w:val="single" w:sz="8" w:space="0" w:color="696868" w:themeColor="accent6"/>
          <w:right w:val="single" w:sz="8" w:space="0" w:color="696868" w:themeColor="accent6"/>
        </w:tcBorders>
      </w:tcPr>
    </w:tblStylePr>
    <w:tblStylePr w:type="firstCol">
      <w:rPr>
        <w:b/>
        <w:bCs/>
      </w:rPr>
    </w:tblStylePr>
    <w:tblStylePr w:type="lastCol">
      <w:rPr>
        <w:b/>
        <w:bCs/>
      </w:rPr>
    </w:tblStylePr>
    <w:tblStylePr w:type="band1Vert">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tblStylePr w:type="band1Horz">
      <w:tblPr/>
      <w:tcPr>
        <w:tcBorders>
          <w:top w:val="single" w:sz="8" w:space="0" w:color="696868" w:themeColor="accent6"/>
          <w:left w:val="single" w:sz="8" w:space="0" w:color="696868" w:themeColor="accent6"/>
          <w:bottom w:val="single" w:sz="8" w:space="0" w:color="696868" w:themeColor="accent6"/>
          <w:right w:val="single" w:sz="8" w:space="0" w:color="696868" w:themeColor="accent6"/>
        </w:tcBorders>
      </w:tcPr>
    </w:tblStylePr>
  </w:style>
  <w:style w:type="table" w:styleId="LightShading">
    <w:name w:val="Light Shading"/>
    <w:basedOn w:val="TableNormal"/>
    <w:uiPriority w:val="60"/>
    <w:semiHidden/>
    <w:rsid w:val="00272C4B"/>
    <w:pPr>
      <w:spacing w:line="240" w:lineRule="auto"/>
    </w:pPr>
    <w:rPr>
      <w:color w:val="00415E" w:themeColor="text1" w:themeShade="BF"/>
    </w:rPr>
    <w:tblPr>
      <w:tblStyleRowBandSize w:val="1"/>
      <w:tblStyleColBandSize w:val="1"/>
      <w:tblBorders>
        <w:top w:val="single" w:sz="8" w:space="0" w:color="00577E" w:themeColor="text1"/>
        <w:bottom w:val="single" w:sz="8" w:space="0" w:color="00577E" w:themeColor="text1"/>
      </w:tblBorders>
    </w:tblPr>
    <w:tblStylePr w:type="fir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lastRow">
      <w:pPr>
        <w:spacing w:before="0" w:after="0" w:line="240" w:lineRule="auto"/>
      </w:pPr>
      <w:rPr>
        <w:b/>
        <w:bCs/>
      </w:rPr>
      <w:tblPr/>
      <w:tcPr>
        <w:tcBorders>
          <w:top w:val="single" w:sz="8" w:space="0" w:color="00577E" w:themeColor="text1"/>
          <w:left w:val="nil"/>
          <w:bottom w:val="single" w:sz="8" w:space="0" w:color="00577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left w:val="nil"/>
          <w:right w:val="nil"/>
          <w:insideH w:val="nil"/>
          <w:insideV w:val="nil"/>
        </w:tcBorders>
        <w:shd w:val="clear" w:color="auto" w:fill="A0E1FF" w:themeFill="text1" w:themeFillTint="3F"/>
      </w:tcPr>
    </w:tblStylePr>
  </w:style>
  <w:style w:type="table" w:styleId="LightShading-Accent1">
    <w:name w:val="Light Shading Accent 1"/>
    <w:basedOn w:val="TableNormal"/>
    <w:uiPriority w:val="60"/>
    <w:semiHidden/>
    <w:rsid w:val="00272C4B"/>
    <w:pPr>
      <w:spacing w:line="240" w:lineRule="auto"/>
    </w:pPr>
    <w:rPr>
      <w:color w:val="00415E" w:themeColor="accent1" w:themeShade="BF"/>
    </w:rPr>
    <w:tblPr>
      <w:tblStyleRowBandSize w:val="1"/>
      <w:tblStyleColBandSize w:val="1"/>
      <w:tblBorders>
        <w:top w:val="single" w:sz="8" w:space="0" w:color="00577E" w:themeColor="accent1"/>
        <w:bottom w:val="single" w:sz="8" w:space="0" w:color="00577E" w:themeColor="accent1"/>
      </w:tblBorders>
    </w:tblPr>
    <w:tblStylePr w:type="fir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lastRow">
      <w:pPr>
        <w:spacing w:before="0" w:after="0" w:line="240" w:lineRule="auto"/>
      </w:pPr>
      <w:rPr>
        <w:b/>
        <w:bCs/>
      </w:rPr>
      <w:tblPr/>
      <w:tcPr>
        <w:tcBorders>
          <w:top w:val="single" w:sz="8" w:space="0" w:color="00577E" w:themeColor="accent1"/>
          <w:left w:val="nil"/>
          <w:bottom w:val="single" w:sz="8" w:space="0" w:color="00577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E1FF" w:themeFill="accent1" w:themeFillTint="3F"/>
      </w:tcPr>
    </w:tblStylePr>
    <w:tblStylePr w:type="band1Horz">
      <w:tblPr/>
      <w:tcPr>
        <w:tcBorders>
          <w:left w:val="nil"/>
          <w:right w:val="nil"/>
          <w:insideH w:val="nil"/>
          <w:insideV w:val="nil"/>
        </w:tcBorders>
        <w:shd w:val="clear" w:color="auto" w:fill="A0E1FF" w:themeFill="accent1" w:themeFillTint="3F"/>
      </w:tcPr>
    </w:tblStylePr>
  </w:style>
  <w:style w:type="table" w:styleId="LightShading-Accent2">
    <w:name w:val="Light Shading Accent 2"/>
    <w:basedOn w:val="TableNormal"/>
    <w:uiPriority w:val="60"/>
    <w:semiHidden/>
    <w:rsid w:val="00272C4B"/>
    <w:pPr>
      <w:spacing w:line="240" w:lineRule="auto"/>
    </w:pPr>
    <w:rPr>
      <w:color w:val="949E00" w:themeColor="accent2" w:themeShade="BF"/>
    </w:rPr>
    <w:tblPr>
      <w:tblStyleRowBandSize w:val="1"/>
      <w:tblStyleColBandSize w:val="1"/>
      <w:tblBorders>
        <w:top w:val="single" w:sz="8" w:space="0" w:color="C7D300" w:themeColor="accent2"/>
        <w:bottom w:val="single" w:sz="8" w:space="0" w:color="C7D300" w:themeColor="accent2"/>
      </w:tblBorders>
    </w:tblPr>
    <w:tblStylePr w:type="firstRow">
      <w:pPr>
        <w:spacing w:before="0" w:after="0" w:line="240" w:lineRule="auto"/>
      </w:pPr>
      <w:rPr>
        <w:b/>
        <w:bCs/>
      </w:rPr>
      <w:tblPr/>
      <w:tcPr>
        <w:tcBorders>
          <w:top w:val="single" w:sz="8" w:space="0" w:color="C7D300" w:themeColor="accent2"/>
          <w:left w:val="nil"/>
          <w:bottom w:val="single" w:sz="8" w:space="0" w:color="C7D300" w:themeColor="accent2"/>
          <w:right w:val="nil"/>
          <w:insideH w:val="nil"/>
          <w:insideV w:val="nil"/>
        </w:tcBorders>
      </w:tcPr>
    </w:tblStylePr>
    <w:tblStylePr w:type="lastRow">
      <w:pPr>
        <w:spacing w:before="0" w:after="0" w:line="240" w:lineRule="auto"/>
      </w:pPr>
      <w:rPr>
        <w:b/>
        <w:bCs/>
      </w:rPr>
      <w:tblPr/>
      <w:tcPr>
        <w:tcBorders>
          <w:top w:val="single" w:sz="8" w:space="0" w:color="C7D300" w:themeColor="accent2"/>
          <w:left w:val="nil"/>
          <w:bottom w:val="single" w:sz="8" w:space="0" w:color="C7D3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5" w:themeFill="accent2" w:themeFillTint="3F"/>
      </w:tcPr>
    </w:tblStylePr>
    <w:tblStylePr w:type="band1Horz">
      <w:tblPr/>
      <w:tcPr>
        <w:tcBorders>
          <w:left w:val="nil"/>
          <w:right w:val="nil"/>
          <w:insideH w:val="nil"/>
          <w:insideV w:val="nil"/>
        </w:tcBorders>
        <w:shd w:val="clear" w:color="auto" w:fill="FAFFB5" w:themeFill="accent2" w:themeFillTint="3F"/>
      </w:tcPr>
    </w:tblStylePr>
  </w:style>
  <w:style w:type="table" w:styleId="LightShading-Accent3">
    <w:name w:val="Light Shading Accent 3"/>
    <w:basedOn w:val="TableNormal"/>
    <w:uiPriority w:val="60"/>
    <w:semiHidden/>
    <w:rsid w:val="00272C4B"/>
    <w:pPr>
      <w:spacing w:line="240" w:lineRule="auto"/>
    </w:pPr>
    <w:rPr>
      <w:color w:val="00647D" w:themeColor="accent3" w:themeShade="BF"/>
    </w:rPr>
    <w:tblPr>
      <w:tblStyleRowBandSize w:val="1"/>
      <w:tblStyleColBandSize w:val="1"/>
      <w:tblBorders>
        <w:top w:val="single" w:sz="8" w:space="0" w:color="0086A8" w:themeColor="accent3"/>
        <w:bottom w:val="single" w:sz="8" w:space="0" w:color="0086A8" w:themeColor="accent3"/>
      </w:tblBorders>
    </w:tblPr>
    <w:tblStylePr w:type="firstRow">
      <w:pPr>
        <w:spacing w:before="0" w:after="0" w:line="240" w:lineRule="auto"/>
      </w:pPr>
      <w:rPr>
        <w:b/>
        <w:bCs/>
      </w:rPr>
      <w:tblPr/>
      <w:tcPr>
        <w:tcBorders>
          <w:top w:val="single" w:sz="8" w:space="0" w:color="0086A8" w:themeColor="accent3"/>
          <w:left w:val="nil"/>
          <w:bottom w:val="single" w:sz="8" w:space="0" w:color="0086A8" w:themeColor="accent3"/>
          <w:right w:val="nil"/>
          <w:insideH w:val="nil"/>
          <w:insideV w:val="nil"/>
        </w:tcBorders>
      </w:tcPr>
    </w:tblStylePr>
    <w:tblStylePr w:type="lastRow">
      <w:pPr>
        <w:spacing w:before="0" w:after="0" w:line="240" w:lineRule="auto"/>
      </w:pPr>
      <w:rPr>
        <w:b/>
        <w:bCs/>
      </w:rPr>
      <w:tblPr/>
      <w:tcPr>
        <w:tcBorders>
          <w:top w:val="single" w:sz="8" w:space="0" w:color="0086A8" w:themeColor="accent3"/>
          <w:left w:val="nil"/>
          <w:bottom w:val="single" w:sz="8" w:space="0" w:color="0086A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EDFF" w:themeFill="accent3" w:themeFillTint="3F"/>
      </w:tcPr>
    </w:tblStylePr>
    <w:tblStylePr w:type="band1Horz">
      <w:tblPr/>
      <w:tcPr>
        <w:tcBorders>
          <w:left w:val="nil"/>
          <w:right w:val="nil"/>
          <w:insideH w:val="nil"/>
          <w:insideV w:val="nil"/>
        </w:tcBorders>
        <w:shd w:val="clear" w:color="auto" w:fill="AAEDFF" w:themeFill="accent3" w:themeFillTint="3F"/>
      </w:tcPr>
    </w:tblStylePr>
  </w:style>
  <w:style w:type="table" w:styleId="LightShading-Accent4">
    <w:name w:val="Light Shading Accent 4"/>
    <w:basedOn w:val="TableNormal"/>
    <w:uiPriority w:val="60"/>
    <w:semiHidden/>
    <w:rsid w:val="00272C4B"/>
    <w:pPr>
      <w:spacing w:line="240" w:lineRule="auto"/>
    </w:pPr>
    <w:rPr>
      <w:color w:val="A91612" w:themeColor="accent4" w:themeShade="BF"/>
    </w:rPr>
    <w:tblPr>
      <w:tblStyleRowBandSize w:val="1"/>
      <w:tblStyleColBandSize w:val="1"/>
      <w:tblBorders>
        <w:top w:val="single" w:sz="8" w:space="0" w:color="E31F18" w:themeColor="accent4"/>
        <w:bottom w:val="single" w:sz="8" w:space="0" w:color="E31F18" w:themeColor="accent4"/>
      </w:tblBorders>
    </w:tblPr>
    <w:tblStylePr w:type="firstRow">
      <w:pPr>
        <w:spacing w:before="0" w:after="0" w:line="240" w:lineRule="auto"/>
      </w:pPr>
      <w:rPr>
        <w:b/>
        <w:bCs/>
      </w:rPr>
      <w:tblPr/>
      <w:tcPr>
        <w:tcBorders>
          <w:top w:val="single" w:sz="8" w:space="0" w:color="E31F18" w:themeColor="accent4"/>
          <w:left w:val="nil"/>
          <w:bottom w:val="single" w:sz="8" w:space="0" w:color="E31F18" w:themeColor="accent4"/>
          <w:right w:val="nil"/>
          <w:insideH w:val="nil"/>
          <w:insideV w:val="nil"/>
        </w:tcBorders>
      </w:tcPr>
    </w:tblStylePr>
    <w:tblStylePr w:type="lastRow">
      <w:pPr>
        <w:spacing w:before="0" w:after="0" w:line="240" w:lineRule="auto"/>
      </w:pPr>
      <w:rPr>
        <w:b/>
        <w:bCs/>
      </w:rPr>
      <w:tblPr/>
      <w:tcPr>
        <w:tcBorders>
          <w:top w:val="single" w:sz="8" w:space="0" w:color="E31F18" w:themeColor="accent4"/>
          <w:left w:val="nil"/>
          <w:bottom w:val="single" w:sz="8" w:space="0" w:color="E31F1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6C5" w:themeFill="accent4" w:themeFillTint="3F"/>
      </w:tcPr>
    </w:tblStylePr>
    <w:tblStylePr w:type="band1Horz">
      <w:tblPr/>
      <w:tcPr>
        <w:tcBorders>
          <w:left w:val="nil"/>
          <w:right w:val="nil"/>
          <w:insideH w:val="nil"/>
          <w:insideV w:val="nil"/>
        </w:tcBorders>
        <w:shd w:val="clear" w:color="auto" w:fill="F9C6C5" w:themeFill="accent4" w:themeFillTint="3F"/>
      </w:tcPr>
    </w:tblStylePr>
  </w:style>
  <w:style w:type="table" w:styleId="LightShading-Accent5">
    <w:name w:val="Light Shading Accent 5"/>
    <w:basedOn w:val="TableNormal"/>
    <w:uiPriority w:val="60"/>
    <w:semiHidden/>
    <w:rsid w:val="00272C4B"/>
    <w:pPr>
      <w:spacing w:line="240" w:lineRule="auto"/>
    </w:pPr>
    <w:rPr>
      <w:color w:val="547014" w:themeColor="accent5" w:themeShade="BF"/>
    </w:rPr>
    <w:tblPr>
      <w:tblStyleRowBandSize w:val="1"/>
      <w:tblStyleColBandSize w:val="1"/>
      <w:tblBorders>
        <w:top w:val="single" w:sz="8" w:space="0" w:color="72971B" w:themeColor="accent5"/>
        <w:bottom w:val="single" w:sz="8" w:space="0" w:color="72971B" w:themeColor="accent5"/>
      </w:tblBorders>
    </w:tblPr>
    <w:tblStylePr w:type="firstRow">
      <w:pPr>
        <w:spacing w:before="0" w:after="0" w:line="240" w:lineRule="auto"/>
      </w:pPr>
      <w:rPr>
        <w:b/>
        <w:bCs/>
      </w:rPr>
      <w:tblPr/>
      <w:tcPr>
        <w:tcBorders>
          <w:top w:val="single" w:sz="8" w:space="0" w:color="72971B" w:themeColor="accent5"/>
          <w:left w:val="nil"/>
          <w:bottom w:val="single" w:sz="8" w:space="0" w:color="72971B" w:themeColor="accent5"/>
          <w:right w:val="nil"/>
          <w:insideH w:val="nil"/>
          <w:insideV w:val="nil"/>
        </w:tcBorders>
      </w:tcPr>
    </w:tblStylePr>
    <w:tblStylePr w:type="lastRow">
      <w:pPr>
        <w:spacing w:before="0" w:after="0" w:line="240" w:lineRule="auto"/>
      </w:pPr>
      <w:rPr>
        <w:b/>
        <w:bCs/>
      </w:rPr>
      <w:tblPr/>
      <w:tcPr>
        <w:tcBorders>
          <w:top w:val="single" w:sz="8" w:space="0" w:color="72971B" w:themeColor="accent5"/>
          <w:left w:val="nil"/>
          <w:bottom w:val="single" w:sz="8" w:space="0" w:color="72971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B9" w:themeFill="accent5" w:themeFillTint="3F"/>
      </w:tcPr>
    </w:tblStylePr>
    <w:tblStylePr w:type="band1Horz">
      <w:tblPr/>
      <w:tcPr>
        <w:tcBorders>
          <w:left w:val="nil"/>
          <w:right w:val="nil"/>
          <w:insideH w:val="nil"/>
          <w:insideV w:val="nil"/>
        </w:tcBorders>
        <w:shd w:val="clear" w:color="auto" w:fill="E1F2B9" w:themeFill="accent5" w:themeFillTint="3F"/>
      </w:tcPr>
    </w:tblStylePr>
  </w:style>
  <w:style w:type="table" w:styleId="LightShading-Accent6">
    <w:name w:val="Light Shading Accent 6"/>
    <w:basedOn w:val="TableNormal"/>
    <w:uiPriority w:val="60"/>
    <w:semiHidden/>
    <w:rsid w:val="00272C4B"/>
    <w:pPr>
      <w:spacing w:line="240" w:lineRule="auto"/>
    </w:pPr>
    <w:rPr>
      <w:color w:val="4E4D4D" w:themeColor="accent6" w:themeShade="BF"/>
    </w:rPr>
    <w:tblPr>
      <w:tblStyleRowBandSize w:val="1"/>
      <w:tblStyleColBandSize w:val="1"/>
      <w:tblBorders>
        <w:top w:val="single" w:sz="8" w:space="0" w:color="696868" w:themeColor="accent6"/>
        <w:bottom w:val="single" w:sz="8" w:space="0" w:color="696868" w:themeColor="accent6"/>
      </w:tblBorders>
    </w:tblPr>
    <w:tblStylePr w:type="firstRow">
      <w:pPr>
        <w:spacing w:before="0" w:after="0" w:line="240" w:lineRule="auto"/>
      </w:pPr>
      <w:rPr>
        <w:b/>
        <w:bCs/>
      </w:rPr>
      <w:tblPr/>
      <w:tcPr>
        <w:tcBorders>
          <w:top w:val="single" w:sz="8" w:space="0" w:color="696868" w:themeColor="accent6"/>
          <w:left w:val="nil"/>
          <w:bottom w:val="single" w:sz="8" w:space="0" w:color="696868" w:themeColor="accent6"/>
          <w:right w:val="nil"/>
          <w:insideH w:val="nil"/>
          <w:insideV w:val="nil"/>
        </w:tcBorders>
      </w:tcPr>
    </w:tblStylePr>
    <w:tblStylePr w:type="lastRow">
      <w:pPr>
        <w:spacing w:before="0" w:after="0" w:line="240" w:lineRule="auto"/>
      </w:pPr>
      <w:rPr>
        <w:b/>
        <w:bCs/>
      </w:rPr>
      <w:tblPr/>
      <w:tcPr>
        <w:tcBorders>
          <w:top w:val="single" w:sz="8" w:space="0" w:color="696868" w:themeColor="accent6"/>
          <w:left w:val="nil"/>
          <w:bottom w:val="single" w:sz="8" w:space="0" w:color="69686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D9D9" w:themeFill="accent6" w:themeFillTint="3F"/>
      </w:tcPr>
    </w:tblStylePr>
    <w:tblStylePr w:type="band1Horz">
      <w:tblPr/>
      <w:tcPr>
        <w:tcBorders>
          <w:left w:val="nil"/>
          <w:right w:val="nil"/>
          <w:insideH w:val="nil"/>
          <w:insideV w:val="nil"/>
        </w:tcBorders>
        <w:shd w:val="clear" w:color="auto" w:fill="DAD9D9" w:themeFill="accent6" w:themeFillTint="3F"/>
      </w:tcPr>
    </w:tblStylePr>
  </w:style>
  <w:style w:type="table" w:styleId="MediumGrid1">
    <w:name w:val="Medium Grid 1"/>
    <w:basedOn w:val="TableNormal"/>
    <w:uiPriority w:val="67"/>
    <w:semiHidden/>
    <w:rsid w:val="00272C4B"/>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insideV w:val="single" w:sz="8" w:space="0" w:color="0099DE" w:themeColor="text1" w:themeTint="BF"/>
      </w:tblBorders>
    </w:tblPr>
    <w:tcPr>
      <w:shd w:val="clear" w:color="auto" w:fill="A0E1FF" w:themeFill="text1" w:themeFillTint="3F"/>
    </w:tcPr>
    <w:tblStylePr w:type="firstRow">
      <w:rPr>
        <w:b/>
        <w:bCs/>
      </w:rPr>
    </w:tblStylePr>
    <w:tblStylePr w:type="lastRow">
      <w:rPr>
        <w:b/>
        <w:bCs/>
      </w:rPr>
      <w:tblPr/>
      <w:tcPr>
        <w:tcBorders>
          <w:top w:val="single" w:sz="18" w:space="0" w:color="0099DE" w:themeColor="text1" w:themeTint="BF"/>
        </w:tcBorders>
      </w:tcPr>
    </w:tblStylePr>
    <w:tblStylePr w:type="firstCol">
      <w:rPr>
        <w:b/>
        <w:bCs/>
      </w:rPr>
    </w:tblStylePr>
    <w:tblStylePr w:type="lastCol">
      <w:rPr>
        <w:b/>
        <w:bCs/>
      </w:rPr>
    </w:tblStylePr>
    <w:tblStylePr w:type="band1Vert">
      <w:tblPr/>
      <w:tcPr>
        <w:shd w:val="clear" w:color="auto" w:fill="3FC3FF" w:themeFill="text1" w:themeFillTint="7F"/>
      </w:tcPr>
    </w:tblStylePr>
    <w:tblStylePr w:type="band1Horz">
      <w:tblPr/>
      <w:tcPr>
        <w:shd w:val="clear" w:color="auto" w:fill="3FC3FF" w:themeFill="text1" w:themeFillTint="7F"/>
      </w:tcPr>
    </w:tblStylePr>
  </w:style>
  <w:style w:type="table" w:styleId="MediumGrid1-Accent1">
    <w:name w:val="Medium Grid 1 Accent 1"/>
    <w:basedOn w:val="TableNormal"/>
    <w:uiPriority w:val="67"/>
    <w:semiHidden/>
    <w:rsid w:val="00272C4B"/>
    <w:pPr>
      <w:spacing w:line="240" w:lineRule="auto"/>
    </w:pPr>
    <w:tblPr>
      <w:tblStyleRowBandSize w:val="1"/>
      <w:tblStyleColBandSize w:val="1"/>
      <w:tbl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single" w:sz="8" w:space="0" w:color="0099DE" w:themeColor="accent1" w:themeTint="BF"/>
        <w:insideV w:val="single" w:sz="8" w:space="0" w:color="0099DE" w:themeColor="accent1" w:themeTint="BF"/>
      </w:tblBorders>
    </w:tblPr>
    <w:tcPr>
      <w:shd w:val="clear" w:color="auto" w:fill="A0E1FF" w:themeFill="accent1" w:themeFillTint="3F"/>
    </w:tcPr>
    <w:tblStylePr w:type="firstRow">
      <w:rPr>
        <w:b/>
        <w:bCs/>
      </w:rPr>
    </w:tblStylePr>
    <w:tblStylePr w:type="lastRow">
      <w:rPr>
        <w:b/>
        <w:bCs/>
      </w:rPr>
      <w:tblPr/>
      <w:tcPr>
        <w:tcBorders>
          <w:top w:val="single" w:sz="18" w:space="0" w:color="0099DE" w:themeColor="accent1" w:themeTint="BF"/>
        </w:tcBorders>
      </w:tcPr>
    </w:tblStylePr>
    <w:tblStylePr w:type="firstCol">
      <w:rPr>
        <w:b/>
        <w:bCs/>
      </w:rPr>
    </w:tblStylePr>
    <w:tblStylePr w:type="lastCol">
      <w:rPr>
        <w:b/>
        <w:bCs/>
      </w:rPr>
    </w:tblStylePr>
    <w:tblStylePr w:type="band1Vert">
      <w:tblPr/>
      <w:tcPr>
        <w:shd w:val="clear" w:color="auto" w:fill="3FC3FF" w:themeFill="accent1" w:themeFillTint="7F"/>
      </w:tcPr>
    </w:tblStylePr>
    <w:tblStylePr w:type="band1Horz">
      <w:tblPr/>
      <w:tcPr>
        <w:shd w:val="clear" w:color="auto" w:fill="3FC3FF" w:themeFill="accent1" w:themeFillTint="7F"/>
      </w:tcPr>
    </w:tblStylePr>
  </w:style>
  <w:style w:type="table" w:styleId="MediumGrid1-Accent2">
    <w:name w:val="Medium Grid 1 Accent 2"/>
    <w:basedOn w:val="TableNormal"/>
    <w:uiPriority w:val="67"/>
    <w:semiHidden/>
    <w:rsid w:val="00272C4B"/>
    <w:pPr>
      <w:spacing w:line="240" w:lineRule="auto"/>
    </w:pPr>
    <w:tblPr>
      <w:tblStyleRowBandSize w:val="1"/>
      <w:tblStyleColBandSize w:val="1"/>
      <w:tbl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single" w:sz="8" w:space="0" w:color="F1FF1F" w:themeColor="accent2" w:themeTint="BF"/>
        <w:insideV w:val="single" w:sz="8" w:space="0" w:color="F1FF1F" w:themeColor="accent2" w:themeTint="BF"/>
      </w:tblBorders>
    </w:tblPr>
    <w:tcPr>
      <w:shd w:val="clear" w:color="auto" w:fill="FAFFB5" w:themeFill="accent2" w:themeFillTint="3F"/>
    </w:tcPr>
    <w:tblStylePr w:type="firstRow">
      <w:rPr>
        <w:b/>
        <w:bCs/>
      </w:rPr>
    </w:tblStylePr>
    <w:tblStylePr w:type="lastRow">
      <w:rPr>
        <w:b/>
        <w:bCs/>
      </w:rPr>
      <w:tblPr/>
      <w:tcPr>
        <w:tcBorders>
          <w:top w:val="single" w:sz="18" w:space="0" w:color="F1FF1F" w:themeColor="accent2" w:themeTint="BF"/>
        </w:tcBorders>
      </w:tcPr>
    </w:tblStylePr>
    <w:tblStylePr w:type="firstCol">
      <w:rPr>
        <w:b/>
        <w:bCs/>
      </w:rPr>
    </w:tblStylePr>
    <w:tblStylePr w:type="lastCol">
      <w:rPr>
        <w:b/>
        <w:bCs/>
      </w:rPr>
    </w:tblStylePr>
    <w:tblStylePr w:type="band1Vert">
      <w:tblPr/>
      <w:tcPr>
        <w:shd w:val="clear" w:color="auto" w:fill="F6FF6A" w:themeFill="accent2" w:themeFillTint="7F"/>
      </w:tcPr>
    </w:tblStylePr>
    <w:tblStylePr w:type="band1Horz">
      <w:tblPr/>
      <w:tcPr>
        <w:shd w:val="clear" w:color="auto" w:fill="F6FF6A" w:themeFill="accent2" w:themeFillTint="7F"/>
      </w:tcPr>
    </w:tblStylePr>
  </w:style>
  <w:style w:type="table" w:styleId="MediumGrid1-Accent3">
    <w:name w:val="Medium Grid 1 Accent 3"/>
    <w:basedOn w:val="TableNormal"/>
    <w:uiPriority w:val="67"/>
    <w:semiHidden/>
    <w:rsid w:val="00272C4B"/>
    <w:pPr>
      <w:spacing w:line="240" w:lineRule="auto"/>
    </w:pPr>
    <w:tblPr>
      <w:tblStyleRowBandSize w:val="1"/>
      <w:tblStyleColBandSize w:val="1"/>
      <w:tbl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single" w:sz="8" w:space="0" w:color="00C9FD" w:themeColor="accent3" w:themeTint="BF"/>
        <w:insideV w:val="single" w:sz="8" w:space="0" w:color="00C9FD" w:themeColor="accent3" w:themeTint="BF"/>
      </w:tblBorders>
    </w:tblPr>
    <w:tcPr>
      <w:shd w:val="clear" w:color="auto" w:fill="AAEDFF" w:themeFill="accent3" w:themeFillTint="3F"/>
    </w:tcPr>
    <w:tblStylePr w:type="firstRow">
      <w:rPr>
        <w:b/>
        <w:bCs/>
      </w:rPr>
    </w:tblStylePr>
    <w:tblStylePr w:type="lastRow">
      <w:rPr>
        <w:b/>
        <w:bCs/>
      </w:rPr>
      <w:tblPr/>
      <w:tcPr>
        <w:tcBorders>
          <w:top w:val="single" w:sz="18" w:space="0" w:color="00C9FD" w:themeColor="accent3" w:themeTint="BF"/>
        </w:tcBorders>
      </w:tcPr>
    </w:tblStylePr>
    <w:tblStylePr w:type="firstCol">
      <w:rPr>
        <w:b/>
        <w:bCs/>
      </w:rPr>
    </w:tblStylePr>
    <w:tblStylePr w:type="lastCol">
      <w:rPr>
        <w:b/>
        <w:bCs/>
      </w:rPr>
    </w:tblStylePr>
    <w:tblStylePr w:type="band1Vert">
      <w:tblPr/>
      <w:tcPr>
        <w:shd w:val="clear" w:color="auto" w:fill="54DCFF" w:themeFill="accent3" w:themeFillTint="7F"/>
      </w:tcPr>
    </w:tblStylePr>
    <w:tblStylePr w:type="band1Horz">
      <w:tblPr/>
      <w:tcPr>
        <w:shd w:val="clear" w:color="auto" w:fill="54DCFF" w:themeFill="accent3" w:themeFillTint="7F"/>
      </w:tcPr>
    </w:tblStylePr>
  </w:style>
  <w:style w:type="table" w:styleId="MediumGrid1-Accent4">
    <w:name w:val="Medium Grid 1 Accent 4"/>
    <w:basedOn w:val="TableNormal"/>
    <w:uiPriority w:val="67"/>
    <w:semiHidden/>
    <w:rsid w:val="00272C4B"/>
    <w:pPr>
      <w:spacing w:line="240" w:lineRule="auto"/>
    </w:pPr>
    <w:tblPr>
      <w:tblStyleRowBandSize w:val="1"/>
      <w:tblStyleColBandSize w:val="1"/>
      <w:tbl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single" w:sz="8" w:space="0" w:color="EC544F" w:themeColor="accent4" w:themeTint="BF"/>
        <w:insideV w:val="single" w:sz="8" w:space="0" w:color="EC544F" w:themeColor="accent4" w:themeTint="BF"/>
      </w:tblBorders>
    </w:tblPr>
    <w:tcPr>
      <w:shd w:val="clear" w:color="auto" w:fill="F9C6C5" w:themeFill="accent4" w:themeFillTint="3F"/>
    </w:tcPr>
    <w:tblStylePr w:type="firstRow">
      <w:rPr>
        <w:b/>
        <w:bCs/>
      </w:rPr>
    </w:tblStylePr>
    <w:tblStylePr w:type="lastRow">
      <w:rPr>
        <w:b/>
        <w:bCs/>
      </w:rPr>
      <w:tblPr/>
      <w:tcPr>
        <w:tcBorders>
          <w:top w:val="single" w:sz="18" w:space="0" w:color="EC544F" w:themeColor="accent4" w:themeTint="BF"/>
        </w:tcBorders>
      </w:tcPr>
    </w:tblStylePr>
    <w:tblStylePr w:type="firstCol">
      <w:rPr>
        <w:b/>
        <w:bCs/>
      </w:rPr>
    </w:tblStylePr>
    <w:tblStylePr w:type="lastCol">
      <w:rPr>
        <w:b/>
        <w:bCs/>
      </w:rPr>
    </w:tblStylePr>
    <w:tblStylePr w:type="band1Vert">
      <w:tblPr/>
      <w:tcPr>
        <w:shd w:val="clear" w:color="auto" w:fill="F28D8A" w:themeFill="accent4" w:themeFillTint="7F"/>
      </w:tcPr>
    </w:tblStylePr>
    <w:tblStylePr w:type="band1Horz">
      <w:tblPr/>
      <w:tcPr>
        <w:shd w:val="clear" w:color="auto" w:fill="F28D8A" w:themeFill="accent4" w:themeFillTint="7F"/>
      </w:tcPr>
    </w:tblStylePr>
  </w:style>
  <w:style w:type="table" w:styleId="MediumGrid1-Accent5">
    <w:name w:val="Medium Grid 1 Accent 5"/>
    <w:basedOn w:val="TableNormal"/>
    <w:uiPriority w:val="67"/>
    <w:semiHidden/>
    <w:rsid w:val="00272C4B"/>
    <w:pPr>
      <w:spacing w:line="240" w:lineRule="auto"/>
    </w:pPr>
    <w:tblPr>
      <w:tblStyleRowBandSize w:val="1"/>
      <w:tblStyleColBandSize w:val="1"/>
      <w:tbl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single" w:sz="8" w:space="0" w:color="A4D92B" w:themeColor="accent5" w:themeTint="BF"/>
        <w:insideV w:val="single" w:sz="8" w:space="0" w:color="A4D92B" w:themeColor="accent5" w:themeTint="BF"/>
      </w:tblBorders>
    </w:tblPr>
    <w:tcPr>
      <w:shd w:val="clear" w:color="auto" w:fill="E1F2B9" w:themeFill="accent5" w:themeFillTint="3F"/>
    </w:tcPr>
    <w:tblStylePr w:type="firstRow">
      <w:rPr>
        <w:b/>
        <w:bCs/>
      </w:rPr>
    </w:tblStylePr>
    <w:tblStylePr w:type="lastRow">
      <w:rPr>
        <w:b/>
        <w:bCs/>
      </w:rPr>
      <w:tblPr/>
      <w:tcPr>
        <w:tcBorders>
          <w:top w:val="single" w:sz="18" w:space="0" w:color="A4D92B" w:themeColor="accent5" w:themeTint="BF"/>
        </w:tcBorders>
      </w:tcPr>
    </w:tblStylePr>
    <w:tblStylePr w:type="firstCol">
      <w:rPr>
        <w:b/>
        <w:bCs/>
      </w:rPr>
    </w:tblStylePr>
    <w:tblStylePr w:type="lastCol">
      <w:rPr>
        <w:b/>
        <w:bCs/>
      </w:rPr>
    </w:tblStylePr>
    <w:tblStylePr w:type="band1Vert">
      <w:tblPr/>
      <w:tcPr>
        <w:shd w:val="clear" w:color="auto" w:fill="C3E572" w:themeFill="accent5" w:themeFillTint="7F"/>
      </w:tcPr>
    </w:tblStylePr>
    <w:tblStylePr w:type="band1Horz">
      <w:tblPr/>
      <w:tcPr>
        <w:shd w:val="clear" w:color="auto" w:fill="C3E572" w:themeFill="accent5" w:themeFillTint="7F"/>
      </w:tcPr>
    </w:tblStylePr>
  </w:style>
  <w:style w:type="table" w:styleId="MediumGrid1-Accent6">
    <w:name w:val="Medium Grid 1 Accent 6"/>
    <w:basedOn w:val="TableNormal"/>
    <w:uiPriority w:val="67"/>
    <w:semiHidden/>
    <w:rsid w:val="00272C4B"/>
    <w:pPr>
      <w:spacing w:line="240" w:lineRule="auto"/>
    </w:pPr>
    <w:tblPr>
      <w:tblStyleRowBandSize w:val="1"/>
      <w:tblStyleColBandSize w:val="1"/>
      <w:tbl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single" w:sz="8" w:space="0" w:color="8E8D8D" w:themeColor="accent6" w:themeTint="BF"/>
        <w:insideV w:val="single" w:sz="8" w:space="0" w:color="8E8D8D" w:themeColor="accent6" w:themeTint="BF"/>
      </w:tblBorders>
    </w:tblPr>
    <w:tcPr>
      <w:shd w:val="clear" w:color="auto" w:fill="DAD9D9" w:themeFill="accent6" w:themeFillTint="3F"/>
    </w:tcPr>
    <w:tblStylePr w:type="firstRow">
      <w:rPr>
        <w:b/>
        <w:bCs/>
      </w:rPr>
    </w:tblStylePr>
    <w:tblStylePr w:type="lastRow">
      <w:rPr>
        <w:b/>
        <w:bCs/>
      </w:rPr>
      <w:tblPr/>
      <w:tcPr>
        <w:tcBorders>
          <w:top w:val="single" w:sz="18" w:space="0" w:color="8E8D8D" w:themeColor="accent6" w:themeTint="BF"/>
        </w:tcBorders>
      </w:tcPr>
    </w:tblStylePr>
    <w:tblStylePr w:type="firstCol">
      <w:rPr>
        <w:b/>
        <w:bCs/>
      </w:rPr>
    </w:tblStylePr>
    <w:tblStylePr w:type="lastCol">
      <w:rPr>
        <w:b/>
        <w:bCs/>
      </w:rPr>
    </w:tblStylePr>
    <w:tblStylePr w:type="band1Vert">
      <w:tblPr/>
      <w:tcPr>
        <w:shd w:val="clear" w:color="auto" w:fill="B4B3B3" w:themeFill="accent6" w:themeFillTint="7F"/>
      </w:tcPr>
    </w:tblStylePr>
    <w:tblStylePr w:type="band1Horz">
      <w:tblPr/>
      <w:tcPr>
        <w:shd w:val="clear" w:color="auto" w:fill="B4B3B3" w:themeFill="accent6" w:themeFillTint="7F"/>
      </w:tcPr>
    </w:tblStylePr>
  </w:style>
  <w:style w:type="table" w:styleId="MediumGrid2">
    <w:name w:val="Medium Grid 2"/>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insideH w:val="single" w:sz="8" w:space="0" w:color="00577E" w:themeColor="text1"/>
        <w:insideV w:val="single" w:sz="8" w:space="0" w:color="00577E" w:themeColor="text1"/>
      </w:tblBorders>
    </w:tblPr>
    <w:tcPr>
      <w:shd w:val="clear" w:color="auto" w:fill="A0E1FF" w:themeFill="text1" w:themeFillTint="3F"/>
    </w:tcPr>
    <w:tblStylePr w:type="firstRow">
      <w:rPr>
        <w:b/>
        <w:bCs/>
        <w:color w:val="00577E" w:themeColor="text1"/>
      </w:rPr>
      <w:tblPr/>
      <w:tcPr>
        <w:shd w:val="clear" w:color="auto" w:fill="D9F3FF" w:themeFill="text1"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2E7FF" w:themeFill="text1" w:themeFillTint="33"/>
      </w:tcPr>
    </w:tblStylePr>
    <w:tblStylePr w:type="band1Vert">
      <w:tblPr/>
      <w:tcPr>
        <w:shd w:val="clear" w:color="auto" w:fill="3FC3FF" w:themeFill="text1" w:themeFillTint="7F"/>
      </w:tcPr>
    </w:tblStylePr>
    <w:tblStylePr w:type="band1Horz">
      <w:tblPr/>
      <w:tcPr>
        <w:tcBorders>
          <w:insideH w:val="single" w:sz="6" w:space="0" w:color="00577E" w:themeColor="text1"/>
          <w:insideV w:val="single" w:sz="6" w:space="0" w:color="00577E" w:themeColor="text1"/>
        </w:tcBorders>
        <w:shd w:val="clear" w:color="auto" w:fill="3FC3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insideH w:val="single" w:sz="8" w:space="0" w:color="00577E" w:themeColor="accent1"/>
        <w:insideV w:val="single" w:sz="8" w:space="0" w:color="00577E" w:themeColor="accent1"/>
      </w:tblBorders>
    </w:tblPr>
    <w:tcPr>
      <w:shd w:val="clear" w:color="auto" w:fill="A0E1FF" w:themeFill="accent1" w:themeFillTint="3F"/>
    </w:tcPr>
    <w:tblStylePr w:type="firstRow">
      <w:rPr>
        <w:b/>
        <w:bCs/>
        <w:color w:val="00577E" w:themeColor="text1"/>
      </w:rPr>
      <w:tblPr/>
      <w:tcPr>
        <w:shd w:val="clear" w:color="auto" w:fill="D9F3FF" w:themeFill="accent1"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2E7FF" w:themeFill="accent1" w:themeFillTint="33"/>
      </w:tcPr>
    </w:tblStylePr>
    <w:tblStylePr w:type="band1Vert">
      <w:tblPr/>
      <w:tcPr>
        <w:shd w:val="clear" w:color="auto" w:fill="3FC3FF" w:themeFill="accent1" w:themeFillTint="7F"/>
      </w:tcPr>
    </w:tblStylePr>
    <w:tblStylePr w:type="band1Horz">
      <w:tblPr/>
      <w:tcPr>
        <w:tcBorders>
          <w:insideH w:val="single" w:sz="6" w:space="0" w:color="00577E" w:themeColor="accent1"/>
          <w:insideV w:val="single" w:sz="6" w:space="0" w:color="00577E" w:themeColor="accent1"/>
        </w:tcBorders>
        <w:shd w:val="clear" w:color="auto" w:fill="3FC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insideH w:val="single" w:sz="8" w:space="0" w:color="C7D300" w:themeColor="accent2"/>
        <w:insideV w:val="single" w:sz="8" w:space="0" w:color="C7D300" w:themeColor="accent2"/>
      </w:tblBorders>
    </w:tblPr>
    <w:tcPr>
      <w:shd w:val="clear" w:color="auto" w:fill="FAFFB5" w:themeFill="accent2" w:themeFillTint="3F"/>
    </w:tcPr>
    <w:tblStylePr w:type="firstRow">
      <w:rPr>
        <w:b/>
        <w:bCs/>
        <w:color w:val="00577E" w:themeColor="text1"/>
      </w:rPr>
      <w:tblPr/>
      <w:tcPr>
        <w:shd w:val="clear" w:color="auto" w:fill="FDFFE1" w:themeFill="accent2"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FBFFC3" w:themeFill="accent2" w:themeFillTint="33"/>
      </w:tcPr>
    </w:tblStylePr>
    <w:tblStylePr w:type="band1Vert">
      <w:tblPr/>
      <w:tcPr>
        <w:shd w:val="clear" w:color="auto" w:fill="F6FF6A" w:themeFill="accent2" w:themeFillTint="7F"/>
      </w:tcPr>
    </w:tblStylePr>
    <w:tblStylePr w:type="band1Horz">
      <w:tblPr/>
      <w:tcPr>
        <w:tcBorders>
          <w:insideH w:val="single" w:sz="6" w:space="0" w:color="C7D300" w:themeColor="accent2"/>
          <w:insideV w:val="single" w:sz="6" w:space="0" w:color="C7D300" w:themeColor="accent2"/>
        </w:tcBorders>
        <w:shd w:val="clear" w:color="auto" w:fill="F6FF6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insideH w:val="single" w:sz="8" w:space="0" w:color="0086A8" w:themeColor="accent3"/>
        <w:insideV w:val="single" w:sz="8" w:space="0" w:color="0086A8" w:themeColor="accent3"/>
      </w:tblBorders>
    </w:tblPr>
    <w:tcPr>
      <w:shd w:val="clear" w:color="auto" w:fill="AAEDFF" w:themeFill="accent3" w:themeFillTint="3F"/>
    </w:tcPr>
    <w:tblStylePr w:type="firstRow">
      <w:rPr>
        <w:b/>
        <w:bCs/>
        <w:color w:val="00577E" w:themeColor="text1"/>
      </w:rPr>
      <w:tblPr/>
      <w:tcPr>
        <w:shd w:val="clear" w:color="auto" w:fill="DDF8FF" w:themeFill="accent3"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BAF0FF" w:themeFill="accent3" w:themeFillTint="33"/>
      </w:tcPr>
    </w:tblStylePr>
    <w:tblStylePr w:type="band1Vert">
      <w:tblPr/>
      <w:tcPr>
        <w:shd w:val="clear" w:color="auto" w:fill="54DCFF" w:themeFill="accent3" w:themeFillTint="7F"/>
      </w:tcPr>
    </w:tblStylePr>
    <w:tblStylePr w:type="band1Horz">
      <w:tblPr/>
      <w:tcPr>
        <w:tcBorders>
          <w:insideH w:val="single" w:sz="6" w:space="0" w:color="0086A8" w:themeColor="accent3"/>
          <w:insideV w:val="single" w:sz="6" w:space="0" w:color="0086A8" w:themeColor="accent3"/>
        </w:tcBorders>
        <w:shd w:val="clear" w:color="auto" w:fill="54D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insideH w:val="single" w:sz="8" w:space="0" w:color="E31F18" w:themeColor="accent4"/>
        <w:insideV w:val="single" w:sz="8" w:space="0" w:color="E31F18" w:themeColor="accent4"/>
      </w:tblBorders>
    </w:tblPr>
    <w:tcPr>
      <w:shd w:val="clear" w:color="auto" w:fill="F9C6C5" w:themeFill="accent4" w:themeFillTint="3F"/>
    </w:tcPr>
    <w:tblStylePr w:type="firstRow">
      <w:rPr>
        <w:b/>
        <w:bCs/>
        <w:color w:val="00577E" w:themeColor="text1"/>
      </w:rPr>
      <w:tblPr/>
      <w:tcPr>
        <w:shd w:val="clear" w:color="auto" w:fill="FCE8E7" w:themeFill="accent4"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FAD1CF" w:themeFill="accent4" w:themeFillTint="33"/>
      </w:tcPr>
    </w:tblStylePr>
    <w:tblStylePr w:type="band1Vert">
      <w:tblPr/>
      <w:tcPr>
        <w:shd w:val="clear" w:color="auto" w:fill="F28D8A" w:themeFill="accent4" w:themeFillTint="7F"/>
      </w:tcPr>
    </w:tblStylePr>
    <w:tblStylePr w:type="band1Horz">
      <w:tblPr/>
      <w:tcPr>
        <w:tcBorders>
          <w:insideH w:val="single" w:sz="6" w:space="0" w:color="E31F18" w:themeColor="accent4"/>
          <w:insideV w:val="single" w:sz="6" w:space="0" w:color="E31F18" w:themeColor="accent4"/>
        </w:tcBorders>
        <w:shd w:val="clear" w:color="auto" w:fill="F28D8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insideH w:val="single" w:sz="8" w:space="0" w:color="72971B" w:themeColor="accent5"/>
        <w:insideV w:val="single" w:sz="8" w:space="0" w:color="72971B" w:themeColor="accent5"/>
      </w:tblBorders>
    </w:tblPr>
    <w:tcPr>
      <w:shd w:val="clear" w:color="auto" w:fill="E1F2B9" w:themeFill="accent5" w:themeFillTint="3F"/>
    </w:tcPr>
    <w:tblStylePr w:type="firstRow">
      <w:rPr>
        <w:b/>
        <w:bCs/>
        <w:color w:val="00577E" w:themeColor="text1"/>
      </w:rPr>
      <w:tblPr/>
      <w:tcPr>
        <w:shd w:val="clear" w:color="auto" w:fill="F3FAE3" w:themeFill="accent5"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E6F5C6" w:themeFill="accent5" w:themeFillTint="33"/>
      </w:tcPr>
    </w:tblStylePr>
    <w:tblStylePr w:type="band1Vert">
      <w:tblPr/>
      <w:tcPr>
        <w:shd w:val="clear" w:color="auto" w:fill="C3E572" w:themeFill="accent5" w:themeFillTint="7F"/>
      </w:tcPr>
    </w:tblStylePr>
    <w:tblStylePr w:type="band1Horz">
      <w:tblPr/>
      <w:tcPr>
        <w:tcBorders>
          <w:insideH w:val="single" w:sz="6" w:space="0" w:color="72971B" w:themeColor="accent5"/>
          <w:insideV w:val="single" w:sz="6" w:space="0" w:color="72971B" w:themeColor="accent5"/>
        </w:tcBorders>
        <w:shd w:val="clear" w:color="auto" w:fill="C3E57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insideH w:val="single" w:sz="8" w:space="0" w:color="696868" w:themeColor="accent6"/>
        <w:insideV w:val="single" w:sz="8" w:space="0" w:color="696868" w:themeColor="accent6"/>
      </w:tblBorders>
    </w:tblPr>
    <w:tcPr>
      <w:shd w:val="clear" w:color="auto" w:fill="DAD9D9" w:themeFill="accent6" w:themeFillTint="3F"/>
    </w:tcPr>
    <w:tblStylePr w:type="firstRow">
      <w:rPr>
        <w:b/>
        <w:bCs/>
        <w:color w:val="00577E" w:themeColor="text1"/>
      </w:rPr>
      <w:tblPr/>
      <w:tcPr>
        <w:shd w:val="clear" w:color="auto" w:fill="F0F0F0" w:themeFill="accent6" w:themeFillTint="19"/>
      </w:tcPr>
    </w:tblStylePr>
    <w:tblStylePr w:type="lastRow">
      <w:rPr>
        <w:b/>
        <w:bCs/>
        <w:color w:val="00577E" w:themeColor="text1"/>
      </w:rPr>
      <w:tblPr/>
      <w:tcPr>
        <w:tcBorders>
          <w:top w:val="single" w:sz="12" w:space="0" w:color="00577E" w:themeColor="text1"/>
          <w:left w:val="nil"/>
          <w:bottom w:val="nil"/>
          <w:right w:val="nil"/>
          <w:insideH w:val="nil"/>
          <w:insideV w:val="nil"/>
        </w:tcBorders>
        <w:shd w:val="clear" w:color="auto" w:fill="FFFFFF" w:themeFill="background1"/>
      </w:tcPr>
    </w:tblStylePr>
    <w:tblStylePr w:type="firstCol">
      <w:rPr>
        <w:b/>
        <w:bCs/>
        <w:color w:val="00577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577E" w:themeColor="text1"/>
      </w:rPr>
      <w:tblPr/>
      <w:tcPr>
        <w:tcBorders>
          <w:top w:val="nil"/>
          <w:left w:val="nil"/>
          <w:bottom w:val="nil"/>
          <w:right w:val="nil"/>
          <w:insideH w:val="nil"/>
          <w:insideV w:val="nil"/>
        </w:tcBorders>
        <w:shd w:val="clear" w:color="auto" w:fill="E1E0E0" w:themeFill="accent6" w:themeFillTint="33"/>
      </w:tcPr>
    </w:tblStylePr>
    <w:tblStylePr w:type="band1Vert">
      <w:tblPr/>
      <w:tcPr>
        <w:shd w:val="clear" w:color="auto" w:fill="B4B3B3" w:themeFill="accent6" w:themeFillTint="7F"/>
      </w:tcPr>
    </w:tblStylePr>
    <w:tblStylePr w:type="band1Horz">
      <w:tblPr/>
      <w:tcPr>
        <w:tcBorders>
          <w:insideH w:val="single" w:sz="6" w:space="0" w:color="696868" w:themeColor="accent6"/>
          <w:insideV w:val="single" w:sz="6" w:space="0" w:color="696868" w:themeColor="accent6"/>
        </w:tcBorders>
        <w:shd w:val="clear" w:color="auto" w:fill="B4B3B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1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7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7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7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C3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C3FF" w:themeFill="text1" w:themeFillTint="7F"/>
      </w:tcPr>
    </w:tblStylePr>
  </w:style>
  <w:style w:type="table" w:styleId="MediumGrid3-Accent1">
    <w:name w:val="Medium Grid 3 Accent 1"/>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E1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77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77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77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77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C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C3FF" w:themeFill="accent1" w:themeFillTint="7F"/>
      </w:tcPr>
    </w:tblStylePr>
  </w:style>
  <w:style w:type="table" w:styleId="MediumGrid3-Accent2">
    <w:name w:val="Medium Grid 3 Accent 2"/>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D3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D3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D3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D3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F6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F6A" w:themeFill="accent2" w:themeFillTint="7F"/>
      </w:tcPr>
    </w:tblStylePr>
  </w:style>
  <w:style w:type="table" w:styleId="MediumGrid3-Accent3">
    <w:name w:val="Medium Grid 3 Accent 3"/>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E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6A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6A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6A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6A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D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DCFF" w:themeFill="accent3" w:themeFillTint="7F"/>
      </w:tcPr>
    </w:tblStylePr>
  </w:style>
  <w:style w:type="table" w:styleId="MediumGrid3-Accent4">
    <w:name w:val="Medium Grid 3 Accent 4"/>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1F1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1F1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1F1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1F1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D8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D8A" w:themeFill="accent4" w:themeFillTint="7F"/>
      </w:tcPr>
    </w:tblStylePr>
  </w:style>
  <w:style w:type="table" w:styleId="MediumGrid3-Accent5">
    <w:name w:val="Medium Grid 3 Accent 5"/>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B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2971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2971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2971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2971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57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572" w:themeFill="accent5" w:themeFillTint="7F"/>
      </w:tcPr>
    </w:tblStylePr>
  </w:style>
  <w:style w:type="table" w:styleId="MediumGrid3-Accent6">
    <w:name w:val="Medium Grid 3 Accent 6"/>
    <w:basedOn w:val="TableNormal"/>
    <w:uiPriority w:val="69"/>
    <w:semiHidden/>
    <w:rsid w:val="00272C4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D9D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9686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9686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9686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9686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4B3B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4B3B3" w:themeFill="accent6" w:themeFillTint="7F"/>
      </w:tcPr>
    </w:tblStylePr>
  </w:style>
  <w:style w:type="table" w:styleId="MediumList1">
    <w:name w:val="Medium List 1"/>
    <w:basedOn w:val="TableNormal"/>
    <w:uiPriority w:val="65"/>
    <w:semiHidden/>
    <w:rsid w:val="00272C4B"/>
    <w:pPr>
      <w:spacing w:line="240" w:lineRule="auto"/>
    </w:pPr>
    <w:tblPr>
      <w:tblStyleRowBandSize w:val="1"/>
      <w:tblStyleColBandSize w:val="1"/>
      <w:tblBorders>
        <w:top w:val="single" w:sz="8" w:space="0" w:color="00577E" w:themeColor="text1"/>
        <w:bottom w:val="single" w:sz="8" w:space="0" w:color="00577E" w:themeColor="text1"/>
      </w:tblBorders>
    </w:tblPr>
    <w:tblStylePr w:type="firstRow">
      <w:rPr>
        <w:rFonts w:asciiTheme="majorHAnsi" w:eastAsiaTheme="majorEastAsia" w:hAnsiTheme="majorHAnsi" w:cstheme="majorBidi"/>
      </w:rPr>
      <w:tblPr/>
      <w:tcPr>
        <w:tcBorders>
          <w:top w:val="nil"/>
          <w:bottom w:val="single" w:sz="8" w:space="0" w:color="00577E" w:themeColor="text1"/>
        </w:tcBorders>
      </w:tcPr>
    </w:tblStylePr>
    <w:tblStylePr w:type="lastRow">
      <w:rPr>
        <w:b/>
        <w:bCs/>
        <w:color w:val="00577E" w:themeColor="text2"/>
      </w:rPr>
      <w:tblPr/>
      <w:tcPr>
        <w:tcBorders>
          <w:top w:val="single" w:sz="8" w:space="0" w:color="00577E" w:themeColor="text1"/>
          <w:bottom w:val="single" w:sz="8" w:space="0" w:color="00577E" w:themeColor="text1"/>
        </w:tcBorders>
      </w:tcPr>
    </w:tblStylePr>
    <w:tblStylePr w:type="firstCol">
      <w:rPr>
        <w:b/>
        <w:bCs/>
      </w:rPr>
    </w:tblStylePr>
    <w:tblStylePr w:type="lastCol">
      <w:rPr>
        <w:b/>
        <w:bCs/>
      </w:rPr>
      <w:tblPr/>
      <w:tcPr>
        <w:tcBorders>
          <w:top w:val="single" w:sz="8" w:space="0" w:color="00577E" w:themeColor="text1"/>
          <w:bottom w:val="single" w:sz="8" w:space="0" w:color="00577E" w:themeColor="text1"/>
        </w:tcBorders>
      </w:tcPr>
    </w:tblStylePr>
    <w:tblStylePr w:type="band1Vert">
      <w:tblPr/>
      <w:tcPr>
        <w:shd w:val="clear" w:color="auto" w:fill="A0E1FF" w:themeFill="text1" w:themeFillTint="3F"/>
      </w:tcPr>
    </w:tblStylePr>
    <w:tblStylePr w:type="band1Horz">
      <w:tblPr/>
      <w:tcPr>
        <w:shd w:val="clear" w:color="auto" w:fill="A0E1FF" w:themeFill="text1" w:themeFillTint="3F"/>
      </w:tcPr>
    </w:tblStylePr>
  </w:style>
  <w:style w:type="table" w:styleId="MediumList1-Accent1">
    <w:name w:val="Medium List 1 Accent 1"/>
    <w:basedOn w:val="TableNormal"/>
    <w:uiPriority w:val="65"/>
    <w:semiHidden/>
    <w:rsid w:val="00272C4B"/>
    <w:pPr>
      <w:spacing w:line="240" w:lineRule="auto"/>
    </w:pPr>
    <w:tblPr>
      <w:tblStyleRowBandSize w:val="1"/>
      <w:tblStyleColBandSize w:val="1"/>
      <w:tblBorders>
        <w:top w:val="single" w:sz="8" w:space="0" w:color="00577E" w:themeColor="accent1"/>
        <w:bottom w:val="single" w:sz="8" w:space="0" w:color="00577E" w:themeColor="accent1"/>
      </w:tblBorders>
    </w:tblPr>
    <w:tblStylePr w:type="firstRow">
      <w:rPr>
        <w:rFonts w:asciiTheme="majorHAnsi" w:eastAsiaTheme="majorEastAsia" w:hAnsiTheme="majorHAnsi" w:cstheme="majorBidi"/>
      </w:rPr>
      <w:tblPr/>
      <w:tcPr>
        <w:tcBorders>
          <w:top w:val="nil"/>
          <w:bottom w:val="single" w:sz="8" w:space="0" w:color="00577E" w:themeColor="accent1"/>
        </w:tcBorders>
      </w:tcPr>
    </w:tblStylePr>
    <w:tblStylePr w:type="lastRow">
      <w:rPr>
        <w:b/>
        <w:bCs/>
        <w:color w:val="00577E" w:themeColor="text2"/>
      </w:rPr>
      <w:tblPr/>
      <w:tcPr>
        <w:tcBorders>
          <w:top w:val="single" w:sz="8" w:space="0" w:color="00577E" w:themeColor="accent1"/>
          <w:bottom w:val="single" w:sz="8" w:space="0" w:color="00577E" w:themeColor="accent1"/>
        </w:tcBorders>
      </w:tcPr>
    </w:tblStylePr>
    <w:tblStylePr w:type="firstCol">
      <w:rPr>
        <w:b/>
        <w:bCs/>
      </w:rPr>
    </w:tblStylePr>
    <w:tblStylePr w:type="lastCol">
      <w:rPr>
        <w:b/>
        <w:bCs/>
      </w:rPr>
      <w:tblPr/>
      <w:tcPr>
        <w:tcBorders>
          <w:top w:val="single" w:sz="8" w:space="0" w:color="00577E" w:themeColor="accent1"/>
          <w:bottom w:val="single" w:sz="8" w:space="0" w:color="00577E" w:themeColor="accent1"/>
        </w:tcBorders>
      </w:tcPr>
    </w:tblStylePr>
    <w:tblStylePr w:type="band1Vert">
      <w:tblPr/>
      <w:tcPr>
        <w:shd w:val="clear" w:color="auto" w:fill="A0E1FF" w:themeFill="accent1" w:themeFillTint="3F"/>
      </w:tcPr>
    </w:tblStylePr>
    <w:tblStylePr w:type="band1Horz">
      <w:tblPr/>
      <w:tcPr>
        <w:shd w:val="clear" w:color="auto" w:fill="A0E1FF" w:themeFill="accent1" w:themeFillTint="3F"/>
      </w:tcPr>
    </w:tblStylePr>
  </w:style>
  <w:style w:type="table" w:styleId="MediumList1-Accent2">
    <w:name w:val="Medium List 1 Accent 2"/>
    <w:basedOn w:val="TableNormal"/>
    <w:uiPriority w:val="65"/>
    <w:semiHidden/>
    <w:rsid w:val="00272C4B"/>
    <w:pPr>
      <w:spacing w:line="240" w:lineRule="auto"/>
    </w:pPr>
    <w:tblPr>
      <w:tblStyleRowBandSize w:val="1"/>
      <w:tblStyleColBandSize w:val="1"/>
      <w:tblBorders>
        <w:top w:val="single" w:sz="8" w:space="0" w:color="C7D300" w:themeColor="accent2"/>
        <w:bottom w:val="single" w:sz="8" w:space="0" w:color="C7D300" w:themeColor="accent2"/>
      </w:tblBorders>
    </w:tblPr>
    <w:tblStylePr w:type="firstRow">
      <w:rPr>
        <w:rFonts w:asciiTheme="majorHAnsi" w:eastAsiaTheme="majorEastAsia" w:hAnsiTheme="majorHAnsi" w:cstheme="majorBidi"/>
      </w:rPr>
      <w:tblPr/>
      <w:tcPr>
        <w:tcBorders>
          <w:top w:val="nil"/>
          <w:bottom w:val="single" w:sz="8" w:space="0" w:color="C7D300" w:themeColor="accent2"/>
        </w:tcBorders>
      </w:tcPr>
    </w:tblStylePr>
    <w:tblStylePr w:type="lastRow">
      <w:rPr>
        <w:b/>
        <w:bCs/>
        <w:color w:val="00577E" w:themeColor="text2"/>
      </w:rPr>
      <w:tblPr/>
      <w:tcPr>
        <w:tcBorders>
          <w:top w:val="single" w:sz="8" w:space="0" w:color="C7D300" w:themeColor="accent2"/>
          <w:bottom w:val="single" w:sz="8" w:space="0" w:color="C7D300" w:themeColor="accent2"/>
        </w:tcBorders>
      </w:tcPr>
    </w:tblStylePr>
    <w:tblStylePr w:type="firstCol">
      <w:rPr>
        <w:b/>
        <w:bCs/>
      </w:rPr>
    </w:tblStylePr>
    <w:tblStylePr w:type="lastCol">
      <w:rPr>
        <w:b/>
        <w:bCs/>
      </w:rPr>
      <w:tblPr/>
      <w:tcPr>
        <w:tcBorders>
          <w:top w:val="single" w:sz="8" w:space="0" w:color="C7D300" w:themeColor="accent2"/>
          <w:bottom w:val="single" w:sz="8" w:space="0" w:color="C7D300" w:themeColor="accent2"/>
        </w:tcBorders>
      </w:tcPr>
    </w:tblStylePr>
    <w:tblStylePr w:type="band1Vert">
      <w:tblPr/>
      <w:tcPr>
        <w:shd w:val="clear" w:color="auto" w:fill="FAFFB5" w:themeFill="accent2" w:themeFillTint="3F"/>
      </w:tcPr>
    </w:tblStylePr>
    <w:tblStylePr w:type="band1Horz">
      <w:tblPr/>
      <w:tcPr>
        <w:shd w:val="clear" w:color="auto" w:fill="FAFFB5" w:themeFill="accent2" w:themeFillTint="3F"/>
      </w:tcPr>
    </w:tblStylePr>
  </w:style>
  <w:style w:type="table" w:styleId="MediumList1-Accent3">
    <w:name w:val="Medium List 1 Accent 3"/>
    <w:basedOn w:val="TableNormal"/>
    <w:uiPriority w:val="65"/>
    <w:semiHidden/>
    <w:rsid w:val="00272C4B"/>
    <w:pPr>
      <w:spacing w:line="240" w:lineRule="auto"/>
    </w:pPr>
    <w:tblPr>
      <w:tblStyleRowBandSize w:val="1"/>
      <w:tblStyleColBandSize w:val="1"/>
      <w:tblBorders>
        <w:top w:val="single" w:sz="8" w:space="0" w:color="0086A8" w:themeColor="accent3"/>
        <w:bottom w:val="single" w:sz="8" w:space="0" w:color="0086A8" w:themeColor="accent3"/>
      </w:tblBorders>
    </w:tblPr>
    <w:tblStylePr w:type="firstRow">
      <w:rPr>
        <w:rFonts w:asciiTheme="majorHAnsi" w:eastAsiaTheme="majorEastAsia" w:hAnsiTheme="majorHAnsi" w:cstheme="majorBidi"/>
      </w:rPr>
      <w:tblPr/>
      <w:tcPr>
        <w:tcBorders>
          <w:top w:val="nil"/>
          <w:bottom w:val="single" w:sz="8" w:space="0" w:color="0086A8" w:themeColor="accent3"/>
        </w:tcBorders>
      </w:tcPr>
    </w:tblStylePr>
    <w:tblStylePr w:type="lastRow">
      <w:rPr>
        <w:b/>
        <w:bCs/>
        <w:color w:val="00577E" w:themeColor="text2"/>
      </w:rPr>
      <w:tblPr/>
      <w:tcPr>
        <w:tcBorders>
          <w:top w:val="single" w:sz="8" w:space="0" w:color="0086A8" w:themeColor="accent3"/>
          <w:bottom w:val="single" w:sz="8" w:space="0" w:color="0086A8" w:themeColor="accent3"/>
        </w:tcBorders>
      </w:tcPr>
    </w:tblStylePr>
    <w:tblStylePr w:type="firstCol">
      <w:rPr>
        <w:b/>
        <w:bCs/>
      </w:rPr>
    </w:tblStylePr>
    <w:tblStylePr w:type="lastCol">
      <w:rPr>
        <w:b/>
        <w:bCs/>
      </w:rPr>
      <w:tblPr/>
      <w:tcPr>
        <w:tcBorders>
          <w:top w:val="single" w:sz="8" w:space="0" w:color="0086A8" w:themeColor="accent3"/>
          <w:bottom w:val="single" w:sz="8" w:space="0" w:color="0086A8" w:themeColor="accent3"/>
        </w:tcBorders>
      </w:tcPr>
    </w:tblStylePr>
    <w:tblStylePr w:type="band1Vert">
      <w:tblPr/>
      <w:tcPr>
        <w:shd w:val="clear" w:color="auto" w:fill="AAEDFF" w:themeFill="accent3" w:themeFillTint="3F"/>
      </w:tcPr>
    </w:tblStylePr>
    <w:tblStylePr w:type="band1Horz">
      <w:tblPr/>
      <w:tcPr>
        <w:shd w:val="clear" w:color="auto" w:fill="AAEDFF" w:themeFill="accent3" w:themeFillTint="3F"/>
      </w:tcPr>
    </w:tblStylePr>
  </w:style>
  <w:style w:type="table" w:styleId="MediumList1-Accent4">
    <w:name w:val="Medium List 1 Accent 4"/>
    <w:basedOn w:val="TableNormal"/>
    <w:uiPriority w:val="65"/>
    <w:semiHidden/>
    <w:rsid w:val="00272C4B"/>
    <w:pPr>
      <w:spacing w:line="240" w:lineRule="auto"/>
    </w:pPr>
    <w:tblPr>
      <w:tblStyleRowBandSize w:val="1"/>
      <w:tblStyleColBandSize w:val="1"/>
      <w:tblBorders>
        <w:top w:val="single" w:sz="8" w:space="0" w:color="E31F18" w:themeColor="accent4"/>
        <w:bottom w:val="single" w:sz="8" w:space="0" w:color="E31F18" w:themeColor="accent4"/>
      </w:tblBorders>
    </w:tblPr>
    <w:tblStylePr w:type="firstRow">
      <w:rPr>
        <w:rFonts w:asciiTheme="majorHAnsi" w:eastAsiaTheme="majorEastAsia" w:hAnsiTheme="majorHAnsi" w:cstheme="majorBidi"/>
      </w:rPr>
      <w:tblPr/>
      <w:tcPr>
        <w:tcBorders>
          <w:top w:val="nil"/>
          <w:bottom w:val="single" w:sz="8" w:space="0" w:color="E31F18" w:themeColor="accent4"/>
        </w:tcBorders>
      </w:tcPr>
    </w:tblStylePr>
    <w:tblStylePr w:type="lastRow">
      <w:rPr>
        <w:b/>
        <w:bCs/>
        <w:color w:val="00577E" w:themeColor="text2"/>
      </w:rPr>
      <w:tblPr/>
      <w:tcPr>
        <w:tcBorders>
          <w:top w:val="single" w:sz="8" w:space="0" w:color="E31F18" w:themeColor="accent4"/>
          <w:bottom w:val="single" w:sz="8" w:space="0" w:color="E31F18" w:themeColor="accent4"/>
        </w:tcBorders>
      </w:tcPr>
    </w:tblStylePr>
    <w:tblStylePr w:type="firstCol">
      <w:rPr>
        <w:b/>
        <w:bCs/>
      </w:rPr>
    </w:tblStylePr>
    <w:tblStylePr w:type="lastCol">
      <w:rPr>
        <w:b/>
        <w:bCs/>
      </w:rPr>
      <w:tblPr/>
      <w:tcPr>
        <w:tcBorders>
          <w:top w:val="single" w:sz="8" w:space="0" w:color="E31F18" w:themeColor="accent4"/>
          <w:bottom w:val="single" w:sz="8" w:space="0" w:color="E31F18" w:themeColor="accent4"/>
        </w:tcBorders>
      </w:tcPr>
    </w:tblStylePr>
    <w:tblStylePr w:type="band1Vert">
      <w:tblPr/>
      <w:tcPr>
        <w:shd w:val="clear" w:color="auto" w:fill="F9C6C5" w:themeFill="accent4" w:themeFillTint="3F"/>
      </w:tcPr>
    </w:tblStylePr>
    <w:tblStylePr w:type="band1Horz">
      <w:tblPr/>
      <w:tcPr>
        <w:shd w:val="clear" w:color="auto" w:fill="F9C6C5" w:themeFill="accent4" w:themeFillTint="3F"/>
      </w:tcPr>
    </w:tblStylePr>
  </w:style>
  <w:style w:type="table" w:styleId="MediumList1-Accent5">
    <w:name w:val="Medium List 1 Accent 5"/>
    <w:basedOn w:val="TableNormal"/>
    <w:uiPriority w:val="65"/>
    <w:semiHidden/>
    <w:rsid w:val="00272C4B"/>
    <w:pPr>
      <w:spacing w:line="240" w:lineRule="auto"/>
    </w:pPr>
    <w:tblPr>
      <w:tblStyleRowBandSize w:val="1"/>
      <w:tblStyleColBandSize w:val="1"/>
      <w:tblBorders>
        <w:top w:val="single" w:sz="8" w:space="0" w:color="72971B" w:themeColor="accent5"/>
        <w:bottom w:val="single" w:sz="8" w:space="0" w:color="72971B" w:themeColor="accent5"/>
      </w:tblBorders>
    </w:tblPr>
    <w:tblStylePr w:type="firstRow">
      <w:rPr>
        <w:rFonts w:asciiTheme="majorHAnsi" w:eastAsiaTheme="majorEastAsia" w:hAnsiTheme="majorHAnsi" w:cstheme="majorBidi"/>
      </w:rPr>
      <w:tblPr/>
      <w:tcPr>
        <w:tcBorders>
          <w:top w:val="nil"/>
          <w:bottom w:val="single" w:sz="8" w:space="0" w:color="72971B" w:themeColor="accent5"/>
        </w:tcBorders>
      </w:tcPr>
    </w:tblStylePr>
    <w:tblStylePr w:type="lastRow">
      <w:rPr>
        <w:b/>
        <w:bCs/>
        <w:color w:val="00577E" w:themeColor="text2"/>
      </w:rPr>
      <w:tblPr/>
      <w:tcPr>
        <w:tcBorders>
          <w:top w:val="single" w:sz="8" w:space="0" w:color="72971B" w:themeColor="accent5"/>
          <w:bottom w:val="single" w:sz="8" w:space="0" w:color="72971B" w:themeColor="accent5"/>
        </w:tcBorders>
      </w:tcPr>
    </w:tblStylePr>
    <w:tblStylePr w:type="firstCol">
      <w:rPr>
        <w:b/>
        <w:bCs/>
      </w:rPr>
    </w:tblStylePr>
    <w:tblStylePr w:type="lastCol">
      <w:rPr>
        <w:b/>
        <w:bCs/>
      </w:rPr>
      <w:tblPr/>
      <w:tcPr>
        <w:tcBorders>
          <w:top w:val="single" w:sz="8" w:space="0" w:color="72971B" w:themeColor="accent5"/>
          <w:bottom w:val="single" w:sz="8" w:space="0" w:color="72971B" w:themeColor="accent5"/>
        </w:tcBorders>
      </w:tcPr>
    </w:tblStylePr>
    <w:tblStylePr w:type="band1Vert">
      <w:tblPr/>
      <w:tcPr>
        <w:shd w:val="clear" w:color="auto" w:fill="E1F2B9" w:themeFill="accent5" w:themeFillTint="3F"/>
      </w:tcPr>
    </w:tblStylePr>
    <w:tblStylePr w:type="band1Horz">
      <w:tblPr/>
      <w:tcPr>
        <w:shd w:val="clear" w:color="auto" w:fill="E1F2B9" w:themeFill="accent5" w:themeFillTint="3F"/>
      </w:tcPr>
    </w:tblStylePr>
  </w:style>
  <w:style w:type="table" w:styleId="MediumList1-Accent6">
    <w:name w:val="Medium List 1 Accent 6"/>
    <w:basedOn w:val="TableNormal"/>
    <w:uiPriority w:val="65"/>
    <w:semiHidden/>
    <w:rsid w:val="00272C4B"/>
    <w:pPr>
      <w:spacing w:line="240" w:lineRule="auto"/>
    </w:pPr>
    <w:tblPr>
      <w:tblStyleRowBandSize w:val="1"/>
      <w:tblStyleColBandSize w:val="1"/>
      <w:tblBorders>
        <w:top w:val="single" w:sz="8" w:space="0" w:color="696868" w:themeColor="accent6"/>
        <w:bottom w:val="single" w:sz="8" w:space="0" w:color="696868" w:themeColor="accent6"/>
      </w:tblBorders>
    </w:tblPr>
    <w:tblStylePr w:type="firstRow">
      <w:rPr>
        <w:rFonts w:asciiTheme="majorHAnsi" w:eastAsiaTheme="majorEastAsia" w:hAnsiTheme="majorHAnsi" w:cstheme="majorBidi"/>
      </w:rPr>
      <w:tblPr/>
      <w:tcPr>
        <w:tcBorders>
          <w:top w:val="nil"/>
          <w:bottom w:val="single" w:sz="8" w:space="0" w:color="696868" w:themeColor="accent6"/>
        </w:tcBorders>
      </w:tcPr>
    </w:tblStylePr>
    <w:tblStylePr w:type="lastRow">
      <w:rPr>
        <w:b/>
        <w:bCs/>
        <w:color w:val="00577E" w:themeColor="text2"/>
      </w:rPr>
      <w:tblPr/>
      <w:tcPr>
        <w:tcBorders>
          <w:top w:val="single" w:sz="8" w:space="0" w:color="696868" w:themeColor="accent6"/>
          <w:bottom w:val="single" w:sz="8" w:space="0" w:color="696868" w:themeColor="accent6"/>
        </w:tcBorders>
      </w:tcPr>
    </w:tblStylePr>
    <w:tblStylePr w:type="firstCol">
      <w:rPr>
        <w:b/>
        <w:bCs/>
      </w:rPr>
    </w:tblStylePr>
    <w:tblStylePr w:type="lastCol">
      <w:rPr>
        <w:b/>
        <w:bCs/>
      </w:rPr>
      <w:tblPr/>
      <w:tcPr>
        <w:tcBorders>
          <w:top w:val="single" w:sz="8" w:space="0" w:color="696868" w:themeColor="accent6"/>
          <w:bottom w:val="single" w:sz="8" w:space="0" w:color="696868" w:themeColor="accent6"/>
        </w:tcBorders>
      </w:tcPr>
    </w:tblStylePr>
    <w:tblStylePr w:type="band1Vert">
      <w:tblPr/>
      <w:tcPr>
        <w:shd w:val="clear" w:color="auto" w:fill="DAD9D9" w:themeFill="accent6" w:themeFillTint="3F"/>
      </w:tcPr>
    </w:tblStylePr>
    <w:tblStylePr w:type="band1Horz">
      <w:tblPr/>
      <w:tcPr>
        <w:shd w:val="clear" w:color="auto" w:fill="DAD9D9" w:themeFill="accent6" w:themeFillTint="3F"/>
      </w:tcPr>
    </w:tblStylePr>
  </w:style>
  <w:style w:type="table" w:styleId="MediumList2">
    <w:name w:val="Medium List 2"/>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text1"/>
        <w:left w:val="single" w:sz="8" w:space="0" w:color="00577E" w:themeColor="text1"/>
        <w:bottom w:val="single" w:sz="8" w:space="0" w:color="00577E" w:themeColor="text1"/>
        <w:right w:val="single" w:sz="8" w:space="0" w:color="00577E" w:themeColor="text1"/>
      </w:tblBorders>
    </w:tblPr>
    <w:tblStylePr w:type="firstRow">
      <w:rPr>
        <w:sz w:val="24"/>
        <w:szCs w:val="24"/>
      </w:rPr>
      <w:tblPr/>
      <w:tcPr>
        <w:tcBorders>
          <w:top w:val="nil"/>
          <w:left w:val="nil"/>
          <w:bottom w:val="single" w:sz="24" w:space="0" w:color="00577E" w:themeColor="text1"/>
          <w:right w:val="nil"/>
          <w:insideH w:val="nil"/>
          <w:insideV w:val="nil"/>
        </w:tcBorders>
        <w:shd w:val="clear" w:color="auto" w:fill="FFFFFF" w:themeFill="background1"/>
      </w:tcPr>
    </w:tblStylePr>
    <w:tblStylePr w:type="lastRow">
      <w:tblPr/>
      <w:tcPr>
        <w:tcBorders>
          <w:top w:val="single" w:sz="8" w:space="0" w:color="00577E"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7E" w:themeColor="text1"/>
          <w:insideH w:val="nil"/>
          <w:insideV w:val="nil"/>
        </w:tcBorders>
        <w:shd w:val="clear" w:color="auto" w:fill="FFFFFF" w:themeFill="background1"/>
      </w:tcPr>
    </w:tblStylePr>
    <w:tblStylePr w:type="lastCol">
      <w:tblPr/>
      <w:tcPr>
        <w:tcBorders>
          <w:top w:val="nil"/>
          <w:left w:val="single" w:sz="8" w:space="0" w:color="00577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1FF" w:themeFill="text1" w:themeFillTint="3F"/>
      </w:tcPr>
    </w:tblStylePr>
    <w:tblStylePr w:type="band1Horz">
      <w:tblPr/>
      <w:tcPr>
        <w:tcBorders>
          <w:top w:val="nil"/>
          <w:bottom w:val="nil"/>
          <w:insideH w:val="nil"/>
          <w:insideV w:val="nil"/>
        </w:tcBorders>
        <w:shd w:val="clear" w:color="auto" w:fill="A0E1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577E" w:themeColor="accent1"/>
        <w:left w:val="single" w:sz="8" w:space="0" w:color="00577E" w:themeColor="accent1"/>
        <w:bottom w:val="single" w:sz="8" w:space="0" w:color="00577E" w:themeColor="accent1"/>
        <w:right w:val="single" w:sz="8" w:space="0" w:color="00577E" w:themeColor="accent1"/>
      </w:tblBorders>
    </w:tblPr>
    <w:tblStylePr w:type="firstRow">
      <w:rPr>
        <w:sz w:val="24"/>
        <w:szCs w:val="24"/>
      </w:rPr>
      <w:tblPr/>
      <w:tcPr>
        <w:tcBorders>
          <w:top w:val="nil"/>
          <w:left w:val="nil"/>
          <w:bottom w:val="single" w:sz="24" w:space="0" w:color="00577E" w:themeColor="accent1"/>
          <w:right w:val="nil"/>
          <w:insideH w:val="nil"/>
          <w:insideV w:val="nil"/>
        </w:tcBorders>
        <w:shd w:val="clear" w:color="auto" w:fill="FFFFFF" w:themeFill="background1"/>
      </w:tcPr>
    </w:tblStylePr>
    <w:tblStylePr w:type="lastRow">
      <w:tblPr/>
      <w:tcPr>
        <w:tcBorders>
          <w:top w:val="single" w:sz="8" w:space="0" w:color="00577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77E" w:themeColor="accent1"/>
          <w:insideH w:val="nil"/>
          <w:insideV w:val="nil"/>
        </w:tcBorders>
        <w:shd w:val="clear" w:color="auto" w:fill="FFFFFF" w:themeFill="background1"/>
      </w:tcPr>
    </w:tblStylePr>
    <w:tblStylePr w:type="lastCol">
      <w:tblPr/>
      <w:tcPr>
        <w:tcBorders>
          <w:top w:val="nil"/>
          <w:left w:val="single" w:sz="8" w:space="0" w:color="00577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E1FF" w:themeFill="accent1" w:themeFillTint="3F"/>
      </w:tcPr>
    </w:tblStylePr>
    <w:tblStylePr w:type="band1Horz">
      <w:tblPr/>
      <w:tcPr>
        <w:tcBorders>
          <w:top w:val="nil"/>
          <w:bottom w:val="nil"/>
          <w:insideH w:val="nil"/>
          <w:insideV w:val="nil"/>
        </w:tcBorders>
        <w:shd w:val="clear" w:color="auto" w:fill="A0E1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C7D300" w:themeColor="accent2"/>
        <w:left w:val="single" w:sz="8" w:space="0" w:color="C7D300" w:themeColor="accent2"/>
        <w:bottom w:val="single" w:sz="8" w:space="0" w:color="C7D300" w:themeColor="accent2"/>
        <w:right w:val="single" w:sz="8" w:space="0" w:color="C7D300" w:themeColor="accent2"/>
      </w:tblBorders>
    </w:tblPr>
    <w:tblStylePr w:type="firstRow">
      <w:rPr>
        <w:sz w:val="24"/>
        <w:szCs w:val="24"/>
      </w:rPr>
      <w:tblPr/>
      <w:tcPr>
        <w:tcBorders>
          <w:top w:val="nil"/>
          <w:left w:val="nil"/>
          <w:bottom w:val="single" w:sz="24" w:space="0" w:color="C7D300" w:themeColor="accent2"/>
          <w:right w:val="nil"/>
          <w:insideH w:val="nil"/>
          <w:insideV w:val="nil"/>
        </w:tcBorders>
        <w:shd w:val="clear" w:color="auto" w:fill="FFFFFF" w:themeFill="background1"/>
      </w:tcPr>
    </w:tblStylePr>
    <w:tblStylePr w:type="lastRow">
      <w:tblPr/>
      <w:tcPr>
        <w:tcBorders>
          <w:top w:val="single" w:sz="8" w:space="0" w:color="C7D3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D300" w:themeColor="accent2"/>
          <w:insideH w:val="nil"/>
          <w:insideV w:val="nil"/>
        </w:tcBorders>
        <w:shd w:val="clear" w:color="auto" w:fill="FFFFFF" w:themeFill="background1"/>
      </w:tcPr>
    </w:tblStylePr>
    <w:tblStylePr w:type="lastCol">
      <w:tblPr/>
      <w:tcPr>
        <w:tcBorders>
          <w:top w:val="nil"/>
          <w:left w:val="single" w:sz="8" w:space="0" w:color="C7D3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5" w:themeFill="accent2" w:themeFillTint="3F"/>
      </w:tcPr>
    </w:tblStylePr>
    <w:tblStylePr w:type="band1Horz">
      <w:tblPr/>
      <w:tcPr>
        <w:tcBorders>
          <w:top w:val="nil"/>
          <w:bottom w:val="nil"/>
          <w:insideH w:val="nil"/>
          <w:insideV w:val="nil"/>
        </w:tcBorders>
        <w:shd w:val="clear" w:color="auto" w:fill="FAFFB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0086A8" w:themeColor="accent3"/>
        <w:left w:val="single" w:sz="8" w:space="0" w:color="0086A8" w:themeColor="accent3"/>
        <w:bottom w:val="single" w:sz="8" w:space="0" w:color="0086A8" w:themeColor="accent3"/>
        <w:right w:val="single" w:sz="8" w:space="0" w:color="0086A8" w:themeColor="accent3"/>
      </w:tblBorders>
    </w:tblPr>
    <w:tblStylePr w:type="firstRow">
      <w:rPr>
        <w:sz w:val="24"/>
        <w:szCs w:val="24"/>
      </w:rPr>
      <w:tblPr/>
      <w:tcPr>
        <w:tcBorders>
          <w:top w:val="nil"/>
          <w:left w:val="nil"/>
          <w:bottom w:val="single" w:sz="24" w:space="0" w:color="0086A8" w:themeColor="accent3"/>
          <w:right w:val="nil"/>
          <w:insideH w:val="nil"/>
          <w:insideV w:val="nil"/>
        </w:tcBorders>
        <w:shd w:val="clear" w:color="auto" w:fill="FFFFFF" w:themeFill="background1"/>
      </w:tcPr>
    </w:tblStylePr>
    <w:tblStylePr w:type="lastRow">
      <w:tblPr/>
      <w:tcPr>
        <w:tcBorders>
          <w:top w:val="single" w:sz="8" w:space="0" w:color="0086A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6A8" w:themeColor="accent3"/>
          <w:insideH w:val="nil"/>
          <w:insideV w:val="nil"/>
        </w:tcBorders>
        <w:shd w:val="clear" w:color="auto" w:fill="FFFFFF" w:themeFill="background1"/>
      </w:tcPr>
    </w:tblStylePr>
    <w:tblStylePr w:type="lastCol">
      <w:tblPr/>
      <w:tcPr>
        <w:tcBorders>
          <w:top w:val="nil"/>
          <w:left w:val="single" w:sz="8" w:space="0" w:color="0086A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EDFF" w:themeFill="accent3" w:themeFillTint="3F"/>
      </w:tcPr>
    </w:tblStylePr>
    <w:tblStylePr w:type="band1Horz">
      <w:tblPr/>
      <w:tcPr>
        <w:tcBorders>
          <w:top w:val="nil"/>
          <w:bottom w:val="nil"/>
          <w:insideH w:val="nil"/>
          <w:insideV w:val="nil"/>
        </w:tcBorders>
        <w:shd w:val="clear" w:color="auto" w:fill="AAE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E31F18" w:themeColor="accent4"/>
        <w:left w:val="single" w:sz="8" w:space="0" w:color="E31F18" w:themeColor="accent4"/>
        <w:bottom w:val="single" w:sz="8" w:space="0" w:color="E31F18" w:themeColor="accent4"/>
        <w:right w:val="single" w:sz="8" w:space="0" w:color="E31F18" w:themeColor="accent4"/>
      </w:tblBorders>
    </w:tblPr>
    <w:tblStylePr w:type="firstRow">
      <w:rPr>
        <w:sz w:val="24"/>
        <w:szCs w:val="24"/>
      </w:rPr>
      <w:tblPr/>
      <w:tcPr>
        <w:tcBorders>
          <w:top w:val="nil"/>
          <w:left w:val="nil"/>
          <w:bottom w:val="single" w:sz="24" w:space="0" w:color="E31F18" w:themeColor="accent4"/>
          <w:right w:val="nil"/>
          <w:insideH w:val="nil"/>
          <w:insideV w:val="nil"/>
        </w:tcBorders>
        <w:shd w:val="clear" w:color="auto" w:fill="FFFFFF" w:themeFill="background1"/>
      </w:tcPr>
    </w:tblStylePr>
    <w:tblStylePr w:type="lastRow">
      <w:tblPr/>
      <w:tcPr>
        <w:tcBorders>
          <w:top w:val="single" w:sz="8" w:space="0" w:color="E31F1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1F18" w:themeColor="accent4"/>
          <w:insideH w:val="nil"/>
          <w:insideV w:val="nil"/>
        </w:tcBorders>
        <w:shd w:val="clear" w:color="auto" w:fill="FFFFFF" w:themeFill="background1"/>
      </w:tcPr>
    </w:tblStylePr>
    <w:tblStylePr w:type="lastCol">
      <w:tblPr/>
      <w:tcPr>
        <w:tcBorders>
          <w:top w:val="nil"/>
          <w:left w:val="single" w:sz="8" w:space="0" w:color="E31F1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6C5" w:themeFill="accent4" w:themeFillTint="3F"/>
      </w:tcPr>
    </w:tblStylePr>
    <w:tblStylePr w:type="band1Horz">
      <w:tblPr/>
      <w:tcPr>
        <w:tcBorders>
          <w:top w:val="nil"/>
          <w:bottom w:val="nil"/>
          <w:insideH w:val="nil"/>
          <w:insideV w:val="nil"/>
        </w:tcBorders>
        <w:shd w:val="clear" w:color="auto" w:fill="F9C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72971B" w:themeColor="accent5"/>
        <w:left w:val="single" w:sz="8" w:space="0" w:color="72971B" w:themeColor="accent5"/>
        <w:bottom w:val="single" w:sz="8" w:space="0" w:color="72971B" w:themeColor="accent5"/>
        <w:right w:val="single" w:sz="8" w:space="0" w:color="72971B" w:themeColor="accent5"/>
      </w:tblBorders>
    </w:tblPr>
    <w:tblStylePr w:type="firstRow">
      <w:rPr>
        <w:sz w:val="24"/>
        <w:szCs w:val="24"/>
      </w:rPr>
      <w:tblPr/>
      <w:tcPr>
        <w:tcBorders>
          <w:top w:val="nil"/>
          <w:left w:val="nil"/>
          <w:bottom w:val="single" w:sz="24" w:space="0" w:color="72971B" w:themeColor="accent5"/>
          <w:right w:val="nil"/>
          <w:insideH w:val="nil"/>
          <w:insideV w:val="nil"/>
        </w:tcBorders>
        <w:shd w:val="clear" w:color="auto" w:fill="FFFFFF" w:themeFill="background1"/>
      </w:tcPr>
    </w:tblStylePr>
    <w:tblStylePr w:type="lastRow">
      <w:tblPr/>
      <w:tcPr>
        <w:tcBorders>
          <w:top w:val="single" w:sz="8" w:space="0" w:color="72971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2971B" w:themeColor="accent5"/>
          <w:insideH w:val="nil"/>
          <w:insideV w:val="nil"/>
        </w:tcBorders>
        <w:shd w:val="clear" w:color="auto" w:fill="FFFFFF" w:themeFill="background1"/>
      </w:tcPr>
    </w:tblStylePr>
    <w:tblStylePr w:type="lastCol">
      <w:tblPr/>
      <w:tcPr>
        <w:tcBorders>
          <w:top w:val="nil"/>
          <w:left w:val="single" w:sz="8" w:space="0" w:color="72971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B9" w:themeFill="accent5" w:themeFillTint="3F"/>
      </w:tcPr>
    </w:tblStylePr>
    <w:tblStylePr w:type="band1Horz">
      <w:tblPr/>
      <w:tcPr>
        <w:tcBorders>
          <w:top w:val="nil"/>
          <w:bottom w:val="nil"/>
          <w:insideH w:val="nil"/>
          <w:insideV w:val="nil"/>
        </w:tcBorders>
        <w:shd w:val="clear" w:color="auto" w:fill="E1F2B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72C4B"/>
    <w:pPr>
      <w:spacing w:line="240" w:lineRule="auto"/>
    </w:pPr>
    <w:rPr>
      <w:rFonts w:asciiTheme="majorHAnsi" w:eastAsiaTheme="majorEastAsia" w:hAnsiTheme="majorHAnsi" w:cstheme="majorBidi"/>
    </w:rPr>
    <w:tblPr>
      <w:tblStyleRowBandSize w:val="1"/>
      <w:tblStyleColBandSize w:val="1"/>
      <w:tblBorders>
        <w:top w:val="single" w:sz="8" w:space="0" w:color="696868" w:themeColor="accent6"/>
        <w:left w:val="single" w:sz="8" w:space="0" w:color="696868" w:themeColor="accent6"/>
        <w:bottom w:val="single" w:sz="8" w:space="0" w:color="696868" w:themeColor="accent6"/>
        <w:right w:val="single" w:sz="8" w:space="0" w:color="696868" w:themeColor="accent6"/>
      </w:tblBorders>
    </w:tblPr>
    <w:tblStylePr w:type="firstRow">
      <w:rPr>
        <w:sz w:val="24"/>
        <w:szCs w:val="24"/>
      </w:rPr>
      <w:tblPr/>
      <w:tcPr>
        <w:tcBorders>
          <w:top w:val="nil"/>
          <w:left w:val="nil"/>
          <w:bottom w:val="single" w:sz="24" w:space="0" w:color="696868" w:themeColor="accent6"/>
          <w:right w:val="nil"/>
          <w:insideH w:val="nil"/>
          <w:insideV w:val="nil"/>
        </w:tcBorders>
        <w:shd w:val="clear" w:color="auto" w:fill="FFFFFF" w:themeFill="background1"/>
      </w:tcPr>
    </w:tblStylePr>
    <w:tblStylePr w:type="lastRow">
      <w:tblPr/>
      <w:tcPr>
        <w:tcBorders>
          <w:top w:val="single" w:sz="8" w:space="0" w:color="69686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96868" w:themeColor="accent6"/>
          <w:insideH w:val="nil"/>
          <w:insideV w:val="nil"/>
        </w:tcBorders>
        <w:shd w:val="clear" w:color="auto" w:fill="FFFFFF" w:themeFill="background1"/>
      </w:tcPr>
    </w:tblStylePr>
    <w:tblStylePr w:type="lastCol">
      <w:tblPr/>
      <w:tcPr>
        <w:tcBorders>
          <w:top w:val="nil"/>
          <w:left w:val="single" w:sz="8" w:space="0" w:color="69686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D9D9" w:themeFill="accent6" w:themeFillTint="3F"/>
      </w:tcPr>
    </w:tblStylePr>
    <w:tblStylePr w:type="band1Horz">
      <w:tblPr/>
      <w:tcPr>
        <w:tcBorders>
          <w:top w:val="nil"/>
          <w:bottom w:val="nil"/>
          <w:insideH w:val="nil"/>
          <w:insideV w:val="nil"/>
        </w:tcBorders>
        <w:shd w:val="clear" w:color="auto" w:fill="DAD9D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72C4B"/>
    <w:pPr>
      <w:spacing w:line="240" w:lineRule="auto"/>
    </w:pPr>
    <w:tblPr>
      <w:tblStyleRowBandSize w:val="1"/>
      <w:tblStyleColBandSize w:val="1"/>
      <w:tbl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single" w:sz="8" w:space="0" w:color="0099DE" w:themeColor="text1" w:themeTint="BF"/>
      </w:tblBorders>
    </w:tblPr>
    <w:tblStylePr w:type="firstRow">
      <w:pPr>
        <w:spacing w:before="0" w:after="0" w:line="240" w:lineRule="auto"/>
      </w:pPr>
      <w:rPr>
        <w:b/>
        <w:bCs/>
        <w:color w:val="FFFFFF" w:themeColor="background1"/>
      </w:rPr>
      <w:tblPr/>
      <w:tcPr>
        <w:tcBorders>
          <w:top w:val="single" w:sz="8"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shd w:val="clear" w:color="auto" w:fill="00577E" w:themeFill="text1"/>
      </w:tcPr>
    </w:tblStylePr>
    <w:tblStylePr w:type="lastRow">
      <w:pPr>
        <w:spacing w:before="0" w:after="0" w:line="240" w:lineRule="auto"/>
      </w:pPr>
      <w:rPr>
        <w:b/>
        <w:bCs/>
      </w:rPr>
      <w:tblPr/>
      <w:tcPr>
        <w:tcBorders>
          <w:top w:val="double" w:sz="6" w:space="0" w:color="0099DE" w:themeColor="text1" w:themeTint="BF"/>
          <w:left w:val="single" w:sz="8" w:space="0" w:color="0099DE" w:themeColor="text1" w:themeTint="BF"/>
          <w:bottom w:val="single" w:sz="8" w:space="0" w:color="0099DE" w:themeColor="text1" w:themeTint="BF"/>
          <w:right w:val="single" w:sz="8" w:space="0" w:color="0099DE" w:themeColor="text1" w:themeTint="BF"/>
          <w:insideH w:val="nil"/>
          <w:insideV w:val="nil"/>
        </w:tcBorders>
      </w:tcPr>
    </w:tblStylePr>
    <w:tblStylePr w:type="firstCol">
      <w:rPr>
        <w:b/>
        <w:bCs/>
      </w:rPr>
    </w:tblStylePr>
    <w:tblStylePr w:type="lastCol">
      <w:rPr>
        <w:b/>
        <w:bCs/>
      </w:rPr>
    </w:tblStylePr>
    <w:tblStylePr w:type="band1Vert">
      <w:tblPr/>
      <w:tcPr>
        <w:shd w:val="clear" w:color="auto" w:fill="A0E1FF" w:themeFill="text1" w:themeFillTint="3F"/>
      </w:tcPr>
    </w:tblStylePr>
    <w:tblStylePr w:type="band1Horz">
      <w:tblPr/>
      <w:tcPr>
        <w:tcBorders>
          <w:insideH w:val="nil"/>
          <w:insideV w:val="nil"/>
        </w:tcBorders>
        <w:shd w:val="clear" w:color="auto" w:fill="A0E1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72C4B"/>
    <w:pPr>
      <w:spacing w:line="240" w:lineRule="auto"/>
    </w:pPr>
    <w:tblPr>
      <w:tblStyleRowBandSize w:val="1"/>
      <w:tblStyleColBandSize w:val="1"/>
      <w:tbl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single" w:sz="8" w:space="0" w:color="0099DE" w:themeColor="accent1" w:themeTint="BF"/>
      </w:tblBorders>
    </w:tblPr>
    <w:tblStylePr w:type="firstRow">
      <w:pPr>
        <w:spacing w:before="0" w:after="0" w:line="240" w:lineRule="auto"/>
      </w:pPr>
      <w:rPr>
        <w:b/>
        <w:bCs/>
        <w:color w:val="FFFFFF" w:themeColor="background1"/>
      </w:rPr>
      <w:tblPr/>
      <w:tcPr>
        <w:tcBorders>
          <w:top w:val="single" w:sz="8"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shd w:val="clear" w:color="auto" w:fill="00577E" w:themeFill="accent1"/>
      </w:tcPr>
    </w:tblStylePr>
    <w:tblStylePr w:type="lastRow">
      <w:pPr>
        <w:spacing w:before="0" w:after="0" w:line="240" w:lineRule="auto"/>
      </w:pPr>
      <w:rPr>
        <w:b/>
        <w:bCs/>
      </w:rPr>
      <w:tblPr/>
      <w:tcPr>
        <w:tcBorders>
          <w:top w:val="double" w:sz="6" w:space="0" w:color="0099DE" w:themeColor="accent1" w:themeTint="BF"/>
          <w:left w:val="single" w:sz="8" w:space="0" w:color="0099DE" w:themeColor="accent1" w:themeTint="BF"/>
          <w:bottom w:val="single" w:sz="8" w:space="0" w:color="0099DE" w:themeColor="accent1" w:themeTint="BF"/>
          <w:right w:val="single" w:sz="8" w:space="0" w:color="0099D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E1FF" w:themeFill="accent1" w:themeFillTint="3F"/>
      </w:tcPr>
    </w:tblStylePr>
    <w:tblStylePr w:type="band1Horz">
      <w:tblPr/>
      <w:tcPr>
        <w:tcBorders>
          <w:insideH w:val="nil"/>
          <w:insideV w:val="nil"/>
        </w:tcBorders>
        <w:shd w:val="clear" w:color="auto" w:fill="A0E1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72C4B"/>
    <w:pPr>
      <w:spacing w:line="240" w:lineRule="auto"/>
    </w:pPr>
    <w:tblPr>
      <w:tblStyleRowBandSize w:val="1"/>
      <w:tblStyleColBandSize w:val="1"/>
      <w:tbl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single" w:sz="8" w:space="0" w:color="F1FF1F" w:themeColor="accent2" w:themeTint="BF"/>
      </w:tblBorders>
    </w:tblPr>
    <w:tblStylePr w:type="firstRow">
      <w:pPr>
        <w:spacing w:before="0" w:after="0" w:line="240" w:lineRule="auto"/>
      </w:pPr>
      <w:rPr>
        <w:b/>
        <w:bCs/>
        <w:color w:val="FFFFFF" w:themeColor="background1"/>
      </w:rPr>
      <w:tblPr/>
      <w:tcPr>
        <w:tcBorders>
          <w:top w:val="single" w:sz="8"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nil"/>
          <w:insideV w:val="nil"/>
        </w:tcBorders>
        <w:shd w:val="clear" w:color="auto" w:fill="C7D300" w:themeFill="accent2"/>
      </w:tcPr>
    </w:tblStylePr>
    <w:tblStylePr w:type="lastRow">
      <w:pPr>
        <w:spacing w:before="0" w:after="0" w:line="240" w:lineRule="auto"/>
      </w:pPr>
      <w:rPr>
        <w:b/>
        <w:bCs/>
      </w:rPr>
      <w:tblPr/>
      <w:tcPr>
        <w:tcBorders>
          <w:top w:val="double" w:sz="6" w:space="0" w:color="F1FF1F" w:themeColor="accent2" w:themeTint="BF"/>
          <w:left w:val="single" w:sz="8" w:space="0" w:color="F1FF1F" w:themeColor="accent2" w:themeTint="BF"/>
          <w:bottom w:val="single" w:sz="8" w:space="0" w:color="F1FF1F" w:themeColor="accent2" w:themeTint="BF"/>
          <w:right w:val="single" w:sz="8" w:space="0" w:color="F1FF1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FB5" w:themeFill="accent2" w:themeFillTint="3F"/>
      </w:tcPr>
    </w:tblStylePr>
    <w:tblStylePr w:type="band1Horz">
      <w:tblPr/>
      <w:tcPr>
        <w:tcBorders>
          <w:insideH w:val="nil"/>
          <w:insideV w:val="nil"/>
        </w:tcBorders>
        <w:shd w:val="clear" w:color="auto" w:fill="FAFFB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72C4B"/>
    <w:pPr>
      <w:spacing w:line="240" w:lineRule="auto"/>
    </w:pPr>
    <w:tblPr>
      <w:tblStyleRowBandSize w:val="1"/>
      <w:tblStyleColBandSize w:val="1"/>
      <w:tbl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single" w:sz="8" w:space="0" w:color="00C9FD" w:themeColor="accent3" w:themeTint="BF"/>
      </w:tblBorders>
    </w:tblPr>
    <w:tblStylePr w:type="firstRow">
      <w:pPr>
        <w:spacing w:before="0" w:after="0" w:line="240" w:lineRule="auto"/>
      </w:pPr>
      <w:rPr>
        <w:b/>
        <w:bCs/>
        <w:color w:val="FFFFFF" w:themeColor="background1"/>
      </w:rPr>
      <w:tblPr/>
      <w:tcPr>
        <w:tcBorders>
          <w:top w:val="single" w:sz="8"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nil"/>
          <w:insideV w:val="nil"/>
        </w:tcBorders>
        <w:shd w:val="clear" w:color="auto" w:fill="0086A8" w:themeFill="accent3"/>
      </w:tcPr>
    </w:tblStylePr>
    <w:tblStylePr w:type="lastRow">
      <w:pPr>
        <w:spacing w:before="0" w:after="0" w:line="240" w:lineRule="auto"/>
      </w:pPr>
      <w:rPr>
        <w:b/>
        <w:bCs/>
      </w:rPr>
      <w:tblPr/>
      <w:tcPr>
        <w:tcBorders>
          <w:top w:val="double" w:sz="6" w:space="0" w:color="00C9FD" w:themeColor="accent3" w:themeTint="BF"/>
          <w:left w:val="single" w:sz="8" w:space="0" w:color="00C9FD" w:themeColor="accent3" w:themeTint="BF"/>
          <w:bottom w:val="single" w:sz="8" w:space="0" w:color="00C9FD" w:themeColor="accent3" w:themeTint="BF"/>
          <w:right w:val="single" w:sz="8" w:space="0" w:color="00C9FD" w:themeColor="accent3" w:themeTint="BF"/>
          <w:insideH w:val="nil"/>
          <w:insideV w:val="nil"/>
        </w:tcBorders>
      </w:tcPr>
    </w:tblStylePr>
    <w:tblStylePr w:type="firstCol">
      <w:rPr>
        <w:b/>
        <w:bCs/>
      </w:rPr>
    </w:tblStylePr>
    <w:tblStylePr w:type="lastCol">
      <w:rPr>
        <w:b/>
        <w:bCs/>
      </w:rPr>
    </w:tblStylePr>
    <w:tblStylePr w:type="band1Vert">
      <w:tblPr/>
      <w:tcPr>
        <w:shd w:val="clear" w:color="auto" w:fill="AAEDFF" w:themeFill="accent3" w:themeFillTint="3F"/>
      </w:tcPr>
    </w:tblStylePr>
    <w:tblStylePr w:type="band1Horz">
      <w:tblPr/>
      <w:tcPr>
        <w:tcBorders>
          <w:insideH w:val="nil"/>
          <w:insideV w:val="nil"/>
        </w:tcBorders>
        <w:shd w:val="clear" w:color="auto" w:fill="AAE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72C4B"/>
    <w:pPr>
      <w:spacing w:line="240" w:lineRule="auto"/>
    </w:pPr>
    <w:tblPr>
      <w:tblStyleRowBandSize w:val="1"/>
      <w:tblStyleColBandSize w:val="1"/>
      <w:tbl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single" w:sz="8" w:space="0" w:color="EC544F" w:themeColor="accent4" w:themeTint="BF"/>
      </w:tblBorders>
    </w:tblPr>
    <w:tblStylePr w:type="firstRow">
      <w:pPr>
        <w:spacing w:before="0" w:after="0" w:line="240" w:lineRule="auto"/>
      </w:pPr>
      <w:rPr>
        <w:b/>
        <w:bCs/>
        <w:color w:val="FFFFFF" w:themeColor="background1"/>
      </w:rPr>
      <w:tblPr/>
      <w:tcPr>
        <w:tcBorders>
          <w:top w:val="single" w:sz="8"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nil"/>
          <w:insideV w:val="nil"/>
        </w:tcBorders>
        <w:shd w:val="clear" w:color="auto" w:fill="E31F18" w:themeFill="accent4"/>
      </w:tcPr>
    </w:tblStylePr>
    <w:tblStylePr w:type="lastRow">
      <w:pPr>
        <w:spacing w:before="0" w:after="0" w:line="240" w:lineRule="auto"/>
      </w:pPr>
      <w:rPr>
        <w:b/>
        <w:bCs/>
      </w:rPr>
      <w:tblPr/>
      <w:tcPr>
        <w:tcBorders>
          <w:top w:val="double" w:sz="6" w:space="0" w:color="EC544F" w:themeColor="accent4" w:themeTint="BF"/>
          <w:left w:val="single" w:sz="8" w:space="0" w:color="EC544F" w:themeColor="accent4" w:themeTint="BF"/>
          <w:bottom w:val="single" w:sz="8" w:space="0" w:color="EC544F" w:themeColor="accent4" w:themeTint="BF"/>
          <w:right w:val="single" w:sz="8" w:space="0" w:color="EC544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C6C5" w:themeFill="accent4" w:themeFillTint="3F"/>
      </w:tcPr>
    </w:tblStylePr>
    <w:tblStylePr w:type="band1Horz">
      <w:tblPr/>
      <w:tcPr>
        <w:tcBorders>
          <w:insideH w:val="nil"/>
          <w:insideV w:val="nil"/>
        </w:tcBorders>
        <w:shd w:val="clear" w:color="auto" w:fill="F9C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72C4B"/>
    <w:pPr>
      <w:spacing w:line="240" w:lineRule="auto"/>
    </w:pPr>
    <w:tblPr>
      <w:tblStyleRowBandSize w:val="1"/>
      <w:tblStyleColBandSize w:val="1"/>
      <w:tbl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single" w:sz="8" w:space="0" w:color="A4D92B" w:themeColor="accent5" w:themeTint="BF"/>
      </w:tblBorders>
    </w:tblPr>
    <w:tblStylePr w:type="firstRow">
      <w:pPr>
        <w:spacing w:before="0" w:after="0" w:line="240" w:lineRule="auto"/>
      </w:pPr>
      <w:rPr>
        <w:b/>
        <w:bCs/>
        <w:color w:val="FFFFFF" w:themeColor="background1"/>
      </w:rPr>
      <w:tblPr/>
      <w:tcPr>
        <w:tcBorders>
          <w:top w:val="single" w:sz="8"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nil"/>
          <w:insideV w:val="nil"/>
        </w:tcBorders>
        <w:shd w:val="clear" w:color="auto" w:fill="72971B" w:themeFill="accent5"/>
      </w:tcPr>
    </w:tblStylePr>
    <w:tblStylePr w:type="lastRow">
      <w:pPr>
        <w:spacing w:before="0" w:after="0" w:line="240" w:lineRule="auto"/>
      </w:pPr>
      <w:rPr>
        <w:b/>
        <w:bCs/>
      </w:rPr>
      <w:tblPr/>
      <w:tcPr>
        <w:tcBorders>
          <w:top w:val="double" w:sz="6" w:space="0" w:color="A4D92B" w:themeColor="accent5" w:themeTint="BF"/>
          <w:left w:val="single" w:sz="8" w:space="0" w:color="A4D92B" w:themeColor="accent5" w:themeTint="BF"/>
          <w:bottom w:val="single" w:sz="8" w:space="0" w:color="A4D92B" w:themeColor="accent5" w:themeTint="BF"/>
          <w:right w:val="single" w:sz="8" w:space="0" w:color="A4D92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1F2B9" w:themeFill="accent5" w:themeFillTint="3F"/>
      </w:tcPr>
    </w:tblStylePr>
    <w:tblStylePr w:type="band1Horz">
      <w:tblPr/>
      <w:tcPr>
        <w:tcBorders>
          <w:insideH w:val="nil"/>
          <w:insideV w:val="nil"/>
        </w:tcBorders>
        <w:shd w:val="clear" w:color="auto" w:fill="E1F2B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72C4B"/>
    <w:pPr>
      <w:spacing w:line="240" w:lineRule="auto"/>
    </w:pPr>
    <w:tblPr>
      <w:tblStyleRowBandSize w:val="1"/>
      <w:tblStyleColBandSize w:val="1"/>
      <w:tbl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single" w:sz="8" w:space="0" w:color="8E8D8D" w:themeColor="accent6" w:themeTint="BF"/>
      </w:tblBorders>
    </w:tblPr>
    <w:tblStylePr w:type="firstRow">
      <w:pPr>
        <w:spacing w:before="0" w:after="0" w:line="240" w:lineRule="auto"/>
      </w:pPr>
      <w:rPr>
        <w:b/>
        <w:bCs/>
        <w:color w:val="FFFFFF" w:themeColor="background1"/>
      </w:rPr>
      <w:tblPr/>
      <w:tcPr>
        <w:tcBorders>
          <w:top w:val="single" w:sz="8"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nil"/>
          <w:insideV w:val="nil"/>
        </w:tcBorders>
        <w:shd w:val="clear" w:color="auto" w:fill="696868" w:themeFill="accent6"/>
      </w:tcPr>
    </w:tblStylePr>
    <w:tblStylePr w:type="lastRow">
      <w:pPr>
        <w:spacing w:before="0" w:after="0" w:line="240" w:lineRule="auto"/>
      </w:pPr>
      <w:rPr>
        <w:b/>
        <w:bCs/>
      </w:rPr>
      <w:tblPr/>
      <w:tcPr>
        <w:tcBorders>
          <w:top w:val="double" w:sz="6" w:space="0" w:color="8E8D8D" w:themeColor="accent6" w:themeTint="BF"/>
          <w:left w:val="single" w:sz="8" w:space="0" w:color="8E8D8D" w:themeColor="accent6" w:themeTint="BF"/>
          <w:bottom w:val="single" w:sz="8" w:space="0" w:color="8E8D8D" w:themeColor="accent6" w:themeTint="BF"/>
          <w:right w:val="single" w:sz="8" w:space="0" w:color="8E8D8D"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D9D9" w:themeFill="accent6" w:themeFillTint="3F"/>
      </w:tcPr>
    </w:tblStylePr>
    <w:tblStylePr w:type="band1Horz">
      <w:tblPr/>
      <w:tcPr>
        <w:tcBorders>
          <w:insideH w:val="nil"/>
          <w:insideV w:val="nil"/>
        </w:tcBorders>
        <w:shd w:val="clear" w:color="auto" w:fill="DAD9D9"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text1"/>
      </w:tcPr>
    </w:tblStylePr>
    <w:tblStylePr w:type="lastCol">
      <w:rPr>
        <w:b/>
        <w:bCs/>
        <w:color w:val="FFFFFF" w:themeColor="background1"/>
      </w:rPr>
      <w:tblPr/>
      <w:tcPr>
        <w:tcBorders>
          <w:left w:val="nil"/>
          <w:right w:val="nil"/>
          <w:insideH w:val="nil"/>
          <w:insideV w:val="nil"/>
        </w:tcBorders>
        <w:shd w:val="clear" w:color="auto" w:fill="00577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77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77E" w:themeFill="accent1"/>
      </w:tcPr>
    </w:tblStylePr>
    <w:tblStylePr w:type="lastCol">
      <w:rPr>
        <w:b/>
        <w:bCs/>
        <w:color w:val="FFFFFF" w:themeColor="background1"/>
      </w:rPr>
      <w:tblPr/>
      <w:tcPr>
        <w:tcBorders>
          <w:left w:val="nil"/>
          <w:right w:val="nil"/>
          <w:insideH w:val="nil"/>
          <w:insideV w:val="nil"/>
        </w:tcBorders>
        <w:shd w:val="clear" w:color="auto" w:fill="00577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D3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D300" w:themeFill="accent2"/>
      </w:tcPr>
    </w:tblStylePr>
    <w:tblStylePr w:type="lastCol">
      <w:rPr>
        <w:b/>
        <w:bCs/>
        <w:color w:val="FFFFFF" w:themeColor="background1"/>
      </w:rPr>
      <w:tblPr/>
      <w:tcPr>
        <w:tcBorders>
          <w:left w:val="nil"/>
          <w:right w:val="nil"/>
          <w:insideH w:val="nil"/>
          <w:insideV w:val="nil"/>
        </w:tcBorders>
        <w:shd w:val="clear" w:color="auto" w:fill="C7D3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6A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6A8" w:themeFill="accent3"/>
      </w:tcPr>
    </w:tblStylePr>
    <w:tblStylePr w:type="lastCol">
      <w:rPr>
        <w:b/>
        <w:bCs/>
        <w:color w:val="FFFFFF" w:themeColor="background1"/>
      </w:rPr>
      <w:tblPr/>
      <w:tcPr>
        <w:tcBorders>
          <w:left w:val="nil"/>
          <w:right w:val="nil"/>
          <w:insideH w:val="nil"/>
          <w:insideV w:val="nil"/>
        </w:tcBorders>
        <w:shd w:val="clear" w:color="auto" w:fill="0086A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1F1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31F18" w:themeFill="accent4"/>
      </w:tcPr>
    </w:tblStylePr>
    <w:tblStylePr w:type="lastCol">
      <w:rPr>
        <w:b/>
        <w:bCs/>
        <w:color w:val="FFFFFF" w:themeColor="background1"/>
      </w:rPr>
      <w:tblPr/>
      <w:tcPr>
        <w:tcBorders>
          <w:left w:val="nil"/>
          <w:right w:val="nil"/>
          <w:insideH w:val="nil"/>
          <w:insideV w:val="nil"/>
        </w:tcBorders>
        <w:shd w:val="clear" w:color="auto" w:fill="E31F1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2971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2971B" w:themeFill="accent5"/>
      </w:tcPr>
    </w:tblStylePr>
    <w:tblStylePr w:type="lastCol">
      <w:rPr>
        <w:b/>
        <w:bCs/>
        <w:color w:val="FFFFFF" w:themeColor="background1"/>
      </w:rPr>
      <w:tblPr/>
      <w:tcPr>
        <w:tcBorders>
          <w:left w:val="nil"/>
          <w:right w:val="nil"/>
          <w:insideH w:val="nil"/>
          <w:insideV w:val="nil"/>
        </w:tcBorders>
        <w:shd w:val="clear" w:color="auto" w:fill="72971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72C4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9686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96868" w:themeFill="accent6"/>
      </w:tcPr>
    </w:tblStylePr>
    <w:tblStylePr w:type="lastCol">
      <w:rPr>
        <w:b/>
        <w:bCs/>
        <w:color w:val="FFFFFF" w:themeColor="background1"/>
      </w:rPr>
      <w:tblPr/>
      <w:tcPr>
        <w:tcBorders>
          <w:left w:val="nil"/>
          <w:right w:val="nil"/>
          <w:insideH w:val="nil"/>
          <w:insideV w:val="nil"/>
        </w:tcBorders>
        <w:shd w:val="clear" w:color="auto" w:fill="69686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rsid w:val="00272C4B"/>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272C4B"/>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272C4B"/>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272C4B"/>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272C4B"/>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272C4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272C4B"/>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272C4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272C4B"/>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272C4B"/>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272C4B"/>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272C4B"/>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272C4B"/>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272C4B"/>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272C4B"/>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272C4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272C4B"/>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272C4B"/>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272C4B"/>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272C4B"/>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272C4B"/>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272C4B"/>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272C4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272C4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272C4B"/>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272C4B"/>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272C4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272C4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272C4B"/>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272C4B"/>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272C4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272C4B"/>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272C4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272C4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272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272C4B"/>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272C4B"/>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272C4B"/>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verviewImage">
    <w:name w:val="Overview Image"/>
    <w:basedOn w:val="Normal"/>
    <w:unhideWhenUsed/>
    <w:rsid w:val="00272C4B"/>
    <w:pPr>
      <w:ind w:left="-113"/>
    </w:pPr>
  </w:style>
  <w:style w:type="paragraph" w:styleId="TOC8">
    <w:name w:val="toc 8"/>
    <w:basedOn w:val="Normal"/>
    <w:next w:val="Normal"/>
    <w:autoRedefine/>
    <w:uiPriority w:val="39"/>
    <w:semiHidden/>
    <w:rsid w:val="00167AF0"/>
    <w:pPr>
      <w:spacing w:after="100"/>
      <w:ind w:left="1400"/>
    </w:pPr>
  </w:style>
  <w:style w:type="paragraph" w:styleId="TOC7">
    <w:name w:val="toc 7"/>
    <w:basedOn w:val="Normal"/>
    <w:next w:val="Normal"/>
    <w:autoRedefine/>
    <w:uiPriority w:val="39"/>
    <w:semiHidden/>
    <w:rsid w:val="00167AF0"/>
    <w:pPr>
      <w:spacing w:after="100"/>
      <w:ind w:left="1200"/>
    </w:pPr>
  </w:style>
  <w:style w:type="paragraph" w:styleId="TOC6">
    <w:name w:val="toc 6"/>
    <w:basedOn w:val="Normal"/>
    <w:next w:val="Normal"/>
    <w:autoRedefine/>
    <w:uiPriority w:val="39"/>
    <w:semiHidden/>
    <w:rsid w:val="00167AF0"/>
    <w:pPr>
      <w:spacing w:after="100"/>
      <w:ind w:left="1000"/>
    </w:pPr>
  </w:style>
  <w:style w:type="character" w:styleId="Hyperlink">
    <w:name w:val="Hyperlink"/>
    <w:basedOn w:val="DefaultParagraphFont"/>
    <w:uiPriority w:val="99"/>
    <w:unhideWhenUsed/>
    <w:rsid w:val="00167AF0"/>
    <w:rPr>
      <w:color w:val="1F497D" w:themeColor="hyperlink"/>
      <w:u w:val="single"/>
      <w:lang w:val="nl-NL"/>
    </w:rPr>
  </w:style>
  <w:style w:type="paragraph" w:styleId="BalloonText">
    <w:name w:val="Balloon Text"/>
    <w:basedOn w:val="Normal"/>
    <w:link w:val="BalloonTextChar"/>
    <w:uiPriority w:val="99"/>
    <w:semiHidden/>
    <w:rsid w:val="00290B6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B60"/>
    <w:rPr>
      <w:rFonts w:ascii="Tahoma" w:hAnsi="Tahoma" w:cs="Tahoma"/>
      <w:sz w:val="16"/>
      <w:szCs w:val="16"/>
      <w:lang w:val="nl-NL"/>
    </w:rPr>
  </w:style>
  <w:style w:type="paragraph" w:styleId="Bibliography">
    <w:name w:val="Bibliography"/>
    <w:basedOn w:val="Normal"/>
    <w:next w:val="Normal"/>
    <w:uiPriority w:val="37"/>
    <w:semiHidden/>
    <w:rsid w:val="00290B60"/>
  </w:style>
  <w:style w:type="paragraph" w:styleId="BlockText">
    <w:name w:val="Block Text"/>
    <w:basedOn w:val="Normal"/>
    <w:uiPriority w:val="99"/>
    <w:semiHidden/>
    <w:rsid w:val="00290B60"/>
    <w:pPr>
      <w:pBdr>
        <w:top w:val="single" w:sz="2" w:space="10" w:color="00577E" w:themeColor="accent1"/>
        <w:left w:val="single" w:sz="2" w:space="10" w:color="00577E" w:themeColor="accent1"/>
        <w:bottom w:val="single" w:sz="2" w:space="10" w:color="00577E" w:themeColor="accent1"/>
        <w:right w:val="single" w:sz="2" w:space="10" w:color="00577E" w:themeColor="accent1"/>
      </w:pBdr>
      <w:ind w:left="1152" w:right="1152"/>
    </w:pPr>
    <w:rPr>
      <w:rFonts w:asciiTheme="minorHAnsi" w:hAnsiTheme="minorHAnsi"/>
      <w:i/>
      <w:iCs/>
      <w:color w:val="00577E" w:themeColor="accent1"/>
    </w:rPr>
  </w:style>
  <w:style w:type="paragraph" w:styleId="BodyText3">
    <w:name w:val="Body Text 3"/>
    <w:basedOn w:val="Normal"/>
    <w:link w:val="BodyText3Char"/>
    <w:uiPriority w:val="99"/>
    <w:semiHidden/>
    <w:rsid w:val="00290B60"/>
    <w:pPr>
      <w:spacing w:after="120"/>
    </w:pPr>
    <w:rPr>
      <w:sz w:val="16"/>
      <w:szCs w:val="16"/>
    </w:rPr>
  </w:style>
  <w:style w:type="character" w:customStyle="1" w:styleId="BodyText3Char">
    <w:name w:val="Body Text 3 Char"/>
    <w:basedOn w:val="DefaultParagraphFont"/>
    <w:link w:val="BodyText3"/>
    <w:uiPriority w:val="99"/>
    <w:semiHidden/>
    <w:rsid w:val="00290B60"/>
    <w:rPr>
      <w:sz w:val="16"/>
      <w:szCs w:val="16"/>
      <w:lang w:val="nl-NL"/>
    </w:rPr>
  </w:style>
  <w:style w:type="paragraph" w:styleId="BodyTextFirstIndent">
    <w:name w:val="Body Text First Indent"/>
    <w:basedOn w:val="BodyText"/>
    <w:link w:val="BodyTextFirstIndentChar"/>
    <w:uiPriority w:val="99"/>
    <w:semiHidden/>
    <w:rsid w:val="00290B60"/>
    <w:pPr>
      <w:ind w:firstLine="360"/>
    </w:pPr>
    <w:rPr>
      <w:rFonts w:cstheme="minorBidi"/>
    </w:rPr>
  </w:style>
  <w:style w:type="character" w:customStyle="1" w:styleId="BodyTextFirstIndentChar">
    <w:name w:val="Body Text First Indent Char"/>
    <w:basedOn w:val="BodyTextChar"/>
    <w:link w:val="BodyTextFirstIndent"/>
    <w:uiPriority w:val="99"/>
    <w:semiHidden/>
    <w:rsid w:val="00290B60"/>
    <w:rPr>
      <w:rFonts w:ascii="Verdana" w:hAnsi="Verdana" w:cs="Arial"/>
      <w:color w:val="auto"/>
      <w:sz w:val="18"/>
      <w:lang w:val="nl-NL"/>
    </w:rPr>
  </w:style>
  <w:style w:type="paragraph" w:styleId="BodyTextIndent">
    <w:name w:val="Body Text Indent"/>
    <w:basedOn w:val="Normal"/>
    <w:link w:val="BodyTextIndentChar"/>
    <w:uiPriority w:val="99"/>
    <w:semiHidden/>
    <w:rsid w:val="00290B60"/>
    <w:pPr>
      <w:spacing w:after="120"/>
      <w:ind w:left="283"/>
    </w:pPr>
  </w:style>
  <w:style w:type="character" w:customStyle="1" w:styleId="BodyTextIndentChar">
    <w:name w:val="Body Text Indent Char"/>
    <w:basedOn w:val="DefaultParagraphFont"/>
    <w:link w:val="BodyTextIndent"/>
    <w:uiPriority w:val="99"/>
    <w:semiHidden/>
    <w:rsid w:val="00290B60"/>
    <w:rPr>
      <w:lang w:val="nl-NL"/>
    </w:rPr>
  </w:style>
  <w:style w:type="paragraph" w:styleId="BodyTextFirstIndent2">
    <w:name w:val="Body Text First Indent 2"/>
    <w:basedOn w:val="BodyTextIndent"/>
    <w:link w:val="BodyTextFirstIndent2Char"/>
    <w:uiPriority w:val="99"/>
    <w:semiHidden/>
    <w:rsid w:val="00290B60"/>
    <w:pPr>
      <w:spacing w:after="0"/>
      <w:ind w:left="360" w:firstLine="360"/>
    </w:pPr>
  </w:style>
  <w:style w:type="character" w:customStyle="1" w:styleId="BodyTextFirstIndent2Char">
    <w:name w:val="Body Text First Indent 2 Char"/>
    <w:basedOn w:val="BodyTextIndentChar"/>
    <w:link w:val="BodyTextFirstIndent2"/>
    <w:uiPriority w:val="99"/>
    <w:semiHidden/>
    <w:rsid w:val="00290B60"/>
    <w:rPr>
      <w:lang w:val="nl-NL"/>
    </w:rPr>
  </w:style>
  <w:style w:type="paragraph" w:styleId="BodyTextIndent2">
    <w:name w:val="Body Text Indent 2"/>
    <w:basedOn w:val="Normal"/>
    <w:link w:val="BodyTextIndent2Char"/>
    <w:uiPriority w:val="99"/>
    <w:semiHidden/>
    <w:rsid w:val="00290B60"/>
    <w:pPr>
      <w:spacing w:after="120" w:line="480" w:lineRule="auto"/>
      <w:ind w:left="283"/>
    </w:pPr>
  </w:style>
  <w:style w:type="character" w:customStyle="1" w:styleId="BodyTextIndent2Char">
    <w:name w:val="Body Text Indent 2 Char"/>
    <w:basedOn w:val="DefaultParagraphFont"/>
    <w:link w:val="BodyTextIndent2"/>
    <w:uiPriority w:val="99"/>
    <w:semiHidden/>
    <w:rsid w:val="00290B60"/>
    <w:rPr>
      <w:lang w:val="nl-NL"/>
    </w:rPr>
  </w:style>
  <w:style w:type="paragraph" w:styleId="BodyTextIndent3">
    <w:name w:val="Body Text Indent 3"/>
    <w:basedOn w:val="Normal"/>
    <w:link w:val="BodyTextIndent3Char"/>
    <w:uiPriority w:val="99"/>
    <w:semiHidden/>
    <w:rsid w:val="00290B6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90B60"/>
    <w:rPr>
      <w:sz w:val="16"/>
      <w:szCs w:val="16"/>
      <w:lang w:val="nl-NL"/>
    </w:rPr>
  </w:style>
  <w:style w:type="character" w:styleId="BookTitle">
    <w:name w:val="Book Title"/>
    <w:basedOn w:val="DefaultParagraphFont"/>
    <w:uiPriority w:val="33"/>
    <w:semiHidden/>
    <w:qFormat/>
    <w:rsid w:val="00290B60"/>
    <w:rPr>
      <w:b/>
      <w:bCs/>
      <w:smallCaps/>
      <w:spacing w:val="5"/>
      <w:lang w:val="nl-NL"/>
    </w:rPr>
  </w:style>
  <w:style w:type="paragraph" w:styleId="Closing">
    <w:name w:val="Closing"/>
    <w:basedOn w:val="Normal"/>
    <w:link w:val="ClosingChar"/>
    <w:uiPriority w:val="99"/>
    <w:semiHidden/>
    <w:rsid w:val="00290B60"/>
    <w:pPr>
      <w:spacing w:line="240" w:lineRule="auto"/>
      <w:ind w:left="4252"/>
    </w:pPr>
  </w:style>
  <w:style w:type="character" w:customStyle="1" w:styleId="ClosingChar">
    <w:name w:val="Closing Char"/>
    <w:basedOn w:val="DefaultParagraphFont"/>
    <w:link w:val="Closing"/>
    <w:uiPriority w:val="99"/>
    <w:semiHidden/>
    <w:rsid w:val="00290B60"/>
    <w:rPr>
      <w:lang w:val="nl-NL"/>
    </w:rPr>
  </w:style>
  <w:style w:type="character" w:styleId="CommentReference">
    <w:name w:val="annotation reference"/>
    <w:basedOn w:val="DefaultParagraphFont"/>
    <w:uiPriority w:val="99"/>
    <w:semiHidden/>
    <w:rsid w:val="00290B60"/>
    <w:rPr>
      <w:sz w:val="16"/>
      <w:szCs w:val="16"/>
      <w:lang w:val="nl-NL"/>
    </w:rPr>
  </w:style>
  <w:style w:type="paragraph" w:styleId="CommentText">
    <w:name w:val="annotation text"/>
    <w:basedOn w:val="Normal"/>
    <w:link w:val="CommentTextChar"/>
    <w:uiPriority w:val="99"/>
    <w:semiHidden/>
    <w:rsid w:val="00290B60"/>
    <w:pPr>
      <w:spacing w:line="240" w:lineRule="auto"/>
    </w:pPr>
  </w:style>
  <w:style w:type="character" w:customStyle="1" w:styleId="CommentTextChar">
    <w:name w:val="Comment Text Char"/>
    <w:basedOn w:val="DefaultParagraphFont"/>
    <w:link w:val="CommentText"/>
    <w:uiPriority w:val="99"/>
    <w:semiHidden/>
    <w:rsid w:val="00290B60"/>
    <w:rPr>
      <w:lang w:val="nl-NL"/>
    </w:rPr>
  </w:style>
  <w:style w:type="paragraph" w:styleId="CommentSubject">
    <w:name w:val="annotation subject"/>
    <w:basedOn w:val="CommentText"/>
    <w:next w:val="CommentText"/>
    <w:link w:val="CommentSubjectChar"/>
    <w:uiPriority w:val="99"/>
    <w:semiHidden/>
    <w:rsid w:val="00290B60"/>
    <w:rPr>
      <w:b/>
      <w:bCs/>
    </w:rPr>
  </w:style>
  <w:style w:type="character" w:customStyle="1" w:styleId="CommentSubjectChar">
    <w:name w:val="Comment Subject Char"/>
    <w:basedOn w:val="CommentTextChar"/>
    <w:link w:val="CommentSubject"/>
    <w:uiPriority w:val="99"/>
    <w:semiHidden/>
    <w:rsid w:val="00290B60"/>
    <w:rPr>
      <w:b/>
      <w:bCs/>
      <w:lang w:val="nl-NL"/>
    </w:rPr>
  </w:style>
  <w:style w:type="paragraph" w:styleId="Date">
    <w:name w:val="Date"/>
    <w:basedOn w:val="Normal"/>
    <w:next w:val="Normal"/>
    <w:link w:val="DateChar"/>
    <w:uiPriority w:val="99"/>
    <w:semiHidden/>
    <w:rsid w:val="00290B60"/>
  </w:style>
  <w:style w:type="character" w:customStyle="1" w:styleId="DateChar">
    <w:name w:val="Date Char"/>
    <w:basedOn w:val="DefaultParagraphFont"/>
    <w:link w:val="Date"/>
    <w:uiPriority w:val="99"/>
    <w:semiHidden/>
    <w:rsid w:val="00290B60"/>
    <w:rPr>
      <w:lang w:val="nl-NL"/>
    </w:rPr>
  </w:style>
  <w:style w:type="paragraph" w:styleId="DocumentMap">
    <w:name w:val="Document Map"/>
    <w:basedOn w:val="Normal"/>
    <w:link w:val="DocumentMapChar"/>
    <w:uiPriority w:val="99"/>
    <w:semiHidden/>
    <w:rsid w:val="00290B60"/>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90B60"/>
    <w:rPr>
      <w:rFonts w:ascii="Tahoma" w:hAnsi="Tahoma" w:cs="Tahoma"/>
      <w:sz w:val="16"/>
      <w:szCs w:val="16"/>
      <w:lang w:val="nl-NL"/>
    </w:rPr>
  </w:style>
  <w:style w:type="paragraph" w:styleId="E-mailSignature">
    <w:name w:val="E-mail Signature"/>
    <w:basedOn w:val="Normal"/>
    <w:link w:val="E-mailSignatureChar"/>
    <w:uiPriority w:val="99"/>
    <w:semiHidden/>
    <w:rsid w:val="00290B60"/>
    <w:pPr>
      <w:spacing w:line="240" w:lineRule="auto"/>
    </w:pPr>
  </w:style>
  <w:style w:type="character" w:customStyle="1" w:styleId="E-mailSignatureChar">
    <w:name w:val="E-mail Signature Char"/>
    <w:basedOn w:val="DefaultParagraphFont"/>
    <w:link w:val="E-mailSignature"/>
    <w:uiPriority w:val="99"/>
    <w:semiHidden/>
    <w:rsid w:val="00290B60"/>
    <w:rPr>
      <w:lang w:val="nl-NL"/>
    </w:rPr>
  </w:style>
  <w:style w:type="character" w:styleId="Emphasis">
    <w:name w:val="Emphasis"/>
    <w:basedOn w:val="DefaultParagraphFont"/>
    <w:uiPriority w:val="20"/>
    <w:unhideWhenUsed/>
    <w:qFormat/>
    <w:rsid w:val="00290B60"/>
    <w:rPr>
      <w:i/>
      <w:iCs/>
      <w:lang w:val="nl-NL"/>
    </w:rPr>
  </w:style>
  <w:style w:type="character" w:styleId="EndnoteReference">
    <w:name w:val="endnote reference"/>
    <w:basedOn w:val="DefaultParagraphFont"/>
    <w:uiPriority w:val="99"/>
    <w:semiHidden/>
    <w:rsid w:val="00290B60"/>
    <w:rPr>
      <w:vertAlign w:val="superscript"/>
      <w:lang w:val="nl-NL"/>
    </w:rPr>
  </w:style>
  <w:style w:type="paragraph" w:styleId="EndnoteText">
    <w:name w:val="endnote text"/>
    <w:basedOn w:val="Normal"/>
    <w:link w:val="EndnoteTextChar"/>
    <w:uiPriority w:val="99"/>
    <w:semiHidden/>
    <w:rsid w:val="00290B60"/>
    <w:pPr>
      <w:spacing w:line="240" w:lineRule="auto"/>
    </w:pPr>
  </w:style>
  <w:style w:type="character" w:customStyle="1" w:styleId="EndnoteTextChar">
    <w:name w:val="Endnote Text Char"/>
    <w:basedOn w:val="DefaultParagraphFont"/>
    <w:link w:val="EndnoteText"/>
    <w:uiPriority w:val="99"/>
    <w:semiHidden/>
    <w:rsid w:val="00290B60"/>
    <w:rPr>
      <w:lang w:val="nl-NL"/>
    </w:rPr>
  </w:style>
  <w:style w:type="paragraph" w:styleId="EnvelopeAddress">
    <w:name w:val="envelope address"/>
    <w:basedOn w:val="Normal"/>
    <w:uiPriority w:val="99"/>
    <w:semiHidden/>
    <w:rsid w:val="00290B60"/>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290B60"/>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rsid w:val="00290B60"/>
    <w:rPr>
      <w:color w:val="1F497D" w:themeColor="followedHyperlink"/>
      <w:u w:val="single"/>
      <w:lang w:val="nl-NL"/>
    </w:rPr>
  </w:style>
  <w:style w:type="character" w:styleId="HTMLAcronym">
    <w:name w:val="HTML Acronym"/>
    <w:basedOn w:val="DefaultParagraphFont"/>
    <w:uiPriority w:val="99"/>
    <w:semiHidden/>
    <w:rsid w:val="00290B60"/>
    <w:rPr>
      <w:lang w:val="nl-NL"/>
    </w:rPr>
  </w:style>
  <w:style w:type="paragraph" w:styleId="HTMLAddress">
    <w:name w:val="HTML Address"/>
    <w:basedOn w:val="Normal"/>
    <w:link w:val="HTMLAddressChar"/>
    <w:uiPriority w:val="99"/>
    <w:semiHidden/>
    <w:rsid w:val="00290B60"/>
    <w:pPr>
      <w:spacing w:line="240" w:lineRule="auto"/>
    </w:pPr>
    <w:rPr>
      <w:i/>
      <w:iCs/>
    </w:rPr>
  </w:style>
  <w:style w:type="character" w:customStyle="1" w:styleId="HTMLAddressChar">
    <w:name w:val="HTML Address Char"/>
    <w:basedOn w:val="DefaultParagraphFont"/>
    <w:link w:val="HTMLAddress"/>
    <w:uiPriority w:val="99"/>
    <w:semiHidden/>
    <w:rsid w:val="00290B60"/>
    <w:rPr>
      <w:i/>
      <w:iCs/>
      <w:lang w:val="nl-NL"/>
    </w:rPr>
  </w:style>
  <w:style w:type="character" w:styleId="HTMLCite">
    <w:name w:val="HTML Cite"/>
    <w:basedOn w:val="DefaultParagraphFont"/>
    <w:uiPriority w:val="99"/>
    <w:semiHidden/>
    <w:rsid w:val="00290B60"/>
    <w:rPr>
      <w:i/>
      <w:iCs/>
      <w:lang w:val="nl-NL"/>
    </w:rPr>
  </w:style>
  <w:style w:type="character" w:styleId="HTMLCode">
    <w:name w:val="HTML Code"/>
    <w:basedOn w:val="DefaultParagraphFont"/>
    <w:uiPriority w:val="99"/>
    <w:semiHidden/>
    <w:rsid w:val="00290B60"/>
    <w:rPr>
      <w:rFonts w:ascii="Consolas" w:hAnsi="Consolas" w:cs="Consolas"/>
      <w:sz w:val="20"/>
      <w:szCs w:val="20"/>
      <w:lang w:val="nl-NL"/>
    </w:rPr>
  </w:style>
  <w:style w:type="character" w:styleId="HTMLDefinition">
    <w:name w:val="HTML Definition"/>
    <w:basedOn w:val="DefaultParagraphFont"/>
    <w:uiPriority w:val="99"/>
    <w:semiHidden/>
    <w:rsid w:val="00290B60"/>
    <w:rPr>
      <w:i/>
      <w:iCs/>
      <w:lang w:val="nl-NL"/>
    </w:rPr>
  </w:style>
  <w:style w:type="character" w:styleId="HTMLKeyboard">
    <w:name w:val="HTML Keyboard"/>
    <w:basedOn w:val="DefaultParagraphFont"/>
    <w:uiPriority w:val="99"/>
    <w:semiHidden/>
    <w:rsid w:val="00290B60"/>
    <w:rPr>
      <w:rFonts w:ascii="Consolas" w:hAnsi="Consolas" w:cs="Consolas"/>
      <w:sz w:val="20"/>
      <w:szCs w:val="20"/>
      <w:lang w:val="nl-NL"/>
    </w:rPr>
  </w:style>
  <w:style w:type="paragraph" w:styleId="HTMLPreformatted">
    <w:name w:val="HTML Preformatted"/>
    <w:basedOn w:val="Normal"/>
    <w:link w:val="HTMLPreformattedChar"/>
    <w:uiPriority w:val="99"/>
    <w:semiHidden/>
    <w:rsid w:val="00290B60"/>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290B60"/>
    <w:rPr>
      <w:rFonts w:ascii="Consolas" w:hAnsi="Consolas" w:cs="Consolas"/>
      <w:lang w:val="nl-NL"/>
    </w:rPr>
  </w:style>
  <w:style w:type="character" w:styleId="HTMLSample">
    <w:name w:val="HTML Sample"/>
    <w:basedOn w:val="DefaultParagraphFont"/>
    <w:uiPriority w:val="99"/>
    <w:semiHidden/>
    <w:rsid w:val="00290B60"/>
    <w:rPr>
      <w:rFonts w:ascii="Consolas" w:hAnsi="Consolas" w:cs="Consolas"/>
      <w:sz w:val="24"/>
      <w:szCs w:val="24"/>
      <w:lang w:val="nl-NL"/>
    </w:rPr>
  </w:style>
  <w:style w:type="character" w:styleId="HTMLTypewriter">
    <w:name w:val="HTML Typewriter"/>
    <w:basedOn w:val="DefaultParagraphFont"/>
    <w:uiPriority w:val="99"/>
    <w:semiHidden/>
    <w:rsid w:val="00290B60"/>
    <w:rPr>
      <w:rFonts w:ascii="Consolas" w:hAnsi="Consolas" w:cs="Consolas"/>
      <w:sz w:val="20"/>
      <w:szCs w:val="20"/>
      <w:lang w:val="nl-NL"/>
    </w:rPr>
  </w:style>
  <w:style w:type="character" w:styleId="HTMLVariable">
    <w:name w:val="HTML Variable"/>
    <w:basedOn w:val="DefaultParagraphFont"/>
    <w:uiPriority w:val="99"/>
    <w:semiHidden/>
    <w:rsid w:val="00290B60"/>
    <w:rPr>
      <w:i/>
      <w:iCs/>
      <w:lang w:val="nl-NL"/>
    </w:rPr>
  </w:style>
  <w:style w:type="paragraph" w:styleId="Index1">
    <w:name w:val="index 1"/>
    <w:basedOn w:val="Normal"/>
    <w:next w:val="Normal"/>
    <w:autoRedefine/>
    <w:uiPriority w:val="99"/>
    <w:semiHidden/>
    <w:rsid w:val="00290B60"/>
    <w:pPr>
      <w:spacing w:line="240" w:lineRule="auto"/>
      <w:ind w:left="200" w:hanging="200"/>
    </w:pPr>
  </w:style>
  <w:style w:type="paragraph" w:styleId="Index2">
    <w:name w:val="index 2"/>
    <w:basedOn w:val="Normal"/>
    <w:next w:val="Normal"/>
    <w:autoRedefine/>
    <w:uiPriority w:val="99"/>
    <w:semiHidden/>
    <w:rsid w:val="00290B60"/>
    <w:pPr>
      <w:spacing w:line="240" w:lineRule="auto"/>
      <w:ind w:left="400" w:hanging="200"/>
    </w:pPr>
  </w:style>
  <w:style w:type="paragraph" w:styleId="Index3">
    <w:name w:val="index 3"/>
    <w:basedOn w:val="Normal"/>
    <w:next w:val="Normal"/>
    <w:autoRedefine/>
    <w:uiPriority w:val="99"/>
    <w:semiHidden/>
    <w:rsid w:val="00290B60"/>
    <w:pPr>
      <w:spacing w:line="240" w:lineRule="auto"/>
      <w:ind w:left="600" w:hanging="200"/>
    </w:pPr>
  </w:style>
  <w:style w:type="paragraph" w:styleId="Index4">
    <w:name w:val="index 4"/>
    <w:basedOn w:val="Normal"/>
    <w:next w:val="Normal"/>
    <w:autoRedefine/>
    <w:uiPriority w:val="99"/>
    <w:semiHidden/>
    <w:rsid w:val="00290B60"/>
    <w:pPr>
      <w:spacing w:line="240" w:lineRule="auto"/>
      <w:ind w:left="800" w:hanging="200"/>
    </w:pPr>
  </w:style>
  <w:style w:type="paragraph" w:styleId="Index5">
    <w:name w:val="index 5"/>
    <w:basedOn w:val="Normal"/>
    <w:next w:val="Normal"/>
    <w:autoRedefine/>
    <w:uiPriority w:val="99"/>
    <w:semiHidden/>
    <w:rsid w:val="00290B60"/>
    <w:pPr>
      <w:spacing w:line="240" w:lineRule="auto"/>
      <w:ind w:left="1000" w:hanging="200"/>
    </w:pPr>
  </w:style>
  <w:style w:type="paragraph" w:styleId="Index6">
    <w:name w:val="index 6"/>
    <w:basedOn w:val="Normal"/>
    <w:next w:val="Normal"/>
    <w:autoRedefine/>
    <w:uiPriority w:val="99"/>
    <w:semiHidden/>
    <w:rsid w:val="00290B60"/>
    <w:pPr>
      <w:spacing w:line="240" w:lineRule="auto"/>
      <w:ind w:left="1200" w:hanging="200"/>
    </w:pPr>
  </w:style>
  <w:style w:type="paragraph" w:styleId="Index7">
    <w:name w:val="index 7"/>
    <w:basedOn w:val="Normal"/>
    <w:next w:val="Normal"/>
    <w:autoRedefine/>
    <w:uiPriority w:val="99"/>
    <w:semiHidden/>
    <w:rsid w:val="00290B60"/>
    <w:pPr>
      <w:spacing w:line="240" w:lineRule="auto"/>
      <w:ind w:left="1400" w:hanging="200"/>
    </w:pPr>
  </w:style>
  <w:style w:type="paragraph" w:styleId="Index8">
    <w:name w:val="index 8"/>
    <w:basedOn w:val="Normal"/>
    <w:next w:val="Normal"/>
    <w:autoRedefine/>
    <w:uiPriority w:val="99"/>
    <w:semiHidden/>
    <w:rsid w:val="00290B60"/>
    <w:pPr>
      <w:spacing w:line="240" w:lineRule="auto"/>
      <w:ind w:left="1600" w:hanging="200"/>
    </w:pPr>
  </w:style>
  <w:style w:type="paragraph" w:styleId="Index9">
    <w:name w:val="index 9"/>
    <w:basedOn w:val="Normal"/>
    <w:next w:val="Normal"/>
    <w:autoRedefine/>
    <w:uiPriority w:val="99"/>
    <w:semiHidden/>
    <w:rsid w:val="00290B60"/>
    <w:pPr>
      <w:spacing w:line="240" w:lineRule="auto"/>
      <w:ind w:left="1800" w:hanging="200"/>
    </w:pPr>
  </w:style>
  <w:style w:type="paragraph" w:styleId="IndexHeading">
    <w:name w:val="index heading"/>
    <w:basedOn w:val="Normal"/>
    <w:next w:val="Index1"/>
    <w:uiPriority w:val="99"/>
    <w:semiHidden/>
    <w:rsid w:val="00290B60"/>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290B60"/>
    <w:rPr>
      <w:b/>
      <w:bCs/>
      <w:i/>
      <w:iCs/>
      <w:color w:val="00577E" w:themeColor="accent1"/>
      <w:lang w:val="nl-NL"/>
    </w:rPr>
  </w:style>
  <w:style w:type="paragraph" w:styleId="IntenseQuote">
    <w:name w:val="Intense Quote"/>
    <w:basedOn w:val="Normal"/>
    <w:next w:val="Normal"/>
    <w:link w:val="IntenseQuoteChar"/>
    <w:uiPriority w:val="30"/>
    <w:semiHidden/>
    <w:qFormat/>
    <w:rsid w:val="00290B60"/>
    <w:pPr>
      <w:pBdr>
        <w:bottom w:val="single" w:sz="4" w:space="4" w:color="00577E" w:themeColor="accent1"/>
      </w:pBdr>
      <w:spacing w:before="200" w:after="280"/>
      <w:ind w:left="936" w:right="936"/>
    </w:pPr>
    <w:rPr>
      <w:b/>
      <w:bCs/>
      <w:i/>
      <w:iCs/>
      <w:color w:val="00577E" w:themeColor="accent1"/>
    </w:rPr>
  </w:style>
  <w:style w:type="character" w:customStyle="1" w:styleId="IntenseQuoteChar">
    <w:name w:val="Intense Quote Char"/>
    <w:basedOn w:val="DefaultParagraphFont"/>
    <w:link w:val="IntenseQuote"/>
    <w:uiPriority w:val="30"/>
    <w:rsid w:val="00290B60"/>
    <w:rPr>
      <w:b/>
      <w:bCs/>
      <w:i/>
      <w:iCs/>
      <w:color w:val="00577E" w:themeColor="accent1"/>
      <w:lang w:val="nl-NL"/>
    </w:rPr>
  </w:style>
  <w:style w:type="character" w:styleId="IntenseReference">
    <w:name w:val="Intense Reference"/>
    <w:basedOn w:val="DefaultParagraphFont"/>
    <w:uiPriority w:val="32"/>
    <w:semiHidden/>
    <w:qFormat/>
    <w:rsid w:val="00290B60"/>
    <w:rPr>
      <w:b/>
      <w:bCs/>
      <w:smallCaps/>
      <w:color w:val="C7D300" w:themeColor="accent2"/>
      <w:spacing w:val="5"/>
      <w:u w:val="single"/>
      <w:lang w:val="nl-NL"/>
    </w:rPr>
  </w:style>
  <w:style w:type="character" w:styleId="LineNumber">
    <w:name w:val="line number"/>
    <w:basedOn w:val="DefaultParagraphFont"/>
    <w:uiPriority w:val="99"/>
    <w:semiHidden/>
    <w:rsid w:val="00290B60"/>
    <w:rPr>
      <w:lang w:val="nl-NL"/>
    </w:rPr>
  </w:style>
  <w:style w:type="paragraph" w:styleId="List">
    <w:name w:val="List"/>
    <w:basedOn w:val="Normal"/>
    <w:uiPriority w:val="99"/>
    <w:semiHidden/>
    <w:rsid w:val="00290B60"/>
    <w:pPr>
      <w:ind w:left="283" w:hanging="283"/>
      <w:contextualSpacing/>
    </w:pPr>
  </w:style>
  <w:style w:type="paragraph" w:styleId="List2">
    <w:name w:val="List 2"/>
    <w:basedOn w:val="Normal"/>
    <w:uiPriority w:val="99"/>
    <w:semiHidden/>
    <w:rsid w:val="00290B60"/>
    <w:pPr>
      <w:ind w:left="566" w:hanging="283"/>
      <w:contextualSpacing/>
    </w:pPr>
  </w:style>
  <w:style w:type="paragraph" w:styleId="List3">
    <w:name w:val="List 3"/>
    <w:basedOn w:val="Normal"/>
    <w:uiPriority w:val="99"/>
    <w:semiHidden/>
    <w:rsid w:val="00290B60"/>
    <w:pPr>
      <w:ind w:left="849" w:hanging="283"/>
      <w:contextualSpacing/>
    </w:pPr>
  </w:style>
  <w:style w:type="paragraph" w:styleId="List4">
    <w:name w:val="List 4"/>
    <w:basedOn w:val="Normal"/>
    <w:uiPriority w:val="99"/>
    <w:semiHidden/>
    <w:rsid w:val="00290B60"/>
    <w:pPr>
      <w:ind w:left="1132" w:hanging="283"/>
      <w:contextualSpacing/>
    </w:pPr>
  </w:style>
  <w:style w:type="paragraph" w:styleId="List5">
    <w:name w:val="List 5"/>
    <w:basedOn w:val="Normal"/>
    <w:uiPriority w:val="99"/>
    <w:semiHidden/>
    <w:rsid w:val="00290B60"/>
    <w:pPr>
      <w:ind w:left="1415" w:hanging="283"/>
      <w:contextualSpacing/>
    </w:pPr>
  </w:style>
  <w:style w:type="paragraph" w:styleId="ListBullet4">
    <w:name w:val="List Bullet 4"/>
    <w:basedOn w:val="BaseText"/>
    <w:uiPriority w:val="99"/>
    <w:rsid w:val="00DB1543"/>
    <w:pPr>
      <w:numPr>
        <w:ilvl w:val="3"/>
        <w:numId w:val="1"/>
      </w:numPr>
    </w:pPr>
  </w:style>
  <w:style w:type="paragraph" w:styleId="ListBullet5">
    <w:name w:val="List Bullet 5"/>
    <w:basedOn w:val="Normal"/>
    <w:uiPriority w:val="99"/>
    <w:semiHidden/>
    <w:rsid w:val="00290B60"/>
    <w:pPr>
      <w:numPr>
        <w:numId w:val="4"/>
      </w:numPr>
      <w:contextualSpacing/>
    </w:pPr>
  </w:style>
  <w:style w:type="paragraph" w:styleId="ListContinue">
    <w:name w:val="List Continue"/>
    <w:basedOn w:val="Normal"/>
    <w:uiPriority w:val="99"/>
    <w:semiHidden/>
    <w:rsid w:val="00290B60"/>
    <w:pPr>
      <w:spacing w:after="120"/>
      <w:ind w:left="283"/>
      <w:contextualSpacing/>
    </w:pPr>
  </w:style>
  <w:style w:type="paragraph" w:styleId="ListContinue2">
    <w:name w:val="List Continue 2"/>
    <w:basedOn w:val="Normal"/>
    <w:uiPriority w:val="99"/>
    <w:semiHidden/>
    <w:rsid w:val="00290B60"/>
    <w:pPr>
      <w:spacing w:after="120"/>
      <w:ind w:left="566"/>
      <w:contextualSpacing/>
    </w:pPr>
  </w:style>
  <w:style w:type="paragraph" w:styleId="ListContinue3">
    <w:name w:val="List Continue 3"/>
    <w:basedOn w:val="Normal"/>
    <w:uiPriority w:val="99"/>
    <w:semiHidden/>
    <w:rsid w:val="00290B60"/>
    <w:pPr>
      <w:spacing w:after="120"/>
      <w:ind w:left="849"/>
      <w:contextualSpacing/>
    </w:pPr>
  </w:style>
  <w:style w:type="paragraph" w:styleId="ListContinue4">
    <w:name w:val="List Continue 4"/>
    <w:basedOn w:val="Normal"/>
    <w:uiPriority w:val="99"/>
    <w:semiHidden/>
    <w:rsid w:val="00290B60"/>
    <w:pPr>
      <w:spacing w:after="120"/>
      <w:ind w:left="1132"/>
      <w:contextualSpacing/>
    </w:pPr>
  </w:style>
  <w:style w:type="paragraph" w:styleId="ListContinue5">
    <w:name w:val="List Continue 5"/>
    <w:basedOn w:val="Normal"/>
    <w:uiPriority w:val="99"/>
    <w:semiHidden/>
    <w:rsid w:val="00290B60"/>
    <w:pPr>
      <w:spacing w:after="120"/>
      <w:ind w:left="1415"/>
      <w:contextualSpacing/>
    </w:pPr>
  </w:style>
  <w:style w:type="paragraph" w:styleId="ListNumber4">
    <w:name w:val="List Number 4"/>
    <w:basedOn w:val="BaseText"/>
    <w:uiPriority w:val="99"/>
    <w:rsid w:val="009452E4"/>
    <w:pPr>
      <w:numPr>
        <w:ilvl w:val="3"/>
        <w:numId w:val="3"/>
      </w:numPr>
      <w:spacing w:before="80" w:line="260" w:lineRule="atLeast"/>
      <w:contextualSpacing/>
    </w:pPr>
    <w:rPr>
      <w:sz w:val="18"/>
    </w:rPr>
  </w:style>
  <w:style w:type="paragraph" w:styleId="ListNumber5">
    <w:name w:val="List Number 5"/>
    <w:basedOn w:val="Normal"/>
    <w:uiPriority w:val="99"/>
    <w:semiHidden/>
    <w:rsid w:val="00290B60"/>
    <w:pPr>
      <w:numPr>
        <w:numId w:val="5"/>
      </w:numPr>
      <w:contextualSpacing/>
    </w:pPr>
  </w:style>
  <w:style w:type="paragraph" w:styleId="ListParagraph">
    <w:name w:val="List Paragraph"/>
    <w:basedOn w:val="Normal"/>
    <w:uiPriority w:val="1"/>
    <w:unhideWhenUsed/>
    <w:qFormat/>
    <w:rsid w:val="00290B60"/>
    <w:pPr>
      <w:ind w:left="720"/>
      <w:contextualSpacing/>
    </w:pPr>
  </w:style>
  <w:style w:type="paragraph" w:styleId="MacroText">
    <w:name w:val="macro"/>
    <w:link w:val="MacroTextChar"/>
    <w:uiPriority w:val="99"/>
    <w:semiHidden/>
    <w:rsid w:val="00290B60"/>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uiPriority w:val="99"/>
    <w:semiHidden/>
    <w:rsid w:val="00290B60"/>
    <w:rPr>
      <w:rFonts w:ascii="Consolas" w:hAnsi="Consolas" w:cs="Consolas"/>
      <w:lang w:val="nl-NL"/>
    </w:rPr>
  </w:style>
  <w:style w:type="paragraph" w:styleId="MessageHeader">
    <w:name w:val="Message Header"/>
    <w:basedOn w:val="Normal"/>
    <w:link w:val="MessageHeaderChar"/>
    <w:uiPriority w:val="99"/>
    <w:semiHidden/>
    <w:rsid w:val="00290B6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90B60"/>
    <w:rPr>
      <w:rFonts w:asciiTheme="majorHAnsi" w:eastAsiaTheme="majorEastAsia" w:hAnsiTheme="majorHAnsi" w:cstheme="majorBidi"/>
      <w:sz w:val="24"/>
      <w:szCs w:val="24"/>
      <w:shd w:val="pct20" w:color="auto" w:fill="auto"/>
      <w:lang w:val="nl-NL"/>
    </w:rPr>
  </w:style>
  <w:style w:type="paragraph" w:styleId="NoSpacing">
    <w:name w:val="No Spacing"/>
    <w:unhideWhenUsed/>
    <w:qFormat/>
    <w:rsid w:val="00290B60"/>
    <w:pPr>
      <w:spacing w:line="240" w:lineRule="auto"/>
    </w:pPr>
  </w:style>
  <w:style w:type="paragraph" w:styleId="NormalWeb">
    <w:name w:val="Normal (Web)"/>
    <w:basedOn w:val="Normal"/>
    <w:uiPriority w:val="99"/>
    <w:semiHidden/>
    <w:rsid w:val="00290B60"/>
    <w:rPr>
      <w:rFonts w:ascii="Times New Roman" w:hAnsi="Times New Roman" w:cs="Times New Roman"/>
      <w:sz w:val="24"/>
      <w:szCs w:val="24"/>
    </w:rPr>
  </w:style>
  <w:style w:type="paragraph" w:styleId="NormalIndent">
    <w:name w:val="Normal Indent"/>
    <w:basedOn w:val="Normal"/>
    <w:uiPriority w:val="99"/>
    <w:semiHidden/>
    <w:rsid w:val="00290B60"/>
    <w:pPr>
      <w:ind w:left="720"/>
    </w:pPr>
  </w:style>
  <w:style w:type="paragraph" w:styleId="NoteHeading">
    <w:name w:val="Note Heading"/>
    <w:basedOn w:val="Normal"/>
    <w:next w:val="Normal"/>
    <w:link w:val="NoteHeadingChar"/>
    <w:uiPriority w:val="99"/>
    <w:semiHidden/>
    <w:rsid w:val="00290B60"/>
    <w:pPr>
      <w:spacing w:line="240" w:lineRule="auto"/>
    </w:pPr>
  </w:style>
  <w:style w:type="character" w:customStyle="1" w:styleId="NoteHeadingChar">
    <w:name w:val="Note Heading Char"/>
    <w:basedOn w:val="DefaultParagraphFont"/>
    <w:link w:val="NoteHeading"/>
    <w:uiPriority w:val="99"/>
    <w:semiHidden/>
    <w:rsid w:val="00290B60"/>
    <w:rPr>
      <w:lang w:val="nl-NL"/>
    </w:rPr>
  </w:style>
  <w:style w:type="character" w:styleId="PageNumber">
    <w:name w:val="page number"/>
    <w:basedOn w:val="DefaultParagraphFont"/>
    <w:uiPriority w:val="99"/>
    <w:semiHidden/>
    <w:rsid w:val="00290B60"/>
    <w:rPr>
      <w:lang w:val="nl-NL"/>
    </w:rPr>
  </w:style>
  <w:style w:type="character" w:styleId="PlaceholderText">
    <w:name w:val="Placeholder Text"/>
    <w:basedOn w:val="DefaultParagraphFont"/>
    <w:uiPriority w:val="99"/>
    <w:semiHidden/>
    <w:rsid w:val="00290B60"/>
    <w:rPr>
      <w:color w:val="808080"/>
      <w:lang w:val="nl-NL"/>
    </w:rPr>
  </w:style>
  <w:style w:type="paragraph" w:styleId="PlainText">
    <w:name w:val="Plain Text"/>
    <w:basedOn w:val="Normal"/>
    <w:link w:val="PlainTextChar"/>
    <w:uiPriority w:val="99"/>
    <w:semiHidden/>
    <w:rsid w:val="00290B60"/>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290B60"/>
    <w:rPr>
      <w:rFonts w:ascii="Consolas" w:hAnsi="Consolas" w:cs="Consolas"/>
      <w:sz w:val="21"/>
      <w:szCs w:val="21"/>
      <w:lang w:val="nl-NL"/>
    </w:rPr>
  </w:style>
  <w:style w:type="paragraph" w:styleId="Quote">
    <w:name w:val="Quote"/>
    <w:basedOn w:val="Normal"/>
    <w:next w:val="Normal"/>
    <w:link w:val="QuoteChar"/>
    <w:uiPriority w:val="29"/>
    <w:semiHidden/>
    <w:qFormat/>
    <w:rsid w:val="00290B60"/>
    <w:rPr>
      <w:i/>
      <w:iCs/>
    </w:rPr>
  </w:style>
  <w:style w:type="character" w:customStyle="1" w:styleId="QuoteChar">
    <w:name w:val="Quote Char"/>
    <w:basedOn w:val="DefaultParagraphFont"/>
    <w:link w:val="Quote"/>
    <w:uiPriority w:val="29"/>
    <w:rsid w:val="00290B60"/>
    <w:rPr>
      <w:i/>
      <w:iCs/>
      <w:lang w:val="nl-NL"/>
    </w:rPr>
  </w:style>
  <w:style w:type="paragraph" w:styleId="Salutation">
    <w:name w:val="Salutation"/>
    <w:basedOn w:val="Normal"/>
    <w:next w:val="Normal"/>
    <w:link w:val="SalutationChar"/>
    <w:uiPriority w:val="99"/>
    <w:semiHidden/>
    <w:rsid w:val="00290B60"/>
  </w:style>
  <w:style w:type="character" w:customStyle="1" w:styleId="SalutationChar">
    <w:name w:val="Salutation Char"/>
    <w:basedOn w:val="DefaultParagraphFont"/>
    <w:link w:val="Salutation"/>
    <w:uiPriority w:val="99"/>
    <w:semiHidden/>
    <w:rsid w:val="00290B60"/>
    <w:rPr>
      <w:lang w:val="nl-NL"/>
    </w:rPr>
  </w:style>
  <w:style w:type="paragraph" w:styleId="Signature">
    <w:name w:val="Signature"/>
    <w:basedOn w:val="Normal"/>
    <w:link w:val="SignatureChar"/>
    <w:uiPriority w:val="99"/>
    <w:semiHidden/>
    <w:rsid w:val="00290B60"/>
    <w:pPr>
      <w:spacing w:line="240" w:lineRule="auto"/>
      <w:ind w:left="4252"/>
    </w:pPr>
  </w:style>
  <w:style w:type="character" w:customStyle="1" w:styleId="SignatureChar">
    <w:name w:val="Signature Char"/>
    <w:basedOn w:val="DefaultParagraphFont"/>
    <w:link w:val="Signature"/>
    <w:uiPriority w:val="99"/>
    <w:semiHidden/>
    <w:rsid w:val="00290B60"/>
    <w:rPr>
      <w:lang w:val="nl-NL"/>
    </w:rPr>
  </w:style>
  <w:style w:type="character" w:styleId="Strong">
    <w:name w:val="Strong"/>
    <w:basedOn w:val="DefaultParagraphFont"/>
    <w:uiPriority w:val="22"/>
    <w:unhideWhenUsed/>
    <w:qFormat/>
    <w:rsid w:val="00290B60"/>
    <w:rPr>
      <w:b/>
      <w:bCs/>
      <w:lang w:val="nl-NL"/>
    </w:rPr>
  </w:style>
  <w:style w:type="character" w:styleId="SubtleEmphasis">
    <w:name w:val="Subtle Emphasis"/>
    <w:basedOn w:val="DefaultParagraphFont"/>
    <w:uiPriority w:val="19"/>
    <w:semiHidden/>
    <w:qFormat/>
    <w:rsid w:val="00290B60"/>
    <w:rPr>
      <w:i/>
      <w:iCs/>
      <w:color w:val="3FC3FF" w:themeColor="text1" w:themeTint="7F"/>
      <w:lang w:val="nl-NL"/>
    </w:rPr>
  </w:style>
  <w:style w:type="character" w:styleId="SubtleReference">
    <w:name w:val="Subtle Reference"/>
    <w:basedOn w:val="DefaultParagraphFont"/>
    <w:uiPriority w:val="31"/>
    <w:semiHidden/>
    <w:qFormat/>
    <w:rsid w:val="00290B60"/>
    <w:rPr>
      <w:smallCaps/>
      <w:color w:val="C7D300" w:themeColor="accent2"/>
      <w:u w:val="single"/>
      <w:lang w:val="nl-NL"/>
    </w:rPr>
  </w:style>
  <w:style w:type="paragraph" w:styleId="TableofAuthorities">
    <w:name w:val="table of authorities"/>
    <w:basedOn w:val="Normal"/>
    <w:next w:val="Normal"/>
    <w:uiPriority w:val="99"/>
    <w:semiHidden/>
    <w:rsid w:val="00290B60"/>
    <w:pPr>
      <w:ind w:left="200" w:hanging="200"/>
    </w:pPr>
  </w:style>
  <w:style w:type="paragraph" w:styleId="TableofFigures">
    <w:name w:val="table of figures"/>
    <w:basedOn w:val="BaseText"/>
    <w:next w:val="Normal"/>
    <w:unhideWhenUsed/>
    <w:rsid w:val="00A76F7B"/>
    <w:pPr>
      <w:tabs>
        <w:tab w:val="right" w:pos="9401"/>
      </w:tabs>
      <w:spacing w:after="80" w:line="266" w:lineRule="auto"/>
    </w:pPr>
    <w:rPr>
      <w:sz w:val="22"/>
    </w:rPr>
  </w:style>
  <w:style w:type="paragraph" w:styleId="TOAHeading">
    <w:name w:val="toa heading"/>
    <w:basedOn w:val="Normal"/>
    <w:next w:val="Normal"/>
    <w:uiPriority w:val="99"/>
    <w:semiHidden/>
    <w:rsid w:val="00290B60"/>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rsid w:val="00EE5E57"/>
    <w:pPr>
      <w:tabs>
        <w:tab w:val="left" w:pos="851"/>
        <w:tab w:val="right" w:pos="9412"/>
      </w:tabs>
      <w:spacing w:after="80" w:line="280" w:lineRule="atLeast"/>
    </w:pPr>
  </w:style>
  <w:style w:type="paragraph" w:styleId="TOC5">
    <w:name w:val="toc 5"/>
    <w:basedOn w:val="Normal"/>
    <w:next w:val="Normal"/>
    <w:autoRedefine/>
    <w:uiPriority w:val="39"/>
    <w:semiHidden/>
    <w:rsid w:val="00290B60"/>
    <w:pPr>
      <w:spacing w:after="100"/>
      <w:ind w:left="800"/>
    </w:pPr>
  </w:style>
  <w:style w:type="paragraph" w:styleId="TOC9">
    <w:name w:val="toc 9"/>
    <w:basedOn w:val="Normal"/>
    <w:next w:val="Normal"/>
    <w:autoRedefine/>
    <w:uiPriority w:val="39"/>
    <w:semiHidden/>
    <w:rsid w:val="00290B60"/>
    <w:pPr>
      <w:spacing w:after="100"/>
      <w:ind w:left="1600"/>
    </w:pPr>
  </w:style>
  <w:style w:type="character" w:customStyle="1" w:styleId="BaseTextChar">
    <w:name w:val="Base Text Char"/>
    <w:basedOn w:val="DefaultParagraphFont"/>
    <w:link w:val="BaseText"/>
    <w:semiHidden/>
    <w:rsid w:val="00E07ADF"/>
    <w:rPr>
      <w:rFonts w:cs="Arial"/>
      <w:lang w:val="nl-NL"/>
    </w:rPr>
  </w:style>
  <w:style w:type="character" w:customStyle="1" w:styleId="RHDHVAddressChar">
    <w:name w:val="RHDHV Address Char"/>
    <w:basedOn w:val="BaseTextChar"/>
    <w:link w:val="RHDHVAddress"/>
    <w:rsid w:val="00E07ADF"/>
    <w:rPr>
      <w:rFonts w:cs="Arial"/>
      <w:sz w:val="16"/>
      <w:lang w:val="nl-NL"/>
    </w:rPr>
  </w:style>
  <w:style w:type="character" w:customStyle="1" w:styleId="RHDHVAddressLabelChar">
    <w:name w:val="RHDHV Address Label Char"/>
    <w:basedOn w:val="RHDHVAddressChar"/>
    <w:link w:val="RHDHVAddressLabel"/>
    <w:rsid w:val="00E07ADF"/>
    <w:rPr>
      <w:rFonts w:cs="Arial"/>
      <w:b/>
      <w:caps/>
      <w:color w:val="00577E" w:themeColor="accent1"/>
      <w:sz w:val="16"/>
      <w:lang w:val="nl-NL"/>
    </w:rPr>
  </w:style>
  <w:style w:type="paragraph" w:customStyle="1" w:styleId="AppendixTitle">
    <w:name w:val="Appendix Title"/>
    <w:basedOn w:val="Title"/>
    <w:next w:val="BodyText"/>
    <w:unhideWhenUsed/>
    <w:qFormat/>
    <w:rsid w:val="007D05B5"/>
    <w:rPr>
      <w:rFonts w:asciiTheme="minorHAnsi" w:hAnsiTheme="minorHAnsi"/>
    </w:rPr>
  </w:style>
  <w:style w:type="paragraph" w:customStyle="1" w:styleId="AppendixHeading1">
    <w:name w:val="Appendix Heading 1"/>
    <w:basedOn w:val="BaseHeadings"/>
    <w:next w:val="BodyText"/>
    <w:unhideWhenUsed/>
    <w:qFormat/>
    <w:rsid w:val="007D05B5"/>
    <w:pPr>
      <w:spacing w:before="240" w:after="120" w:line="298" w:lineRule="auto"/>
    </w:pPr>
    <w:rPr>
      <w:b/>
      <w:sz w:val="28"/>
    </w:rPr>
  </w:style>
  <w:style w:type="paragraph" w:customStyle="1" w:styleId="AppendixHeading2">
    <w:name w:val="Appendix Heading 2"/>
    <w:basedOn w:val="BaseHeadings"/>
    <w:next w:val="BodyText"/>
    <w:unhideWhenUsed/>
    <w:qFormat/>
    <w:rsid w:val="007D05B5"/>
    <w:pPr>
      <w:spacing w:before="240" w:after="120" w:line="274" w:lineRule="auto"/>
    </w:pPr>
    <w:rPr>
      <w:b/>
      <w:sz w:val="26"/>
    </w:rPr>
  </w:style>
  <w:style w:type="paragraph" w:customStyle="1" w:styleId="AppendixHeading3">
    <w:name w:val="Appendix Heading 3"/>
    <w:basedOn w:val="BaseHeadings"/>
    <w:next w:val="BodyText"/>
    <w:unhideWhenUsed/>
    <w:qFormat/>
    <w:rsid w:val="007D05B5"/>
    <w:pPr>
      <w:spacing w:before="240" w:after="120" w:line="278" w:lineRule="auto"/>
    </w:pPr>
    <w:rPr>
      <w:b/>
      <w:sz w:val="24"/>
    </w:rPr>
  </w:style>
  <w:style w:type="paragraph" w:customStyle="1" w:styleId="AppendixHeading1Numbered">
    <w:name w:val="Appendix Heading 1 Numbered"/>
    <w:basedOn w:val="AppendixHeading1"/>
    <w:next w:val="BodyText"/>
    <w:unhideWhenUsed/>
    <w:qFormat/>
    <w:rsid w:val="007D05B5"/>
    <w:pPr>
      <w:ind w:left="851" w:hanging="851"/>
    </w:pPr>
  </w:style>
  <w:style w:type="paragraph" w:customStyle="1" w:styleId="AppendixHeading2Numbered">
    <w:name w:val="Appendix Heading 2 Numbered"/>
    <w:basedOn w:val="AppendixHeading2"/>
    <w:next w:val="BodyText"/>
    <w:unhideWhenUsed/>
    <w:qFormat/>
    <w:rsid w:val="007D05B5"/>
    <w:pPr>
      <w:ind w:left="851" w:hanging="851"/>
    </w:pPr>
  </w:style>
  <w:style w:type="paragraph" w:customStyle="1" w:styleId="AppendixHeading3Numbered">
    <w:name w:val="Appendix Heading 3 Numbered"/>
    <w:basedOn w:val="AppendixHeading3"/>
    <w:next w:val="BodyText"/>
    <w:unhideWhenUsed/>
    <w:qFormat/>
    <w:rsid w:val="007D05B5"/>
    <w:pPr>
      <w:ind w:left="851" w:hanging="851"/>
    </w:pPr>
  </w:style>
  <w:style w:type="numbering" w:customStyle="1" w:styleId="ListAppendices">
    <w:name w:val="List Appendices"/>
    <w:uiPriority w:val="99"/>
    <w:rsid w:val="007D05B5"/>
    <w:pPr>
      <w:numPr>
        <w:numId w:val="12"/>
      </w:numPr>
    </w:pPr>
  </w:style>
  <w:style w:type="character" w:customStyle="1" w:styleId="WebAddressChar">
    <w:name w:val="Web Address Char"/>
    <w:basedOn w:val="BaseTextChar"/>
    <w:link w:val="WebAddress"/>
    <w:rsid w:val="00D30379"/>
    <w:rPr>
      <w:rFonts w:cs="Arial"/>
      <w:b/>
      <w:sz w:val="22"/>
      <w:lang w:val="nl-NL"/>
    </w:rPr>
  </w:style>
  <w:style w:type="paragraph" w:customStyle="1" w:styleId="BackpageHeading">
    <w:name w:val="Backpage Heading"/>
    <w:basedOn w:val="DisclaimerHeading"/>
    <w:next w:val="BodyText"/>
    <w:rsid w:val="003F228F"/>
    <w:pPr>
      <w:framePr w:wrap="notBeside"/>
      <w:spacing w:before="120"/>
    </w:pPr>
    <w:rPr>
      <w:rFonts w:asciiTheme="minorHAnsi" w:hAnsiTheme="minorHAnsi"/>
      <w:color w:val="00577E" w:themeColor="accent1"/>
      <w:sz w:val="22"/>
    </w:rPr>
  </w:style>
  <w:style w:type="paragraph" w:customStyle="1" w:styleId="AppendixHeading">
    <w:name w:val="Appendix Heading"/>
    <w:basedOn w:val="Title"/>
    <w:next w:val="BodyText"/>
    <w:qFormat/>
    <w:rsid w:val="004738CD"/>
    <w:rPr>
      <w:bCs/>
      <w:noProof/>
      <w:lang w:val="en-US"/>
    </w:rPr>
  </w:style>
  <w:style w:type="table" w:customStyle="1" w:styleId="RHDHVTable1">
    <w:name w:val="RHDHV Table1"/>
    <w:basedOn w:val="TableNormal"/>
    <w:uiPriority w:val="99"/>
    <w:unhideWhenUsed/>
    <w:rsid w:val="001E1D7B"/>
    <w:pPr>
      <w:spacing w:line="288" w:lineRule="auto"/>
      <w:ind w:left="113"/>
    </w:pPr>
    <w:rPr>
      <w:sz w:val="16"/>
    </w:rPr>
    <w:tblPr>
      <w:tblInd w:w="-68" w:type="dxa"/>
      <w:tblBorders>
        <w:insideH w:val="single" w:sz="8" w:space="0" w:color="FFFFFF"/>
        <w:insideV w:val="single" w:sz="8" w:space="0" w:color="FFFFFF"/>
      </w:tblBorders>
      <w:tblCellMar>
        <w:top w:w="57" w:type="dxa"/>
        <w:left w:w="0" w:type="dxa"/>
        <w:bottom w:w="57" w:type="dxa"/>
        <w:right w:w="0" w:type="dxa"/>
      </w:tblCellMar>
    </w:tblPr>
    <w:tcPr>
      <w:shd w:val="clear" w:color="auto" w:fill="E6F5C6"/>
      <w:vAlign w:val="center"/>
    </w:tcPr>
    <w:tblStylePr w:type="firstRow">
      <w:rPr>
        <w:b/>
        <w:color w:val="FFFFFF"/>
        <w:sz w:val="16"/>
      </w:rPr>
      <w:tblPr/>
      <w:tcPr>
        <w:tcBorders>
          <w:top w:val="nil"/>
          <w:left w:val="nil"/>
          <w:bottom w:val="nil"/>
          <w:right w:val="nil"/>
          <w:insideH w:val="nil"/>
          <w:insideV w:val="single" w:sz="8" w:space="0" w:color="FFFFFF"/>
          <w:tl2br w:val="nil"/>
          <w:tr2bl w:val="nil"/>
        </w:tcBorders>
        <w:shd w:val="clear" w:color="auto" w:fill="72971B"/>
      </w:tcPr>
    </w:tblStylePr>
    <w:tblStylePr w:type="lastRow">
      <w:tblPr/>
      <w:tcPr>
        <w:tcBorders>
          <w:top w:val="nil"/>
          <w:left w:val="nil"/>
          <w:bottom w:val="nil"/>
          <w:right w:val="nil"/>
          <w:insideH w:val="nil"/>
          <w:insideV w:val="single" w:sz="8" w:space="0" w:color="FFFFFF"/>
          <w:tl2br w:val="nil"/>
          <w:tr2bl w:val="nil"/>
        </w:tcBorders>
        <w:shd w:val="clear" w:color="auto" w:fill="CEEA8E"/>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customStyle="1" w:styleId="DisclaimerTextBold">
    <w:name w:val="Disclaimer Text Bold"/>
    <w:basedOn w:val="DisclaimerText"/>
    <w:rsid w:val="008F1264"/>
    <w:pPr>
      <w:framePr w:wrap="notBeside"/>
    </w:pPr>
    <w:rPr>
      <w:b/>
      <w:bCs/>
    </w:rPr>
  </w:style>
  <w:style w:type="table" w:styleId="TableGridLight">
    <w:name w:val="Grid Table Light"/>
    <w:basedOn w:val="TableNormal"/>
    <w:uiPriority w:val="40"/>
    <w:rsid w:val="00B66499"/>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B6649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edcontent">
    <w:name w:val="markedcontent"/>
    <w:basedOn w:val="DefaultParagraphFont"/>
    <w:rsid w:val="009268B4"/>
    <w:rPr>
      <w:lang w:val="nl-NL"/>
    </w:rPr>
  </w:style>
  <w:style w:type="character" w:customStyle="1" w:styleId="UnresolvedMention">
    <w:name w:val="Unresolved Mention"/>
    <w:basedOn w:val="DefaultParagraphFont"/>
    <w:uiPriority w:val="99"/>
    <w:unhideWhenUsed/>
    <w:rsid w:val="002C1A7D"/>
    <w:rPr>
      <w:color w:val="605E5C"/>
      <w:shd w:val="clear" w:color="auto" w:fill="E1DFDD"/>
      <w:lang w:val="nl-NL"/>
    </w:rPr>
  </w:style>
  <w:style w:type="character" w:customStyle="1" w:styleId="Mention">
    <w:name w:val="Mention"/>
    <w:basedOn w:val="DefaultParagraphFont"/>
    <w:uiPriority w:val="99"/>
    <w:unhideWhenUsed/>
    <w:rsid w:val="002C1A7D"/>
    <w:rPr>
      <w:color w:val="2B579A"/>
      <w:shd w:val="clear" w:color="auto" w:fill="E1DFDD"/>
      <w:lang w:val="nl-NL"/>
    </w:rPr>
  </w:style>
  <w:style w:type="paragraph" w:styleId="Revision">
    <w:name w:val="Revision"/>
    <w:hidden/>
    <w:uiPriority w:val="99"/>
    <w:semiHidden/>
    <w:rsid w:val="00A55400"/>
    <w:pPr>
      <w:spacing w:line="240" w:lineRule="auto"/>
    </w:pPr>
    <w:rPr>
      <w:lang w:val="nl-NL"/>
    </w:rPr>
  </w:style>
  <w:style w:type="paragraph" w:customStyle="1" w:styleId="Default">
    <w:name w:val="Default"/>
    <w:rsid w:val="0073273A"/>
    <w:pPr>
      <w:autoSpaceDE w:val="0"/>
      <w:autoSpaceDN w:val="0"/>
      <w:adjustRightInd w:val="0"/>
      <w:spacing w:line="240" w:lineRule="auto"/>
    </w:pPr>
    <w:rPr>
      <w:rFonts w:ascii="Verdana" w:hAnsi="Verdana" w:cs="Verdana"/>
      <w:color w:val="000000"/>
      <w:sz w:val="24"/>
      <w:szCs w:val="24"/>
      <w:lang w:val="nl-NL"/>
    </w:rPr>
  </w:style>
  <w:style w:type="paragraph" w:customStyle="1" w:styleId="paragraph">
    <w:name w:val="paragraph"/>
    <w:basedOn w:val="Normal"/>
    <w:rsid w:val="000561EF"/>
    <w:pPr>
      <w:spacing w:before="100" w:beforeAutospacing="1" w:after="100" w:afterAutospacing="1" w:line="240" w:lineRule="auto"/>
    </w:pPr>
    <w:rPr>
      <w:rFonts w:ascii="Calibri" w:eastAsiaTheme="minorHAnsi" w:hAnsi="Calibri" w:cs="Calibri"/>
      <w:color w:val="auto"/>
      <w:sz w:val="22"/>
      <w:szCs w:val="22"/>
      <w:lang w:eastAsia="nl-NL"/>
    </w:rPr>
  </w:style>
  <w:style w:type="character" w:customStyle="1" w:styleId="normaltextrun">
    <w:name w:val="normaltextrun"/>
    <w:basedOn w:val="DefaultParagraphFont"/>
    <w:rsid w:val="000561EF"/>
  </w:style>
  <w:style w:type="character" w:customStyle="1" w:styleId="superscript">
    <w:name w:val="superscript"/>
    <w:basedOn w:val="DefaultParagraphFont"/>
    <w:rsid w:val="000561EF"/>
  </w:style>
  <w:style w:type="character" w:customStyle="1" w:styleId="eop">
    <w:name w:val="eop"/>
    <w:basedOn w:val="DefaultParagraphFont"/>
    <w:rsid w:val="000561EF"/>
  </w:style>
  <w:style w:type="character" w:customStyle="1" w:styleId="findhit">
    <w:name w:val="findhit"/>
    <w:basedOn w:val="DefaultParagraphFont"/>
    <w:rsid w:val="000561EF"/>
  </w:style>
  <w:style w:type="table" w:customStyle="1" w:styleId="ILTRapport16aTabelstijl">
    <w:name w:val="ILT Rapport 16a Tabelstijl"/>
    <w:rsid w:val="00920080"/>
    <w:pPr>
      <w:autoSpaceDN w:val="0"/>
      <w:spacing w:line="240" w:lineRule="auto"/>
      <w:textAlignment w:val="baseline"/>
    </w:pPr>
    <w:rPr>
      <w:rFonts w:ascii="Times New Roman" w:eastAsia="DejaVu Sans" w:hAnsi="Times New Roman" w:cs="Lohit Hindi"/>
      <w:color w:val="auto"/>
      <w:sz w:val="16"/>
      <w:szCs w:val="16"/>
      <w:lang w:val="nl-NL" w:eastAsia="nl-NL"/>
    </w:rPr>
    <w:tblPr>
      <w:tblCellMar>
        <w:top w:w="20" w:type="dxa"/>
        <w:left w:w="0" w:type="dxa"/>
        <w:bottom w:w="20" w:type="dxa"/>
        <w:right w:w="0" w:type="dxa"/>
      </w:tblCellMar>
    </w:tblPr>
  </w:style>
  <w:style w:type="paragraph" w:customStyle="1" w:styleId="Verdana8">
    <w:name w:val="Verdana 8"/>
    <w:next w:val="Normal"/>
    <w:rsid w:val="00920080"/>
    <w:pPr>
      <w:autoSpaceDN w:val="0"/>
      <w:spacing w:line="180" w:lineRule="exact"/>
      <w:textAlignment w:val="baseline"/>
    </w:pPr>
    <w:rPr>
      <w:rFonts w:ascii="Verdana" w:eastAsia="DejaVu Sans" w:hAnsi="Verdana" w:cs="Lohit Hindi"/>
      <w:color w:val="000000"/>
      <w:sz w:val="16"/>
      <w:szCs w:val="16"/>
      <w:lang w:val="nl-NL" w:eastAsia="nl-NL"/>
    </w:rPr>
  </w:style>
  <w:style w:type="paragraph" w:customStyle="1" w:styleId="Verdana65">
    <w:name w:val="Verdana 6;5"/>
    <w:basedOn w:val="Normal"/>
    <w:next w:val="Normal"/>
    <w:rsid w:val="00920080"/>
    <w:pPr>
      <w:autoSpaceDN w:val="0"/>
      <w:spacing w:line="240" w:lineRule="exact"/>
      <w:textAlignment w:val="baseline"/>
    </w:pPr>
    <w:rPr>
      <w:rFonts w:ascii="Verdana" w:eastAsia="DejaVu Sans" w:hAnsi="Verdana" w:cs="Lohit Hindi"/>
      <w:color w:val="000000"/>
      <w:sz w:val="13"/>
      <w:szCs w:val="13"/>
      <w:lang w:eastAsia="nl-NL"/>
    </w:rPr>
  </w:style>
  <w:style w:type="paragraph" w:customStyle="1" w:styleId="ILTOpsomming">
    <w:name w:val="ILT Opsomming"/>
    <w:basedOn w:val="Normal"/>
    <w:next w:val="Normal"/>
    <w:rsid w:val="00BF3017"/>
    <w:pPr>
      <w:numPr>
        <w:numId w:val="9"/>
      </w:numPr>
      <w:autoSpaceDN w:val="0"/>
      <w:spacing w:line="240" w:lineRule="exact"/>
      <w:textAlignment w:val="baseline"/>
    </w:pPr>
    <w:rPr>
      <w:rFonts w:ascii="Verdana" w:eastAsia="DejaVu Sans" w:hAnsi="Verdana" w:cs="Lohit Hindi"/>
      <w:color w:val="000000"/>
      <w:sz w:val="18"/>
      <w:szCs w:val="18"/>
      <w:lang w:eastAsia="nl-NL"/>
    </w:rPr>
  </w:style>
  <w:style w:type="paragraph" w:customStyle="1" w:styleId="ILTOpsomming15">
    <w:name w:val="ILT Opsomming 1.5"/>
    <w:basedOn w:val="Normal"/>
    <w:next w:val="Normal"/>
    <w:rsid w:val="00920080"/>
    <w:pPr>
      <w:numPr>
        <w:ilvl w:val="1"/>
        <w:numId w:val="9"/>
      </w:numPr>
      <w:autoSpaceDN w:val="0"/>
      <w:spacing w:line="300" w:lineRule="exact"/>
      <w:textAlignment w:val="baseline"/>
    </w:pPr>
    <w:rPr>
      <w:rFonts w:ascii="Verdana" w:eastAsia="DejaVu Sans" w:hAnsi="Verdana" w:cs="Lohit Hindi"/>
      <w:color w:val="000000"/>
      <w:sz w:val="18"/>
      <w:szCs w:val="18"/>
      <w:lang w:eastAsia="nl-NL"/>
    </w:rPr>
  </w:style>
  <w:style w:type="paragraph" w:customStyle="1" w:styleId="ILTOpsommingbullet">
    <w:name w:val="ILT Opsomming bullet"/>
    <w:basedOn w:val="Normal"/>
    <w:next w:val="Normal"/>
    <w:rsid w:val="00920080"/>
    <w:pPr>
      <w:numPr>
        <w:ilvl w:val="2"/>
        <w:numId w:val="9"/>
      </w:numPr>
      <w:autoSpaceDN w:val="0"/>
      <w:spacing w:line="300" w:lineRule="exact"/>
      <w:textAlignment w:val="baseline"/>
    </w:pPr>
    <w:rPr>
      <w:rFonts w:ascii="Verdana" w:eastAsia="DejaVu Sans" w:hAnsi="Verdana" w:cs="Lohit Hindi"/>
      <w:color w:val="000000"/>
      <w:sz w:val="18"/>
      <w:szCs w:val="18"/>
      <w:lang w:eastAsia="nl-NL"/>
    </w:rPr>
  </w:style>
  <w:style w:type="paragraph" w:customStyle="1" w:styleId="NEastandaardopsomming">
    <w:name w:val="NEa standaard opsomming"/>
    <w:basedOn w:val="Normal"/>
    <w:rsid w:val="00BF3017"/>
    <w:pPr>
      <w:numPr>
        <w:numId w:val="10"/>
      </w:numPr>
      <w:autoSpaceDN w:val="0"/>
      <w:spacing w:line="240" w:lineRule="exact"/>
      <w:textAlignment w:val="baseline"/>
    </w:pPr>
    <w:rPr>
      <w:rFonts w:ascii="Verdana" w:eastAsia="DejaVu Sans" w:hAnsi="Verdana" w:cs="Lohit Hindi"/>
      <w:color w:val="000000"/>
      <w:sz w:val="18"/>
      <w:szCs w:val="18"/>
      <w:lang w:eastAsia="nl-NL"/>
    </w:rPr>
  </w:style>
  <w:style w:type="paragraph" w:customStyle="1" w:styleId="StandaardRapportTitel">
    <w:name w:val="Standaard_Rapport_Titel"/>
    <w:basedOn w:val="Normal"/>
    <w:next w:val="Normal"/>
    <w:rsid w:val="007C4DBE"/>
    <w:pPr>
      <w:autoSpaceDN w:val="0"/>
      <w:spacing w:before="60" w:after="320" w:line="240" w:lineRule="exact"/>
      <w:textAlignment w:val="baseline"/>
    </w:pPr>
    <w:rPr>
      <w:rFonts w:ascii="Verdana" w:eastAsia="DejaVu Sans" w:hAnsi="Verdana" w:cs="Lohit Hindi"/>
      <w:b/>
      <w:color w:val="000000"/>
      <w:sz w:val="24"/>
      <w:szCs w:val="24"/>
      <w:lang w:eastAsia="nl-NL"/>
    </w:rPr>
  </w:style>
  <w:style w:type="paragraph" w:customStyle="1" w:styleId="tweedeparagraaf">
    <w:name w:val="tweede paragraaf"/>
    <w:basedOn w:val="Heading3"/>
    <w:link w:val="tweedeparagraafChar"/>
    <w:qFormat/>
    <w:rsid w:val="00325168"/>
    <w:rPr>
      <w:rFonts w:ascii="Verdana" w:hAnsi="Verdana"/>
      <w:b w:val="0"/>
      <w:i/>
      <w:color w:val="auto"/>
      <w:sz w:val="22"/>
    </w:rPr>
  </w:style>
  <w:style w:type="character" w:customStyle="1" w:styleId="tweedeparagraafChar">
    <w:name w:val="tweede paragraaf Char"/>
    <w:basedOn w:val="Heading3Char"/>
    <w:link w:val="tweedeparagraaf"/>
    <w:rsid w:val="00325168"/>
    <w:rPr>
      <w:rFonts w:ascii="Verdana" w:eastAsiaTheme="majorEastAsia" w:hAnsi="Verdana" w:cstheme="majorBidi"/>
      <w:b w:val="0"/>
      <w:bCs/>
      <w:i/>
      <w:color w:val="auto"/>
      <w:sz w:val="22"/>
      <w:lang w:val="nl-NL"/>
    </w:rPr>
  </w:style>
  <w:style w:type="paragraph" w:customStyle="1" w:styleId="Stijl1">
    <w:name w:val="Stijl1"/>
    <w:basedOn w:val="tweedeparagraaf"/>
    <w:link w:val="Stijl1Char"/>
    <w:qFormat/>
    <w:rsid w:val="00325168"/>
    <w:rPr>
      <w:sz w:val="18"/>
    </w:rPr>
  </w:style>
  <w:style w:type="character" w:customStyle="1" w:styleId="Stijl1Char">
    <w:name w:val="Stijl1 Char"/>
    <w:basedOn w:val="tweedeparagraafChar"/>
    <w:link w:val="Stijl1"/>
    <w:rsid w:val="00325168"/>
    <w:rPr>
      <w:rFonts w:ascii="Verdana" w:eastAsiaTheme="majorEastAsia" w:hAnsi="Verdana" w:cstheme="majorBidi"/>
      <w:b w:val="0"/>
      <w:bCs/>
      <w:i/>
      <w:color w:val="auto"/>
      <w:sz w:val="18"/>
      <w:lang w:val="nl-NL"/>
    </w:rPr>
  </w:style>
  <w:style w:type="character" w:customStyle="1" w:styleId="cf01">
    <w:name w:val="cf01"/>
    <w:basedOn w:val="DefaultParagraphFont"/>
    <w:rsid w:val="00016DBF"/>
    <w:rPr>
      <w:rFonts w:ascii="Segoe UI" w:hAnsi="Segoe UI" w:cs="Segoe UI" w:hint="default"/>
      <w:color w:val="00577E"/>
      <w:sz w:val="18"/>
      <w:szCs w:val="18"/>
    </w:rPr>
  </w:style>
  <w:style w:type="paragraph" w:customStyle="1" w:styleId="isselectedend">
    <w:name w:val="isselectedend"/>
    <w:basedOn w:val="Normal"/>
    <w:rsid w:val="009104D8"/>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text-token-text-primary">
    <w:name w:val="text-token-text-primary"/>
    <w:basedOn w:val="DefaultParagraphFont"/>
    <w:rsid w:val="00910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493">
      <w:bodyDiv w:val="1"/>
      <w:marLeft w:val="0"/>
      <w:marRight w:val="0"/>
      <w:marTop w:val="0"/>
      <w:marBottom w:val="0"/>
      <w:divBdr>
        <w:top w:val="none" w:sz="0" w:space="0" w:color="auto"/>
        <w:left w:val="none" w:sz="0" w:space="0" w:color="auto"/>
        <w:bottom w:val="none" w:sz="0" w:space="0" w:color="auto"/>
        <w:right w:val="none" w:sz="0" w:space="0" w:color="auto"/>
      </w:divBdr>
    </w:div>
    <w:div w:id="5980891">
      <w:bodyDiv w:val="1"/>
      <w:marLeft w:val="0"/>
      <w:marRight w:val="0"/>
      <w:marTop w:val="0"/>
      <w:marBottom w:val="0"/>
      <w:divBdr>
        <w:top w:val="none" w:sz="0" w:space="0" w:color="auto"/>
        <w:left w:val="none" w:sz="0" w:space="0" w:color="auto"/>
        <w:bottom w:val="none" w:sz="0" w:space="0" w:color="auto"/>
        <w:right w:val="none" w:sz="0" w:space="0" w:color="auto"/>
      </w:divBdr>
    </w:div>
    <w:div w:id="11151267">
      <w:bodyDiv w:val="1"/>
      <w:marLeft w:val="0"/>
      <w:marRight w:val="0"/>
      <w:marTop w:val="0"/>
      <w:marBottom w:val="0"/>
      <w:divBdr>
        <w:top w:val="none" w:sz="0" w:space="0" w:color="auto"/>
        <w:left w:val="none" w:sz="0" w:space="0" w:color="auto"/>
        <w:bottom w:val="none" w:sz="0" w:space="0" w:color="auto"/>
        <w:right w:val="none" w:sz="0" w:space="0" w:color="auto"/>
      </w:divBdr>
    </w:div>
    <w:div w:id="14116488">
      <w:bodyDiv w:val="1"/>
      <w:marLeft w:val="0"/>
      <w:marRight w:val="0"/>
      <w:marTop w:val="0"/>
      <w:marBottom w:val="0"/>
      <w:divBdr>
        <w:top w:val="none" w:sz="0" w:space="0" w:color="auto"/>
        <w:left w:val="none" w:sz="0" w:space="0" w:color="auto"/>
        <w:bottom w:val="none" w:sz="0" w:space="0" w:color="auto"/>
        <w:right w:val="none" w:sz="0" w:space="0" w:color="auto"/>
      </w:divBdr>
    </w:div>
    <w:div w:id="64423903">
      <w:bodyDiv w:val="1"/>
      <w:marLeft w:val="0"/>
      <w:marRight w:val="0"/>
      <w:marTop w:val="0"/>
      <w:marBottom w:val="0"/>
      <w:divBdr>
        <w:top w:val="none" w:sz="0" w:space="0" w:color="auto"/>
        <w:left w:val="none" w:sz="0" w:space="0" w:color="auto"/>
        <w:bottom w:val="none" w:sz="0" w:space="0" w:color="auto"/>
        <w:right w:val="none" w:sz="0" w:space="0" w:color="auto"/>
      </w:divBdr>
    </w:div>
    <w:div w:id="79134317">
      <w:bodyDiv w:val="1"/>
      <w:marLeft w:val="0"/>
      <w:marRight w:val="0"/>
      <w:marTop w:val="0"/>
      <w:marBottom w:val="0"/>
      <w:divBdr>
        <w:top w:val="none" w:sz="0" w:space="0" w:color="auto"/>
        <w:left w:val="none" w:sz="0" w:space="0" w:color="auto"/>
        <w:bottom w:val="none" w:sz="0" w:space="0" w:color="auto"/>
        <w:right w:val="none" w:sz="0" w:space="0" w:color="auto"/>
      </w:divBdr>
    </w:div>
    <w:div w:id="84347372">
      <w:bodyDiv w:val="1"/>
      <w:marLeft w:val="0"/>
      <w:marRight w:val="0"/>
      <w:marTop w:val="0"/>
      <w:marBottom w:val="0"/>
      <w:divBdr>
        <w:top w:val="none" w:sz="0" w:space="0" w:color="auto"/>
        <w:left w:val="none" w:sz="0" w:space="0" w:color="auto"/>
        <w:bottom w:val="none" w:sz="0" w:space="0" w:color="auto"/>
        <w:right w:val="none" w:sz="0" w:space="0" w:color="auto"/>
      </w:divBdr>
    </w:div>
    <w:div w:id="88040944">
      <w:bodyDiv w:val="1"/>
      <w:marLeft w:val="0"/>
      <w:marRight w:val="0"/>
      <w:marTop w:val="0"/>
      <w:marBottom w:val="0"/>
      <w:divBdr>
        <w:top w:val="none" w:sz="0" w:space="0" w:color="auto"/>
        <w:left w:val="none" w:sz="0" w:space="0" w:color="auto"/>
        <w:bottom w:val="none" w:sz="0" w:space="0" w:color="auto"/>
        <w:right w:val="none" w:sz="0" w:space="0" w:color="auto"/>
      </w:divBdr>
    </w:div>
    <w:div w:id="105004115">
      <w:bodyDiv w:val="1"/>
      <w:marLeft w:val="0"/>
      <w:marRight w:val="0"/>
      <w:marTop w:val="0"/>
      <w:marBottom w:val="0"/>
      <w:divBdr>
        <w:top w:val="none" w:sz="0" w:space="0" w:color="auto"/>
        <w:left w:val="none" w:sz="0" w:space="0" w:color="auto"/>
        <w:bottom w:val="none" w:sz="0" w:space="0" w:color="auto"/>
        <w:right w:val="none" w:sz="0" w:space="0" w:color="auto"/>
      </w:divBdr>
    </w:div>
    <w:div w:id="122426017">
      <w:bodyDiv w:val="1"/>
      <w:marLeft w:val="0"/>
      <w:marRight w:val="0"/>
      <w:marTop w:val="0"/>
      <w:marBottom w:val="0"/>
      <w:divBdr>
        <w:top w:val="none" w:sz="0" w:space="0" w:color="auto"/>
        <w:left w:val="none" w:sz="0" w:space="0" w:color="auto"/>
        <w:bottom w:val="none" w:sz="0" w:space="0" w:color="auto"/>
        <w:right w:val="none" w:sz="0" w:space="0" w:color="auto"/>
      </w:divBdr>
    </w:div>
    <w:div w:id="151798231">
      <w:bodyDiv w:val="1"/>
      <w:marLeft w:val="0"/>
      <w:marRight w:val="0"/>
      <w:marTop w:val="0"/>
      <w:marBottom w:val="0"/>
      <w:divBdr>
        <w:top w:val="none" w:sz="0" w:space="0" w:color="auto"/>
        <w:left w:val="none" w:sz="0" w:space="0" w:color="auto"/>
        <w:bottom w:val="none" w:sz="0" w:space="0" w:color="auto"/>
        <w:right w:val="none" w:sz="0" w:space="0" w:color="auto"/>
      </w:divBdr>
    </w:div>
    <w:div w:id="151996160">
      <w:bodyDiv w:val="1"/>
      <w:marLeft w:val="0"/>
      <w:marRight w:val="0"/>
      <w:marTop w:val="0"/>
      <w:marBottom w:val="0"/>
      <w:divBdr>
        <w:top w:val="none" w:sz="0" w:space="0" w:color="auto"/>
        <w:left w:val="none" w:sz="0" w:space="0" w:color="auto"/>
        <w:bottom w:val="none" w:sz="0" w:space="0" w:color="auto"/>
        <w:right w:val="none" w:sz="0" w:space="0" w:color="auto"/>
      </w:divBdr>
    </w:div>
    <w:div w:id="164516620">
      <w:bodyDiv w:val="1"/>
      <w:marLeft w:val="0"/>
      <w:marRight w:val="0"/>
      <w:marTop w:val="0"/>
      <w:marBottom w:val="0"/>
      <w:divBdr>
        <w:top w:val="none" w:sz="0" w:space="0" w:color="auto"/>
        <w:left w:val="none" w:sz="0" w:space="0" w:color="auto"/>
        <w:bottom w:val="none" w:sz="0" w:space="0" w:color="auto"/>
        <w:right w:val="none" w:sz="0" w:space="0" w:color="auto"/>
      </w:divBdr>
    </w:div>
    <w:div w:id="194007488">
      <w:bodyDiv w:val="1"/>
      <w:marLeft w:val="0"/>
      <w:marRight w:val="0"/>
      <w:marTop w:val="0"/>
      <w:marBottom w:val="0"/>
      <w:divBdr>
        <w:top w:val="none" w:sz="0" w:space="0" w:color="auto"/>
        <w:left w:val="none" w:sz="0" w:space="0" w:color="auto"/>
        <w:bottom w:val="none" w:sz="0" w:space="0" w:color="auto"/>
        <w:right w:val="none" w:sz="0" w:space="0" w:color="auto"/>
      </w:divBdr>
    </w:div>
    <w:div w:id="213977761">
      <w:bodyDiv w:val="1"/>
      <w:marLeft w:val="0"/>
      <w:marRight w:val="0"/>
      <w:marTop w:val="0"/>
      <w:marBottom w:val="0"/>
      <w:divBdr>
        <w:top w:val="none" w:sz="0" w:space="0" w:color="auto"/>
        <w:left w:val="none" w:sz="0" w:space="0" w:color="auto"/>
        <w:bottom w:val="none" w:sz="0" w:space="0" w:color="auto"/>
        <w:right w:val="none" w:sz="0" w:space="0" w:color="auto"/>
      </w:divBdr>
    </w:div>
    <w:div w:id="225531946">
      <w:bodyDiv w:val="1"/>
      <w:marLeft w:val="0"/>
      <w:marRight w:val="0"/>
      <w:marTop w:val="0"/>
      <w:marBottom w:val="0"/>
      <w:divBdr>
        <w:top w:val="none" w:sz="0" w:space="0" w:color="auto"/>
        <w:left w:val="none" w:sz="0" w:space="0" w:color="auto"/>
        <w:bottom w:val="none" w:sz="0" w:space="0" w:color="auto"/>
        <w:right w:val="none" w:sz="0" w:space="0" w:color="auto"/>
      </w:divBdr>
    </w:div>
    <w:div w:id="235240423">
      <w:bodyDiv w:val="1"/>
      <w:marLeft w:val="0"/>
      <w:marRight w:val="0"/>
      <w:marTop w:val="0"/>
      <w:marBottom w:val="0"/>
      <w:divBdr>
        <w:top w:val="none" w:sz="0" w:space="0" w:color="auto"/>
        <w:left w:val="none" w:sz="0" w:space="0" w:color="auto"/>
        <w:bottom w:val="none" w:sz="0" w:space="0" w:color="auto"/>
        <w:right w:val="none" w:sz="0" w:space="0" w:color="auto"/>
      </w:divBdr>
    </w:div>
    <w:div w:id="239102775">
      <w:bodyDiv w:val="1"/>
      <w:marLeft w:val="0"/>
      <w:marRight w:val="0"/>
      <w:marTop w:val="0"/>
      <w:marBottom w:val="0"/>
      <w:divBdr>
        <w:top w:val="none" w:sz="0" w:space="0" w:color="auto"/>
        <w:left w:val="none" w:sz="0" w:space="0" w:color="auto"/>
        <w:bottom w:val="none" w:sz="0" w:space="0" w:color="auto"/>
        <w:right w:val="none" w:sz="0" w:space="0" w:color="auto"/>
      </w:divBdr>
    </w:div>
    <w:div w:id="244725481">
      <w:bodyDiv w:val="1"/>
      <w:marLeft w:val="0"/>
      <w:marRight w:val="0"/>
      <w:marTop w:val="0"/>
      <w:marBottom w:val="0"/>
      <w:divBdr>
        <w:top w:val="none" w:sz="0" w:space="0" w:color="auto"/>
        <w:left w:val="none" w:sz="0" w:space="0" w:color="auto"/>
        <w:bottom w:val="none" w:sz="0" w:space="0" w:color="auto"/>
        <w:right w:val="none" w:sz="0" w:space="0" w:color="auto"/>
      </w:divBdr>
    </w:div>
    <w:div w:id="250160537">
      <w:bodyDiv w:val="1"/>
      <w:marLeft w:val="0"/>
      <w:marRight w:val="0"/>
      <w:marTop w:val="0"/>
      <w:marBottom w:val="0"/>
      <w:divBdr>
        <w:top w:val="none" w:sz="0" w:space="0" w:color="auto"/>
        <w:left w:val="none" w:sz="0" w:space="0" w:color="auto"/>
        <w:bottom w:val="none" w:sz="0" w:space="0" w:color="auto"/>
        <w:right w:val="none" w:sz="0" w:space="0" w:color="auto"/>
      </w:divBdr>
    </w:div>
    <w:div w:id="270817754">
      <w:bodyDiv w:val="1"/>
      <w:marLeft w:val="0"/>
      <w:marRight w:val="0"/>
      <w:marTop w:val="0"/>
      <w:marBottom w:val="0"/>
      <w:divBdr>
        <w:top w:val="none" w:sz="0" w:space="0" w:color="auto"/>
        <w:left w:val="none" w:sz="0" w:space="0" w:color="auto"/>
        <w:bottom w:val="none" w:sz="0" w:space="0" w:color="auto"/>
        <w:right w:val="none" w:sz="0" w:space="0" w:color="auto"/>
      </w:divBdr>
    </w:div>
    <w:div w:id="281615566">
      <w:bodyDiv w:val="1"/>
      <w:marLeft w:val="0"/>
      <w:marRight w:val="0"/>
      <w:marTop w:val="0"/>
      <w:marBottom w:val="0"/>
      <w:divBdr>
        <w:top w:val="none" w:sz="0" w:space="0" w:color="auto"/>
        <w:left w:val="none" w:sz="0" w:space="0" w:color="auto"/>
        <w:bottom w:val="none" w:sz="0" w:space="0" w:color="auto"/>
        <w:right w:val="none" w:sz="0" w:space="0" w:color="auto"/>
      </w:divBdr>
    </w:div>
    <w:div w:id="321394174">
      <w:bodyDiv w:val="1"/>
      <w:marLeft w:val="0"/>
      <w:marRight w:val="0"/>
      <w:marTop w:val="0"/>
      <w:marBottom w:val="0"/>
      <w:divBdr>
        <w:top w:val="none" w:sz="0" w:space="0" w:color="auto"/>
        <w:left w:val="none" w:sz="0" w:space="0" w:color="auto"/>
        <w:bottom w:val="none" w:sz="0" w:space="0" w:color="auto"/>
        <w:right w:val="none" w:sz="0" w:space="0" w:color="auto"/>
      </w:divBdr>
    </w:div>
    <w:div w:id="338460011">
      <w:bodyDiv w:val="1"/>
      <w:marLeft w:val="0"/>
      <w:marRight w:val="0"/>
      <w:marTop w:val="0"/>
      <w:marBottom w:val="0"/>
      <w:divBdr>
        <w:top w:val="none" w:sz="0" w:space="0" w:color="auto"/>
        <w:left w:val="none" w:sz="0" w:space="0" w:color="auto"/>
        <w:bottom w:val="none" w:sz="0" w:space="0" w:color="auto"/>
        <w:right w:val="none" w:sz="0" w:space="0" w:color="auto"/>
      </w:divBdr>
    </w:div>
    <w:div w:id="349457175">
      <w:bodyDiv w:val="1"/>
      <w:marLeft w:val="0"/>
      <w:marRight w:val="0"/>
      <w:marTop w:val="0"/>
      <w:marBottom w:val="0"/>
      <w:divBdr>
        <w:top w:val="none" w:sz="0" w:space="0" w:color="auto"/>
        <w:left w:val="none" w:sz="0" w:space="0" w:color="auto"/>
        <w:bottom w:val="none" w:sz="0" w:space="0" w:color="auto"/>
        <w:right w:val="none" w:sz="0" w:space="0" w:color="auto"/>
      </w:divBdr>
    </w:div>
    <w:div w:id="353775727">
      <w:bodyDiv w:val="1"/>
      <w:marLeft w:val="0"/>
      <w:marRight w:val="0"/>
      <w:marTop w:val="0"/>
      <w:marBottom w:val="0"/>
      <w:divBdr>
        <w:top w:val="none" w:sz="0" w:space="0" w:color="auto"/>
        <w:left w:val="none" w:sz="0" w:space="0" w:color="auto"/>
        <w:bottom w:val="none" w:sz="0" w:space="0" w:color="auto"/>
        <w:right w:val="none" w:sz="0" w:space="0" w:color="auto"/>
      </w:divBdr>
    </w:div>
    <w:div w:id="369064934">
      <w:bodyDiv w:val="1"/>
      <w:marLeft w:val="0"/>
      <w:marRight w:val="0"/>
      <w:marTop w:val="0"/>
      <w:marBottom w:val="0"/>
      <w:divBdr>
        <w:top w:val="none" w:sz="0" w:space="0" w:color="auto"/>
        <w:left w:val="none" w:sz="0" w:space="0" w:color="auto"/>
        <w:bottom w:val="none" w:sz="0" w:space="0" w:color="auto"/>
        <w:right w:val="none" w:sz="0" w:space="0" w:color="auto"/>
      </w:divBdr>
    </w:div>
    <w:div w:id="369842013">
      <w:bodyDiv w:val="1"/>
      <w:marLeft w:val="0"/>
      <w:marRight w:val="0"/>
      <w:marTop w:val="0"/>
      <w:marBottom w:val="0"/>
      <w:divBdr>
        <w:top w:val="none" w:sz="0" w:space="0" w:color="auto"/>
        <w:left w:val="none" w:sz="0" w:space="0" w:color="auto"/>
        <w:bottom w:val="none" w:sz="0" w:space="0" w:color="auto"/>
        <w:right w:val="none" w:sz="0" w:space="0" w:color="auto"/>
      </w:divBdr>
    </w:div>
    <w:div w:id="429620145">
      <w:bodyDiv w:val="1"/>
      <w:marLeft w:val="0"/>
      <w:marRight w:val="0"/>
      <w:marTop w:val="0"/>
      <w:marBottom w:val="0"/>
      <w:divBdr>
        <w:top w:val="none" w:sz="0" w:space="0" w:color="auto"/>
        <w:left w:val="none" w:sz="0" w:space="0" w:color="auto"/>
        <w:bottom w:val="none" w:sz="0" w:space="0" w:color="auto"/>
        <w:right w:val="none" w:sz="0" w:space="0" w:color="auto"/>
      </w:divBdr>
    </w:div>
    <w:div w:id="433938664">
      <w:bodyDiv w:val="1"/>
      <w:marLeft w:val="0"/>
      <w:marRight w:val="0"/>
      <w:marTop w:val="0"/>
      <w:marBottom w:val="0"/>
      <w:divBdr>
        <w:top w:val="none" w:sz="0" w:space="0" w:color="auto"/>
        <w:left w:val="none" w:sz="0" w:space="0" w:color="auto"/>
        <w:bottom w:val="none" w:sz="0" w:space="0" w:color="auto"/>
        <w:right w:val="none" w:sz="0" w:space="0" w:color="auto"/>
      </w:divBdr>
    </w:div>
    <w:div w:id="442312152">
      <w:bodyDiv w:val="1"/>
      <w:marLeft w:val="0"/>
      <w:marRight w:val="0"/>
      <w:marTop w:val="0"/>
      <w:marBottom w:val="0"/>
      <w:divBdr>
        <w:top w:val="none" w:sz="0" w:space="0" w:color="auto"/>
        <w:left w:val="none" w:sz="0" w:space="0" w:color="auto"/>
        <w:bottom w:val="none" w:sz="0" w:space="0" w:color="auto"/>
        <w:right w:val="none" w:sz="0" w:space="0" w:color="auto"/>
      </w:divBdr>
    </w:div>
    <w:div w:id="464541724">
      <w:bodyDiv w:val="1"/>
      <w:marLeft w:val="0"/>
      <w:marRight w:val="0"/>
      <w:marTop w:val="0"/>
      <w:marBottom w:val="0"/>
      <w:divBdr>
        <w:top w:val="none" w:sz="0" w:space="0" w:color="auto"/>
        <w:left w:val="none" w:sz="0" w:space="0" w:color="auto"/>
        <w:bottom w:val="none" w:sz="0" w:space="0" w:color="auto"/>
        <w:right w:val="none" w:sz="0" w:space="0" w:color="auto"/>
      </w:divBdr>
    </w:div>
    <w:div w:id="470250732">
      <w:bodyDiv w:val="1"/>
      <w:marLeft w:val="0"/>
      <w:marRight w:val="0"/>
      <w:marTop w:val="0"/>
      <w:marBottom w:val="0"/>
      <w:divBdr>
        <w:top w:val="none" w:sz="0" w:space="0" w:color="auto"/>
        <w:left w:val="none" w:sz="0" w:space="0" w:color="auto"/>
        <w:bottom w:val="none" w:sz="0" w:space="0" w:color="auto"/>
        <w:right w:val="none" w:sz="0" w:space="0" w:color="auto"/>
      </w:divBdr>
    </w:div>
    <w:div w:id="472064829">
      <w:bodyDiv w:val="1"/>
      <w:marLeft w:val="0"/>
      <w:marRight w:val="0"/>
      <w:marTop w:val="0"/>
      <w:marBottom w:val="0"/>
      <w:divBdr>
        <w:top w:val="none" w:sz="0" w:space="0" w:color="auto"/>
        <w:left w:val="none" w:sz="0" w:space="0" w:color="auto"/>
        <w:bottom w:val="none" w:sz="0" w:space="0" w:color="auto"/>
        <w:right w:val="none" w:sz="0" w:space="0" w:color="auto"/>
      </w:divBdr>
    </w:div>
    <w:div w:id="479156362">
      <w:bodyDiv w:val="1"/>
      <w:marLeft w:val="0"/>
      <w:marRight w:val="0"/>
      <w:marTop w:val="0"/>
      <w:marBottom w:val="0"/>
      <w:divBdr>
        <w:top w:val="none" w:sz="0" w:space="0" w:color="auto"/>
        <w:left w:val="none" w:sz="0" w:space="0" w:color="auto"/>
        <w:bottom w:val="none" w:sz="0" w:space="0" w:color="auto"/>
        <w:right w:val="none" w:sz="0" w:space="0" w:color="auto"/>
      </w:divBdr>
    </w:div>
    <w:div w:id="484783680">
      <w:bodyDiv w:val="1"/>
      <w:marLeft w:val="0"/>
      <w:marRight w:val="0"/>
      <w:marTop w:val="0"/>
      <w:marBottom w:val="0"/>
      <w:divBdr>
        <w:top w:val="none" w:sz="0" w:space="0" w:color="auto"/>
        <w:left w:val="none" w:sz="0" w:space="0" w:color="auto"/>
        <w:bottom w:val="none" w:sz="0" w:space="0" w:color="auto"/>
        <w:right w:val="none" w:sz="0" w:space="0" w:color="auto"/>
      </w:divBdr>
    </w:div>
    <w:div w:id="538785731">
      <w:bodyDiv w:val="1"/>
      <w:marLeft w:val="0"/>
      <w:marRight w:val="0"/>
      <w:marTop w:val="0"/>
      <w:marBottom w:val="0"/>
      <w:divBdr>
        <w:top w:val="none" w:sz="0" w:space="0" w:color="auto"/>
        <w:left w:val="none" w:sz="0" w:space="0" w:color="auto"/>
        <w:bottom w:val="none" w:sz="0" w:space="0" w:color="auto"/>
        <w:right w:val="none" w:sz="0" w:space="0" w:color="auto"/>
      </w:divBdr>
    </w:div>
    <w:div w:id="541015247">
      <w:bodyDiv w:val="1"/>
      <w:marLeft w:val="0"/>
      <w:marRight w:val="0"/>
      <w:marTop w:val="0"/>
      <w:marBottom w:val="0"/>
      <w:divBdr>
        <w:top w:val="none" w:sz="0" w:space="0" w:color="auto"/>
        <w:left w:val="none" w:sz="0" w:space="0" w:color="auto"/>
        <w:bottom w:val="none" w:sz="0" w:space="0" w:color="auto"/>
        <w:right w:val="none" w:sz="0" w:space="0" w:color="auto"/>
      </w:divBdr>
    </w:div>
    <w:div w:id="550268180">
      <w:bodyDiv w:val="1"/>
      <w:marLeft w:val="0"/>
      <w:marRight w:val="0"/>
      <w:marTop w:val="0"/>
      <w:marBottom w:val="0"/>
      <w:divBdr>
        <w:top w:val="none" w:sz="0" w:space="0" w:color="auto"/>
        <w:left w:val="none" w:sz="0" w:space="0" w:color="auto"/>
        <w:bottom w:val="none" w:sz="0" w:space="0" w:color="auto"/>
        <w:right w:val="none" w:sz="0" w:space="0" w:color="auto"/>
      </w:divBdr>
    </w:div>
    <w:div w:id="621611612">
      <w:bodyDiv w:val="1"/>
      <w:marLeft w:val="0"/>
      <w:marRight w:val="0"/>
      <w:marTop w:val="0"/>
      <w:marBottom w:val="0"/>
      <w:divBdr>
        <w:top w:val="none" w:sz="0" w:space="0" w:color="auto"/>
        <w:left w:val="none" w:sz="0" w:space="0" w:color="auto"/>
        <w:bottom w:val="none" w:sz="0" w:space="0" w:color="auto"/>
        <w:right w:val="none" w:sz="0" w:space="0" w:color="auto"/>
      </w:divBdr>
      <w:divsChild>
        <w:div w:id="1713840915">
          <w:marLeft w:val="0"/>
          <w:marRight w:val="0"/>
          <w:marTop w:val="0"/>
          <w:marBottom w:val="0"/>
          <w:divBdr>
            <w:top w:val="none" w:sz="0" w:space="0" w:color="auto"/>
            <w:left w:val="none" w:sz="0" w:space="0" w:color="auto"/>
            <w:bottom w:val="none" w:sz="0" w:space="0" w:color="auto"/>
            <w:right w:val="none" w:sz="0" w:space="0" w:color="auto"/>
          </w:divBdr>
        </w:div>
      </w:divsChild>
    </w:div>
    <w:div w:id="662466343">
      <w:bodyDiv w:val="1"/>
      <w:marLeft w:val="0"/>
      <w:marRight w:val="0"/>
      <w:marTop w:val="0"/>
      <w:marBottom w:val="0"/>
      <w:divBdr>
        <w:top w:val="none" w:sz="0" w:space="0" w:color="auto"/>
        <w:left w:val="none" w:sz="0" w:space="0" w:color="auto"/>
        <w:bottom w:val="none" w:sz="0" w:space="0" w:color="auto"/>
        <w:right w:val="none" w:sz="0" w:space="0" w:color="auto"/>
      </w:divBdr>
    </w:div>
    <w:div w:id="687223536">
      <w:bodyDiv w:val="1"/>
      <w:marLeft w:val="0"/>
      <w:marRight w:val="0"/>
      <w:marTop w:val="0"/>
      <w:marBottom w:val="0"/>
      <w:divBdr>
        <w:top w:val="none" w:sz="0" w:space="0" w:color="auto"/>
        <w:left w:val="none" w:sz="0" w:space="0" w:color="auto"/>
        <w:bottom w:val="none" w:sz="0" w:space="0" w:color="auto"/>
        <w:right w:val="none" w:sz="0" w:space="0" w:color="auto"/>
      </w:divBdr>
    </w:div>
    <w:div w:id="723872012">
      <w:bodyDiv w:val="1"/>
      <w:marLeft w:val="0"/>
      <w:marRight w:val="0"/>
      <w:marTop w:val="0"/>
      <w:marBottom w:val="0"/>
      <w:divBdr>
        <w:top w:val="none" w:sz="0" w:space="0" w:color="auto"/>
        <w:left w:val="none" w:sz="0" w:space="0" w:color="auto"/>
        <w:bottom w:val="none" w:sz="0" w:space="0" w:color="auto"/>
        <w:right w:val="none" w:sz="0" w:space="0" w:color="auto"/>
      </w:divBdr>
    </w:div>
    <w:div w:id="790591569">
      <w:bodyDiv w:val="1"/>
      <w:marLeft w:val="0"/>
      <w:marRight w:val="0"/>
      <w:marTop w:val="0"/>
      <w:marBottom w:val="0"/>
      <w:divBdr>
        <w:top w:val="none" w:sz="0" w:space="0" w:color="auto"/>
        <w:left w:val="none" w:sz="0" w:space="0" w:color="auto"/>
        <w:bottom w:val="none" w:sz="0" w:space="0" w:color="auto"/>
        <w:right w:val="none" w:sz="0" w:space="0" w:color="auto"/>
      </w:divBdr>
    </w:div>
    <w:div w:id="803278622">
      <w:bodyDiv w:val="1"/>
      <w:marLeft w:val="0"/>
      <w:marRight w:val="0"/>
      <w:marTop w:val="0"/>
      <w:marBottom w:val="0"/>
      <w:divBdr>
        <w:top w:val="none" w:sz="0" w:space="0" w:color="auto"/>
        <w:left w:val="none" w:sz="0" w:space="0" w:color="auto"/>
        <w:bottom w:val="none" w:sz="0" w:space="0" w:color="auto"/>
        <w:right w:val="none" w:sz="0" w:space="0" w:color="auto"/>
      </w:divBdr>
    </w:div>
    <w:div w:id="815032284">
      <w:bodyDiv w:val="1"/>
      <w:marLeft w:val="0"/>
      <w:marRight w:val="0"/>
      <w:marTop w:val="0"/>
      <w:marBottom w:val="0"/>
      <w:divBdr>
        <w:top w:val="none" w:sz="0" w:space="0" w:color="auto"/>
        <w:left w:val="none" w:sz="0" w:space="0" w:color="auto"/>
        <w:bottom w:val="none" w:sz="0" w:space="0" w:color="auto"/>
        <w:right w:val="none" w:sz="0" w:space="0" w:color="auto"/>
      </w:divBdr>
    </w:div>
    <w:div w:id="817649587">
      <w:bodyDiv w:val="1"/>
      <w:marLeft w:val="0"/>
      <w:marRight w:val="0"/>
      <w:marTop w:val="0"/>
      <w:marBottom w:val="0"/>
      <w:divBdr>
        <w:top w:val="none" w:sz="0" w:space="0" w:color="auto"/>
        <w:left w:val="none" w:sz="0" w:space="0" w:color="auto"/>
        <w:bottom w:val="none" w:sz="0" w:space="0" w:color="auto"/>
        <w:right w:val="none" w:sz="0" w:space="0" w:color="auto"/>
      </w:divBdr>
    </w:div>
    <w:div w:id="827288936">
      <w:bodyDiv w:val="1"/>
      <w:marLeft w:val="0"/>
      <w:marRight w:val="0"/>
      <w:marTop w:val="0"/>
      <w:marBottom w:val="0"/>
      <w:divBdr>
        <w:top w:val="none" w:sz="0" w:space="0" w:color="auto"/>
        <w:left w:val="none" w:sz="0" w:space="0" w:color="auto"/>
        <w:bottom w:val="none" w:sz="0" w:space="0" w:color="auto"/>
        <w:right w:val="none" w:sz="0" w:space="0" w:color="auto"/>
      </w:divBdr>
    </w:div>
    <w:div w:id="867528005">
      <w:bodyDiv w:val="1"/>
      <w:marLeft w:val="0"/>
      <w:marRight w:val="0"/>
      <w:marTop w:val="0"/>
      <w:marBottom w:val="0"/>
      <w:divBdr>
        <w:top w:val="none" w:sz="0" w:space="0" w:color="auto"/>
        <w:left w:val="none" w:sz="0" w:space="0" w:color="auto"/>
        <w:bottom w:val="none" w:sz="0" w:space="0" w:color="auto"/>
        <w:right w:val="none" w:sz="0" w:space="0" w:color="auto"/>
      </w:divBdr>
    </w:div>
    <w:div w:id="869344093">
      <w:bodyDiv w:val="1"/>
      <w:marLeft w:val="0"/>
      <w:marRight w:val="0"/>
      <w:marTop w:val="0"/>
      <w:marBottom w:val="0"/>
      <w:divBdr>
        <w:top w:val="none" w:sz="0" w:space="0" w:color="auto"/>
        <w:left w:val="none" w:sz="0" w:space="0" w:color="auto"/>
        <w:bottom w:val="none" w:sz="0" w:space="0" w:color="auto"/>
        <w:right w:val="none" w:sz="0" w:space="0" w:color="auto"/>
      </w:divBdr>
    </w:div>
    <w:div w:id="896283771">
      <w:bodyDiv w:val="1"/>
      <w:marLeft w:val="0"/>
      <w:marRight w:val="0"/>
      <w:marTop w:val="0"/>
      <w:marBottom w:val="0"/>
      <w:divBdr>
        <w:top w:val="none" w:sz="0" w:space="0" w:color="auto"/>
        <w:left w:val="none" w:sz="0" w:space="0" w:color="auto"/>
        <w:bottom w:val="none" w:sz="0" w:space="0" w:color="auto"/>
        <w:right w:val="none" w:sz="0" w:space="0" w:color="auto"/>
      </w:divBdr>
    </w:div>
    <w:div w:id="904560600">
      <w:bodyDiv w:val="1"/>
      <w:marLeft w:val="0"/>
      <w:marRight w:val="0"/>
      <w:marTop w:val="0"/>
      <w:marBottom w:val="0"/>
      <w:divBdr>
        <w:top w:val="none" w:sz="0" w:space="0" w:color="auto"/>
        <w:left w:val="none" w:sz="0" w:space="0" w:color="auto"/>
        <w:bottom w:val="none" w:sz="0" w:space="0" w:color="auto"/>
        <w:right w:val="none" w:sz="0" w:space="0" w:color="auto"/>
      </w:divBdr>
    </w:div>
    <w:div w:id="927539746">
      <w:bodyDiv w:val="1"/>
      <w:marLeft w:val="0"/>
      <w:marRight w:val="0"/>
      <w:marTop w:val="0"/>
      <w:marBottom w:val="0"/>
      <w:divBdr>
        <w:top w:val="none" w:sz="0" w:space="0" w:color="auto"/>
        <w:left w:val="none" w:sz="0" w:space="0" w:color="auto"/>
        <w:bottom w:val="none" w:sz="0" w:space="0" w:color="auto"/>
        <w:right w:val="none" w:sz="0" w:space="0" w:color="auto"/>
      </w:divBdr>
    </w:div>
    <w:div w:id="928153183">
      <w:bodyDiv w:val="1"/>
      <w:marLeft w:val="0"/>
      <w:marRight w:val="0"/>
      <w:marTop w:val="0"/>
      <w:marBottom w:val="0"/>
      <w:divBdr>
        <w:top w:val="none" w:sz="0" w:space="0" w:color="auto"/>
        <w:left w:val="none" w:sz="0" w:space="0" w:color="auto"/>
        <w:bottom w:val="none" w:sz="0" w:space="0" w:color="auto"/>
        <w:right w:val="none" w:sz="0" w:space="0" w:color="auto"/>
      </w:divBdr>
    </w:div>
    <w:div w:id="932056945">
      <w:bodyDiv w:val="1"/>
      <w:marLeft w:val="0"/>
      <w:marRight w:val="0"/>
      <w:marTop w:val="0"/>
      <w:marBottom w:val="0"/>
      <w:divBdr>
        <w:top w:val="none" w:sz="0" w:space="0" w:color="auto"/>
        <w:left w:val="none" w:sz="0" w:space="0" w:color="auto"/>
        <w:bottom w:val="none" w:sz="0" w:space="0" w:color="auto"/>
        <w:right w:val="none" w:sz="0" w:space="0" w:color="auto"/>
      </w:divBdr>
    </w:div>
    <w:div w:id="935405299">
      <w:bodyDiv w:val="1"/>
      <w:marLeft w:val="0"/>
      <w:marRight w:val="0"/>
      <w:marTop w:val="0"/>
      <w:marBottom w:val="0"/>
      <w:divBdr>
        <w:top w:val="none" w:sz="0" w:space="0" w:color="auto"/>
        <w:left w:val="none" w:sz="0" w:space="0" w:color="auto"/>
        <w:bottom w:val="none" w:sz="0" w:space="0" w:color="auto"/>
        <w:right w:val="none" w:sz="0" w:space="0" w:color="auto"/>
      </w:divBdr>
    </w:div>
    <w:div w:id="941189017">
      <w:bodyDiv w:val="1"/>
      <w:marLeft w:val="0"/>
      <w:marRight w:val="0"/>
      <w:marTop w:val="0"/>
      <w:marBottom w:val="0"/>
      <w:divBdr>
        <w:top w:val="none" w:sz="0" w:space="0" w:color="auto"/>
        <w:left w:val="none" w:sz="0" w:space="0" w:color="auto"/>
        <w:bottom w:val="none" w:sz="0" w:space="0" w:color="auto"/>
        <w:right w:val="none" w:sz="0" w:space="0" w:color="auto"/>
      </w:divBdr>
    </w:div>
    <w:div w:id="943222000">
      <w:bodyDiv w:val="1"/>
      <w:marLeft w:val="0"/>
      <w:marRight w:val="0"/>
      <w:marTop w:val="0"/>
      <w:marBottom w:val="0"/>
      <w:divBdr>
        <w:top w:val="none" w:sz="0" w:space="0" w:color="auto"/>
        <w:left w:val="none" w:sz="0" w:space="0" w:color="auto"/>
        <w:bottom w:val="none" w:sz="0" w:space="0" w:color="auto"/>
        <w:right w:val="none" w:sz="0" w:space="0" w:color="auto"/>
      </w:divBdr>
    </w:div>
    <w:div w:id="970400822">
      <w:bodyDiv w:val="1"/>
      <w:marLeft w:val="0"/>
      <w:marRight w:val="0"/>
      <w:marTop w:val="0"/>
      <w:marBottom w:val="0"/>
      <w:divBdr>
        <w:top w:val="none" w:sz="0" w:space="0" w:color="auto"/>
        <w:left w:val="none" w:sz="0" w:space="0" w:color="auto"/>
        <w:bottom w:val="none" w:sz="0" w:space="0" w:color="auto"/>
        <w:right w:val="none" w:sz="0" w:space="0" w:color="auto"/>
      </w:divBdr>
    </w:div>
    <w:div w:id="988561201">
      <w:bodyDiv w:val="1"/>
      <w:marLeft w:val="0"/>
      <w:marRight w:val="0"/>
      <w:marTop w:val="0"/>
      <w:marBottom w:val="0"/>
      <w:divBdr>
        <w:top w:val="none" w:sz="0" w:space="0" w:color="auto"/>
        <w:left w:val="none" w:sz="0" w:space="0" w:color="auto"/>
        <w:bottom w:val="none" w:sz="0" w:space="0" w:color="auto"/>
        <w:right w:val="none" w:sz="0" w:space="0" w:color="auto"/>
      </w:divBdr>
    </w:div>
    <w:div w:id="990059649">
      <w:bodyDiv w:val="1"/>
      <w:marLeft w:val="0"/>
      <w:marRight w:val="0"/>
      <w:marTop w:val="0"/>
      <w:marBottom w:val="0"/>
      <w:divBdr>
        <w:top w:val="none" w:sz="0" w:space="0" w:color="auto"/>
        <w:left w:val="none" w:sz="0" w:space="0" w:color="auto"/>
        <w:bottom w:val="none" w:sz="0" w:space="0" w:color="auto"/>
        <w:right w:val="none" w:sz="0" w:space="0" w:color="auto"/>
      </w:divBdr>
    </w:div>
    <w:div w:id="1001009038">
      <w:bodyDiv w:val="1"/>
      <w:marLeft w:val="0"/>
      <w:marRight w:val="0"/>
      <w:marTop w:val="0"/>
      <w:marBottom w:val="0"/>
      <w:divBdr>
        <w:top w:val="none" w:sz="0" w:space="0" w:color="auto"/>
        <w:left w:val="none" w:sz="0" w:space="0" w:color="auto"/>
        <w:bottom w:val="none" w:sz="0" w:space="0" w:color="auto"/>
        <w:right w:val="none" w:sz="0" w:space="0" w:color="auto"/>
      </w:divBdr>
    </w:div>
    <w:div w:id="1015694580">
      <w:bodyDiv w:val="1"/>
      <w:marLeft w:val="0"/>
      <w:marRight w:val="0"/>
      <w:marTop w:val="0"/>
      <w:marBottom w:val="0"/>
      <w:divBdr>
        <w:top w:val="none" w:sz="0" w:space="0" w:color="auto"/>
        <w:left w:val="none" w:sz="0" w:space="0" w:color="auto"/>
        <w:bottom w:val="none" w:sz="0" w:space="0" w:color="auto"/>
        <w:right w:val="none" w:sz="0" w:space="0" w:color="auto"/>
      </w:divBdr>
    </w:div>
    <w:div w:id="1038701334">
      <w:bodyDiv w:val="1"/>
      <w:marLeft w:val="0"/>
      <w:marRight w:val="0"/>
      <w:marTop w:val="0"/>
      <w:marBottom w:val="0"/>
      <w:divBdr>
        <w:top w:val="none" w:sz="0" w:space="0" w:color="auto"/>
        <w:left w:val="none" w:sz="0" w:space="0" w:color="auto"/>
        <w:bottom w:val="none" w:sz="0" w:space="0" w:color="auto"/>
        <w:right w:val="none" w:sz="0" w:space="0" w:color="auto"/>
      </w:divBdr>
    </w:div>
    <w:div w:id="1044256124">
      <w:bodyDiv w:val="1"/>
      <w:marLeft w:val="0"/>
      <w:marRight w:val="0"/>
      <w:marTop w:val="0"/>
      <w:marBottom w:val="0"/>
      <w:divBdr>
        <w:top w:val="none" w:sz="0" w:space="0" w:color="auto"/>
        <w:left w:val="none" w:sz="0" w:space="0" w:color="auto"/>
        <w:bottom w:val="none" w:sz="0" w:space="0" w:color="auto"/>
        <w:right w:val="none" w:sz="0" w:space="0" w:color="auto"/>
      </w:divBdr>
    </w:div>
    <w:div w:id="1056465415">
      <w:bodyDiv w:val="1"/>
      <w:marLeft w:val="0"/>
      <w:marRight w:val="0"/>
      <w:marTop w:val="0"/>
      <w:marBottom w:val="0"/>
      <w:divBdr>
        <w:top w:val="none" w:sz="0" w:space="0" w:color="auto"/>
        <w:left w:val="none" w:sz="0" w:space="0" w:color="auto"/>
        <w:bottom w:val="none" w:sz="0" w:space="0" w:color="auto"/>
        <w:right w:val="none" w:sz="0" w:space="0" w:color="auto"/>
      </w:divBdr>
    </w:div>
    <w:div w:id="1059329814">
      <w:bodyDiv w:val="1"/>
      <w:marLeft w:val="0"/>
      <w:marRight w:val="0"/>
      <w:marTop w:val="0"/>
      <w:marBottom w:val="0"/>
      <w:divBdr>
        <w:top w:val="none" w:sz="0" w:space="0" w:color="auto"/>
        <w:left w:val="none" w:sz="0" w:space="0" w:color="auto"/>
        <w:bottom w:val="none" w:sz="0" w:space="0" w:color="auto"/>
        <w:right w:val="none" w:sz="0" w:space="0" w:color="auto"/>
      </w:divBdr>
    </w:div>
    <w:div w:id="1060858556">
      <w:bodyDiv w:val="1"/>
      <w:marLeft w:val="0"/>
      <w:marRight w:val="0"/>
      <w:marTop w:val="0"/>
      <w:marBottom w:val="0"/>
      <w:divBdr>
        <w:top w:val="none" w:sz="0" w:space="0" w:color="auto"/>
        <w:left w:val="none" w:sz="0" w:space="0" w:color="auto"/>
        <w:bottom w:val="none" w:sz="0" w:space="0" w:color="auto"/>
        <w:right w:val="none" w:sz="0" w:space="0" w:color="auto"/>
      </w:divBdr>
    </w:div>
    <w:div w:id="1061369889">
      <w:bodyDiv w:val="1"/>
      <w:marLeft w:val="0"/>
      <w:marRight w:val="0"/>
      <w:marTop w:val="0"/>
      <w:marBottom w:val="0"/>
      <w:divBdr>
        <w:top w:val="none" w:sz="0" w:space="0" w:color="auto"/>
        <w:left w:val="none" w:sz="0" w:space="0" w:color="auto"/>
        <w:bottom w:val="none" w:sz="0" w:space="0" w:color="auto"/>
        <w:right w:val="none" w:sz="0" w:space="0" w:color="auto"/>
      </w:divBdr>
    </w:div>
    <w:div w:id="1070738915">
      <w:bodyDiv w:val="1"/>
      <w:marLeft w:val="0"/>
      <w:marRight w:val="0"/>
      <w:marTop w:val="0"/>
      <w:marBottom w:val="0"/>
      <w:divBdr>
        <w:top w:val="none" w:sz="0" w:space="0" w:color="auto"/>
        <w:left w:val="none" w:sz="0" w:space="0" w:color="auto"/>
        <w:bottom w:val="none" w:sz="0" w:space="0" w:color="auto"/>
        <w:right w:val="none" w:sz="0" w:space="0" w:color="auto"/>
      </w:divBdr>
    </w:div>
    <w:div w:id="1072968876">
      <w:bodyDiv w:val="1"/>
      <w:marLeft w:val="0"/>
      <w:marRight w:val="0"/>
      <w:marTop w:val="0"/>
      <w:marBottom w:val="0"/>
      <w:divBdr>
        <w:top w:val="none" w:sz="0" w:space="0" w:color="auto"/>
        <w:left w:val="none" w:sz="0" w:space="0" w:color="auto"/>
        <w:bottom w:val="none" w:sz="0" w:space="0" w:color="auto"/>
        <w:right w:val="none" w:sz="0" w:space="0" w:color="auto"/>
      </w:divBdr>
    </w:div>
    <w:div w:id="1075320593">
      <w:bodyDiv w:val="1"/>
      <w:marLeft w:val="0"/>
      <w:marRight w:val="0"/>
      <w:marTop w:val="0"/>
      <w:marBottom w:val="0"/>
      <w:divBdr>
        <w:top w:val="none" w:sz="0" w:space="0" w:color="auto"/>
        <w:left w:val="none" w:sz="0" w:space="0" w:color="auto"/>
        <w:bottom w:val="none" w:sz="0" w:space="0" w:color="auto"/>
        <w:right w:val="none" w:sz="0" w:space="0" w:color="auto"/>
      </w:divBdr>
    </w:div>
    <w:div w:id="1092433675">
      <w:bodyDiv w:val="1"/>
      <w:marLeft w:val="0"/>
      <w:marRight w:val="0"/>
      <w:marTop w:val="0"/>
      <w:marBottom w:val="0"/>
      <w:divBdr>
        <w:top w:val="none" w:sz="0" w:space="0" w:color="auto"/>
        <w:left w:val="none" w:sz="0" w:space="0" w:color="auto"/>
        <w:bottom w:val="none" w:sz="0" w:space="0" w:color="auto"/>
        <w:right w:val="none" w:sz="0" w:space="0" w:color="auto"/>
      </w:divBdr>
    </w:div>
    <w:div w:id="1145855146">
      <w:bodyDiv w:val="1"/>
      <w:marLeft w:val="0"/>
      <w:marRight w:val="0"/>
      <w:marTop w:val="0"/>
      <w:marBottom w:val="0"/>
      <w:divBdr>
        <w:top w:val="none" w:sz="0" w:space="0" w:color="auto"/>
        <w:left w:val="none" w:sz="0" w:space="0" w:color="auto"/>
        <w:bottom w:val="none" w:sz="0" w:space="0" w:color="auto"/>
        <w:right w:val="none" w:sz="0" w:space="0" w:color="auto"/>
      </w:divBdr>
    </w:div>
    <w:div w:id="1146583082">
      <w:bodyDiv w:val="1"/>
      <w:marLeft w:val="0"/>
      <w:marRight w:val="0"/>
      <w:marTop w:val="0"/>
      <w:marBottom w:val="0"/>
      <w:divBdr>
        <w:top w:val="none" w:sz="0" w:space="0" w:color="auto"/>
        <w:left w:val="none" w:sz="0" w:space="0" w:color="auto"/>
        <w:bottom w:val="none" w:sz="0" w:space="0" w:color="auto"/>
        <w:right w:val="none" w:sz="0" w:space="0" w:color="auto"/>
      </w:divBdr>
    </w:div>
    <w:div w:id="1164054446">
      <w:bodyDiv w:val="1"/>
      <w:marLeft w:val="0"/>
      <w:marRight w:val="0"/>
      <w:marTop w:val="0"/>
      <w:marBottom w:val="0"/>
      <w:divBdr>
        <w:top w:val="none" w:sz="0" w:space="0" w:color="auto"/>
        <w:left w:val="none" w:sz="0" w:space="0" w:color="auto"/>
        <w:bottom w:val="none" w:sz="0" w:space="0" w:color="auto"/>
        <w:right w:val="none" w:sz="0" w:space="0" w:color="auto"/>
      </w:divBdr>
    </w:div>
    <w:div w:id="1216238601">
      <w:bodyDiv w:val="1"/>
      <w:marLeft w:val="0"/>
      <w:marRight w:val="0"/>
      <w:marTop w:val="0"/>
      <w:marBottom w:val="0"/>
      <w:divBdr>
        <w:top w:val="none" w:sz="0" w:space="0" w:color="auto"/>
        <w:left w:val="none" w:sz="0" w:space="0" w:color="auto"/>
        <w:bottom w:val="none" w:sz="0" w:space="0" w:color="auto"/>
        <w:right w:val="none" w:sz="0" w:space="0" w:color="auto"/>
      </w:divBdr>
    </w:div>
    <w:div w:id="1254125712">
      <w:bodyDiv w:val="1"/>
      <w:marLeft w:val="0"/>
      <w:marRight w:val="0"/>
      <w:marTop w:val="0"/>
      <w:marBottom w:val="0"/>
      <w:divBdr>
        <w:top w:val="none" w:sz="0" w:space="0" w:color="auto"/>
        <w:left w:val="none" w:sz="0" w:space="0" w:color="auto"/>
        <w:bottom w:val="none" w:sz="0" w:space="0" w:color="auto"/>
        <w:right w:val="none" w:sz="0" w:space="0" w:color="auto"/>
      </w:divBdr>
    </w:div>
    <w:div w:id="1254507387">
      <w:bodyDiv w:val="1"/>
      <w:marLeft w:val="0"/>
      <w:marRight w:val="0"/>
      <w:marTop w:val="0"/>
      <w:marBottom w:val="0"/>
      <w:divBdr>
        <w:top w:val="none" w:sz="0" w:space="0" w:color="auto"/>
        <w:left w:val="none" w:sz="0" w:space="0" w:color="auto"/>
        <w:bottom w:val="none" w:sz="0" w:space="0" w:color="auto"/>
        <w:right w:val="none" w:sz="0" w:space="0" w:color="auto"/>
      </w:divBdr>
    </w:div>
    <w:div w:id="1265845169">
      <w:bodyDiv w:val="1"/>
      <w:marLeft w:val="0"/>
      <w:marRight w:val="0"/>
      <w:marTop w:val="0"/>
      <w:marBottom w:val="0"/>
      <w:divBdr>
        <w:top w:val="none" w:sz="0" w:space="0" w:color="auto"/>
        <w:left w:val="none" w:sz="0" w:space="0" w:color="auto"/>
        <w:bottom w:val="none" w:sz="0" w:space="0" w:color="auto"/>
        <w:right w:val="none" w:sz="0" w:space="0" w:color="auto"/>
      </w:divBdr>
    </w:div>
    <w:div w:id="1290892715">
      <w:bodyDiv w:val="1"/>
      <w:marLeft w:val="0"/>
      <w:marRight w:val="0"/>
      <w:marTop w:val="0"/>
      <w:marBottom w:val="0"/>
      <w:divBdr>
        <w:top w:val="none" w:sz="0" w:space="0" w:color="auto"/>
        <w:left w:val="none" w:sz="0" w:space="0" w:color="auto"/>
        <w:bottom w:val="none" w:sz="0" w:space="0" w:color="auto"/>
        <w:right w:val="none" w:sz="0" w:space="0" w:color="auto"/>
      </w:divBdr>
    </w:div>
    <w:div w:id="1294020746">
      <w:bodyDiv w:val="1"/>
      <w:marLeft w:val="0"/>
      <w:marRight w:val="0"/>
      <w:marTop w:val="0"/>
      <w:marBottom w:val="0"/>
      <w:divBdr>
        <w:top w:val="none" w:sz="0" w:space="0" w:color="auto"/>
        <w:left w:val="none" w:sz="0" w:space="0" w:color="auto"/>
        <w:bottom w:val="none" w:sz="0" w:space="0" w:color="auto"/>
        <w:right w:val="none" w:sz="0" w:space="0" w:color="auto"/>
      </w:divBdr>
    </w:div>
    <w:div w:id="1328174245">
      <w:bodyDiv w:val="1"/>
      <w:marLeft w:val="0"/>
      <w:marRight w:val="0"/>
      <w:marTop w:val="0"/>
      <w:marBottom w:val="0"/>
      <w:divBdr>
        <w:top w:val="none" w:sz="0" w:space="0" w:color="auto"/>
        <w:left w:val="none" w:sz="0" w:space="0" w:color="auto"/>
        <w:bottom w:val="none" w:sz="0" w:space="0" w:color="auto"/>
        <w:right w:val="none" w:sz="0" w:space="0" w:color="auto"/>
      </w:divBdr>
    </w:div>
    <w:div w:id="1330714419">
      <w:bodyDiv w:val="1"/>
      <w:marLeft w:val="0"/>
      <w:marRight w:val="0"/>
      <w:marTop w:val="0"/>
      <w:marBottom w:val="0"/>
      <w:divBdr>
        <w:top w:val="none" w:sz="0" w:space="0" w:color="auto"/>
        <w:left w:val="none" w:sz="0" w:space="0" w:color="auto"/>
        <w:bottom w:val="none" w:sz="0" w:space="0" w:color="auto"/>
        <w:right w:val="none" w:sz="0" w:space="0" w:color="auto"/>
      </w:divBdr>
    </w:div>
    <w:div w:id="1336422699">
      <w:bodyDiv w:val="1"/>
      <w:marLeft w:val="0"/>
      <w:marRight w:val="0"/>
      <w:marTop w:val="0"/>
      <w:marBottom w:val="0"/>
      <w:divBdr>
        <w:top w:val="none" w:sz="0" w:space="0" w:color="auto"/>
        <w:left w:val="none" w:sz="0" w:space="0" w:color="auto"/>
        <w:bottom w:val="none" w:sz="0" w:space="0" w:color="auto"/>
        <w:right w:val="none" w:sz="0" w:space="0" w:color="auto"/>
      </w:divBdr>
    </w:div>
    <w:div w:id="1345672014">
      <w:bodyDiv w:val="1"/>
      <w:marLeft w:val="0"/>
      <w:marRight w:val="0"/>
      <w:marTop w:val="0"/>
      <w:marBottom w:val="0"/>
      <w:divBdr>
        <w:top w:val="none" w:sz="0" w:space="0" w:color="auto"/>
        <w:left w:val="none" w:sz="0" w:space="0" w:color="auto"/>
        <w:bottom w:val="none" w:sz="0" w:space="0" w:color="auto"/>
        <w:right w:val="none" w:sz="0" w:space="0" w:color="auto"/>
      </w:divBdr>
    </w:div>
    <w:div w:id="1353410496">
      <w:bodyDiv w:val="1"/>
      <w:marLeft w:val="0"/>
      <w:marRight w:val="0"/>
      <w:marTop w:val="0"/>
      <w:marBottom w:val="0"/>
      <w:divBdr>
        <w:top w:val="none" w:sz="0" w:space="0" w:color="auto"/>
        <w:left w:val="none" w:sz="0" w:space="0" w:color="auto"/>
        <w:bottom w:val="none" w:sz="0" w:space="0" w:color="auto"/>
        <w:right w:val="none" w:sz="0" w:space="0" w:color="auto"/>
      </w:divBdr>
    </w:div>
    <w:div w:id="1373265731">
      <w:bodyDiv w:val="1"/>
      <w:marLeft w:val="0"/>
      <w:marRight w:val="0"/>
      <w:marTop w:val="0"/>
      <w:marBottom w:val="0"/>
      <w:divBdr>
        <w:top w:val="none" w:sz="0" w:space="0" w:color="auto"/>
        <w:left w:val="none" w:sz="0" w:space="0" w:color="auto"/>
        <w:bottom w:val="none" w:sz="0" w:space="0" w:color="auto"/>
        <w:right w:val="none" w:sz="0" w:space="0" w:color="auto"/>
      </w:divBdr>
    </w:div>
    <w:div w:id="1376126640">
      <w:bodyDiv w:val="1"/>
      <w:marLeft w:val="0"/>
      <w:marRight w:val="0"/>
      <w:marTop w:val="0"/>
      <w:marBottom w:val="0"/>
      <w:divBdr>
        <w:top w:val="none" w:sz="0" w:space="0" w:color="auto"/>
        <w:left w:val="none" w:sz="0" w:space="0" w:color="auto"/>
        <w:bottom w:val="none" w:sz="0" w:space="0" w:color="auto"/>
        <w:right w:val="none" w:sz="0" w:space="0" w:color="auto"/>
      </w:divBdr>
    </w:div>
    <w:div w:id="1380517834">
      <w:bodyDiv w:val="1"/>
      <w:marLeft w:val="0"/>
      <w:marRight w:val="0"/>
      <w:marTop w:val="0"/>
      <w:marBottom w:val="0"/>
      <w:divBdr>
        <w:top w:val="none" w:sz="0" w:space="0" w:color="auto"/>
        <w:left w:val="none" w:sz="0" w:space="0" w:color="auto"/>
        <w:bottom w:val="none" w:sz="0" w:space="0" w:color="auto"/>
        <w:right w:val="none" w:sz="0" w:space="0" w:color="auto"/>
      </w:divBdr>
    </w:div>
    <w:div w:id="1394739131">
      <w:bodyDiv w:val="1"/>
      <w:marLeft w:val="0"/>
      <w:marRight w:val="0"/>
      <w:marTop w:val="0"/>
      <w:marBottom w:val="0"/>
      <w:divBdr>
        <w:top w:val="none" w:sz="0" w:space="0" w:color="auto"/>
        <w:left w:val="none" w:sz="0" w:space="0" w:color="auto"/>
        <w:bottom w:val="none" w:sz="0" w:space="0" w:color="auto"/>
        <w:right w:val="none" w:sz="0" w:space="0" w:color="auto"/>
      </w:divBdr>
    </w:div>
    <w:div w:id="1399009661">
      <w:bodyDiv w:val="1"/>
      <w:marLeft w:val="0"/>
      <w:marRight w:val="0"/>
      <w:marTop w:val="0"/>
      <w:marBottom w:val="0"/>
      <w:divBdr>
        <w:top w:val="none" w:sz="0" w:space="0" w:color="auto"/>
        <w:left w:val="none" w:sz="0" w:space="0" w:color="auto"/>
        <w:bottom w:val="none" w:sz="0" w:space="0" w:color="auto"/>
        <w:right w:val="none" w:sz="0" w:space="0" w:color="auto"/>
      </w:divBdr>
    </w:div>
    <w:div w:id="1428231520">
      <w:bodyDiv w:val="1"/>
      <w:marLeft w:val="0"/>
      <w:marRight w:val="0"/>
      <w:marTop w:val="0"/>
      <w:marBottom w:val="0"/>
      <w:divBdr>
        <w:top w:val="none" w:sz="0" w:space="0" w:color="auto"/>
        <w:left w:val="none" w:sz="0" w:space="0" w:color="auto"/>
        <w:bottom w:val="none" w:sz="0" w:space="0" w:color="auto"/>
        <w:right w:val="none" w:sz="0" w:space="0" w:color="auto"/>
      </w:divBdr>
    </w:div>
    <w:div w:id="1458262022">
      <w:bodyDiv w:val="1"/>
      <w:marLeft w:val="0"/>
      <w:marRight w:val="0"/>
      <w:marTop w:val="0"/>
      <w:marBottom w:val="0"/>
      <w:divBdr>
        <w:top w:val="none" w:sz="0" w:space="0" w:color="auto"/>
        <w:left w:val="none" w:sz="0" w:space="0" w:color="auto"/>
        <w:bottom w:val="none" w:sz="0" w:space="0" w:color="auto"/>
        <w:right w:val="none" w:sz="0" w:space="0" w:color="auto"/>
      </w:divBdr>
    </w:div>
    <w:div w:id="1501778638">
      <w:bodyDiv w:val="1"/>
      <w:marLeft w:val="0"/>
      <w:marRight w:val="0"/>
      <w:marTop w:val="0"/>
      <w:marBottom w:val="0"/>
      <w:divBdr>
        <w:top w:val="none" w:sz="0" w:space="0" w:color="auto"/>
        <w:left w:val="none" w:sz="0" w:space="0" w:color="auto"/>
        <w:bottom w:val="none" w:sz="0" w:space="0" w:color="auto"/>
        <w:right w:val="none" w:sz="0" w:space="0" w:color="auto"/>
      </w:divBdr>
    </w:div>
    <w:div w:id="1505166419">
      <w:bodyDiv w:val="1"/>
      <w:marLeft w:val="0"/>
      <w:marRight w:val="0"/>
      <w:marTop w:val="0"/>
      <w:marBottom w:val="0"/>
      <w:divBdr>
        <w:top w:val="none" w:sz="0" w:space="0" w:color="auto"/>
        <w:left w:val="none" w:sz="0" w:space="0" w:color="auto"/>
        <w:bottom w:val="none" w:sz="0" w:space="0" w:color="auto"/>
        <w:right w:val="none" w:sz="0" w:space="0" w:color="auto"/>
      </w:divBdr>
    </w:div>
    <w:div w:id="1511411951">
      <w:bodyDiv w:val="1"/>
      <w:marLeft w:val="0"/>
      <w:marRight w:val="0"/>
      <w:marTop w:val="0"/>
      <w:marBottom w:val="0"/>
      <w:divBdr>
        <w:top w:val="none" w:sz="0" w:space="0" w:color="auto"/>
        <w:left w:val="none" w:sz="0" w:space="0" w:color="auto"/>
        <w:bottom w:val="none" w:sz="0" w:space="0" w:color="auto"/>
        <w:right w:val="none" w:sz="0" w:space="0" w:color="auto"/>
      </w:divBdr>
    </w:div>
    <w:div w:id="1523858130">
      <w:bodyDiv w:val="1"/>
      <w:marLeft w:val="0"/>
      <w:marRight w:val="0"/>
      <w:marTop w:val="0"/>
      <w:marBottom w:val="0"/>
      <w:divBdr>
        <w:top w:val="none" w:sz="0" w:space="0" w:color="auto"/>
        <w:left w:val="none" w:sz="0" w:space="0" w:color="auto"/>
        <w:bottom w:val="none" w:sz="0" w:space="0" w:color="auto"/>
        <w:right w:val="none" w:sz="0" w:space="0" w:color="auto"/>
      </w:divBdr>
    </w:div>
    <w:div w:id="1535116126">
      <w:bodyDiv w:val="1"/>
      <w:marLeft w:val="0"/>
      <w:marRight w:val="0"/>
      <w:marTop w:val="0"/>
      <w:marBottom w:val="0"/>
      <w:divBdr>
        <w:top w:val="none" w:sz="0" w:space="0" w:color="auto"/>
        <w:left w:val="none" w:sz="0" w:space="0" w:color="auto"/>
        <w:bottom w:val="none" w:sz="0" w:space="0" w:color="auto"/>
        <w:right w:val="none" w:sz="0" w:space="0" w:color="auto"/>
      </w:divBdr>
    </w:div>
    <w:div w:id="1535145793">
      <w:bodyDiv w:val="1"/>
      <w:marLeft w:val="0"/>
      <w:marRight w:val="0"/>
      <w:marTop w:val="0"/>
      <w:marBottom w:val="0"/>
      <w:divBdr>
        <w:top w:val="none" w:sz="0" w:space="0" w:color="auto"/>
        <w:left w:val="none" w:sz="0" w:space="0" w:color="auto"/>
        <w:bottom w:val="none" w:sz="0" w:space="0" w:color="auto"/>
        <w:right w:val="none" w:sz="0" w:space="0" w:color="auto"/>
      </w:divBdr>
    </w:div>
    <w:div w:id="1552225889">
      <w:bodyDiv w:val="1"/>
      <w:marLeft w:val="0"/>
      <w:marRight w:val="0"/>
      <w:marTop w:val="0"/>
      <w:marBottom w:val="0"/>
      <w:divBdr>
        <w:top w:val="none" w:sz="0" w:space="0" w:color="auto"/>
        <w:left w:val="none" w:sz="0" w:space="0" w:color="auto"/>
        <w:bottom w:val="none" w:sz="0" w:space="0" w:color="auto"/>
        <w:right w:val="none" w:sz="0" w:space="0" w:color="auto"/>
      </w:divBdr>
    </w:div>
    <w:div w:id="1567105146">
      <w:bodyDiv w:val="1"/>
      <w:marLeft w:val="0"/>
      <w:marRight w:val="0"/>
      <w:marTop w:val="0"/>
      <w:marBottom w:val="0"/>
      <w:divBdr>
        <w:top w:val="none" w:sz="0" w:space="0" w:color="auto"/>
        <w:left w:val="none" w:sz="0" w:space="0" w:color="auto"/>
        <w:bottom w:val="none" w:sz="0" w:space="0" w:color="auto"/>
        <w:right w:val="none" w:sz="0" w:space="0" w:color="auto"/>
      </w:divBdr>
    </w:div>
    <w:div w:id="1568030325">
      <w:bodyDiv w:val="1"/>
      <w:marLeft w:val="0"/>
      <w:marRight w:val="0"/>
      <w:marTop w:val="0"/>
      <w:marBottom w:val="0"/>
      <w:divBdr>
        <w:top w:val="none" w:sz="0" w:space="0" w:color="auto"/>
        <w:left w:val="none" w:sz="0" w:space="0" w:color="auto"/>
        <w:bottom w:val="none" w:sz="0" w:space="0" w:color="auto"/>
        <w:right w:val="none" w:sz="0" w:space="0" w:color="auto"/>
      </w:divBdr>
    </w:div>
    <w:div w:id="1577205048">
      <w:bodyDiv w:val="1"/>
      <w:marLeft w:val="0"/>
      <w:marRight w:val="0"/>
      <w:marTop w:val="0"/>
      <w:marBottom w:val="0"/>
      <w:divBdr>
        <w:top w:val="none" w:sz="0" w:space="0" w:color="auto"/>
        <w:left w:val="none" w:sz="0" w:space="0" w:color="auto"/>
        <w:bottom w:val="none" w:sz="0" w:space="0" w:color="auto"/>
        <w:right w:val="none" w:sz="0" w:space="0" w:color="auto"/>
      </w:divBdr>
    </w:div>
    <w:div w:id="1579171376">
      <w:bodyDiv w:val="1"/>
      <w:marLeft w:val="0"/>
      <w:marRight w:val="0"/>
      <w:marTop w:val="0"/>
      <w:marBottom w:val="0"/>
      <w:divBdr>
        <w:top w:val="none" w:sz="0" w:space="0" w:color="auto"/>
        <w:left w:val="none" w:sz="0" w:space="0" w:color="auto"/>
        <w:bottom w:val="none" w:sz="0" w:space="0" w:color="auto"/>
        <w:right w:val="none" w:sz="0" w:space="0" w:color="auto"/>
      </w:divBdr>
    </w:div>
    <w:div w:id="1586524726">
      <w:bodyDiv w:val="1"/>
      <w:marLeft w:val="0"/>
      <w:marRight w:val="0"/>
      <w:marTop w:val="0"/>
      <w:marBottom w:val="0"/>
      <w:divBdr>
        <w:top w:val="none" w:sz="0" w:space="0" w:color="auto"/>
        <w:left w:val="none" w:sz="0" w:space="0" w:color="auto"/>
        <w:bottom w:val="none" w:sz="0" w:space="0" w:color="auto"/>
        <w:right w:val="none" w:sz="0" w:space="0" w:color="auto"/>
      </w:divBdr>
      <w:divsChild>
        <w:div w:id="864906493">
          <w:marLeft w:val="0"/>
          <w:marRight w:val="0"/>
          <w:marTop w:val="0"/>
          <w:marBottom w:val="0"/>
          <w:divBdr>
            <w:top w:val="none" w:sz="0" w:space="0" w:color="auto"/>
            <w:left w:val="none" w:sz="0" w:space="0" w:color="auto"/>
            <w:bottom w:val="none" w:sz="0" w:space="0" w:color="auto"/>
            <w:right w:val="none" w:sz="0" w:space="0" w:color="auto"/>
          </w:divBdr>
        </w:div>
      </w:divsChild>
    </w:div>
    <w:div w:id="1649020405">
      <w:bodyDiv w:val="1"/>
      <w:marLeft w:val="0"/>
      <w:marRight w:val="0"/>
      <w:marTop w:val="0"/>
      <w:marBottom w:val="0"/>
      <w:divBdr>
        <w:top w:val="none" w:sz="0" w:space="0" w:color="auto"/>
        <w:left w:val="none" w:sz="0" w:space="0" w:color="auto"/>
        <w:bottom w:val="none" w:sz="0" w:space="0" w:color="auto"/>
        <w:right w:val="none" w:sz="0" w:space="0" w:color="auto"/>
      </w:divBdr>
    </w:div>
    <w:div w:id="1670667830">
      <w:bodyDiv w:val="1"/>
      <w:marLeft w:val="0"/>
      <w:marRight w:val="0"/>
      <w:marTop w:val="0"/>
      <w:marBottom w:val="0"/>
      <w:divBdr>
        <w:top w:val="none" w:sz="0" w:space="0" w:color="auto"/>
        <w:left w:val="none" w:sz="0" w:space="0" w:color="auto"/>
        <w:bottom w:val="none" w:sz="0" w:space="0" w:color="auto"/>
        <w:right w:val="none" w:sz="0" w:space="0" w:color="auto"/>
      </w:divBdr>
    </w:div>
    <w:div w:id="1701203330">
      <w:bodyDiv w:val="1"/>
      <w:marLeft w:val="0"/>
      <w:marRight w:val="0"/>
      <w:marTop w:val="0"/>
      <w:marBottom w:val="0"/>
      <w:divBdr>
        <w:top w:val="none" w:sz="0" w:space="0" w:color="auto"/>
        <w:left w:val="none" w:sz="0" w:space="0" w:color="auto"/>
        <w:bottom w:val="none" w:sz="0" w:space="0" w:color="auto"/>
        <w:right w:val="none" w:sz="0" w:space="0" w:color="auto"/>
      </w:divBdr>
    </w:div>
    <w:div w:id="1702895582">
      <w:bodyDiv w:val="1"/>
      <w:marLeft w:val="0"/>
      <w:marRight w:val="0"/>
      <w:marTop w:val="0"/>
      <w:marBottom w:val="0"/>
      <w:divBdr>
        <w:top w:val="none" w:sz="0" w:space="0" w:color="auto"/>
        <w:left w:val="none" w:sz="0" w:space="0" w:color="auto"/>
        <w:bottom w:val="none" w:sz="0" w:space="0" w:color="auto"/>
        <w:right w:val="none" w:sz="0" w:space="0" w:color="auto"/>
      </w:divBdr>
    </w:div>
    <w:div w:id="1703706365">
      <w:bodyDiv w:val="1"/>
      <w:marLeft w:val="0"/>
      <w:marRight w:val="0"/>
      <w:marTop w:val="0"/>
      <w:marBottom w:val="0"/>
      <w:divBdr>
        <w:top w:val="none" w:sz="0" w:space="0" w:color="auto"/>
        <w:left w:val="none" w:sz="0" w:space="0" w:color="auto"/>
        <w:bottom w:val="none" w:sz="0" w:space="0" w:color="auto"/>
        <w:right w:val="none" w:sz="0" w:space="0" w:color="auto"/>
      </w:divBdr>
    </w:div>
    <w:div w:id="1709793249">
      <w:bodyDiv w:val="1"/>
      <w:marLeft w:val="0"/>
      <w:marRight w:val="0"/>
      <w:marTop w:val="0"/>
      <w:marBottom w:val="0"/>
      <w:divBdr>
        <w:top w:val="none" w:sz="0" w:space="0" w:color="auto"/>
        <w:left w:val="none" w:sz="0" w:space="0" w:color="auto"/>
        <w:bottom w:val="none" w:sz="0" w:space="0" w:color="auto"/>
        <w:right w:val="none" w:sz="0" w:space="0" w:color="auto"/>
      </w:divBdr>
    </w:div>
    <w:div w:id="1721048228">
      <w:bodyDiv w:val="1"/>
      <w:marLeft w:val="0"/>
      <w:marRight w:val="0"/>
      <w:marTop w:val="0"/>
      <w:marBottom w:val="0"/>
      <w:divBdr>
        <w:top w:val="none" w:sz="0" w:space="0" w:color="auto"/>
        <w:left w:val="none" w:sz="0" w:space="0" w:color="auto"/>
        <w:bottom w:val="none" w:sz="0" w:space="0" w:color="auto"/>
        <w:right w:val="none" w:sz="0" w:space="0" w:color="auto"/>
      </w:divBdr>
    </w:div>
    <w:div w:id="1730111732">
      <w:bodyDiv w:val="1"/>
      <w:marLeft w:val="0"/>
      <w:marRight w:val="0"/>
      <w:marTop w:val="0"/>
      <w:marBottom w:val="0"/>
      <w:divBdr>
        <w:top w:val="none" w:sz="0" w:space="0" w:color="auto"/>
        <w:left w:val="none" w:sz="0" w:space="0" w:color="auto"/>
        <w:bottom w:val="none" w:sz="0" w:space="0" w:color="auto"/>
        <w:right w:val="none" w:sz="0" w:space="0" w:color="auto"/>
      </w:divBdr>
    </w:div>
    <w:div w:id="1758750425">
      <w:bodyDiv w:val="1"/>
      <w:marLeft w:val="0"/>
      <w:marRight w:val="0"/>
      <w:marTop w:val="0"/>
      <w:marBottom w:val="0"/>
      <w:divBdr>
        <w:top w:val="none" w:sz="0" w:space="0" w:color="auto"/>
        <w:left w:val="none" w:sz="0" w:space="0" w:color="auto"/>
        <w:bottom w:val="none" w:sz="0" w:space="0" w:color="auto"/>
        <w:right w:val="none" w:sz="0" w:space="0" w:color="auto"/>
      </w:divBdr>
    </w:div>
    <w:div w:id="1805079769">
      <w:bodyDiv w:val="1"/>
      <w:marLeft w:val="0"/>
      <w:marRight w:val="0"/>
      <w:marTop w:val="0"/>
      <w:marBottom w:val="0"/>
      <w:divBdr>
        <w:top w:val="none" w:sz="0" w:space="0" w:color="auto"/>
        <w:left w:val="none" w:sz="0" w:space="0" w:color="auto"/>
        <w:bottom w:val="none" w:sz="0" w:space="0" w:color="auto"/>
        <w:right w:val="none" w:sz="0" w:space="0" w:color="auto"/>
      </w:divBdr>
    </w:div>
    <w:div w:id="1809468604">
      <w:bodyDiv w:val="1"/>
      <w:marLeft w:val="0"/>
      <w:marRight w:val="0"/>
      <w:marTop w:val="0"/>
      <w:marBottom w:val="0"/>
      <w:divBdr>
        <w:top w:val="none" w:sz="0" w:space="0" w:color="auto"/>
        <w:left w:val="none" w:sz="0" w:space="0" w:color="auto"/>
        <w:bottom w:val="none" w:sz="0" w:space="0" w:color="auto"/>
        <w:right w:val="none" w:sz="0" w:space="0" w:color="auto"/>
      </w:divBdr>
    </w:div>
    <w:div w:id="1812283424">
      <w:bodyDiv w:val="1"/>
      <w:marLeft w:val="0"/>
      <w:marRight w:val="0"/>
      <w:marTop w:val="0"/>
      <w:marBottom w:val="0"/>
      <w:divBdr>
        <w:top w:val="none" w:sz="0" w:space="0" w:color="auto"/>
        <w:left w:val="none" w:sz="0" w:space="0" w:color="auto"/>
        <w:bottom w:val="none" w:sz="0" w:space="0" w:color="auto"/>
        <w:right w:val="none" w:sz="0" w:space="0" w:color="auto"/>
      </w:divBdr>
    </w:div>
    <w:div w:id="1826817471">
      <w:bodyDiv w:val="1"/>
      <w:marLeft w:val="0"/>
      <w:marRight w:val="0"/>
      <w:marTop w:val="0"/>
      <w:marBottom w:val="0"/>
      <w:divBdr>
        <w:top w:val="none" w:sz="0" w:space="0" w:color="auto"/>
        <w:left w:val="none" w:sz="0" w:space="0" w:color="auto"/>
        <w:bottom w:val="none" w:sz="0" w:space="0" w:color="auto"/>
        <w:right w:val="none" w:sz="0" w:space="0" w:color="auto"/>
      </w:divBdr>
    </w:div>
    <w:div w:id="1876235517">
      <w:bodyDiv w:val="1"/>
      <w:marLeft w:val="0"/>
      <w:marRight w:val="0"/>
      <w:marTop w:val="0"/>
      <w:marBottom w:val="0"/>
      <w:divBdr>
        <w:top w:val="none" w:sz="0" w:space="0" w:color="auto"/>
        <w:left w:val="none" w:sz="0" w:space="0" w:color="auto"/>
        <w:bottom w:val="none" w:sz="0" w:space="0" w:color="auto"/>
        <w:right w:val="none" w:sz="0" w:space="0" w:color="auto"/>
      </w:divBdr>
    </w:div>
    <w:div w:id="1919971700">
      <w:bodyDiv w:val="1"/>
      <w:marLeft w:val="0"/>
      <w:marRight w:val="0"/>
      <w:marTop w:val="0"/>
      <w:marBottom w:val="0"/>
      <w:divBdr>
        <w:top w:val="none" w:sz="0" w:space="0" w:color="auto"/>
        <w:left w:val="none" w:sz="0" w:space="0" w:color="auto"/>
        <w:bottom w:val="none" w:sz="0" w:space="0" w:color="auto"/>
        <w:right w:val="none" w:sz="0" w:space="0" w:color="auto"/>
      </w:divBdr>
    </w:div>
    <w:div w:id="1933005910">
      <w:bodyDiv w:val="1"/>
      <w:marLeft w:val="0"/>
      <w:marRight w:val="0"/>
      <w:marTop w:val="0"/>
      <w:marBottom w:val="0"/>
      <w:divBdr>
        <w:top w:val="none" w:sz="0" w:space="0" w:color="auto"/>
        <w:left w:val="none" w:sz="0" w:space="0" w:color="auto"/>
        <w:bottom w:val="none" w:sz="0" w:space="0" w:color="auto"/>
        <w:right w:val="none" w:sz="0" w:space="0" w:color="auto"/>
      </w:divBdr>
    </w:div>
    <w:div w:id="1975671258">
      <w:bodyDiv w:val="1"/>
      <w:marLeft w:val="0"/>
      <w:marRight w:val="0"/>
      <w:marTop w:val="0"/>
      <w:marBottom w:val="0"/>
      <w:divBdr>
        <w:top w:val="none" w:sz="0" w:space="0" w:color="auto"/>
        <w:left w:val="none" w:sz="0" w:space="0" w:color="auto"/>
        <w:bottom w:val="none" w:sz="0" w:space="0" w:color="auto"/>
        <w:right w:val="none" w:sz="0" w:space="0" w:color="auto"/>
      </w:divBdr>
    </w:div>
    <w:div w:id="1975939181">
      <w:bodyDiv w:val="1"/>
      <w:marLeft w:val="0"/>
      <w:marRight w:val="0"/>
      <w:marTop w:val="0"/>
      <w:marBottom w:val="0"/>
      <w:divBdr>
        <w:top w:val="none" w:sz="0" w:space="0" w:color="auto"/>
        <w:left w:val="none" w:sz="0" w:space="0" w:color="auto"/>
        <w:bottom w:val="none" w:sz="0" w:space="0" w:color="auto"/>
        <w:right w:val="none" w:sz="0" w:space="0" w:color="auto"/>
      </w:divBdr>
    </w:div>
    <w:div w:id="1994525348">
      <w:bodyDiv w:val="1"/>
      <w:marLeft w:val="0"/>
      <w:marRight w:val="0"/>
      <w:marTop w:val="0"/>
      <w:marBottom w:val="0"/>
      <w:divBdr>
        <w:top w:val="none" w:sz="0" w:space="0" w:color="auto"/>
        <w:left w:val="none" w:sz="0" w:space="0" w:color="auto"/>
        <w:bottom w:val="none" w:sz="0" w:space="0" w:color="auto"/>
        <w:right w:val="none" w:sz="0" w:space="0" w:color="auto"/>
      </w:divBdr>
    </w:div>
    <w:div w:id="2000495631">
      <w:bodyDiv w:val="1"/>
      <w:marLeft w:val="0"/>
      <w:marRight w:val="0"/>
      <w:marTop w:val="0"/>
      <w:marBottom w:val="0"/>
      <w:divBdr>
        <w:top w:val="none" w:sz="0" w:space="0" w:color="auto"/>
        <w:left w:val="none" w:sz="0" w:space="0" w:color="auto"/>
        <w:bottom w:val="none" w:sz="0" w:space="0" w:color="auto"/>
        <w:right w:val="none" w:sz="0" w:space="0" w:color="auto"/>
      </w:divBdr>
    </w:div>
    <w:div w:id="2047635466">
      <w:bodyDiv w:val="1"/>
      <w:marLeft w:val="0"/>
      <w:marRight w:val="0"/>
      <w:marTop w:val="0"/>
      <w:marBottom w:val="0"/>
      <w:divBdr>
        <w:top w:val="none" w:sz="0" w:space="0" w:color="auto"/>
        <w:left w:val="none" w:sz="0" w:space="0" w:color="auto"/>
        <w:bottom w:val="none" w:sz="0" w:space="0" w:color="auto"/>
        <w:right w:val="none" w:sz="0" w:space="0" w:color="auto"/>
      </w:divBdr>
    </w:div>
    <w:div w:id="2076003044">
      <w:bodyDiv w:val="1"/>
      <w:marLeft w:val="0"/>
      <w:marRight w:val="0"/>
      <w:marTop w:val="0"/>
      <w:marBottom w:val="0"/>
      <w:divBdr>
        <w:top w:val="none" w:sz="0" w:space="0" w:color="auto"/>
        <w:left w:val="none" w:sz="0" w:space="0" w:color="auto"/>
        <w:bottom w:val="none" w:sz="0" w:space="0" w:color="auto"/>
        <w:right w:val="none" w:sz="0" w:space="0" w:color="auto"/>
      </w:divBdr>
    </w:div>
    <w:div w:id="2078162329">
      <w:bodyDiv w:val="1"/>
      <w:marLeft w:val="0"/>
      <w:marRight w:val="0"/>
      <w:marTop w:val="0"/>
      <w:marBottom w:val="0"/>
      <w:divBdr>
        <w:top w:val="none" w:sz="0" w:space="0" w:color="auto"/>
        <w:left w:val="none" w:sz="0" w:space="0" w:color="auto"/>
        <w:bottom w:val="none" w:sz="0" w:space="0" w:color="auto"/>
        <w:right w:val="none" w:sz="0" w:space="0" w:color="auto"/>
      </w:divBdr>
    </w:div>
    <w:div w:id="2134404757">
      <w:bodyDiv w:val="1"/>
      <w:marLeft w:val="0"/>
      <w:marRight w:val="0"/>
      <w:marTop w:val="0"/>
      <w:marBottom w:val="0"/>
      <w:divBdr>
        <w:top w:val="none" w:sz="0" w:space="0" w:color="auto"/>
        <w:left w:val="none" w:sz="0" w:space="0" w:color="auto"/>
        <w:bottom w:val="none" w:sz="0" w:space="0" w:color="auto"/>
        <w:right w:val="none" w:sz="0" w:space="0" w:color="auto"/>
      </w:divBdr>
    </w:div>
    <w:div w:id="21384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footer" Target="footer5.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oter" Target="footer4.xml" Id="rId20" /><Relationship Type="http://schemas.openxmlformats.org/officeDocument/2006/relationships/webSettings" Target="webSettings.xml" Id="rId11" /><Relationship Type="http://schemas.openxmlformats.org/officeDocument/2006/relationships/theme" Target="theme/theme1.xml" Id="rId24" /><Relationship Type="http://schemas.openxmlformats.org/officeDocument/2006/relationships/header" Target="header2.xml" Id="rId15" /><Relationship Type="http://schemas.openxmlformats.org/officeDocument/2006/relationships/glossaryDocument" Target="glossary/document.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 Type="http://schemas.openxmlformats.org/officeDocument/2006/relationships/fontTable" Target="fontTable.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deeplink.rechtspraak.nl/uitspraak?id=ECLI:NL:RBGEL:2026:2962" TargetMode="External"/><Relationship Id="rId2" Type="http://schemas.openxmlformats.org/officeDocument/2006/relationships/hyperlink" Target="https://puc.overheid.nl/natuurvergunningen/doc/PUC_766806_17/1/" TargetMode="External"/><Relationship Id="rId1" Type="http://schemas.openxmlformats.org/officeDocument/2006/relationships/hyperlink" Target="https://pas.commissiemer.nl/files/nl/3537/a3537ts.pdf" TargetMode="External"/><Relationship Id="rId5" Type="http://schemas.openxmlformats.org/officeDocument/2006/relationships/hyperlink" Target="https://www.rivm.nl/publicaties/hinder-en-slaapverstoring-van-vliegtuiggeluid-in-2024" TargetMode="External"/><Relationship Id="rId4" Type="http://schemas.openxmlformats.org/officeDocument/2006/relationships/hyperlink" Target="https://open.overheid.nl/documenten/3a3a38a4-1aca-41f0-b4ee-b2454de519b5/file"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06901\AppData\Roaming\DotOffice\Sync\Templates\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A94794DEF7F4029AB4FE1A6383FEB6B"/>
        <w:category>
          <w:name w:val="General"/>
          <w:gallery w:val="placeholder"/>
        </w:category>
        <w:types>
          <w:type w:val="bbPlcHdr"/>
        </w:types>
        <w:behaviors>
          <w:behavior w:val="content"/>
        </w:behaviors>
        <w:guid w:val="{61649399-28AD-4B16-9E00-A70213802950}"/>
      </w:docPartPr>
      <w:docPartBody>
        <w:p w:rsidR="00153A28" w:rsidRDefault="0077348B">
          <w:pPr>
            <w:pStyle w:val="BA94794DEF7F4029AB4FE1A6383FEB6B"/>
          </w:pPr>
          <w:r w:rsidRPr="005D1BDE">
            <w:rPr>
              <w:rStyle w:val="PlaceholderText"/>
            </w:rPr>
            <w:t>Click to enter "dlContents"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Sylfaen"/>
    <w:charset w:val="00"/>
    <w:family w:val="swiss"/>
    <w:pitch w:val="variable"/>
    <w:sig w:usb0="E7002EFF" w:usb1="D200FDFF" w:usb2="0A246029" w:usb3="00000000" w:csb0="000001FF" w:csb1="00000000"/>
  </w:font>
  <w:font w:name="Lohit Hind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B16"/>
    <w:rsid w:val="0000483F"/>
    <w:rsid w:val="000161C8"/>
    <w:rsid w:val="00024CCD"/>
    <w:rsid w:val="00025473"/>
    <w:rsid w:val="0003707C"/>
    <w:rsid w:val="00082615"/>
    <w:rsid w:val="0008651A"/>
    <w:rsid w:val="000918FC"/>
    <w:rsid w:val="000930CD"/>
    <w:rsid w:val="000951EB"/>
    <w:rsid w:val="000A56CF"/>
    <w:rsid w:val="000A7771"/>
    <w:rsid w:val="000D2186"/>
    <w:rsid w:val="000E70B5"/>
    <w:rsid w:val="001045D1"/>
    <w:rsid w:val="00113E30"/>
    <w:rsid w:val="00127B60"/>
    <w:rsid w:val="00130807"/>
    <w:rsid w:val="001469A8"/>
    <w:rsid w:val="001506C9"/>
    <w:rsid w:val="00152B16"/>
    <w:rsid w:val="00153A28"/>
    <w:rsid w:val="00155D77"/>
    <w:rsid w:val="00184CE2"/>
    <w:rsid w:val="0019694C"/>
    <w:rsid w:val="001E19A5"/>
    <w:rsid w:val="002014E2"/>
    <w:rsid w:val="00234C1D"/>
    <w:rsid w:val="0023744A"/>
    <w:rsid w:val="002455E7"/>
    <w:rsid w:val="0024653A"/>
    <w:rsid w:val="00247C4E"/>
    <w:rsid w:val="002614BF"/>
    <w:rsid w:val="00267F6A"/>
    <w:rsid w:val="002731D7"/>
    <w:rsid w:val="00275174"/>
    <w:rsid w:val="00277A04"/>
    <w:rsid w:val="002B237D"/>
    <w:rsid w:val="002C2607"/>
    <w:rsid w:val="002E61B7"/>
    <w:rsid w:val="003018AC"/>
    <w:rsid w:val="00303810"/>
    <w:rsid w:val="00305B54"/>
    <w:rsid w:val="0031024B"/>
    <w:rsid w:val="003130AF"/>
    <w:rsid w:val="0032199F"/>
    <w:rsid w:val="00322C79"/>
    <w:rsid w:val="00326611"/>
    <w:rsid w:val="00390484"/>
    <w:rsid w:val="003A7CC2"/>
    <w:rsid w:val="003F1866"/>
    <w:rsid w:val="003F2FD0"/>
    <w:rsid w:val="00407528"/>
    <w:rsid w:val="004214AC"/>
    <w:rsid w:val="00423DD3"/>
    <w:rsid w:val="00433D25"/>
    <w:rsid w:val="00440DEC"/>
    <w:rsid w:val="004530DE"/>
    <w:rsid w:val="00462714"/>
    <w:rsid w:val="00472A3E"/>
    <w:rsid w:val="004812E5"/>
    <w:rsid w:val="00490A46"/>
    <w:rsid w:val="004A5006"/>
    <w:rsid w:val="004A640C"/>
    <w:rsid w:val="004B1143"/>
    <w:rsid w:val="004D288C"/>
    <w:rsid w:val="004F3570"/>
    <w:rsid w:val="00505796"/>
    <w:rsid w:val="005203EC"/>
    <w:rsid w:val="0052730B"/>
    <w:rsid w:val="00536BBA"/>
    <w:rsid w:val="00537AAD"/>
    <w:rsid w:val="00581CDE"/>
    <w:rsid w:val="00596CCB"/>
    <w:rsid w:val="005C281B"/>
    <w:rsid w:val="005F1F3D"/>
    <w:rsid w:val="0061767E"/>
    <w:rsid w:val="00622279"/>
    <w:rsid w:val="00625546"/>
    <w:rsid w:val="006263CD"/>
    <w:rsid w:val="0063498F"/>
    <w:rsid w:val="006370C9"/>
    <w:rsid w:val="00657609"/>
    <w:rsid w:val="00664E4D"/>
    <w:rsid w:val="00665C0F"/>
    <w:rsid w:val="00672D7F"/>
    <w:rsid w:val="00674E01"/>
    <w:rsid w:val="00695748"/>
    <w:rsid w:val="006A0A52"/>
    <w:rsid w:val="006C1814"/>
    <w:rsid w:val="006C2545"/>
    <w:rsid w:val="00716684"/>
    <w:rsid w:val="00763F36"/>
    <w:rsid w:val="0077348B"/>
    <w:rsid w:val="007A026C"/>
    <w:rsid w:val="007A38A3"/>
    <w:rsid w:val="007C31AA"/>
    <w:rsid w:val="007D0BDA"/>
    <w:rsid w:val="007D14F3"/>
    <w:rsid w:val="007E0F12"/>
    <w:rsid w:val="008015A9"/>
    <w:rsid w:val="0081352E"/>
    <w:rsid w:val="00821604"/>
    <w:rsid w:val="00832A67"/>
    <w:rsid w:val="00833770"/>
    <w:rsid w:val="00841B19"/>
    <w:rsid w:val="00876F75"/>
    <w:rsid w:val="008836FA"/>
    <w:rsid w:val="008C6717"/>
    <w:rsid w:val="008D03A1"/>
    <w:rsid w:val="008D22BF"/>
    <w:rsid w:val="008E418B"/>
    <w:rsid w:val="008E7404"/>
    <w:rsid w:val="008F1B34"/>
    <w:rsid w:val="009059E1"/>
    <w:rsid w:val="00911EDB"/>
    <w:rsid w:val="00912485"/>
    <w:rsid w:val="009127FE"/>
    <w:rsid w:val="00916D97"/>
    <w:rsid w:val="00920CD8"/>
    <w:rsid w:val="0093026A"/>
    <w:rsid w:val="009428A0"/>
    <w:rsid w:val="009541C8"/>
    <w:rsid w:val="0096015F"/>
    <w:rsid w:val="00961302"/>
    <w:rsid w:val="009636D9"/>
    <w:rsid w:val="00971DEB"/>
    <w:rsid w:val="00982B20"/>
    <w:rsid w:val="00984A60"/>
    <w:rsid w:val="009F53F2"/>
    <w:rsid w:val="00A06F14"/>
    <w:rsid w:val="00A071A9"/>
    <w:rsid w:val="00A10CE0"/>
    <w:rsid w:val="00A13FF1"/>
    <w:rsid w:val="00A319E8"/>
    <w:rsid w:val="00A34DFC"/>
    <w:rsid w:val="00A43ECB"/>
    <w:rsid w:val="00A74908"/>
    <w:rsid w:val="00A74E34"/>
    <w:rsid w:val="00A77091"/>
    <w:rsid w:val="00A820E0"/>
    <w:rsid w:val="00A84AC5"/>
    <w:rsid w:val="00AA1DC3"/>
    <w:rsid w:val="00AA6576"/>
    <w:rsid w:val="00AC095E"/>
    <w:rsid w:val="00AF0452"/>
    <w:rsid w:val="00AF651E"/>
    <w:rsid w:val="00B00060"/>
    <w:rsid w:val="00B31D28"/>
    <w:rsid w:val="00B33A0E"/>
    <w:rsid w:val="00B40A12"/>
    <w:rsid w:val="00B557ED"/>
    <w:rsid w:val="00B60C86"/>
    <w:rsid w:val="00B61D31"/>
    <w:rsid w:val="00B63411"/>
    <w:rsid w:val="00B93FD3"/>
    <w:rsid w:val="00B95EE9"/>
    <w:rsid w:val="00BB134D"/>
    <w:rsid w:val="00BB70D5"/>
    <w:rsid w:val="00BD4576"/>
    <w:rsid w:val="00BE416A"/>
    <w:rsid w:val="00BE5D53"/>
    <w:rsid w:val="00C030A5"/>
    <w:rsid w:val="00C055E5"/>
    <w:rsid w:val="00C24F56"/>
    <w:rsid w:val="00C553E3"/>
    <w:rsid w:val="00C633B3"/>
    <w:rsid w:val="00C82102"/>
    <w:rsid w:val="00C83AFE"/>
    <w:rsid w:val="00CA2556"/>
    <w:rsid w:val="00CA4CA5"/>
    <w:rsid w:val="00CB5753"/>
    <w:rsid w:val="00CC23F2"/>
    <w:rsid w:val="00CC7741"/>
    <w:rsid w:val="00CD41D1"/>
    <w:rsid w:val="00D17BCA"/>
    <w:rsid w:val="00D21C78"/>
    <w:rsid w:val="00D269B3"/>
    <w:rsid w:val="00D3042B"/>
    <w:rsid w:val="00D3260E"/>
    <w:rsid w:val="00D4290B"/>
    <w:rsid w:val="00D46DE3"/>
    <w:rsid w:val="00D972A8"/>
    <w:rsid w:val="00DB0962"/>
    <w:rsid w:val="00DB5FC9"/>
    <w:rsid w:val="00DF5420"/>
    <w:rsid w:val="00DF68D2"/>
    <w:rsid w:val="00E104BB"/>
    <w:rsid w:val="00E155A1"/>
    <w:rsid w:val="00E221E2"/>
    <w:rsid w:val="00E25DFE"/>
    <w:rsid w:val="00E25FAA"/>
    <w:rsid w:val="00E316A6"/>
    <w:rsid w:val="00E4114A"/>
    <w:rsid w:val="00E4361C"/>
    <w:rsid w:val="00E61915"/>
    <w:rsid w:val="00E63DDA"/>
    <w:rsid w:val="00E8046E"/>
    <w:rsid w:val="00E840EF"/>
    <w:rsid w:val="00E87D57"/>
    <w:rsid w:val="00EC4898"/>
    <w:rsid w:val="00ED4A39"/>
    <w:rsid w:val="00ED7AE2"/>
    <w:rsid w:val="00EE2B64"/>
    <w:rsid w:val="00EF035F"/>
    <w:rsid w:val="00EF1E83"/>
    <w:rsid w:val="00F0227F"/>
    <w:rsid w:val="00F17CD0"/>
    <w:rsid w:val="00F24776"/>
    <w:rsid w:val="00F37799"/>
    <w:rsid w:val="00F44847"/>
    <w:rsid w:val="00F46126"/>
    <w:rsid w:val="00F462D2"/>
    <w:rsid w:val="00F6064C"/>
    <w:rsid w:val="00F657CC"/>
    <w:rsid w:val="00F744B5"/>
    <w:rsid w:val="00F75790"/>
    <w:rsid w:val="00F91300"/>
    <w:rsid w:val="00F922A3"/>
    <w:rsid w:val="00F924BA"/>
    <w:rsid w:val="00F94F41"/>
    <w:rsid w:val="00FA2CD3"/>
    <w:rsid w:val="00FA33AF"/>
    <w:rsid w:val="00FC1408"/>
    <w:rsid w:val="00FC44FA"/>
    <w:rsid w:val="00FD267C"/>
    <w:rsid w:val="00FE1E8A"/>
    <w:rsid w:val="00FE3FE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BB6A8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404"/>
    <w:rPr>
      <w:color w:val="808080"/>
    </w:rPr>
  </w:style>
  <w:style w:type="paragraph" w:customStyle="1" w:styleId="BA94794DEF7F4029AB4FE1A6383FEB6B">
    <w:name w:val="BA94794DEF7F4029AB4FE1A6383FEB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RHDHV Corporate">
  <a:themeElements>
    <a:clrScheme name="RHDHV Corporate">
      <a:dk1>
        <a:srgbClr val="00577E"/>
      </a:dk1>
      <a:lt1>
        <a:sysClr val="window" lastClr="FFFFFF"/>
      </a:lt1>
      <a:dk2>
        <a:srgbClr val="00577E"/>
      </a:dk2>
      <a:lt2>
        <a:srgbClr val="FFFFFF"/>
      </a:lt2>
      <a:accent1>
        <a:srgbClr val="00577E"/>
      </a:accent1>
      <a:accent2>
        <a:srgbClr val="C7D300"/>
      </a:accent2>
      <a:accent3>
        <a:srgbClr val="0086A8"/>
      </a:accent3>
      <a:accent4>
        <a:srgbClr val="E31F18"/>
      </a:accent4>
      <a:accent5>
        <a:srgbClr val="72971B"/>
      </a:accent5>
      <a:accent6>
        <a:srgbClr val="696868"/>
      </a:accent6>
      <a:hlink>
        <a:srgbClr val="1F497D"/>
      </a:hlink>
      <a:folHlink>
        <a:srgbClr val="1F497D"/>
      </a:folHlink>
    </a:clrScheme>
    <a:fontScheme name="RHDH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3726</ap:Words>
  <ap:Characters>21242</ap:Characters>
  <ap:DocSecurity>0</ap:DocSecurity>
  <ap:Lines>177</ap:Lines>
  <ap:Paragraphs>49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24919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2024-10-31T09:34:00.0000000Z</lastPrinted>
  <dcterms:created xsi:type="dcterms:W3CDTF">2026-09-25T15:19:00.0000000Z</dcterms:created>
  <dcterms:modified xsi:type="dcterms:W3CDTF">2026-09-25T15:19:00.0000000Z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Draft</vt:lpwstr>
  </property>
  <property fmtid="{D5CDD505-2E9C-101B-9397-08002B2CF9AE}" pid="3" name="StatusId">
    <vt:i4>0</vt:i4>
  </property>
  <property fmtid="{D5CDD505-2E9C-101B-9397-08002B2CF9AE}" pid="4" name="ContentTypeId">
    <vt:lpwstr>0x010100D04E512317971246A70007214C44DBE500F251F3885C8B644F9508AEF9B49133EF007134BF55AC62614BAAB85474DFC2C902</vt:lpwstr>
  </property>
  <property fmtid="{D5CDD505-2E9C-101B-9397-08002B2CF9AE}" pid="5" name="txtClientRef">
    <vt:lpwstr/>
  </property>
  <property fmtid="{D5CDD505-2E9C-101B-9397-08002B2CF9AE}" pid="6" name="cboProfile">
    <vt:lpwstr/>
  </property>
  <property fmtid="{D5CDD505-2E9C-101B-9397-08002B2CF9AE}" pid="7" name="txtClient">
    <vt:lpwstr>Rotterdam The Hague Airport</vt:lpwstr>
  </property>
  <property fmtid="{D5CDD505-2E9C-101B-9397-08002B2CF9AE}" pid="8" name="txtDocSubtitle">
    <vt:lpwstr>NRD Luchthavenbesluit Rotterdam The Hague Airport</vt:lpwstr>
  </property>
  <property fmtid="{D5CDD505-2E9C-101B-9397-08002B2CF9AE}" pid="9" name="txtDocShortTitle">
    <vt:lpwstr/>
  </property>
  <property fmtid="{D5CDD505-2E9C-101B-9397-08002B2CF9AE}" pid="10" name="txtDraftedBy">
    <vt:lpwstr>Niels Barten</vt:lpwstr>
  </property>
  <property fmtid="{D5CDD505-2E9C-101B-9397-08002B2CF9AE}" pid="11" name="txtDocTitle">
    <vt:lpwstr>Reactienota</vt:lpwstr>
  </property>
  <property fmtid="{D5CDD505-2E9C-101B-9397-08002B2CF9AE}" pid="12" name="txtAuthors">
    <vt:lpwstr>Niels Barten</vt:lpwstr>
  </property>
  <property fmtid="{D5CDD505-2E9C-101B-9397-08002B2CF9AE}" pid="13" name="cboLanguage">
    <vt:lpwstr>Dutch</vt:lpwstr>
  </property>
  <property fmtid="{D5CDD505-2E9C-101B-9397-08002B2CF9AE}" pid="14" name="cboDocumentType">
    <vt:lpwstr>Report - RP</vt:lpwstr>
  </property>
  <property fmtid="{D5CDD505-2E9C-101B-9397-08002B2CF9AE}" pid="15" name="txtProjectNORName">
    <vt:lpwstr>NvA Luchtvaartbesluiten IenW</vt:lpwstr>
  </property>
  <property fmtid="{D5CDD505-2E9C-101B-9397-08002B2CF9AE}" pid="16" name="txtNumber">
    <vt:lpwstr>0001</vt:lpwstr>
  </property>
  <property fmtid="{D5CDD505-2E9C-101B-9397-08002B2CF9AE}" pid="17" name="txtProjectNr">
    <vt:lpwstr>BI9571</vt:lpwstr>
  </property>
  <property fmtid="{D5CDD505-2E9C-101B-9397-08002B2CF9AE}" pid="18" name="cboStatus">
    <vt:lpwstr>Draft</vt:lpwstr>
  </property>
  <property fmtid="{D5CDD505-2E9C-101B-9397-08002B2CF9AE}" pid="19" name="txtRevisionNr">
    <vt:lpwstr>01</vt:lpwstr>
  </property>
  <property fmtid="{D5CDD505-2E9C-101B-9397-08002B2CF9AE}" pid="20" name="cboMetaDataRefType">
    <vt:lpwstr>Project deliverable ID codes</vt:lpwstr>
  </property>
  <property fmtid="{D5CDD505-2E9C-101B-9397-08002B2CF9AE}" pid="21" name="txtBimField4">
    <vt:lpwstr>X</vt:lpwstr>
  </property>
  <property fmtid="{D5CDD505-2E9C-101B-9397-08002B2CF9AE}" pid="22" name="txtReferenceCode">
    <vt:lpwstr>BI9571-RHD-XX-XX-RP-X-0001</vt:lpwstr>
  </property>
  <property fmtid="{D5CDD505-2E9C-101B-9397-08002B2CF9AE}" pid="23" name="txtBimField3">
    <vt:lpwstr>XX</vt:lpwstr>
  </property>
  <property fmtid="{D5CDD505-2E9C-101B-9397-08002B2CF9AE}" pid="24" name="txtBimField1">
    <vt:lpwstr>RHD</vt:lpwstr>
  </property>
  <property fmtid="{D5CDD505-2E9C-101B-9397-08002B2CF9AE}" pid="25" name="txtBimField2">
    <vt:lpwstr>XX</vt:lpwstr>
  </property>
  <property fmtid="{D5CDD505-2E9C-101B-9397-08002B2CF9AE}" pid="26" name="cboClassification">
    <vt:lpwstr>Project related</vt:lpwstr>
  </property>
  <property fmtid="{D5CDD505-2E9C-101B-9397-08002B2CF9AE}" pid="27" name="txtWebsite">
    <vt:lpwstr>royalhaskoningdhv.com</vt:lpwstr>
  </property>
  <property fmtid="{D5CDD505-2E9C-101B-9397-08002B2CF9AE}" pid="28" name="txtEmail">
    <vt:lpwstr>info@rhdhv.com</vt:lpwstr>
  </property>
  <property fmtid="{D5CDD505-2E9C-101B-9397-08002B2CF9AE}" pid="29" name="txtFax">
    <vt:lpwstr>+31 33 463 36 52</vt:lpwstr>
  </property>
  <property fmtid="{D5CDD505-2E9C-101B-9397-08002B2CF9AE}" pid="30" name="txtTelephone">
    <vt:lpwstr>+31 88 348 20 00</vt:lpwstr>
  </property>
  <property fmtid="{D5CDD505-2E9C-101B-9397-08002B2CF9AE}" pid="31" name="chkUsePOBox">
    <vt:lpwstr>False</vt:lpwstr>
  </property>
  <property fmtid="{D5CDD505-2E9C-101B-9397-08002B2CF9AE}" pid="32" name="chkCountryInAddress">
    <vt:lpwstr>True</vt:lpwstr>
  </property>
  <property fmtid="{D5CDD505-2E9C-101B-9397-08002B2CF9AE}" pid="33" name="cboOffice">
    <vt:lpwstr>Amersfoort, Laan1914</vt:lpwstr>
  </property>
  <property fmtid="{D5CDD505-2E9C-101B-9397-08002B2CF9AE}" pid="34" name="cboCountry">
    <vt:lpwstr>Netherlands</vt:lpwstr>
  </property>
  <property fmtid="{D5CDD505-2E9C-101B-9397-08002B2CF9AE}" pid="35" name="cboOrganisationalUnit">
    <vt:lpwstr>Mobility &amp; Infrastructure</vt:lpwstr>
  </property>
  <property fmtid="{D5CDD505-2E9C-101B-9397-08002B2CF9AE}" pid="36" name="cboBrand">
    <vt:lpwstr>Royal HaskoningDHV</vt:lpwstr>
  </property>
  <property fmtid="{D5CDD505-2E9C-101B-9397-08002B2CF9AE}" pid="37" name="cboLegalEntity">
    <vt:lpwstr>HaskoningDHV Nederland B.V.</vt:lpwstr>
  </property>
  <property fmtid="{D5CDD505-2E9C-101B-9397-08002B2CF9AE}" pid="38" name="cboBrandWeight">
    <vt:lpwstr>Basic</vt:lpwstr>
  </property>
  <property fmtid="{D5CDD505-2E9C-101B-9397-08002B2CF9AE}" pid="39" name="cboCoverType">
    <vt:lpwstr>Option 1</vt:lpwstr>
  </property>
  <property fmtid="{D5CDD505-2E9C-101B-9397-08002B2CF9AE}" pid="40" name="cboColour">
    <vt:lpwstr>Corporate</vt:lpwstr>
  </property>
  <property fmtid="{D5CDD505-2E9C-101B-9397-08002B2CF9AE}" pid="41" name="cboPaperSize">
    <vt:lpwstr>A4 (210mm x 297mm)</vt:lpwstr>
  </property>
  <property fmtid="{D5CDD505-2E9C-101B-9397-08002B2CF9AE}" pid="42" name="CreatedWithVersion">
    <vt:lpwstr>3.3.0</vt:lpwstr>
  </property>
  <property fmtid="{D5CDD505-2E9C-101B-9397-08002B2CF9AE}" pid="43" name="Type">
    <vt:lpwstr>REPORT</vt:lpwstr>
  </property>
  <property fmtid="{D5CDD505-2E9C-101B-9397-08002B2CF9AE}" pid="44" name="languageID">
    <vt:lpwstr>1043</vt:lpwstr>
  </property>
  <property fmtid="{D5CDD505-2E9C-101B-9397-08002B2CF9AE}" pid="45" name="Revision Number">
    <vt:lpwstr>01</vt:lpwstr>
  </property>
  <property fmtid="{D5CDD505-2E9C-101B-9397-08002B2CF9AE}" pid="46" name="CDCDocNumber">
    <vt:lpwstr>BI9571-RHD-XX-XX-RP-X-0001</vt:lpwstr>
  </property>
  <property fmtid="{D5CDD505-2E9C-101B-9397-08002B2CF9AE}" pid="47" name="DocCode">
    <vt:lpwstr>BI9571-RHD-XX-XX-RP-X-0001</vt:lpwstr>
  </property>
  <property fmtid="{D5CDD505-2E9C-101B-9397-08002B2CF9AE}" pid="48" name="CDCStatus">
    <vt:lpwstr>True</vt:lpwstr>
  </property>
  <property fmtid="{D5CDD505-2E9C-101B-9397-08002B2CF9AE}" pid="49" name="cdcdate">
    <vt:lpwstr>230210</vt:lpwstr>
  </property>
  <property fmtid="{D5CDD505-2E9C-101B-9397-08002B2CF9AE}" pid="50" name="cdctime">
    <vt:lpwstr>0852 </vt:lpwstr>
  </property>
  <property fmtid="{D5CDD505-2E9C-101B-9397-08002B2CF9AE}" pid="51" name="Saved">
    <vt:lpwstr>-1</vt:lpwstr>
  </property>
</Properties>
</file>