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1DAE" w:rsidR="00A25164" w:rsidP="003B14FA" w:rsidRDefault="00A25164" w14:paraId="11771495" w14:textId="27A8395E">
      <w:pPr>
        <w:rPr>
          <w:rFonts w:eastAsia="Verdana" w:cs="Verdana"/>
          <w:szCs w:val="18"/>
        </w:rPr>
      </w:pPr>
      <w:r w:rsidRPr="003B1DAE">
        <w:rPr>
          <w:rFonts w:eastAsia="Verdana" w:cs="Verdana"/>
          <w:szCs w:val="18"/>
        </w:rPr>
        <w:t>Geachte Voorzitter,</w:t>
      </w:r>
    </w:p>
    <w:p w:rsidRPr="003B1DAE" w:rsidR="00A25164" w:rsidP="003B14FA" w:rsidRDefault="00A25164" w14:paraId="205D629C" w14:textId="77777777">
      <w:pPr>
        <w:rPr>
          <w:rFonts w:eastAsia="Verdana" w:cs="Verdana"/>
          <w:szCs w:val="18"/>
        </w:rPr>
      </w:pPr>
    </w:p>
    <w:p w:rsidRPr="003B1DAE" w:rsidR="00783395" w:rsidP="003B14FA" w:rsidRDefault="00906ED5" w14:paraId="61B27DE8" w14:textId="0C030496">
      <w:pPr>
        <w:rPr>
          <w:rFonts w:eastAsia="Verdana" w:cs="Verdana"/>
          <w:szCs w:val="18"/>
        </w:rPr>
      </w:pPr>
      <w:r w:rsidRPr="003B1DAE">
        <w:rPr>
          <w:rFonts w:eastAsia="Verdana" w:cs="Verdana"/>
          <w:szCs w:val="18"/>
        </w:rPr>
        <w:t>In deze</w:t>
      </w:r>
      <w:r w:rsidRPr="003B1DAE" w:rsidR="003C195E">
        <w:rPr>
          <w:rFonts w:eastAsia="Verdana" w:cs="Verdana"/>
          <w:szCs w:val="18"/>
        </w:rPr>
        <w:t xml:space="preserve"> </w:t>
      </w:r>
      <w:r w:rsidRPr="003B1DAE" w:rsidR="00493B4F">
        <w:rPr>
          <w:rFonts w:eastAsia="Verdana" w:cs="Verdana"/>
          <w:szCs w:val="18"/>
        </w:rPr>
        <w:t>brief</w:t>
      </w:r>
      <w:r w:rsidRPr="003B1DAE">
        <w:rPr>
          <w:rFonts w:eastAsia="Verdana" w:cs="Verdana"/>
          <w:szCs w:val="18"/>
        </w:rPr>
        <w:t xml:space="preserve"> zet het kabinet</w:t>
      </w:r>
      <w:r w:rsidRPr="003B1DAE" w:rsidR="00493B4F">
        <w:rPr>
          <w:rFonts w:eastAsia="Verdana" w:cs="Verdana"/>
          <w:szCs w:val="18"/>
        </w:rPr>
        <w:t xml:space="preserve"> </w:t>
      </w:r>
      <w:r w:rsidRPr="003B1DAE" w:rsidR="00783395">
        <w:rPr>
          <w:rFonts w:eastAsia="Verdana" w:cs="Verdana"/>
          <w:szCs w:val="18"/>
        </w:rPr>
        <w:t xml:space="preserve">uiteen hoe </w:t>
      </w:r>
      <w:r w:rsidRPr="003B1DAE" w:rsidR="7D7178AF">
        <w:rPr>
          <w:rFonts w:eastAsia="Verdana" w:cs="Verdana"/>
          <w:szCs w:val="18"/>
        </w:rPr>
        <w:t xml:space="preserve">het </w:t>
      </w:r>
      <w:r w:rsidRPr="003B1DAE" w:rsidR="00783395">
        <w:rPr>
          <w:rFonts w:eastAsia="Verdana" w:cs="Verdana"/>
          <w:szCs w:val="18"/>
        </w:rPr>
        <w:t xml:space="preserve">kijkt naar </w:t>
      </w:r>
      <w:r w:rsidRPr="003B1DAE">
        <w:rPr>
          <w:rFonts w:eastAsia="Verdana" w:cs="Verdana"/>
          <w:szCs w:val="18"/>
        </w:rPr>
        <w:t>het</w:t>
      </w:r>
      <w:r w:rsidRPr="003B1DAE" w:rsidR="00783395">
        <w:rPr>
          <w:rFonts w:eastAsia="Verdana" w:cs="Verdana"/>
          <w:szCs w:val="18"/>
        </w:rPr>
        <w:t xml:space="preserve"> strategische </w:t>
      </w:r>
      <w:r w:rsidRPr="003B1DAE">
        <w:rPr>
          <w:rFonts w:eastAsia="Verdana" w:cs="Verdana"/>
          <w:szCs w:val="18"/>
        </w:rPr>
        <w:t>gasbeleid op de langere termijn (</w:t>
      </w:r>
      <w:r w:rsidRPr="003B1DAE" w:rsidR="00CA7DD6">
        <w:rPr>
          <w:rFonts w:eastAsia="Verdana" w:cs="Verdana"/>
          <w:szCs w:val="18"/>
        </w:rPr>
        <w:t xml:space="preserve">vanaf </w:t>
      </w:r>
      <w:r w:rsidRPr="003B1DAE">
        <w:rPr>
          <w:rFonts w:eastAsia="Verdana" w:cs="Verdana"/>
          <w:szCs w:val="18"/>
        </w:rPr>
        <w:t>winter 202</w:t>
      </w:r>
      <w:r w:rsidRPr="003B1DAE" w:rsidR="002C4587">
        <w:rPr>
          <w:rFonts w:eastAsia="Verdana" w:cs="Verdana"/>
          <w:szCs w:val="18"/>
        </w:rPr>
        <w:t>8</w:t>
      </w:r>
      <w:r w:rsidRPr="003B1DAE">
        <w:rPr>
          <w:rFonts w:eastAsia="Verdana" w:cs="Verdana"/>
          <w:szCs w:val="18"/>
        </w:rPr>
        <w:t>/202</w:t>
      </w:r>
      <w:r w:rsidRPr="003B1DAE" w:rsidR="002C4587">
        <w:rPr>
          <w:rFonts w:eastAsia="Verdana" w:cs="Verdana"/>
          <w:szCs w:val="18"/>
        </w:rPr>
        <w:t>9</w:t>
      </w:r>
      <w:r w:rsidRPr="003B1DAE">
        <w:rPr>
          <w:rFonts w:eastAsia="Verdana" w:cs="Verdana"/>
          <w:szCs w:val="18"/>
        </w:rPr>
        <w:t>)</w:t>
      </w:r>
      <w:r w:rsidRPr="003B1DAE" w:rsidR="00783395">
        <w:rPr>
          <w:rFonts w:eastAsia="Verdana" w:cs="Verdana"/>
          <w:szCs w:val="18"/>
        </w:rPr>
        <w:t xml:space="preserve">, </w:t>
      </w:r>
      <w:r w:rsidRPr="003B1DAE">
        <w:rPr>
          <w:rFonts w:eastAsia="Verdana" w:cs="Verdana"/>
          <w:szCs w:val="18"/>
        </w:rPr>
        <w:t xml:space="preserve">zodat </w:t>
      </w:r>
      <w:r w:rsidRPr="003B1DAE" w:rsidR="00783395">
        <w:rPr>
          <w:rFonts w:eastAsia="Verdana" w:cs="Verdana"/>
          <w:szCs w:val="18"/>
        </w:rPr>
        <w:t xml:space="preserve">onze toekomstige gasvoorziening </w:t>
      </w:r>
      <w:r w:rsidRPr="003B1DAE">
        <w:rPr>
          <w:rFonts w:eastAsia="Verdana" w:cs="Verdana"/>
          <w:szCs w:val="18"/>
        </w:rPr>
        <w:t>toekomstbestendig en kosteneffectief is met de juiste waarborgen voor leveringszekerheid.</w:t>
      </w:r>
      <w:r w:rsidRPr="003B1DAE">
        <w:rPr>
          <w:rStyle w:val="Voetnootmarkering"/>
          <w:rFonts w:eastAsia="Verdana" w:cs="Verdana"/>
          <w:szCs w:val="18"/>
        </w:rPr>
        <w:footnoteReference w:id="1"/>
      </w:r>
      <w:r w:rsidRPr="003B1DAE" w:rsidR="002C4587">
        <w:rPr>
          <w:rFonts w:eastAsia="Verdana" w:cs="Verdana"/>
          <w:szCs w:val="18"/>
        </w:rPr>
        <w:t xml:space="preserve"> De voorstellen in deze brief betreffen </w:t>
      </w:r>
      <w:r w:rsidRPr="003B1DAE" w:rsidR="00C17283">
        <w:rPr>
          <w:rFonts w:eastAsia="Verdana" w:cs="Verdana"/>
          <w:szCs w:val="18"/>
        </w:rPr>
        <w:t xml:space="preserve">dus niet deze winter of de volgende. </w:t>
      </w:r>
      <w:r w:rsidRPr="003B1DAE" w:rsidR="00022098">
        <w:rPr>
          <w:rFonts w:eastAsia="Verdana" w:cs="Verdana"/>
          <w:szCs w:val="18"/>
        </w:rPr>
        <w:t xml:space="preserve">Met de Kamer, hecht het kabinet </w:t>
      </w:r>
      <w:r w:rsidRPr="003B1DAE" w:rsidR="0044470E">
        <w:rPr>
          <w:rFonts w:eastAsia="Verdana" w:cs="Verdana"/>
          <w:szCs w:val="18"/>
        </w:rPr>
        <w:t xml:space="preserve">eraan het gesprek over het lange termijn beleid nu te voeren, zodat eventuele stappen tijdig kunnen worden voorbereid. </w:t>
      </w:r>
    </w:p>
    <w:p w:rsidRPr="003B1DAE" w:rsidR="00E35F9A" w:rsidP="003B14FA" w:rsidRDefault="00E35F9A" w14:paraId="1175BC34" w14:textId="77777777">
      <w:pPr>
        <w:rPr>
          <w:rFonts w:eastAsia="Verdana" w:cs="Verdana"/>
          <w:szCs w:val="18"/>
        </w:rPr>
      </w:pPr>
    </w:p>
    <w:p w:rsidRPr="003B1DAE" w:rsidR="00906ED5" w:rsidP="003B14FA" w:rsidRDefault="00CF52EF" w14:paraId="58B44A8F" w14:textId="1C5FF0FD">
      <w:pPr>
        <w:rPr>
          <w:rFonts w:eastAsia="Verdana" w:cs="Verdana"/>
          <w:szCs w:val="18"/>
        </w:rPr>
      </w:pPr>
      <w:r w:rsidRPr="003B1DAE">
        <w:rPr>
          <w:rFonts w:eastAsia="Verdana" w:cs="Verdana"/>
          <w:szCs w:val="18"/>
        </w:rPr>
        <w:t>D</w:t>
      </w:r>
      <w:r w:rsidRPr="003B1DAE" w:rsidR="00F80DC7">
        <w:rPr>
          <w:rFonts w:eastAsia="Verdana" w:cs="Verdana"/>
          <w:szCs w:val="18"/>
        </w:rPr>
        <w:t xml:space="preserve">e </w:t>
      </w:r>
      <w:r w:rsidRPr="003B1DAE" w:rsidR="00783395">
        <w:rPr>
          <w:rFonts w:eastAsia="Verdana" w:cs="Verdana"/>
          <w:szCs w:val="18"/>
        </w:rPr>
        <w:t>K</w:t>
      </w:r>
      <w:r w:rsidRPr="003B1DAE" w:rsidR="00F80DC7">
        <w:rPr>
          <w:rFonts w:eastAsia="Verdana" w:cs="Verdana"/>
          <w:szCs w:val="18"/>
        </w:rPr>
        <w:t>amer</w:t>
      </w:r>
      <w:r w:rsidRPr="003B1DAE">
        <w:rPr>
          <w:rFonts w:eastAsia="Verdana" w:cs="Verdana"/>
          <w:szCs w:val="18"/>
        </w:rPr>
        <w:t xml:space="preserve"> </w:t>
      </w:r>
      <w:r w:rsidRPr="003B1DAE" w:rsidR="002D3476">
        <w:rPr>
          <w:rFonts w:eastAsia="Verdana" w:cs="Verdana"/>
          <w:szCs w:val="18"/>
        </w:rPr>
        <w:t xml:space="preserve">is of </w:t>
      </w:r>
      <w:r w:rsidRPr="003B1DAE">
        <w:rPr>
          <w:rFonts w:eastAsia="Verdana" w:cs="Verdana"/>
          <w:szCs w:val="18"/>
        </w:rPr>
        <w:t>wordt</w:t>
      </w:r>
      <w:r w:rsidRPr="003B1DAE" w:rsidR="00F80DC7">
        <w:rPr>
          <w:rFonts w:eastAsia="Verdana" w:cs="Verdana"/>
          <w:szCs w:val="18"/>
        </w:rPr>
        <w:t xml:space="preserve"> afzonderlijk geïnformeerd over</w:t>
      </w:r>
      <w:r w:rsidRPr="003B1DAE" w:rsidR="00906ED5">
        <w:rPr>
          <w:rFonts w:eastAsia="Verdana" w:cs="Verdana"/>
          <w:szCs w:val="18"/>
        </w:rPr>
        <w:t>:</w:t>
      </w:r>
    </w:p>
    <w:p w:rsidRPr="003B1DAE" w:rsidR="00906ED5" w:rsidP="003B14FA" w:rsidRDefault="008C25B5" w14:paraId="6F2AF73B" w14:textId="215B7EF6">
      <w:pPr>
        <w:pStyle w:val="Lijstalinea"/>
        <w:numPr>
          <w:ilvl w:val="0"/>
          <w:numId w:val="40"/>
        </w:numPr>
        <w:spacing w:line="240" w:lineRule="atLeast"/>
        <w:rPr>
          <w:rFonts w:ascii="Verdana" w:hAnsi="Verdana" w:eastAsia="Verdana" w:cs="Verdana"/>
          <w:sz w:val="18"/>
          <w:szCs w:val="18"/>
        </w:rPr>
      </w:pPr>
      <w:bookmarkStart w:name="OLE_LINK4" w:id="0"/>
      <w:r w:rsidRPr="003B1DAE">
        <w:rPr>
          <w:rFonts w:ascii="Verdana" w:hAnsi="Verdana" w:eastAsia="Verdana" w:cs="Verdana"/>
          <w:sz w:val="18"/>
          <w:szCs w:val="18"/>
        </w:rPr>
        <w:t>H</w:t>
      </w:r>
      <w:r w:rsidRPr="003B1DAE" w:rsidR="00380888">
        <w:rPr>
          <w:rFonts w:ascii="Verdana" w:hAnsi="Verdana" w:eastAsia="Verdana" w:cs="Verdana"/>
          <w:sz w:val="18"/>
          <w:szCs w:val="18"/>
        </w:rPr>
        <w:t xml:space="preserve">et actuele beeld over gasleveringszekerheid en een vooruitblik op de winter </w:t>
      </w:r>
      <w:r w:rsidRPr="003B1DAE" w:rsidR="0006544F">
        <w:rPr>
          <w:rFonts w:ascii="Verdana" w:hAnsi="Verdana" w:eastAsia="Verdana" w:cs="Verdana"/>
          <w:sz w:val="18"/>
          <w:szCs w:val="18"/>
        </w:rPr>
        <w:t xml:space="preserve">van </w:t>
      </w:r>
      <w:r w:rsidRPr="003B1DAE" w:rsidR="00380888">
        <w:rPr>
          <w:rFonts w:ascii="Verdana" w:hAnsi="Verdana" w:eastAsia="Verdana" w:cs="Verdana"/>
          <w:sz w:val="18"/>
          <w:szCs w:val="18"/>
        </w:rPr>
        <w:t>2026/2027</w:t>
      </w:r>
      <w:r w:rsidR="007D33E4">
        <w:rPr>
          <w:rFonts w:ascii="Verdana" w:hAnsi="Verdana" w:eastAsia="Verdana" w:cs="Verdana"/>
          <w:sz w:val="18"/>
          <w:szCs w:val="18"/>
        </w:rPr>
        <w:t>.</w:t>
      </w:r>
      <w:r w:rsidRPr="003B1DAE" w:rsidR="00C85671">
        <w:rPr>
          <w:rStyle w:val="Voetnootmarkering"/>
          <w:rFonts w:ascii="Verdana" w:hAnsi="Verdana" w:eastAsia="Verdana" w:cs="Verdana"/>
          <w:sz w:val="18"/>
          <w:szCs w:val="18"/>
        </w:rPr>
        <w:footnoteReference w:id="2"/>
      </w:r>
      <w:r w:rsidRPr="003B1DAE" w:rsidR="00661559">
        <w:rPr>
          <w:rFonts w:ascii="Verdana" w:hAnsi="Verdana" w:eastAsia="Verdana" w:cs="Verdana"/>
          <w:sz w:val="18"/>
          <w:szCs w:val="18"/>
        </w:rPr>
        <w:t xml:space="preserve"> </w:t>
      </w:r>
    </w:p>
    <w:p w:rsidRPr="003B1DAE" w:rsidR="00D10051" w:rsidP="003B14FA" w:rsidRDefault="00906ED5" w14:paraId="7BF250B1" w14:textId="78197445">
      <w:pPr>
        <w:pStyle w:val="Lijstalinea"/>
        <w:numPr>
          <w:ilvl w:val="0"/>
          <w:numId w:val="40"/>
        </w:numPr>
        <w:spacing w:line="240" w:lineRule="atLeast"/>
        <w:rPr>
          <w:rFonts w:ascii="Verdana" w:hAnsi="Verdana" w:eastAsia="Verdana" w:cs="Verdana"/>
          <w:sz w:val="18"/>
          <w:szCs w:val="18"/>
        </w:rPr>
      </w:pPr>
      <w:r w:rsidRPr="003B1DAE">
        <w:rPr>
          <w:rFonts w:ascii="Verdana" w:hAnsi="Verdana" w:eastAsia="Verdana" w:cs="Verdana"/>
          <w:sz w:val="18"/>
          <w:szCs w:val="18"/>
        </w:rPr>
        <w:t>De</w:t>
      </w:r>
      <w:r w:rsidRPr="003B1DAE" w:rsidR="4521F949">
        <w:rPr>
          <w:rFonts w:ascii="Verdana" w:hAnsi="Verdana" w:eastAsia="Verdana" w:cs="Verdana"/>
          <w:sz w:val="18"/>
          <w:szCs w:val="18"/>
        </w:rPr>
        <w:t xml:space="preserve"> </w:t>
      </w:r>
      <w:r w:rsidRPr="003B1DAE" w:rsidR="00F80DC7">
        <w:rPr>
          <w:rFonts w:ascii="Verdana" w:hAnsi="Verdana" w:eastAsia="Verdana" w:cs="Verdana"/>
          <w:sz w:val="18"/>
          <w:szCs w:val="18"/>
        </w:rPr>
        <w:t>jaarlijkse reguliere update</w:t>
      </w:r>
      <w:r w:rsidRPr="003B1DAE" w:rsidR="000F5363">
        <w:rPr>
          <w:rFonts w:ascii="Verdana" w:hAnsi="Verdana" w:eastAsia="Verdana" w:cs="Verdana"/>
          <w:sz w:val="18"/>
          <w:szCs w:val="18"/>
        </w:rPr>
        <w:t xml:space="preserve"> over</w:t>
      </w:r>
      <w:r w:rsidRPr="003B1DAE" w:rsidR="00F80DC7">
        <w:rPr>
          <w:rFonts w:ascii="Verdana" w:hAnsi="Verdana" w:eastAsia="Verdana" w:cs="Verdana"/>
          <w:sz w:val="18"/>
          <w:szCs w:val="18"/>
        </w:rPr>
        <w:t xml:space="preserve"> gasleveringszekerheid</w:t>
      </w:r>
      <w:r w:rsidRPr="003B1DAE" w:rsidR="00783395">
        <w:rPr>
          <w:rFonts w:ascii="Verdana" w:hAnsi="Verdana" w:eastAsia="Verdana" w:cs="Verdana"/>
          <w:sz w:val="18"/>
          <w:szCs w:val="18"/>
        </w:rPr>
        <w:t xml:space="preserve"> </w:t>
      </w:r>
      <w:r w:rsidRPr="003B1DAE" w:rsidR="00A632D3">
        <w:rPr>
          <w:rFonts w:ascii="Verdana" w:hAnsi="Verdana" w:eastAsia="Verdana" w:cs="Verdana"/>
          <w:sz w:val="18"/>
          <w:szCs w:val="18"/>
        </w:rPr>
        <w:t xml:space="preserve">met betrekking tot de </w:t>
      </w:r>
      <w:r w:rsidRPr="003B1DAE" w:rsidR="003C184B">
        <w:rPr>
          <w:rFonts w:ascii="Verdana" w:hAnsi="Verdana" w:eastAsia="Verdana" w:cs="Verdana"/>
          <w:sz w:val="18"/>
          <w:szCs w:val="18"/>
        </w:rPr>
        <w:t xml:space="preserve">winter </w:t>
      </w:r>
      <w:r w:rsidRPr="003B1DAE" w:rsidR="00A632D3">
        <w:rPr>
          <w:rFonts w:ascii="Verdana" w:hAnsi="Verdana" w:eastAsia="Verdana" w:cs="Verdana"/>
          <w:sz w:val="18"/>
          <w:szCs w:val="18"/>
        </w:rPr>
        <w:t xml:space="preserve">van </w:t>
      </w:r>
      <w:r w:rsidRPr="003B1DAE" w:rsidR="003C184B">
        <w:rPr>
          <w:rFonts w:ascii="Verdana" w:hAnsi="Verdana" w:eastAsia="Verdana" w:cs="Verdana"/>
          <w:sz w:val="18"/>
          <w:szCs w:val="18"/>
        </w:rPr>
        <w:t>2027/2028</w:t>
      </w:r>
      <w:r w:rsidRPr="003B1DAE" w:rsidR="00783395">
        <w:rPr>
          <w:rFonts w:ascii="Verdana" w:hAnsi="Verdana" w:eastAsia="Verdana" w:cs="Verdana"/>
          <w:sz w:val="18"/>
          <w:szCs w:val="18"/>
        </w:rPr>
        <w:t xml:space="preserve">. Deze update wordt </w:t>
      </w:r>
      <w:r w:rsidRPr="003B1DAE" w:rsidR="00CB2694">
        <w:rPr>
          <w:rFonts w:ascii="Verdana" w:hAnsi="Verdana" w:eastAsia="Verdana" w:cs="Verdana"/>
          <w:sz w:val="18"/>
          <w:szCs w:val="18"/>
        </w:rPr>
        <w:t>ieder jaar aan het einde van het lopende gasjaar</w:t>
      </w:r>
      <w:r w:rsidRPr="003B1DAE" w:rsidR="005B0C4F">
        <w:rPr>
          <w:rStyle w:val="Voetnootmarkering"/>
          <w:rFonts w:ascii="Verdana" w:hAnsi="Verdana" w:eastAsia="Verdana" w:cs="Verdana"/>
          <w:sz w:val="18"/>
          <w:szCs w:val="18"/>
        </w:rPr>
        <w:footnoteReference w:id="3"/>
      </w:r>
      <w:r w:rsidRPr="003B1DAE" w:rsidR="00CB2694">
        <w:rPr>
          <w:rFonts w:ascii="Verdana" w:hAnsi="Verdana" w:eastAsia="Verdana" w:cs="Verdana"/>
          <w:sz w:val="18"/>
          <w:szCs w:val="18"/>
        </w:rPr>
        <w:t xml:space="preserve"> aan de Kamer gezonden</w:t>
      </w:r>
      <w:r w:rsidRPr="003B1DAE" w:rsidR="00846A55">
        <w:rPr>
          <w:rFonts w:ascii="Verdana" w:hAnsi="Verdana" w:eastAsia="Verdana" w:cs="Verdana"/>
          <w:sz w:val="18"/>
          <w:szCs w:val="18"/>
        </w:rPr>
        <w:t xml:space="preserve"> en </w:t>
      </w:r>
      <w:r w:rsidRPr="003B1DAE" w:rsidR="000E112B">
        <w:rPr>
          <w:rFonts w:ascii="Verdana" w:hAnsi="Verdana" w:eastAsia="Verdana" w:cs="Verdana"/>
          <w:sz w:val="18"/>
          <w:szCs w:val="18"/>
        </w:rPr>
        <w:t>ontvangt u in oktober</w:t>
      </w:r>
      <w:r w:rsidRPr="003B1DAE" w:rsidR="00F80DC7">
        <w:rPr>
          <w:rFonts w:ascii="Verdana" w:hAnsi="Verdana" w:eastAsia="Verdana" w:cs="Verdana"/>
          <w:sz w:val="18"/>
          <w:szCs w:val="18"/>
        </w:rPr>
        <w:t xml:space="preserve">. </w:t>
      </w:r>
      <w:r w:rsidRPr="003B1DAE" w:rsidR="00783395">
        <w:rPr>
          <w:rFonts w:ascii="Verdana" w:hAnsi="Verdana" w:eastAsia="Verdana" w:cs="Verdana"/>
          <w:sz w:val="18"/>
          <w:szCs w:val="18"/>
        </w:rPr>
        <w:t>Hierbij</w:t>
      </w:r>
      <w:r w:rsidRPr="003B1DAE" w:rsidR="00F80DC7">
        <w:rPr>
          <w:rFonts w:ascii="Verdana" w:hAnsi="Verdana" w:eastAsia="Verdana" w:cs="Verdana"/>
          <w:sz w:val="18"/>
          <w:szCs w:val="18"/>
        </w:rPr>
        <w:t xml:space="preserve"> wordt ook het jaarlijkse overzicht gasleveringszekerheid van G</w:t>
      </w:r>
      <w:r w:rsidRPr="003B1DAE" w:rsidR="001D55C1">
        <w:rPr>
          <w:rFonts w:ascii="Verdana" w:hAnsi="Verdana" w:eastAsia="Verdana" w:cs="Verdana"/>
          <w:sz w:val="18"/>
          <w:szCs w:val="18"/>
        </w:rPr>
        <w:t>asunie Transport Services (GTS)</w:t>
      </w:r>
      <w:r w:rsidRPr="003B1DAE" w:rsidR="00F80DC7">
        <w:rPr>
          <w:rFonts w:ascii="Verdana" w:hAnsi="Verdana" w:eastAsia="Verdana" w:cs="Verdana"/>
          <w:sz w:val="18"/>
          <w:szCs w:val="18"/>
        </w:rPr>
        <w:t xml:space="preserve"> aan uw Kamer aangeboden.</w:t>
      </w:r>
    </w:p>
    <w:bookmarkEnd w:id="0"/>
    <w:p w:rsidRPr="00C331BC" w:rsidR="00D10051" w:rsidP="003B14FA" w:rsidRDefault="006A17F2" w14:paraId="3BBCB99E" w14:textId="38C26EF9">
      <w:pPr>
        <w:pStyle w:val="Lijstalinea"/>
        <w:numPr>
          <w:ilvl w:val="0"/>
          <w:numId w:val="40"/>
        </w:numPr>
        <w:spacing w:line="240" w:lineRule="atLeast"/>
        <w:rPr>
          <w:rFonts w:ascii="Verdana" w:hAnsi="Verdana"/>
          <w:sz w:val="18"/>
          <w:szCs w:val="18"/>
        </w:rPr>
      </w:pPr>
      <w:r w:rsidRPr="00882AF6">
        <w:rPr>
          <w:rFonts w:ascii="Verdana" w:hAnsi="Verdana"/>
          <w:iCs/>
          <w:sz w:val="18"/>
          <w:szCs w:val="18"/>
        </w:rPr>
        <w:t xml:space="preserve">Het ontwerpbesluit </w:t>
      </w:r>
      <w:r w:rsidRPr="00882AF6" w:rsidR="001D65C9">
        <w:rPr>
          <w:rFonts w:ascii="Verdana" w:hAnsi="Verdana"/>
          <w:iCs/>
          <w:sz w:val="18"/>
          <w:szCs w:val="18"/>
        </w:rPr>
        <w:t xml:space="preserve">over het winningsplan </w:t>
      </w:r>
      <w:r w:rsidRPr="00882AF6">
        <w:rPr>
          <w:rFonts w:ascii="Verdana" w:hAnsi="Verdana"/>
          <w:iCs/>
          <w:sz w:val="18"/>
          <w:szCs w:val="18"/>
        </w:rPr>
        <w:t>Norg</w:t>
      </w:r>
      <w:r w:rsidR="00E90FB3">
        <w:rPr>
          <w:rFonts w:ascii="Verdana" w:hAnsi="Verdana"/>
          <w:iCs/>
          <w:sz w:val="18"/>
          <w:szCs w:val="18"/>
        </w:rPr>
        <w:t>.</w:t>
      </w:r>
    </w:p>
    <w:p w:rsidRPr="0054295C" w:rsidR="00022C02" w:rsidP="003B14FA" w:rsidRDefault="00022C02" w14:paraId="6F2220C1" w14:textId="77777777">
      <w:pPr>
        <w:pStyle w:val="Lijstalinea"/>
        <w:spacing w:line="240" w:lineRule="atLeast"/>
        <w:ind w:left="780"/>
        <w:rPr>
          <w:rFonts w:ascii="Verdana" w:hAnsi="Verdana" w:eastAsia="Verdana" w:cs="Verdana"/>
          <w:b/>
          <w:bCs/>
        </w:rPr>
      </w:pPr>
    </w:p>
    <w:p w:rsidRPr="003B1DAE" w:rsidR="00DB37B7" w:rsidP="003B14FA" w:rsidRDefault="00783395" w14:paraId="125105C4" w14:textId="3E59C491">
      <w:pPr>
        <w:rPr>
          <w:rFonts w:eastAsia="Verdana" w:cs="Verdana"/>
          <w:b/>
          <w:bCs/>
          <w:szCs w:val="18"/>
        </w:rPr>
      </w:pPr>
      <w:r w:rsidRPr="003B1DAE">
        <w:rPr>
          <w:rFonts w:eastAsia="Verdana" w:cs="Verdana"/>
          <w:b/>
          <w:bCs/>
          <w:szCs w:val="18"/>
        </w:rPr>
        <w:t>Inleiding</w:t>
      </w:r>
    </w:p>
    <w:p w:rsidRPr="0054295C" w:rsidR="00073E74" w:rsidP="003B14FA" w:rsidRDefault="00073E74" w14:paraId="3462A218" w14:textId="1297D37C">
      <w:pPr>
        <w:rPr>
          <w:color w:val="212121"/>
          <w:sz w:val="24"/>
        </w:rPr>
      </w:pPr>
      <w:r w:rsidRPr="003B1DAE">
        <w:rPr>
          <w:color w:val="212121"/>
          <w:szCs w:val="18"/>
        </w:rPr>
        <w:t>De mondiale gasmarkt en de rol van Nederland daarin zijn de afgelopen jaren sterk veranderd. Sinds de sluiting van het Groningenveld zijn Nederland en Europa afhankelijker geworden van import en met de uitfasering van Russisch gas</w:t>
      </w:r>
      <w:r w:rsidRPr="003B1DAE" w:rsidR="000911B4">
        <w:rPr>
          <w:color w:val="212121"/>
          <w:szCs w:val="18"/>
        </w:rPr>
        <w:t xml:space="preserve"> </w:t>
      </w:r>
      <w:r w:rsidRPr="003B1DAE">
        <w:rPr>
          <w:color w:val="212121"/>
          <w:szCs w:val="18"/>
        </w:rPr>
        <w:t xml:space="preserve">bestaat deze import in toenemende mate uit vloeibaar aardgas (LNG). De mondiale markt voor LNG is de afgelopen jaren sterk gegroeid met een groter aanbod van LNG uit verschillende landen. Ook de toegang tot die LNG-markt voor Europa is toegenomen door een groei in het aantal LNG-importterminals in Europa. Tegelijkertijd wordt energie in recente jaren steeds vaker als geopolitiek instrument ingezet. In de afgelopen crises (2022 inval Rusland in Oekraïne en 2026 sluiting </w:t>
      </w:r>
      <w:r w:rsidRPr="003B1DAE" w:rsidR="00907569">
        <w:rPr>
          <w:color w:val="212121"/>
          <w:szCs w:val="18"/>
        </w:rPr>
        <w:t>S</w:t>
      </w:r>
      <w:r w:rsidRPr="003B1DAE">
        <w:rPr>
          <w:color w:val="212121"/>
          <w:szCs w:val="18"/>
        </w:rPr>
        <w:t xml:space="preserve">traat van Hormuz) is steeds gebleken dat gasstromen zich snel </w:t>
      </w:r>
      <w:r w:rsidRPr="003B1DAE">
        <w:rPr>
          <w:color w:val="212121"/>
          <w:szCs w:val="18"/>
        </w:rPr>
        <w:lastRenderedPageBreak/>
        <w:t xml:space="preserve">aanpasten bij wegvallend aanbod, doordat de markt </w:t>
      </w:r>
      <w:r w:rsidRPr="003B1DAE" w:rsidR="00907569">
        <w:rPr>
          <w:color w:val="212121"/>
          <w:szCs w:val="18"/>
        </w:rPr>
        <w:t xml:space="preserve">zorgt voor en </w:t>
      </w:r>
      <w:r w:rsidRPr="003B1DAE">
        <w:rPr>
          <w:color w:val="212121"/>
          <w:szCs w:val="18"/>
        </w:rPr>
        <w:t>reageert op prijssignalen. Daardoor zijn er weinig zorgen geweest over het ontstaan van fysieke tekorten in Europa, maar zijn gasgebruikers wel blootgesteld aan meer fluctuerende prijzen.</w:t>
      </w:r>
    </w:p>
    <w:p w:rsidRPr="007A0AB8" w:rsidR="00073E74" w:rsidP="003B14FA" w:rsidRDefault="00073E74" w14:paraId="46F146CA" w14:textId="2392E7EA">
      <w:pPr>
        <w:rPr>
          <w:color w:val="212121"/>
          <w:szCs w:val="18"/>
        </w:rPr>
      </w:pPr>
    </w:p>
    <w:p w:rsidRPr="003B1DAE" w:rsidR="00073E74" w:rsidP="003B14FA" w:rsidRDefault="00073E74" w14:paraId="31358595" w14:textId="03D78F56">
      <w:pPr>
        <w:rPr>
          <w:color w:val="212121"/>
        </w:rPr>
      </w:pPr>
      <w:r w:rsidRPr="003B1DAE">
        <w:rPr>
          <w:color w:val="212121"/>
        </w:rPr>
        <w:t xml:space="preserve">Aan de vraagzijde is het gebruik van aardgas in Nederland </w:t>
      </w:r>
      <w:r w:rsidRPr="56D43442" w:rsidR="00786180">
        <w:rPr>
          <w:color w:val="212121"/>
        </w:rPr>
        <w:t>naar aanleiding van</w:t>
      </w:r>
      <w:r w:rsidRPr="56D43442" w:rsidR="00FA61B9">
        <w:rPr>
          <w:color w:val="212121"/>
        </w:rPr>
        <w:t xml:space="preserve"> de energiecr</w:t>
      </w:r>
      <w:r w:rsidRPr="56D43442" w:rsidR="00786180">
        <w:rPr>
          <w:color w:val="212121"/>
        </w:rPr>
        <w:t xml:space="preserve">isis </w:t>
      </w:r>
      <w:r w:rsidRPr="003B1DAE">
        <w:rPr>
          <w:color w:val="212121"/>
        </w:rPr>
        <w:t>de afgelopen jaren afgenomen van rond 40 bcm in 2021 naar momenteel minder dan 30 bcm. Daarnaast n</w:t>
      </w:r>
      <w:r w:rsidRPr="56D43442" w:rsidR="001152EA">
        <w:rPr>
          <w:color w:val="212121"/>
        </w:rPr>
        <w:t>am</w:t>
      </w:r>
      <w:r w:rsidRPr="003B1DAE">
        <w:rPr>
          <w:color w:val="212121"/>
        </w:rPr>
        <w:t xml:space="preserve"> de wintervraag af, waardoor het verschil in gasvraag tussen de zomer en winter kleiner w</w:t>
      </w:r>
      <w:r w:rsidRPr="003B1DAE" w:rsidR="7FD59988">
        <w:rPr>
          <w:color w:val="212121"/>
        </w:rPr>
        <w:t>erd</w:t>
      </w:r>
      <w:r w:rsidRPr="003B1DAE">
        <w:rPr>
          <w:color w:val="212121"/>
        </w:rPr>
        <w:t xml:space="preserve">. </w:t>
      </w:r>
      <w:r w:rsidRPr="003B1DAE" w:rsidR="005F7212">
        <w:rPr>
          <w:color w:val="212121"/>
        </w:rPr>
        <w:t xml:space="preserve">Zoals ook nader toegelicht in de </w:t>
      </w:r>
      <w:r w:rsidRPr="003B1DAE" w:rsidR="004837F9">
        <w:rPr>
          <w:color w:val="212121"/>
        </w:rPr>
        <w:t xml:space="preserve">actualisatie van het </w:t>
      </w:r>
      <w:r w:rsidRPr="003B1DAE" w:rsidR="001A0448">
        <w:rPr>
          <w:color w:val="212121"/>
        </w:rPr>
        <w:t>Nationaal Plan Energiesysteem (NPE)</w:t>
      </w:r>
      <w:r w:rsidRPr="003B1DAE" w:rsidR="001A0448">
        <w:rPr>
          <w:rStyle w:val="Voetnootmarkering"/>
          <w:color w:val="212121"/>
        </w:rPr>
        <w:footnoteReference w:id="4"/>
      </w:r>
      <w:r w:rsidRPr="003B1DAE" w:rsidR="001A0448">
        <w:rPr>
          <w:color w:val="212121"/>
        </w:rPr>
        <w:t xml:space="preserve"> </w:t>
      </w:r>
      <w:r w:rsidRPr="0054295C" w:rsidR="001A0448">
        <w:rPr>
          <w:color w:val="212121"/>
        </w:rPr>
        <w:t>is d</w:t>
      </w:r>
      <w:r w:rsidRPr="003B1DAE">
        <w:rPr>
          <w:color w:val="212121"/>
        </w:rPr>
        <w:t>e ambitie van het kabinet om de resterende gasvraag zo snel mogelijk</w:t>
      </w:r>
      <w:r w:rsidRPr="003B1DAE" w:rsidR="00213D9D">
        <w:rPr>
          <w:color w:val="212121"/>
        </w:rPr>
        <w:t xml:space="preserve"> gecontroleerd</w:t>
      </w:r>
      <w:r w:rsidRPr="003B1DAE">
        <w:rPr>
          <w:color w:val="212121"/>
        </w:rPr>
        <w:t xml:space="preserve"> af te bouwen</w:t>
      </w:r>
      <w:r w:rsidRPr="003B1DAE" w:rsidR="008430F4">
        <w:rPr>
          <w:color w:val="212121"/>
        </w:rPr>
        <w:t>. Een kanttekening daarbij is dat de opbouw van duurzame ketens</w:t>
      </w:r>
      <w:r w:rsidRPr="003B1DAE" w:rsidR="00123441">
        <w:rPr>
          <w:color w:val="212121"/>
        </w:rPr>
        <w:t xml:space="preserve"> </w:t>
      </w:r>
      <w:r w:rsidRPr="56D43442" w:rsidR="001152EA">
        <w:rPr>
          <w:color w:val="212121"/>
        </w:rPr>
        <w:t xml:space="preserve">een lange realisatietijd kent en </w:t>
      </w:r>
      <w:r w:rsidRPr="003B1DAE" w:rsidR="00123441">
        <w:rPr>
          <w:color w:val="212121"/>
        </w:rPr>
        <w:t xml:space="preserve">gepaard gaat met </w:t>
      </w:r>
      <w:r w:rsidRPr="003B1DAE" w:rsidR="001A0448">
        <w:rPr>
          <w:color w:val="212121"/>
        </w:rPr>
        <w:t xml:space="preserve">de nodige </w:t>
      </w:r>
      <w:r w:rsidRPr="003B1DAE" w:rsidR="00123441">
        <w:rPr>
          <w:color w:val="212121"/>
        </w:rPr>
        <w:t>onzekerheden</w:t>
      </w:r>
      <w:r w:rsidRPr="003B1DAE" w:rsidR="00123441">
        <w:rPr>
          <w:rStyle w:val="Voetnootmarkering"/>
          <w:color w:val="212121"/>
        </w:rPr>
        <w:footnoteReference w:id="5"/>
      </w:r>
      <w:r w:rsidRPr="003B1DAE" w:rsidR="001D506C">
        <w:rPr>
          <w:color w:val="212121"/>
        </w:rPr>
        <w:t xml:space="preserve">, en daarmee ook de afbouw van de </w:t>
      </w:r>
      <w:r w:rsidRPr="003B1DAE" w:rsidR="001051E7">
        <w:rPr>
          <w:color w:val="212121"/>
        </w:rPr>
        <w:t xml:space="preserve">vraag naar </w:t>
      </w:r>
      <w:r w:rsidRPr="003B1DAE" w:rsidR="004C4400">
        <w:rPr>
          <w:color w:val="212121"/>
        </w:rPr>
        <w:t xml:space="preserve">aardgas. </w:t>
      </w:r>
      <w:r w:rsidRPr="003B1DAE" w:rsidR="00974843">
        <w:rPr>
          <w:color w:val="212121"/>
        </w:rPr>
        <w:t>Dit is ook zichtbaar in de prognoses van de</w:t>
      </w:r>
      <w:r w:rsidRPr="003B1DAE" w:rsidR="004C4400">
        <w:rPr>
          <w:color w:val="212121"/>
        </w:rPr>
        <w:t xml:space="preserve"> KEV26</w:t>
      </w:r>
      <w:r w:rsidRPr="003B1DAE" w:rsidR="00974843">
        <w:rPr>
          <w:color w:val="212121"/>
        </w:rPr>
        <w:t xml:space="preserve"> voor het aardgasverbruik in 2030 en 2040</w:t>
      </w:r>
      <w:r w:rsidRPr="003B1DAE" w:rsidR="00511C9F">
        <w:rPr>
          <w:color w:val="212121"/>
        </w:rPr>
        <w:t>, waarbij rekening gehouden wordt met een aanzienlijke bandbreedte.</w:t>
      </w:r>
      <w:r w:rsidRPr="003B1DAE" w:rsidR="003A6365">
        <w:rPr>
          <w:rStyle w:val="Voetnootmarkering"/>
          <w:color w:val="212121"/>
        </w:rPr>
        <w:footnoteReference w:id="6"/>
      </w:r>
      <w:r w:rsidRPr="003B1DAE">
        <w:rPr>
          <w:color w:val="212121"/>
        </w:rPr>
        <w:t xml:space="preserve"> </w:t>
      </w:r>
      <w:r w:rsidRPr="003B1DAE" w:rsidR="000A5630">
        <w:rPr>
          <w:color w:val="212121"/>
        </w:rPr>
        <w:t xml:space="preserve">Dat vergt een </w:t>
      </w:r>
      <w:r w:rsidRPr="003B1DAE" w:rsidR="001E4CA9">
        <w:rPr>
          <w:color w:val="212121"/>
        </w:rPr>
        <w:t xml:space="preserve">gecoördineerde, zorgvuldige en verantwoorde afbouw, </w:t>
      </w:r>
      <w:r w:rsidRPr="003B1DAE" w:rsidR="007F07B4">
        <w:rPr>
          <w:color w:val="212121"/>
        </w:rPr>
        <w:t xml:space="preserve">waarbij het </w:t>
      </w:r>
      <w:r w:rsidRPr="003B1DAE">
        <w:rPr>
          <w:color w:val="212121"/>
        </w:rPr>
        <w:t xml:space="preserve">kabinet </w:t>
      </w:r>
      <w:r w:rsidRPr="003B1DAE" w:rsidR="007F07B4">
        <w:rPr>
          <w:color w:val="212121"/>
        </w:rPr>
        <w:t xml:space="preserve">gedurende deze transitie </w:t>
      </w:r>
      <w:r w:rsidRPr="003B1DAE">
        <w:rPr>
          <w:color w:val="212121"/>
        </w:rPr>
        <w:t>de leveringszekerheid van de resterende gasvraag</w:t>
      </w:r>
      <w:r w:rsidRPr="003B1DAE" w:rsidR="002F1DE2">
        <w:rPr>
          <w:color w:val="212121"/>
        </w:rPr>
        <w:t xml:space="preserve"> borgt</w:t>
      </w:r>
      <w:r w:rsidRPr="003B1DAE">
        <w:rPr>
          <w:color w:val="212121"/>
        </w:rPr>
        <w:t>.</w:t>
      </w:r>
    </w:p>
    <w:p w:rsidRPr="0054295C" w:rsidR="00E71797" w:rsidP="003B14FA" w:rsidRDefault="00E71797" w14:paraId="2A4DB735" w14:textId="77777777">
      <w:pPr>
        <w:rPr>
          <w:color w:val="212121"/>
          <w:sz w:val="24"/>
        </w:rPr>
      </w:pPr>
    </w:p>
    <w:p w:rsidRPr="003B1DAE" w:rsidR="00A25164" w:rsidP="003B14FA" w:rsidRDefault="00783395" w14:paraId="683D03C7" w14:textId="07E837CD">
      <w:pPr>
        <w:rPr>
          <w:rFonts w:eastAsia="Verdana" w:cs="Verdana"/>
        </w:rPr>
      </w:pPr>
      <w:r w:rsidRPr="003B1DAE">
        <w:rPr>
          <w:rFonts w:eastAsia="Verdana" w:cs="Verdana"/>
        </w:rPr>
        <w:t>Het kabinet heeft de afgelopen periode de ontwikkelingen in de gasmarkt vanaf 202</w:t>
      </w:r>
      <w:r w:rsidRPr="003B1DAE" w:rsidR="00294287">
        <w:rPr>
          <w:rFonts w:eastAsia="Verdana" w:cs="Verdana"/>
        </w:rPr>
        <w:t>2</w:t>
      </w:r>
      <w:r w:rsidRPr="003B1DAE">
        <w:rPr>
          <w:rFonts w:eastAsia="Verdana" w:cs="Verdana"/>
        </w:rPr>
        <w:t xml:space="preserve"> tot nu geanalyseerd. </w:t>
      </w:r>
      <w:r w:rsidRPr="003B1DAE" w:rsidR="00DB3676">
        <w:rPr>
          <w:rFonts w:eastAsia="Verdana" w:cs="Verdana"/>
        </w:rPr>
        <w:t xml:space="preserve">De kern </w:t>
      </w:r>
      <w:r w:rsidRPr="003B1DAE" w:rsidR="00741619">
        <w:rPr>
          <w:rFonts w:eastAsia="Verdana" w:cs="Verdana"/>
        </w:rPr>
        <w:t>van de</w:t>
      </w:r>
      <w:r w:rsidRPr="003B1DAE">
        <w:rPr>
          <w:rFonts w:eastAsia="Verdana" w:cs="Verdana"/>
        </w:rPr>
        <w:t>ze</w:t>
      </w:r>
      <w:r w:rsidRPr="003B1DAE" w:rsidR="00741619">
        <w:rPr>
          <w:rFonts w:eastAsia="Verdana" w:cs="Verdana"/>
        </w:rPr>
        <w:t xml:space="preserve"> analyse is dat d</w:t>
      </w:r>
      <w:r w:rsidRPr="003B1DAE" w:rsidR="00A25164">
        <w:rPr>
          <w:rFonts w:eastAsia="Verdana" w:cs="Verdana"/>
        </w:rPr>
        <w:t>e bestaande overheidsinzet in de gasmarkt om goede redenen</w:t>
      </w:r>
      <w:r w:rsidRPr="003B1DAE" w:rsidR="00741619">
        <w:rPr>
          <w:rFonts w:eastAsia="Verdana" w:cs="Verdana"/>
        </w:rPr>
        <w:t xml:space="preserve"> is</w:t>
      </w:r>
      <w:r w:rsidRPr="003B1DAE" w:rsidR="00A25164">
        <w:rPr>
          <w:rFonts w:eastAsia="Verdana" w:cs="Verdana"/>
        </w:rPr>
        <w:t xml:space="preserve"> ingericht, maar</w:t>
      </w:r>
      <w:r w:rsidRPr="003B1DAE" w:rsidR="00741619">
        <w:rPr>
          <w:rFonts w:eastAsia="Verdana" w:cs="Verdana"/>
        </w:rPr>
        <w:t xml:space="preserve"> niet meer</w:t>
      </w:r>
      <w:r w:rsidRPr="003B1DAE" w:rsidR="00A25164">
        <w:rPr>
          <w:rFonts w:eastAsia="Verdana" w:cs="Verdana"/>
        </w:rPr>
        <w:t xml:space="preserve"> functioneert zoals het</w:t>
      </w:r>
      <w:r w:rsidRPr="003B1DAE">
        <w:rPr>
          <w:rFonts w:eastAsia="Verdana" w:cs="Verdana"/>
        </w:rPr>
        <w:t xml:space="preserve"> </w:t>
      </w:r>
      <w:r w:rsidRPr="003B1DAE" w:rsidR="00A25164">
        <w:rPr>
          <w:rFonts w:eastAsia="Verdana" w:cs="Verdana"/>
        </w:rPr>
        <w:t xml:space="preserve">bedoeld </w:t>
      </w:r>
      <w:r w:rsidRPr="003B1DAE" w:rsidR="00786642">
        <w:rPr>
          <w:rFonts w:eastAsia="Verdana" w:cs="Verdana"/>
        </w:rPr>
        <w:t>wa</w:t>
      </w:r>
      <w:r w:rsidRPr="003B1DAE" w:rsidR="00A25164">
        <w:rPr>
          <w:rFonts w:eastAsia="Verdana" w:cs="Verdana"/>
        </w:rPr>
        <w:t xml:space="preserve">s. De huidige aanpak heeft zelfs ongewenste neveneffecten, met name ten aanzien van het functioneren van de markt voor seizoensopslag. Daarom </w:t>
      </w:r>
      <w:r w:rsidRPr="003B1DAE">
        <w:rPr>
          <w:rFonts w:eastAsia="Verdana" w:cs="Verdana"/>
        </w:rPr>
        <w:t xml:space="preserve">stelt </w:t>
      </w:r>
      <w:r w:rsidRPr="003B1DAE" w:rsidR="00A25164">
        <w:rPr>
          <w:rFonts w:eastAsia="Verdana" w:cs="Verdana"/>
        </w:rPr>
        <w:t xml:space="preserve">het kabinet </w:t>
      </w:r>
      <w:r w:rsidRPr="003B1DAE">
        <w:rPr>
          <w:rFonts w:eastAsia="Verdana" w:cs="Verdana"/>
        </w:rPr>
        <w:t>voor om in te ze</w:t>
      </w:r>
      <w:r w:rsidRPr="003B1DAE" w:rsidR="00670B48">
        <w:rPr>
          <w:rFonts w:eastAsia="Verdana" w:cs="Verdana"/>
        </w:rPr>
        <w:t>t</w:t>
      </w:r>
      <w:r w:rsidRPr="003B1DAE">
        <w:rPr>
          <w:rFonts w:eastAsia="Verdana" w:cs="Verdana"/>
        </w:rPr>
        <w:t xml:space="preserve">ten </w:t>
      </w:r>
      <w:r w:rsidRPr="003B1DAE" w:rsidR="00A25164">
        <w:rPr>
          <w:rFonts w:eastAsia="Verdana" w:cs="Verdana"/>
        </w:rPr>
        <w:t>op het herstel van een onder normale omstandigheden goed functionerende markt</w:t>
      </w:r>
      <w:r w:rsidRPr="003B1DAE" w:rsidR="002E7A6D">
        <w:rPr>
          <w:rFonts w:eastAsia="Verdana" w:cs="Verdana"/>
        </w:rPr>
        <w:t xml:space="preserve"> </w:t>
      </w:r>
      <w:r w:rsidRPr="003B1DAE" w:rsidR="00731B19">
        <w:rPr>
          <w:rFonts w:eastAsia="Verdana" w:cs="Verdana"/>
        </w:rPr>
        <w:t>in combinatie met een concrete versterking van</w:t>
      </w:r>
      <w:r w:rsidRPr="003B1DAE" w:rsidR="00A25164">
        <w:rPr>
          <w:rFonts w:eastAsia="Verdana" w:cs="Verdana"/>
        </w:rPr>
        <w:t xml:space="preserve"> de weerbaarheid bij extreme omstandigheden, zoals tijdens uitval van installaties</w:t>
      </w:r>
      <w:r w:rsidRPr="003B1DAE" w:rsidR="00762E13">
        <w:rPr>
          <w:rFonts w:eastAsia="Verdana" w:cs="Verdana"/>
        </w:rPr>
        <w:t>,</w:t>
      </w:r>
      <w:r w:rsidRPr="003B1DAE" w:rsidR="00A25164">
        <w:rPr>
          <w:rFonts w:eastAsia="Verdana" w:cs="Verdana"/>
        </w:rPr>
        <w:t xml:space="preserve"> periodes van extreem hoge vraag</w:t>
      </w:r>
      <w:r w:rsidRPr="003B1DAE" w:rsidR="00762E13">
        <w:rPr>
          <w:rFonts w:eastAsia="Verdana" w:cs="Verdana"/>
        </w:rPr>
        <w:t xml:space="preserve"> (zoals bij koude)</w:t>
      </w:r>
      <w:r w:rsidRPr="003B1DAE" w:rsidR="00A25164">
        <w:rPr>
          <w:rFonts w:eastAsia="Verdana" w:cs="Verdana"/>
        </w:rPr>
        <w:t xml:space="preserve"> en langdurige verstoringen </w:t>
      </w:r>
      <w:r w:rsidRPr="003B1DAE" w:rsidR="006762C5">
        <w:rPr>
          <w:rFonts w:eastAsia="Verdana" w:cs="Verdana"/>
        </w:rPr>
        <w:t xml:space="preserve">in de </w:t>
      </w:r>
      <w:r w:rsidRPr="003B1DAE" w:rsidR="003960BC">
        <w:rPr>
          <w:rFonts w:eastAsia="Verdana" w:cs="Verdana"/>
        </w:rPr>
        <w:t xml:space="preserve">aanvoer </w:t>
      </w:r>
      <w:r w:rsidRPr="003B1DAE" w:rsidR="00A25164">
        <w:rPr>
          <w:rFonts w:eastAsia="Verdana" w:cs="Verdana"/>
        </w:rPr>
        <w:t>(</w:t>
      </w:r>
      <w:r w:rsidRPr="003B1DAE" w:rsidR="00762E13">
        <w:rPr>
          <w:rFonts w:eastAsia="Verdana" w:cs="Verdana"/>
        </w:rPr>
        <w:t xml:space="preserve">zoals bij </w:t>
      </w:r>
      <w:r w:rsidRPr="003B1DAE" w:rsidR="0033755C">
        <w:rPr>
          <w:rFonts w:eastAsia="Verdana" w:cs="Verdana"/>
        </w:rPr>
        <w:t xml:space="preserve">de </w:t>
      </w:r>
      <w:r w:rsidRPr="003B1DAE" w:rsidR="00762E13">
        <w:rPr>
          <w:rFonts w:eastAsia="Verdana" w:cs="Verdana"/>
        </w:rPr>
        <w:t>Oekraïnecrisis)</w:t>
      </w:r>
      <w:r w:rsidRPr="003B1DAE" w:rsidR="00A25164">
        <w:rPr>
          <w:rFonts w:eastAsia="Verdana" w:cs="Verdana"/>
        </w:rPr>
        <w:t>.</w:t>
      </w:r>
      <w:r w:rsidRPr="003B1DAE" w:rsidR="00A25164">
        <w:rPr>
          <w:rStyle w:val="Voetnootmarkering"/>
          <w:rFonts w:eastAsia="Verdana" w:cs="Verdana"/>
        </w:rPr>
        <w:footnoteReference w:id="7"/>
      </w:r>
      <w:r w:rsidRPr="003B1DAE" w:rsidR="00961F07">
        <w:rPr>
          <w:rFonts w:eastAsia="Verdana" w:cs="Verdana"/>
        </w:rPr>
        <w:t xml:space="preserve"> </w:t>
      </w:r>
      <w:r w:rsidRPr="003B1DAE" w:rsidR="007D1143">
        <w:rPr>
          <w:rFonts w:eastAsia="Verdana" w:cs="Verdana"/>
        </w:rPr>
        <w:t xml:space="preserve">Hiermee </w:t>
      </w:r>
      <w:r w:rsidRPr="003B1DAE" w:rsidR="00406146">
        <w:rPr>
          <w:rFonts w:eastAsia="Verdana" w:cs="Verdana"/>
        </w:rPr>
        <w:t>blijft</w:t>
      </w:r>
      <w:r w:rsidRPr="003B1DAE" w:rsidR="00BF51EB">
        <w:rPr>
          <w:rFonts w:eastAsia="Verdana" w:cs="Verdana"/>
        </w:rPr>
        <w:t xml:space="preserve"> het kabinet aan</w:t>
      </w:r>
      <w:r w:rsidRPr="003B1DAE" w:rsidR="00406146">
        <w:rPr>
          <w:rFonts w:eastAsia="Verdana" w:cs="Verdana"/>
        </w:rPr>
        <w:t>sluiten</w:t>
      </w:r>
      <w:r w:rsidRPr="003B1DAE" w:rsidR="00BF51EB">
        <w:rPr>
          <w:rFonts w:eastAsia="Verdana" w:cs="Verdana"/>
        </w:rPr>
        <w:t xml:space="preserve"> bij de</w:t>
      </w:r>
      <w:r w:rsidRPr="003B1DAE" w:rsidR="00406146">
        <w:rPr>
          <w:rFonts w:eastAsia="Verdana" w:cs="Verdana"/>
        </w:rPr>
        <w:t xml:space="preserve"> </w:t>
      </w:r>
      <w:r w:rsidRPr="003B1DAE" w:rsidR="00961F07">
        <w:rPr>
          <w:rFonts w:eastAsia="Verdana" w:cs="Verdana"/>
        </w:rPr>
        <w:t xml:space="preserve">eisen uit de </w:t>
      </w:r>
      <w:r w:rsidRPr="003B1DAE" w:rsidR="00B5626C">
        <w:rPr>
          <w:rFonts w:eastAsia="Verdana" w:cs="Verdana"/>
        </w:rPr>
        <w:t>V</w:t>
      </w:r>
      <w:r w:rsidRPr="003B1DAE" w:rsidR="00961F07">
        <w:rPr>
          <w:rFonts w:eastAsia="Verdana" w:cs="Verdana"/>
        </w:rPr>
        <w:t xml:space="preserve">erordening gasleveringszekerheid, </w:t>
      </w:r>
      <w:r w:rsidRPr="003B1DAE" w:rsidR="00BF51EB">
        <w:rPr>
          <w:rFonts w:eastAsia="Verdana" w:cs="Verdana"/>
        </w:rPr>
        <w:t>namelijk</w:t>
      </w:r>
      <w:r w:rsidRPr="56D43442" w:rsidR="00961F07">
        <w:rPr>
          <w:rFonts w:eastAsia="Verdana" w:cs="Verdana"/>
        </w:rPr>
        <w:t xml:space="preserve"> de infrastructuurnorm en gasleveringsnorm (zie toelichting onder C.3). </w:t>
      </w:r>
    </w:p>
    <w:p w:rsidRPr="003B1DAE" w:rsidR="00D2284C" w:rsidP="003B14FA" w:rsidRDefault="00D2284C" w14:paraId="1D9239CC" w14:textId="77777777">
      <w:pPr>
        <w:rPr>
          <w:rFonts w:eastAsia="Verdana" w:cs="Verdana"/>
        </w:rPr>
      </w:pPr>
    </w:p>
    <w:p w:rsidRPr="003B1DAE" w:rsidR="00A25164" w:rsidP="003B14FA" w:rsidRDefault="00E04E28" w14:paraId="07C6C9CE" w14:textId="4A3C8C8E">
      <w:pPr>
        <w:rPr>
          <w:rFonts w:eastAsia="Verdana" w:cs="Verdana"/>
          <w:szCs w:val="18"/>
        </w:rPr>
      </w:pPr>
      <w:r w:rsidRPr="003B1DAE">
        <w:rPr>
          <w:rFonts w:eastAsia="Verdana" w:cs="Verdana"/>
          <w:szCs w:val="18"/>
        </w:rPr>
        <w:t>Met deze brief</w:t>
      </w:r>
      <w:r w:rsidRPr="003B1DAE" w:rsidR="002E7A6D">
        <w:rPr>
          <w:rFonts w:eastAsia="Verdana" w:cs="Verdana"/>
          <w:szCs w:val="18"/>
        </w:rPr>
        <w:t xml:space="preserve"> </w:t>
      </w:r>
      <w:r w:rsidRPr="003B1DAE" w:rsidR="00A25164">
        <w:rPr>
          <w:rFonts w:eastAsia="Verdana" w:cs="Verdana"/>
          <w:szCs w:val="18"/>
        </w:rPr>
        <w:t>bouwt het kabinet voort op de Visie gasopslagen (2023)</w:t>
      </w:r>
      <w:r w:rsidRPr="003B1DAE" w:rsidR="00A25164">
        <w:rPr>
          <w:rStyle w:val="Voetnootmarkering"/>
          <w:rFonts w:eastAsia="Verdana" w:cs="Verdana"/>
          <w:szCs w:val="18"/>
        </w:rPr>
        <w:footnoteReference w:id="8"/>
      </w:r>
      <w:r w:rsidRPr="003B1DAE" w:rsidR="00A25164">
        <w:rPr>
          <w:rFonts w:eastAsia="Verdana" w:cs="Verdana"/>
          <w:szCs w:val="18"/>
        </w:rPr>
        <w:t xml:space="preserve">. </w:t>
      </w:r>
      <w:r w:rsidRPr="003B1DAE" w:rsidR="002E7A6D">
        <w:rPr>
          <w:rFonts w:eastAsia="Verdana" w:cs="Verdana"/>
          <w:szCs w:val="18"/>
        </w:rPr>
        <w:t xml:space="preserve">Met deze </w:t>
      </w:r>
      <w:r w:rsidRPr="003B1DAE" w:rsidR="00A25164">
        <w:rPr>
          <w:rFonts w:eastAsia="Verdana" w:cs="Verdana"/>
          <w:szCs w:val="18"/>
        </w:rPr>
        <w:t>brief geeft</w:t>
      </w:r>
      <w:r w:rsidRPr="003B1DAE" w:rsidR="002E7A6D">
        <w:rPr>
          <w:rFonts w:eastAsia="Verdana" w:cs="Verdana"/>
          <w:szCs w:val="18"/>
        </w:rPr>
        <w:t xml:space="preserve"> het kabinet tevens</w:t>
      </w:r>
      <w:r w:rsidRPr="003B1DAE" w:rsidR="00A25164">
        <w:rPr>
          <w:rFonts w:eastAsia="Verdana" w:cs="Verdana"/>
          <w:szCs w:val="18"/>
        </w:rPr>
        <w:t xml:space="preserve"> invulling aan een reeks moties en toezeggingen.</w:t>
      </w:r>
      <w:r w:rsidRPr="003B1DAE" w:rsidR="002E7A6D">
        <w:rPr>
          <w:rStyle w:val="Voetnootmarkering"/>
          <w:rFonts w:eastAsia="Verdana" w:cs="Verdana"/>
          <w:szCs w:val="18"/>
        </w:rPr>
        <w:footnoteReference w:id="9"/>
      </w:r>
      <w:r w:rsidRPr="003B1DAE" w:rsidR="00A25164">
        <w:rPr>
          <w:rFonts w:eastAsia="Verdana" w:cs="Verdana"/>
          <w:szCs w:val="18"/>
        </w:rPr>
        <w:t xml:space="preserve"> </w:t>
      </w:r>
      <w:r w:rsidRPr="003B1DAE" w:rsidR="002E7A6D">
        <w:rPr>
          <w:rFonts w:eastAsia="Verdana" w:cs="Verdana"/>
          <w:szCs w:val="18"/>
        </w:rPr>
        <w:t>Bijgevoegd is</w:t>
      </w:r>
      <w:r w:rsidRPr="003B1DAE" w:rsidR="00A25164">
        <w:rPr>
          <w:rFonts w:eastAsia="Verdana" w:cs="Verdana"/>
          <w:szCs w:val="18"/>
        </w:rPr>
        <w:t xml:space="preserve"> een uitvoeringstabel waarin per motie staat aangegeven welke concrete actie nationaal en Europees is ingezet.</w:t>
      </w:r>
      <w:r w:rsidRPr="003B1DAE" w:rsidR="00A25164">
        <w:rPr>
          <w:rStyle w:val="Voetnootmarkering"/>
          <w:rFonts w:eastAsia="Verdana" w:cs="Verdana"/>
          <w:szCs w:val="18"/>
        </w:rPr>
        <w:footnoteReference w:id="10"/>
      </w:r>
      <w:r w:rsidRPr="003B1DAE" w:rsidR="00A25164">
        <w:rPr>
          <w:rFonts w:eastAsia="Verdana" w:cs="Verdana"/>
          <w:szCs w:val="18"/>
        </w:rPr>
        <w:t xml:space="preserve"> </w:t>
      </w:r>
      <w:r w:rsidRPr="003B1DAE" w:rsidR="002E7A6D">
        <w:rPr>
          <w:rFonts w:eastAsia="Verdana" w:cs="Verdana"/>
          <w:szCs w:val="18"/>
        </w:rPr>
        <w:t xml:space="preserve">Het kabinet heeft de </w:t>
      </w:r>
      <w:r w:rsidRPr="003B1DAE" w:rsidR="00A25164">
        <w:rPr>
          <w:rFonts w:eastAsia="Verdana" w:cs="Verdana"/>
          <w:szCs w:val="18"/>
        </w:rPr>
        <w:t>relevante rapporten en externe adviezen over gasbeleid</w:t>
      </w:r>
      <w:r w:rsidRPr="003B1DAE" w:rsidR="002E7A6D">
        <w:rPr>
          <w:rFonts w:eastAsia="Verdana" w:cs="Verdana"/>
          <w:szCs w:val="18"/>
        </w:rPr>
        <w:t xml:space="preserve"> bij deze brief betrokken</w:t>
      </w:r>
      <w:r w:rsidRPr="003B1DAE" w:rsidR="00A25164">
        <w:rPr>
          <w:rFonts w:eastAsia="Verdana" w:cs="Verdana"/>
          <w:szCs w:val="18"/>
        </w:rPr>
        <w:t>, waaronder het PWC-onderzoek dat het kabinet op 2 juli jl. met de Kamer heeft gedeeld.</w:t>
      </w:r>
      <w:r w:rsidRPr="003B1DAE" w:rsidR="00A25164">
        <w:rPr>
          <w:rStyle w:val="Voetnootmarkering"/>
          <w:rFonts w:eastAsia="Verdana" w:cs="Verdana"/>
          <w:szCs w:val="18"/>
        </w:rPr>
        <w:footnoteReference w:id="11"/>
      </w:r>
      <w:r w:rsidRPr="003B1DAE" w:rsidR="00A25164">
        <w:rPr>
          <w:rFonts w:eastAsia="Verdana" w:cs="Verdana"/>
          <w:szCs w:val="18"/>
        </w:rPr>
        <w:t xml:space="preserve"> Ook geeft het kabinet met deze brief een reactie op het rapport ‘Een robuuste Europese aardgasvoorziening’ van </w:t>
      </w:r>
      <w:r w:rsidRPr="003B1DAE" w:rsidR="0072644A">
        <w:rPr>
          <w:rFonts w:eastAsia="Verdana" w:cs="Verdana"/>
          <w:szCs w:val="18"/>
        </w:rPr>
        <w:t>GTS</w:t>
      </w:r>
      <w:r w:rsidRPr="003B1DAE" w:rsidR="00A25164">
        <w:rPr>
          <w:rFonts w:eastAsia="Verdana" w:cs="Verdana"/>
          <w:szCs w:val="18"/>
        </w:rPr>
        <w:t>.</w:t>
      </w:r>
      <w:r w:rsidRPr="003B1DAE" w:rsidR="00A25164">
        <w:rPr>
          <w:rStyle w:val="Voetnootmarkering"/>
          <w:rFonts w:eastAsia="Verdana" w:cs="Verdana"/>
          <w:szCs w:val="18"/>
        </w:rPr>
        <w:footnoteReference w:id="12"/>
      </w:r>
    </w:p>
    <w:p w:rsidRPr="003B1DAE" w:rsidR="00927E80" w:rsidP="003B14FA" w:rsidRDefault="00927E80" w14:paraId="41CB3E91" w14:textId="77777777">
      <w:pPr>
        <w:rPr>
          <w:rFonts w:eastAsia="Verdana" w:cs="Verdana"/>
          <w:szCs w:val="18"/>
        </w:rPr>
      </w:pPr>
    </w:p>
    <w:p w:rsidRPr="003B1DAE" w:rsidR="00927E80" w:rsidP="003B14FA" w:rsidRDefault="00927E80" w14:paraId="2D2C08AF" w14:textId="64CC9E7D">
      <w:pPr>
        <w:rPr>
          <w:rFonts w:eastAsia="Verdana" w:cs="Verdana"/>
          <w:szCs w:val="18"/>
        </w:rPr>
      </w:pPr>
      <w:r w:rsidRPr="003B1DAE">
        <w:rPr>
          <w:rFonts w:eastAsia="Verdana" w:cs="Verdana"/>
          <w:szCs w:val="18"/>
        </w:rPr>
        <w:t>De overkoepelende visie van het kabinet op een verantwoorde afbouw van fossiel, zoals uiteengezet in de actualisatie van het NPE, is leidend.</w:t>
      </w:r>
      <w:r w:rsidRPr="003B1DAE">
        <w:rPr>
          <w:rStyle w:val="Voetnootmarkering"/>
          <w:rFonts w:eastAsia="Verdana" w:cs="Verdana"/>
          <w:szCs w:val="18"/>
        </w:rPr>
        <w:footnoteReference w:id="13"/>
      </w:r>
      <w:r w:rsidRPr="003B1DAE">
        <w:rPr>
          <w:rFonts w:eastAsia="Verdana" w:cs="Verdana"/>
          <w:szCs w:val="18"/>
        </w:rPr>
        <w:t xml:space="preserve"> Vervanging van fossiele energie door duurzame alternatieven zal het gebruik van aardgas in de komende decennia stapsgewijs terugdringen en uiteindelijk doen verdwijnen. Zolang de transitie naar volwaardige, duurzame alternatieven gemaakt wordt, is aardgas echter essentieel voor onze samenleving en integraal onderdeel van het energiesysteem. </w:t>
      </w:r>
      <w:r w:rsidRPr="003B1DAE" w:rsidR="002E7A6D">
        <w:rPr>
          <w:rFonts w:eastAsia="Verdana" w:cs="Verdana"/>
          <w:szCs w:val="18"/>
        </w:rPr>
        <w:t>D</w:t>
      </w:r>
      <w:r w:rsidRPr="003B1DAE">
        <w:rPr>
          <w:rFonts w:eastAsia="Verdana" w:cs="Verdana"/>
          <w:szCs w:val="18"/>
        </w:rPr>
        <w:t xml:space="preserve">aarom </w:t>
      </w:r>
      <w:r w:rsidRPr="003B1DAE" w:rsidR="002E7A6D">
        <w:rPr>
          <w:rFonts w:eastAsia="Verdana" w:cs="Verdana"/>
          <w:szCs w:val="18"/>
        </w:rPr>
        <w:t xml:space="preserve">dient in deze transitiefase </w:t>
      </w:r>
      <w:r w:rsidRPr="003B1DAE">
        <w:rPr>
          <w:rFonts w:eastAsia="Verdana" w:cs="Verdana"/>
          <w:szCs w:val="18"/>
        </w:rPr>
        <w:t>een goed functionerende gasmarkt met een zo divers mogelijk aanbod (productie en import) en voldoende gasopslag in alle relevante functies (seizoensopslag, balan</w:t>
      </w:r>
      <w:r w:rsidRPr="003B1DAE" w:rsidR="00326268">
        <w:rPr>
          <w:rFonts w:eastAsia="Verdana" w:cs="Verdana"/>
          <w:szCs w:val="18"/>
        </w:rPr>
        <w:t>cering</w:t>
      </w:r>
      <w:r w:rsidRPr="003B1DAE">
        <w:rPr>
          <w:rFonts w:eastAsia="Verdana" w:cs="Verdana"/>
          <w:szCs w:val="18"/>
        </w:rPr>
        <w:t>, piekcapaciteit en noodvoorraad/strategische opslag) te worden geborgd.</w:t>
      </w:r>
    </w:p>
    <w:p w:rsidRPr="003B1DAE" w:rsidR="00927E80" w:rsidP="003B14FA" w:rsidRDefault="00927E80" w14:paraId="269A4FEC" w14:textId="77777777">
      <w:pPr>
        <w:rPr>
          <w:rFonts w:eastAsia="Verdana" w:cs="Verdana"/>
          <w:szCs w:val="18"/>
        </w:rPr>
      </w:pPr>
    </w:p>
    <w:p w:rsidRPr="003B1DAE" w:rsidR="00A25164" w:rsidP="003B14FA" w:rsidRDefault="00267F3C" w14:paraId="70389583" w14:textId="7797188B">
      <w:pPr>
        <w:rPr>
          <w:rFonts w:eastAsia="Verdana" w:cs="Verdana"/>
        </w:rPr>
      </w:pPr>
      <w:r w:rsidRPr="003B1DAE">
        <w:rPr>
          <w:rFonts w:eastAsia="Verdana" w:cs="Verdana"/>
        </w:rPr>
        <w:t>Om</w:t>
      </w:r>
      <w:r w:rsidRPr="003B1DAE" w:rsidR="00927E80">
        <w:rPr>
          <w:rFonts w:eastAsia="Verdana" w:cs="Verdana"/>
        </w:rPr>
        <w:t xml:space="preserve"> voldoende gasaanbod uit verschillende bronnen</w:t>
      </w:r>
      <w:r w:rsidRPr="003B1DAE">
        <w:rPr>
          <w:rFonts w:eastAsia="Verdana" w:cs="Verdana"/>
        </w:rPr>
        <w:t xml:space="preserve"> te faciliteren</w:t>
      </w:r>
      <w:r w:rsidRPr="003B1DAE" w:rsidR="00E92212">
        <w:rPr>
          <w:rFonts w:eastAsia="Verdana" w:cs="Verdana"/>
        </w:rPr>
        <w:t xml:space="preserve"> </w:t>
      </w:r>
      <w:r w:rsidRPr="003B1DAE" w:rsidR="00630D39">
        <w:rPr>
          <w:rFonts w:eastAsia="Verdana" w:cs="Verdana"/>
        </w:rPr>
        <w:t>en zowel reguliere levering als voldoende weerbaarheid bij verstoringen te verzekeren</w:t>
      </w:r>
      <w:r w:rsidRPr="003B1DAE" w:rsidR="00927E80">
        <w:rPr>
          <w:rFonts w:eastAsia="Verdana" w:cs="Verdana"/>
        </w:rPr>
        <w:t xml:space="preserve"> zet het kabinet in op voldoende en diverse import door het op peil houden van voldoende </w:t>
      </w:r>
      <w:r w:rsidRPr="003B1DAE" w:rsidR="00DB01D8">
        <w:rPr>
          <w:rFonts w:eastAsia="Verdana" w:cs="Verdana"/>
        </w:rPr>
        <w:t>pijplijn</w:t>
      </w:r>
      <w:r w:rsidRPr="003B1DAE" w:rsidR="00927E80">
        <w:rPr>
          <w:rFonts w:eastAsia="Verdana" w:cs="Verdana"/>
        </w:rPr>
        <w:t>verbindingen met andere landen (interconnectie)</w:t>
      </w:r>
      <w:r w:rsidRPr="003B1DAE" w:rsidR="007E4B2B">
        <w:rPr>
          <w:rFonts w:eastAsia="Verdana" w:cs="Verdana"/>
        </w:rPr>
        <w:t xml:space="preserve">, </w:t>
      </w:r>
      <w:r w:rsidRPr="003B1DAE" w:rsidR="00927E80">
        <w:rPr>
          <w:rFonts w:eastAsia="Verdana" w:cs="Verdana"/>
        </w:rPr>
        <w:t>LNG-importcapaciteit en het faciliteren van derdentoegang tot deze infrastructuur</w:t>
      </w:r>
      <w:r w:rsidRPr="003B1DAE" w:rsidR="00DB01D8">
        <w:rPr>
          <w:rFonts w:eastAsia="Verdana" w:cs="Verdana"/>
        </w:rPr>
        <w:t xml:space="preserve"> en de uitvoering van het sectorakkoord gas</w:t>
      </w:r>
      <w:r w:rsidRPr="003B1DAE" w:rsidR="00B579CC">
        <w:rPr>
          <w:rFonts w:eastAsia="Verdana" w:cs="Verdana"/>
        </w:rPr>
        <w:t>winning</w:t>
      </w:r>
      <w:r w:rsidRPr="003B1DAE" w:rsidR="00927E80">
        <w:rPr>
          <w:rFonts w:eastAsia="Verdana" w:cs="Verdana"/>
        </w:rPr>
        <w:t xml:space="preserve">. </w:t>
      </w:r>
      <w:r w:rsidRPr="003B1DAE" w:rsidR="2B0C5919">
        <w:rPr>
          <w:rFonts w:eastAsia="Verdana" w:cs="Verdana"/>
        </w:rPr>
        <w:t xml:space="preserve">Verder </w:t>
      </w:r>
      <w:r w:rsidRPr="003B1DAE" w:rsidR="00A90661">
        <w:rPr>
          <w:rFonts w:eastAsia="Verdana" w:cs="Verdana"/>
        </w:rPr>
        <w:t>is en</w:t>
      </w:r>
      <w:r w:rsidRPr="003B1DAE" w:rsidR="115A3DC2">
        <w:rPr>
          <w:rFonts w:eastAsia="Verdana" w:cs="Verdana"/>
        </w:rPr>
        <w:t xml:space="preserve"> </w:t>
      </w:r>
      <w:r w:rsidRPr="003B1DAE" w:rsidR="7CF4128D">
        <w:rPr>
          <w:rFonts w:eastAsia="Verdana" w:cs="Verdana"/>
        </w:rPr>
        <w:t>blijft</w:t>
      </w:r>
      <w:r w:rsidRPr="003B1DAE" w:rsidR="00A90661">
        <w:rPr>
          <w:rFonts w:eastAsia="Verdana" w:cs="Verdana"/>
        </w:rPr>
        <w:t xml:space="preserve"> het kabinet </w:t>
      </w:r>
      <w:r w:rsidRPr="003B1DAE" w:rsidR="115A3DC2">
        <w:rPr>
          <w:rFonts w:eastAsia="Verdana" w:cs="Verdana"/>
        </w:rPr>
        <w:t xml:space="preserve">alert op de veiligheid van de </w:t>
      </w:r>
      <w:r w:rsidRPr="003B1DAE" w:rsidR="7CF4128D">
        <w:rPr>
          <w:rFonts w:eastAsia="Verdana" w:cs="Verdana"/>
        </w:rPr>
        <w:t>gas</w:t>
      </w:r>
      <w:r w:rsidRPr="003B1DAE" w:rsidR="279B8616">
        <w:rPr>
          <w:rFonts w:eastAsia="Verdana" w:cs="Verdana"/>
        </w:rPr>
        <w:t>infrastructuur</w:t>
      </w:r>
      <w:r w:rsidRPr="003B1DAE" w:rsidR="0CA27C3B">
        <w:rPr>
          <w:rFonts w:eastAsia="Verdana" w:cs="Verdana"/>
        </w:rPr>
        <w:t xml:space="preserve"> en werkt </w:t>
      </w:r>
      <w:r w:rsidRPr="003B1DAE" w:rsidR="0033755C">
        <w:rPr>
          <w:rFonts w:eastAsia="Verdana" w:cs="Verdana"/>
        </w:rPr>
        <w:t>het</w:t>
      </w:r>
      <w:r w:rsidRPr="003B1DAE" w:rsidR="0CA27C3B">
        <w:rPr>
          <w:rFonts w:eastAsia="Verdana" w:cs="Verdana"/>
        </w:rPr>
        <w:t xml:space="preserve"> </w:t>
      </w:r>
      <w:r w:rsidRPr="003B1DAE" w:rsidR="1BBEC877">
        <w:rPr>
          <w:rFonts w:eastAsia="Verdana" w:cs="Verdana"/>
        </w:rPr>
        <w:t xml:space="preserve">in Europa samen om </w:t>
      </w:r>
      <w:r w:rsidRPr="003B1DAE" w:rsidR="7AFF9C8F">
        <w:rPr>
          <w:rFonts w:eastAsia="Verdana" w:cs="Verdana"/>
        </w:rPr>
        <w:t xml:space="preserve">zowel op land als op zee </w:t>
      </w:r>
      <w:r w:rsidRPr="003B1DAE" w:rsidR="39D86577">
        <w:rPr>
          <w:rFonts w:eastAsia="Verdana" w:cs="Verdana"/>
        </w:rPr>
        <w:t>de weerbaarheid</w:t>
      </w:r>
      <w:r w:rsidRPr="003B1DAE" w:rsidR="75114D7E">
        <w:rPr>
          <w:rFonts w:eastAsia="Verdana" w:cs="Verdana"/>
        </w:rPr>
        <w:t xml:space="preserve"> van </w:t>
      </w:r>
      <w:r w:rsidRPr="003B1DAE" w:rsidR="39D86577">
        <w:rPr>
          <w:rFonts w:eastAsia="Verdana" w:cs="Verdana"/>
        </w:rPr>
        <w:t>het energiesysteem te versterken</w:t>
      </w:r>
      <w:r w:rsidRPr="003B1DAE" w:rsidR="31AB44E7">
        <w:rPr>
          <w:rFonts w:eastAsia="Verdana" w:cs="Verdana"/>
        </w:rPr>
        <w:t>.</w:t>
      </w:r>
      <w:r w:rsidRPr="003B1DAE" w:rsidR="005159B9">
        <w:rPr>
          <w:rStyle w:val="Voetnootmarkering"/>
          <w:rFonts w:eastAsia="Verdana" w:cs="Verdana"/>
        </w:rPr>
        <w:footnoteReference w:id="14"/>
      </w:r>
    </w:p>
    <w:p w:rsidRPr="003B1DAE" w:rsidR="002E7A6D" w:rsidP="003B14FA" w:rsidRDefault="002E7A6D" w14:paraId="6A2DB654" w14:textId="77777777">
      <w:pPr>
        <w:rPr>
          <w:rFonts w:eastAsia="Verdana" w:cs="Verdana"/>
          <w:szCs w:val="18"/>
        </w:rPr>
      </w:pPr>
    </w:p>
    <w:p w:rsidRPr="003B1DAE" w:rsidR="00A25164" w:rsidP="003B14FA" w:rsidRDefault="00A25164" w14:paraId="45CCACD7" w14:textId="10B69D16">
      <w:pPr>
        <w:rPr>
          <w:szCs w:val="18"/>
        </w:rPr>
      </w:pPr>
      <w:r w:rsidRPr="003B1DAE">
        <w:rPr>
          <w:rFonts w:eastAsia="Verdana" w:cs="Verdana"/>
          <w:szCs w:val="18"/>
        </w:rPr>
        <w:t xml:space="preserve">In deze brief wordt ingegaan op </w:t>
      </w:r>
      <w:r w:rsidRPr="003B1DAE" w:rsidR="005916B1">
        <w:rPr>
          <w:rFonts w:eastAsia="Verdana" w:cs="Verdana"/>
          <w:szCs w:val="18"/>
        </w:rPr>
        <w:t>ontwikkelingen op de gasmarkt</w:t>
      </w:r>
      <w:r w:rsidRPr="003B1DAE" w:rsidR="008E67CF">
        <w:rPr>
          <w:rFonts w:eastAsia="Verdana" w:cs="Verdana"/>
          <w:szCs w:val="18"/>
        </w:rPr>
        <w:t xml:space="preserve"> </w:t>
      </w:r>
      <w:r w:rsidRPr="003B1DAE">
        <w:rPr>
          <w:rFonts w:eastAsia="Verdana" w:cs="Verdana"/>
          <w:szCs w:val="18"/>
        </w:rPr>
        <w:t>en de rol van de overheid in de gasmarkt. Vervolgens staat het kabinet stil bij de belangrijkste hoofdboodschappen voor het toekomstige strategisch gasbeleid</w:t>
      </w:r>
      <w:r w:rsidRPr="003B1DAE" w:rsidR="006638F5">
        <w:rPr>
          <w:rFonts w:eastAsia="Verdana" w:cs="Verdana"/>
          <w:szCs w:val="18"/>
        </w:rPr>
        <w:t xml:space="preserve"> en worden vervolgstappen geformuleerd</w:t>
      </w:r>
      <w:r w:rsidRPr="003B1DAE" w:rsidR="00C125D2">
        <w:rPr>
          <w:rFonts w:eastAsia="Verdana" w:cs="Verdana"/>
          <w:szCs w:val="18"/>
        </w:rPr>
        <w:t>.</w:t>
      </w:r>
      <w:r w:rsidRPr="003B1DAE">
        <w:rPr>
          <w:rFonts w:eastAsia="Verdana" w:cs="Verdana"/>
          <w:szCs w:val="18"/>
        </w:rPr>
        <w:t xml:space="preserve"> </w:t>
      </w:r>
      <w:r w:rsidRPr="003B1DAE" w:rsidR="008C2071">
        <w:rPr>
          <w:rFonts w:eastAsia="Verdana" w:cs="Verdana"/>
          <w:szCs w:val="18"/>
        </w:rPr>
        <w:t xml:space="preserve">Verderop in de brief </w:t>
      </w:r>
      <w:r w:rsidRPr="003B1DAE" w:rsidR="002E7A6D">
        <w:rPr>
          <w:rFonts w:eastAsia="Verdana" w:cs="Verdana"/>
          <w:szCs w:val="18"/>
        </w:rPr>
        <w:t xml:space="preserve">worden </w:t>
      </w:r>
      <w:r w:rsidRPr="003B1DAE">
        <w:rPr>
          <w:rFonts w:eastAsia="Verdana" w:cs="Verdana"/>
          <w:szCs w:val="18"/>
        </w:rPr>
        <w:t xml:space="preserve">de hoofdboodschappen </w:t>
      </w:r>
      <w:r w:rsidRPr="003B1DAE" w:rsidR="002E7A6D">
        <w:rPr>
          <w:rFonts w:eastAsia="Verdana" w:cs="Verdana"/>
          <w:szCs w:val="18"/>
        </w:rPr>
        <w:t xml:space="preserve">vervolgens </w:t>
      </w:r>
      <w:r w:rsidRPr="003B1DAE">
        <w:rPr>
          <w:rFonts w:eastAsia="Verdana" w:cs="Verdana"/>
          <w:szCs w:val="18"/>
        </w:rPr>
        <w:t>uitgebreid</w:t>
      </w:r>
      <w:r w:rsidRPr="003B1DAE" w:rsidR="002E7A6D">
        <w:rPr>
          <w:rFonts w:eastAsia="Verdana" w:cs="Verdana"/>
          <w:szCs w:val="18"/>
        </w:rPr>
        <w:t>er</w:t>
      </w:r>
      <w:r w:rsidRPr="003B1DAE">
        <w:rPr>
          <w:rFonts w:eastAsia="Verdana" w:cs="Verdana"/>
          <w:szCs w:val="18"/>
        </w:rPr>
        <w:t xml:space="preserve"> toegelicht</w:t>
      </w:r>
      <w:r w:rsidRPr="003B1DAE" w:rsidR="006638F5">
        <w:rPr>
          <w:rFonts w:eastAsia="Verdana" w:cs="Verdana"/>
          <w:szCs w:val="18"/>
        </w:rPr>
        <w:t>.</w:t>
      </w:r>
    </w:p>
    <w:p w:rsidRPr="003B1DAE" w:rsidR="00A25164" w:rsidP="003B14FA" w:rsidRDefault="00A25164" w14:paraId="580F7D76" w14:textId="77777777">
      <w:pPr>
        <w:rPr>
          <w:rFonts w:eastAsia="Verdana" w:cs="Verdana"/>
          <w:b/>
          <w:bCs/>
          <w:szCs w:val="18"/>
        </w:rPr>
      </w:pPr>
    </w:p>
    <w:p w:rsidRPr="003B1DAE" w:rsidR="00386152" w:rsidP="003B14FA" w:rsidRDefault="00386152" w14:paraId="23FD3FE0" w14:textId="015DEBFC">
      <w:pPr>
        <w:rPr>
          <w:rFonts w:eastAsia="Verdana" w:cs="Verdana"/>
          <w:b/>
          <w:bCs/>
          <w:szCs w:val="18"/>
        </w:rPr>
      </w:pPr>
      <w:r w:rsidRPr="003B1DAE">
        <w:rPr>
          <w:rFonts w:eastAsia="Verdana" w:cs="Verdana"/>
          <w:b/>
          <w:bCs/>
          <w:szCs w:val="18"/>
        </w:rPr>
        <w:t>Analyse</w:t>
      </w:r>
      <w:r w:rsidRPr="003B1DAE" w:rsidR="00F337DD">
        <w:rPr>
          <w:rFonts w:eastAsia="Verdana" w:cs="Verdana"/>
          <w:b/>
          <w:bCs/>
          <w:szCs w:val="18"/>
        </w:rPr>
        <w:t xml:space="preserve">: </w:t>
      </w:r>
      <w:r w:rsidRPr="003B1DAE">
        <w:rPr>
          <w:rFonts w:eastAsia="Verdana" w:cs="Verdana"/>
          <w:b/>
          <w:bCs/>
          <w:szCs w:val="18"/>
        </w:rPr>
        <w:t>ontwikkelingen op de gasmarkt en de rol van de overheid</w:t>
      </w:r>
    </w:p>
    <w:p w:rsidRPr="003B1DAE" w:rsidR="00A25164" w:rsidP="003B14FA" w:rsidRDefault="00A25164" w14:paraId="52E1A9EF" w14:textId="77777777">
      <w:pPr>
        <w:rPr>
          <w:szCs w:val="18"/>
        </w:rPr>
      </w:pPr>
    </w:p>
    <w:p w:rsidRPr="003B1DAE" w:rsidR="006E178D" w:rsidP="003B14FA" w:rsidRDefault="00A25164" w14:paraId="42B2AC92" w14:textId="5D08D42E">
      <w:pPr>
        <w:rPr>
          <w:rFonts w:eastAsia="Verdana" w:cs="Verdana"/>
          <w:szCs w:val="18"/>
        </w:rPr>
      </w:pPr>
      <w:r w:rsidRPr="003B1DAE">
        <w:rPr>
          <w:rFonts w:eastAsia="Verdana" w:cs="Verdana"/>
          <w:szCs w:val="18"/>
        </w:rPr>
        <w:t xml:space="preserve">De mondiale gasmarkt en de rol van Nederland daarin zijn de afgelopen jaren sterk veranderd. </w:t>
      </w:r>
      <w:r w:rsidRPr="003B1DAE" w:rsidR="006E178D">
        <w:rPr>
          <w:rFonts w:eastAsia="Verdana" w:cs="Verdana"/>
          <w:szCs w:val="18"/>
        </w:rPr>
        <w:t xml:space="preserve">Meest </w:t>
      </w:r>
      <w:r w:rsidRPr="003B1DAE" w:rsidR="711581E6">
        <w:rPr>
          <w:rFonts w:eastAsia="Verdana" w:cs="Verdana"/>
          <w:szCs w:val="18"/>
        </w:rPr>
        <w:t>bepalend</w:t>
      </w:r>
      <w:r w:rsidRPr="003B1DAE" w:rsidR="006E178D">
        <w:rPr>
          <w:rFonts w:eastAsia="Verdana" w:cs="Verdana"/>
          <w:szCs w:val="18"/>
        </w:rPr>
        <w:t xml:space="preserve"> zijn de volgende ontwikkelingen:</w:t>
      </w:r>
    </w:p>
    <w:p w:rsidRPr="003B1DAE" w:rsidR="00DB3AF2" w:rsidP="003B14FA" w:rsidRDefault="00A25164" w14:paraId="776967D5" w14:textId="0C702AC2">
      <w:pPr>
        <w:pStyle w:val="Lijstalinea"/>
        <w:numPr>
          <w:ilvl w:val="0"/>
          <w:numId w:val="37"/>
        </w:numPr>
        <w:spacing w:line="240" w:lineRule="atLeast"/>
        <w:rPr>
          <w:rFonts w:ascii="Verdana" w:hAnsi="Verdana" w:eastAsia="Verdana" w:cs="Verdana"/>
          <w:sz w:val="18"/>
          <w:szCs w:val="18"/>
        </w:rPr>
      </w:pPr>
      <w:r w:rsidRPr="003B1DAE">
        <w:rPr>
          <w:rFonts w:ascii="Verdana" w:hAnsi="Verdana"/>
          <w:sz w:val="18"/>
          <w:szCs w:val="18"/>
          <w:u w:val="single"/>
        </w:rPr>
        <w:t>De mondiale markt voor LNG is de afgelopen jaren sterk gegroeid</w:t>
      </w:r>
      <w:r w:rsidRPr="003B1DAE">
        <w:rPr>
          <w:rFonts w:ascii="Verdana" w:hAnsi="Verdana" w:eastAsia="Verdana" w:cs="Verdana"/>
          <w:sz w:val="18"/>
          <w:szCs w:val="18"/>
        </w:rPr>
        <w:t xml:space="preserve"> </w:t>
      </w:r>
      <w:r w:rsidRPr="003B1DAE" w:rsidR="006E178D">
        <w:rPr>
          <w:rFonts w:ascii="Verdana" w:hAnsi="Verdana" w:eastAsia="Verdana" w:cs="Verdana"/>
          <w:sz w:val="18"/>
          <w:szCs w:val="18"/>
        </w:rPr>
        <w:t xml:space="preserve">als gevolg van </w:t>
      </w:r>
      <w:r w:rsidRPr="003B1DAE" w:rsidR="00765932">
        <w:rPr>
          <w:rFonts w:ascii="Verdana" w:hAnsi="Verdana" w:eastAsia="Verdana" w:cs="Verdana"/>
          <w:sz w:val="18"/>
          <w:szCs w:val="18"/>
        </w:rPr>
        <w:t xml:space="preserve">sterk stijgend aanbod van LNG </w:t>
      </w:r>
      <w:r w:rsidRPr="003B1DAE" w:rsidR="00C67A99">
        <w:rPr>
          <w:rFonts w:ascii="Verdana" w:hAnsi="Verdana" w:eastAsia="Verdana" w:cs="Verdana"/>
          <w:sz w:val="18"/>
          <w:szCs w:val="18"/>
        </w:rPr>
        <w:t xml:space="preserve">in reactie op </w:t>
      </w:r>
      <w:r w:rsidRPr="003B1DAE" w:rsidR="006E178D">
        <w:rPr>
          <w:rFonts w:ascii="Verdana" w:hAnsi="Verdana" w:eastAsia="Verdana" w:cs="Verdana"/>
          <w:sz w:val="18"/>
          <w:szCs w:val="18"/>
        </w:rPr>
        <w:t xml:space="preserve">toenemende mondiale vraag. </w:t>
      </w:r>
      <w:r w:rsidRPr="003B1DAE" w:rsidR="00996B38">
        <w:rPr>
          <w:rFonts w:ascii="Verdana" w:hAnsi="Verdana" w:eastAsia="Verdana" w:cs="Verdana"/>
          <w:sz w:val="18"/>
          <w:szCs w:val="18"/>
        </w:rPr>
        <w:t xml:space="preserve">Deze ontwikkeling </w:t>
      </w:r>
      <w:r w:rsidRPr="003B1DAE" w:rsidR="006E178D">
        <w:rPr>
          <w:rFonts w:ascii="Verdana" w:hAnsi="Verdana" w:eastAsia="Verdana" w:cs="Verdana"/>
          <w:sz w:val="18"/>
          <w:szCs w:val="18"/>
        </w:rPr>
        <w:t xml:space="preserve">heeft </w:t>
      </w:r>
      <w:r w:rsidRPr="003B1DAE" w:rsidR="00996B38">
        <w:rPr>
          <w:rFonts w:ascii="Verdana" w:hAnsi="Verdana" w:eastAsia="Verdana" w:cs="Verdana"/>
          <w:sz w:val="18"/>
          <w:szCs w:val="18"/>
        </w:rPr>
        <w:t xml:space="preserve">in Europa en Nederland </w:t>
      </w:r>
      <w:r w:rsidRPr="003B1DAE" w:rsidR="00DC3129">
        <w:rPr>
          <w:rFonts w:ascii="Verdana" w:hAnsi="Verdana" w:eastAsia="Verdana" w:cs="Verdana"/>
          <w:sz w:val="18"/>
          <w:szCs w:val="18"/>
        </w:rPr>
        <w:t>twee belangrijke gevolgen</w:t>
      </w:r>
      <w:r w:rsidRPr="003B1DAE" w:rsidR="00DB3AF2">
        <w:rPr>
          <w:rFonts w:ascii="Verdana" w:hAnsi="Verdana" w:eastAsia="Verdana" w:cs="Verdana"/>
          <w:sz w:val="18"/>
          <w:szCs w:val="18"/>
        </w:rPr>
        <w:t>:</w:t>
      </w:r>
    </w:p>
    <w:p w:rsidRPr="003B1DAE" w:rsidR="006E178D" w:rsidP="003B14FA" w:rsidRDefault="00DC3129" w14:paraId="3B9C032B" w14:textId="7A958773">
      <w:pPr>
        <w:pStyle w:val="Lijstalinea"/>
        <w:numPr>
          <w:ilvl w:val="1"/>
          <w:numId w:val="38"/>
        </w:numPr>
        <w:spacing w:line="240" w:lineRule="atLeast"/>
        <w:rPr>
          <w:rFonts w:ascii="Verdana" w:hAnsi="Verdana" w:eastAsia="Verdana" w:cs="Verdana"/>
          <w:sz w:val="18"/>
          <w:szCs w:val="18"/>
        </w:rPr>
      </w:pPr>
      <w:r w:rsidRPr="003B1DAE">
        <w:rPr>
          <w:rFonts w:ascii="Verdana" w:hAnsi="Verdana" w:eastAsia="Verdana" w:cs="Verdana"/>
          <w:sz w:val="18"/>
          <w:szCs w:val="18"/>
        </w:rPr>
        <w:t xml:space="preserve">Het </w:t>
      </w:r>
      <w:r w:rsidRPr="003B1DAE" w:rsidR="005E6611">
        <w:rPr>
          <w:rFonts w:ascii="Verdana" w:hAnsi="Verdana" w:eastAsia="Verdana" w:cs="Verdana"/>
          <w:sz w:val="18"/>
          <w:szCs w:val="18"/>
        </w:rPr>
        <w:t>relatief</w:t>
      </w:r>
      <w:r w:rsidRPr="003B1DAE">
        <w:rPr>
          <w:rFonts w:ascii="Verdana" w:hAnsi="Verdana" w:eastAsia="Verdana" w:cs="Verdana"/>
          <w:sz w:val="18"/>
          <w:szCs w:val="18"/>
        </w:rPr>
        <w:t xml:space="preserve"> vlakke </w:t>
      </w:r>
      <w:r w:rsidRPr="003B1DAE" w:rsidR="00A74F34">
        <w:rPr>
          <w:rFonts w:ascii="Verdana" w:hAnsi="Verdana" w:eastAsia="Verdana" w:cs="Verdana"/>
          <w:sz w:val="18"/>
          <w:szCs w:val="18"/>
        </w:rPr>
        <w:t>aanbodprofiel</w:t>
      </w:r>
      <w:r w:rsidRPr="003B1DAE" w:rsidR="00CB70C1">
        <w:rPr>
          <w:rFonts w:ascii="Verdana" w:hAnsi="Verdana" w:eastAsia="Verdana" w:cs="Verdana"/>
          <w:sz w:val="18"/>
          <w:szCs w:val="18"/>
        </w:rPr>
        <w:t xml:space="preserve"> van zowel Russisch gas als Groningengas is ingeruild voor LNG dat kan worden geïmporteerd uit de </w:t>
      </w:r>
      <w:r w:rsidRPr="003B1DAE" w:rsidR="00D327D7">
        <w:rPr>
          <w:rFonts w:ascii="Verdana" w:hAnsi="Verdana" w:eastAsia="Verdana" w:cs="Verdana"/>
          <w:sz w:val="18"/>
          <w:szCs w:val="18"/>
        </w:rPr>
        <w:t xml:space="preserve">hele wereld in elk gevraagd leveringsprofiel. Dit verkleint de rol van seizoensopslagen in het portfolio van gasleveranciers. </w:t>
      </w:r>
      <w:r w:rsidRPr="003B1DAE" w:rsidR="00283DCE">
        <w:rPr>
          <w:rFonts w:ascii="Verdana" w:hAnsi="Verdana" w:eastAsia="Verdana" w:cs="Verdana"/>
          <w:sz w:val="18"/>
          <w:szCs w:val="18"/>
        </w:rPr>
        <w:t xml:space="preserve">Seizoensopslagen werkten namelijk als buffers </w:t>
      </w:r>
      <w:r w:rsidRPr="003B1DAE" w:rsidR="005E5D46">
        <w:rPr>
          <w:rFonts w:ascii="Verdana" w:hAnsi="Verdana" w:eastAsia="Verdana" w:cs="Verdana"/>
          <w:sz w:val="18"/>
          <w:szCs w:val="18"/>
        </w:rPr>
        <w:t>om in de winter meer gas te kunnen leveren terwijl de aa</w:t>
      </w:r>
      <w:r w:rsidRPr="003B1DAE" w:rsidR="00082670">
        <w:rPr>
          <w:rFonts w:ascii="Verdana" w:hAnsi="Verdana" w:eastAsia="Verdana" w:cs="Verdana"/>
          <w:sz w:val="18"/>
          <w:szCs w:val="18"/>
        </w:rPr>
        <w:t xml:space="preserve">nvoer </w:t>
      </w:r>
      <w:r w:rsidRPr="003B1DAE" w:rsidR="00A16E12">
        <w:rPr>
          <w:rFonts w:ascii="Verdana" w:hAnsi="Verdana" w:eastAsia="Verdana" w:cs="Verdana"/>
          <w:sz w:val="18"/>
          <w:szCs w:val="18"/>
        </w:rPr>
        <w:t xml:space="preserve">door het jaar heen redelijk constant was. </w:t>
      </w:r>
      <w:r w:rsidRPr="003B1DAE" w:rsidR="00026924">
        <w:rPr>
          <w:rFonts w:ascii="Verdana" w:hAnsi="Verdana" w:eastAsia="Verdana" w:cs="Verdana"/>
          <w:sz w:val="18"/>
          <w:szCs w:val="18"/>
        </w:rPr>
        <w:t xml:space="preserve">De afbouwende export van </w:t>
      </w:r>
      <w:r w:rsidRPr="003B1DAE" w:rsidR="00A041C6">
        <w:rPr>
          <w:rFonts w:ascii="Verdana" w:hAnsi="Verdana" w:eastAsia="Verdana" w:cs="Verdana"/>
          <w:sz w:val="18"/>
          <w:szCs w:val="18"/>
        </w:rPr>
        <w:t xml:space="preserve">laagcalorisch </w:t>
      </w:r>
      <w:r w:rsidRPr="003B1DAE" w:rsidR="0079422A">
        <w:rPr>
          <w:rFonts w:ascii="Verdana" w:hAnsi="Verdana" w:eastAsia="Verdana" w:cs="Verdana"/>
          <w:sz w:val="18"/>
          <w:szCs w:val="18"/>
        </w:rPr>
        <w:t>gas (</w:t>
      </w:r>
      <w:r w:rsidRPr="003B1DAE" w:rsidR="00080093">
        <w:rPr>
          <w:rFonts w:ascii="Verdana" w:hAnsi="Verdana" w:eastAsia="Verdana" w:cs="Verdana"/>
          <w:sz w:val="18"/>
          <w:szCs w:val="18"/>
        </w:rPr>
        <w:t xml:space="preserve">en voorheen </w:t>
      </w:r>
      <w:r w:rsidRPr="003B1DAE" w:rsidR="00026924">
        <w:rPr>
          <w:rFonts w:ascii="Verdana" w:hAnsi="Verdana" w:eastAsia="Verdana" w:cs="Verdana"/>
          <w:sz w:val="18"/>
          <w:szCs w:val="18"/>
        </w:rPr>
        <w:t>Groningengas</w:t>
      </w:r>
      <w:r w:rsidRPr="003B1DAE" w:rsidR="00080093">
        <w:rPr>
          <w:rFonts w:ascii="Verdana" w:hAnsi="Verdana" w:eastAsia="Verdana" w:cs="Verdana"/>
          <w:sz w:val="18"/>
          <w:szCs w:val="18"/>
        </w:rPr>
        <w:t>)</w:t>
      </w:r>
      <w:r w:rsidRPr="003B1DAE" w:rsidR="00026924">
        <w:rPr>
          <w:rFonts w:ascii="Verdana" w:hAnsi="Verdana" w:eastAsia="Verdana" w:cs="Verdana"/>
          <w:sz w:val="18"/>
          <w:szCs w:val="18"/>
        </w:rPr>
        <w:t xml:space="preserve"> naar buurlanden versterkt dit effect. </w:t>
      </w:r>
    </w:p>
    <w:p w:rsidRPr="003B1DAE" w:rsidR="004A1D0A" w:rsidP="003B14FA" w:rsidRDefault="004A1D0A" w14:paraId="77F276BA" w14:textId="29D6AE08">
      <w:pPr>
        <w:pStyle w:val="Lijstalinea"/>
        <w:numPr>
          <w:ilvl w:val="1"/>
          <w:numId w:val="38"/>
        </w:numPr>
        <w:spacing w:line="240" w:lineRule="atLeast"/>
        <w:rPr>
          <w:rFonts w:ascii="Verdana" w:hAnsi="Verdana" w:eastAsia="Verdana" w:cs="Verdana"/>
          <w:sz w:val="18"/>
          <w:szCs w:val="18"/>
        </w:rPr>
      </w:pPr>
      <w:r w:rsidRPr="003B1DAE">
        <w:rPr>
          <w:rFonts w:ascii="Verdana" w:hAnsi="Verdana" w:eastAsia="Verdana" w:cs="Verdana"/>
          <w:sz w:val="18"/>
          <w:szCs w:val="18"/>
        </w:rPr>
        <w:t>Het toegenomen aandeel LNG heeft een positief effect op de weerbaarheid van de Europese gasmarkt: mondiale handelsstromen worden razendsnel verlegd bij geopolitieke verstoringen. In Europa hebben</w:t>
      </w:r>
      <w:r w:rsidRPr="003B1DAE" w:rsidR="00754169">
        <w:rPr>
          <w:rFonts w:ascii="Verdana" w:hAnsi="Verdana" w:eastAsia="Verdana" w:cs="Verdana"/>
          <w:sz w:val="18"/>
          <w:szCs w:val="18"/>
        </w:rPr>
        <w:t xml:space="preserve"> de </w:t>
      </w:r>
      <w:r w:rsidRPr="003B1DAE">
        <w:rPr>
          <w:rFonts w:ascii="Verdana" w:hAnsi="Verdana" w:eastAsia="Verdana" w:cs="Verdana"/>
          <w:sz w:val="18"/>
          <w:szCs w:val="18"/>
        </w:rPr>
        <w:t xml:space="preserve">verstoringen </w:t>
      </w:r>
      <w:r w:rsidRPr="003B1DAE" w:rsidR="00C6764B">
        <w:rPr>
          <w:rFonts w:ascii="Verdana" w:hAnsi="Verdana" w:eastAsia="Verdana" w:cs="Verdana"/>
          <w:sz w:val="18"/>
          <w:szCs w:val="18"/>
        </w:rPr>
        <w:t xml:space="preserve">als gevolg van </w:t>
      </w:r>
      <w:r w:rsidRPr="003B1DAE" w:rsidR="004E3F05">
        <w:rPr>
          <w:rFonts w:ascii="Verdana" w:hAnsi="Verdana" w:eastAsia="Verdana" w:cs="Verdana"/>
          <w:sz w:val="18"/>
          <w:szCs w:val="18"/>
        </w:rPr>
        <w:t xml:space="preserve">het </w:t>
      </w:r>
      <w:r w:rsidRPr="003B1DAE" w:rsidR="00212E93">
        <w:rPr>
          <w:rFonts w:ascii="Verdana" w:hAnsi="Verdana" w:eastAsia="Verdana" w:cs="Verdana"/>
          <w:sz w:val="18"/>
          <w:szCs w:val="18"/>
        </w:rPr>
        <w:t>wegvallen van</w:t>
      </w:r>
      <w:r w:rsidRPr="003B1DAE" w:rsidR="00913CDE">
        <w:rPr>
          <w:rFonts w:ascii="Verdana" w:hAnsi="Verdana" w:eastAsia="Verdana" w:cs="Verdana"/>
          <w:sz w:val="18"/>
          <w:szCs w:val="18"/>
        </w:rPr>
        <w:t xml:space="preserve"> het Russisch gas en de </w:t>
      </w:r>
      <w:r w:rsidRPr="003B1DAE" w:rsidR="00F102C5">
        <w:rPr>
          <w:rFonts w:ascii="Verdana" w:hAnsi="Verdana" w:eastAsia="Verdana" w:cs="Verdana"/>
          <w:sz w:val="18"/>
          <w:szCs w:val="18"/>
        </w:rPr>
        <w:t xml:space="preserve">sluiting </w:t>
      </w:r>
      <w:r w:rsidRPr="003B1DAE" w:rsidR="005632CA">
        <w:rPr>
          <w:rFonts w:ascii="Verdana" w:hAnsi="Verdana" w:eastAsia="Verdana" w:cs="Verdana"/>
          <w:sz w:val="18"/>
          <w:szCs w:val="18"/>
        </w:rPr>
        <w:t xml:space="preserve">van </w:t>
      </w:r>
      <w:r w:rsidRPr="003B1DAE" w:rsidR="00CA4FEE">
        <w:rPr>
          <w:rFonts w:ascii="Verdana" w:hAnsi="Verdana" w:eastAsia="Verdana" w:cs="Verdana"/>
          <w:sz w:val="18"/>
          <w:szCs w:val="18"/>
        </w:rPr>
        <w:t xml:space="preserve">de Straat van Hormuz </w:t>
      </w:r>
      <w:r w:rsidRPr="003B1DAE">
        <w:rPr>
          <w:rFonts w:ascii="Verdana" w:hAnsi="Verdana" w:eastAsia="Verdana" w:cs="Verdana"/>
          <w:sz w:val="18"/>
          <w:szCs w:val="18"/>
        </w:rPr>
        <w:t>vooralsnog hoofdzakelijk geleid tot prijsverhoging, niet tot tekorten.</w:t>
      </w:r>
      <w:r w:rsidRPr="003B1DAE" w:rsidR="00ED487B">
        <w:rPr>
          <w:rFonts w:ascii="Verdana" w:hAnsi="Verdana" w:eastAsia="Verdana" w:cs="Verdana"/>
          <w:sz w:val="18"/>
          <w:szCs w:val="18"/>
        </w:rPr>
        <w:t xml:space="preserve"> Belangrijke LNG</w:t>
      </w:r>
      <w:r w:rsidRPr="003B1DAE" w:rsidR="00485E93">
        <w:rPr>
          <w:rFonts w:ascii="Verdana" w:hAnsi="Verdana" w:eastAsia="Verdana" w:cs="Verdana"/>
          <w:sz w:val="18"/>
          <w:szCs w:val="18"/>
        </w:rPr>
        <w:t xml:space="preserve"> exporterende landen in de wereld zijn bijvoorbeeld de VS, Qatar en Australië</w:t>
      </w:r>
      <w:r w:rsidRPr="003B1DAE" w:rsidR="00975EA7">
        <w:rPr>
          <w:rFonts w:ascii="Verdana" w:hAnsi="Verdana" w:eastAsia="Verdana" w:cs="Verdana"/>
          <w:sz w:val="18"/>
          <w:szCs w:val="18"/>
        </w:rPr>
        <w:t xml:space="preserve"> en daar komen nieuwe exporterende landen bij zoals Nigeria</w:t>
      </w:r>
      <w:r w:rsidRPr="003B1DAE" w:rsidR="00485E93">
        <w:rPr>
          <w:rFonts w:ascii="Verdana" w:hAnsi="Verdana" w:eastAsia="Verdana" w:cs="Verdana"/>
          <w:sz w:val="18"/>
          <w:szCs w:val="18"/>
        </w:rPr>
        <w:t xml:space="preserve">. </w:t>
      </w:r>
    </w:p>
    <w:p w:rsidRPr="003B1DAE" w:rsidR="006300BF" w:rsidP="003B14FA" w:rsidRDefault="006E178D" w14:paraId="41ECD175" w14:textId="387416AD">
      <w:pPr>
        <w:pStyle w:val="Lijstalinea"/>
        <w:numPr>
          <w:ilvl w:val="0"/>
          <w:numId w:val="37"/>
        </w:numPr>
        <w:spacing w:line="240" w:lineRule="atLeast"/>
        <w:rPr>
          <w:rFonts w:ascii="Verdana" w:hAnsi="Verdana" w:eastAsia="Verdana" w:cs="Verdana"/>
          <w:sz w:val="18"/>
          <w:szCs w:val="18"/>
        </w:rPr>
      </w:pPr>
      <w:r w:rsidRPr="003B1DAE">
        <w:rPr>
          <w:rFonts w:ascii="Verdana" w:hAnsi="Verdana"/>
          <w:sz w:val="18"/>
          <w:szCs w:val="18"/>
          <w:u w:val="single"/>
        </w:rPr>
        <w:t>D</w:t>
      </w:r>
      <w:r w:rsidRPr="003B1DAE" w:rsidDel="00B66EB8" w:rsidR="00A25164">
        <w:rPr>
          <w:rFonts w:ascii="Verdana" w:hAnsi="Verdana"/>
          <w:sz w:val="18"/>
          <w:szCs w:val="18"/>
          <w:u w:val="single"/>
        </w:rPr>
        <w:t>e</w:t>
      </w:r>
      <w:r w:rsidRPr="003B1DAE" w:rsidR="00A25164">
        <w:rPr>
          <w:rFonts w:ascii="Verdana" w:hAnsi="Verdana"/>
          <w:sz w:val="18"/>
          <w:szCs w:val="18"/>
          <w:u w:val="single"/>
        </w:rPr>
        <w:t xml:space="preserve"> vraag naar gas </w:t>
      </w:r>
      <w:r w:rsidRPr="003B1DAE" w:rsidR="39AD534B">
        <w:rPr>
          <w:rFonts w:ascii="Verdana" w:hAnsi="Verdana"/>
          <w:sz w:val="18"/>
          <w:szCs w:val="18"/>
          <w:u w:val="single"/>
        </w:rPr>
        <w:t>is</w:t>
      </w:r>
      <w:r w:rsidRPr="003B1DAE" w:rsidR="00FA016B">
        <w:rPr>
          <w:rFonts w:ascii="Verdana" w:hAnsi="Verdana"/>
          <w:sz w:val="18"/>
          <w:szCs w:val="18"/>
          <w:u w:val="single"/>
        </w:rPr>
        <w:t xml:space="preserve"> </w:t>
      </w:r>
      <w:r w:rsidRPr="003B1DAE" w:rsidR="00DB3AF2">
        <w:rPr>
          <w:rFonts w:ascii="Verdana" w:hAnsi="Verdana"/>
          <w:sz w:val="18"/>
          <w:szCs w:val="18"/>
          <w:u w:val="single"/>
        </w:rPr>
        <w:t>sterk gedaald</w:t>
      </w:r>
      <w:r w:rsidRPr="003B1DAE" w:rsidR="00DB3AF2">
        <w:rPr>
          <w:rFonts w:ascii="Verdana" w:hAnsi="Verdana" w:eastAsia="Verdana" w:cs="Verdana"/>
          <w:sz w:val="18"/>
          <w:szCs w:val="18"/>
        </w:rPr>
        <w:t>:</w:t>
      </w:r>
      <w:r w:rsidRPr="003B1DAE" w:rsidR="00A25164">
        <w:rPr>
          <w:rFonts w:ascii="Verdana" w:hAnsi="Verdana" w:eastAsia="Verdana" w:cs="Verdana"/>
          <w:sz w:val="18"/>
          <w:szCs w:val="18"/>
        </w:rPr>
        <w:t xml:space="preserve"> huishoudens, bedrijven en maatschappelijke organisaties zijn</w:t>
      </w:r>
      <w:r w:rsidRPr="003B1DAE" w:rsidR="28E31C06">
        <w:rPr>
          <w:rFonts w:ascii="Verdana" w:hAnsi="Verdana" w:eastAsia="Verdana" w:cs="Verdana"/>
          <w:sz w:val="18"/>
          <w:szCs w:val="18"/>
        </w:rPr>
        <w:t>, met name in de winter,</w:t>
      </w:r>
      <w:r w:rsidRPr="003B1DAE" w:rsidR="00A25164">
        <w:rPr>
          <w:rFonts w:ascii="Verdana" w:hAnsi="Verdana" w:eastAsia="Verdana" w:cs="Verdana"/>
          <w:sz w:val="18"/>
          <w:szCs w:val="18"/>
        </w:rPr>
        <w:t xml:space="preserve"> minder gas gaan afnemen in de laatste jaren, onder meer door energiebesparing en verduurzaming</w:t>
      </w:r>
      <w:r w:rsidRPr="003B1DAE" w:rsidR="001C460A">
        <w:rPr>
          <w:rFonts w:ascii="Verdana" w:hAnsi="Verdana" w:eastAsia="Verdana" w:cs="Verdana"/>
          <w:sz w:val="18"/>
          <w:szCs w:val="18"/>
        </w:rPr>
        <w:t xml:space="preserve">, maar ook vermindering van </w:t>
      </w:r>
      <w:r w:rsidRPr="003B1DAE" w:rsidR="009F7F42">
        <w:rPr>
          <w:rFonts w:ascii="Verdana" w:hAnsi="Verdana" w:eastAsia="Verdana" w:cs="Verdana"/>
          <w:sz w:val="18"/>
          <w:szCs w:val="18"/>
        </w:rPr>
        <w:t xml:space="preserve">industriële </w:t>
      </w:r>
      <w:r w:rsidRPr="003B1DAE" w:rsidR="001C460A">
        <w:rPr>
          <w:rFonts w:ascii="Verdana" w:hAnsi="Verdana" w:eastAsia="Verdana" w:cs="Verdana"/>
          <w:sz w:val="18"/>
          <w:szCs w:val="18"/>
        </w:rPr>
        <w:t>productie</w:t>
      </w:r>
      <w:r w:rsidRPr="003B1DAE" w:rsidR="00A25164">
        <w:rPr>
          <w:rFonts w:ascii="Verdana" w:hAnsi="Verdana" w:eastAsia="Verdana" w:cs="Verdana"/>
          <w:sz w:val="18"/>
          <w:szCs w:val="18"/>
        </w:rPr>
        <w:t>.</w:t>
      </w:r>
      <w:r w:rsidRPr="003B1DAE" w:rsidR="6EBE411E">
        <w:rPr>
          <w:rFonts w:ascii="Verdana" w:hAnsi="Verdana" w:eastAsia="Verdana" w:cs="Verdana"/>
          <w:sz w:val="18"/>
          <w:szCs w:val="18"/>
        </w:rPr>
        <w:t xml:space="preserve"> Zo is het binnenlandse gasverbruik sinds de energiecrisis van 2022 gedaald van ongeveer 40 naar 30 bcm per jaar</w:t>
      </w:r>
      <w:r w:rsidRPr="003B1DAE" w:rsidR="00493B4F">
        <w:rPr>
          <w:rFonts w:ascii="Verdana" w:hAnsi="Verdana" w:eastAsia="Verdana" w:cs="Verdana"/>
          <w:sz w:val="18"/>
          <w:szCs w:val="18"/>
        </w:rPr>
        <w:t>, waarbij de grootste reductie vooral werd gerealiseerd in de industrie, gevolgd door huishoudens</w:t>
      </w:r>
      <w:r w:rsidRPr="003B1DAE" w:rsidR="0072171B">
        <w:rPr>
          <w:rFonts w:ascii="Verdana" w:hAnsi="Verdana" w:eastAsia="Verdana" w:cs="Verdana"/>
          <w:sz w:val="18"/>
          <w:szCs w:val="18"/>
        </w:rPr>
        <w:t>.</w:t>
      </w:r>
      <w:r w:rsidRPr="003B1DAE" w:rsidR="00E25E02">
        <w:rPr>
          <w:rFonts w:ascii="Verdana" w:hAnsi="Verdana" w:eastAsia="Verdana" w:cs="Verdana"/>
          <w:sz w:val="18"/>
          <w:szCs w:val="18"/>
        </w:rPr>
        <w:t xml:space="preserve"> </w:t>
      </w:r>
    </w:p>
    <w:p w:rsidRPr="003B1DAE" w:rsidR="00B55EE2" w:rsidP="003B14FA" w:rsidRDefault="00B55EE2" w14:paraId="1C148505" w14:textId="77777777">
      <w:pPr>
        <w:rPr>
          <w:rFonts w:eastAsia="Verdana" w:cs="Verdana"/>
          <w:szCs w:val="18"/>
        </w:rPr>
      </w:pPr>
    </w:p>
    <w:p w:rsidRPr="003B1DAE" w:rsidR="00B16B0C" w:rsidP="003B14FA" w:rsidRDefault="006300BF" w14:paraId="79766E9B" w14:textId="3594709B">
      <w:pPr>
        <w:rPr>
          <w:rFonts w:eastAsia="Verdana" w:cs="Verdana"/>
          <w:szCs w:val="18"/>
        </w:rPr>
      </w:pPr>
      <w:r w:rsidRPr="003B1DAE">
        <w:rPr>
          <w:rFonts w:eastAsia="Verdana" w:cs="Verdana"/>
          <w:szCs w:val="18"/>
        </w:rPr>
        <w:t xml:space="preserve">Na de Russische inval in Oekraïne ontstond er een sterke behoefte om over voldoende fysiek aanwezig gas te kunnen beschikken teneinde verstoringen van aanbod te kunnen opvangen. Dat is aanleiding geweest voor </w:t>
      </w:r>
      <w:r w:rsidRPr="003B1DAE" w:rsidR="535221BF">
        <w:rPr>
          <w:rFonts w:eastAsia="Verdana" w:cs="Verdana"/>
          <w:szCs w:val="18"/>
        </w:rPr>
        <w:t xml:space="preserve">introductie van </w:t>
      </w:r>
      <w:r w:rsidRPr="003B1DAE">
        <w:rPr>
          <w:rFonts w:eastAsia="Verdana" w:cs="Verdana"/>
          <w:szCs w:val="18"/>
        </w:rPr>
        <w:t>Europese en nationale vuldoelen</w:t>
      </w:r>
      <w:r w:rsidRPr="003B1DAE" w:rsidR="47F35CC5">
        <w:rPr>
          <w:rFonts w:eastAsia="Verdana" w:cs="Verdana"/>
          <w:szCs w:val="18"/>
        </w:rPr>
        <w:t>.</w:t>
      </w:r>
    </w:p>
    <w:p w:rsidRPr="003B1DAE" w:rsidR="008820D3" w:rsidP="003B14FA" w:rsidRDefault="008820D3" w14:paraId="067DC939" w14:textId="77777777">
      <w:pPr>
        <w:rPr>
          <w:rFonts w:eastAsia="Verdana" w:cs="Verdana"/>
          <w:szCs w:val="18"/>
        </w:rPr>
      </w:pPr>
    </w:p>
    <w:p w:rsidRPr="003B1DAE" w:rsidR="008820D3" w:rsidP="003B14FA" w:rsidRDefault="008820D3" w14:paraId="4856911D" w14:textId="16073638">
      <w:pPr>
        <w:rPr>
          <w:rFonts w:eastAsia="Verdana"/>
          <w:szCs w:val="18"/>
        </w:rPr>
      </w:pPr>
      <w:r w:rsidRPr="003B1DAE">
        <w:rPr>
          <w:szCs w:val="18"/>
        </w:rPr>
        <w:t>Voor landen zoals Nederland die beschikken over relatief veel opslagcapaciteit ten opzichte van het eigen verbruik</w:t>
      </w:r>
      <w:r w:rsidRPr="003B1DAE" w:rsidR="00A82DA9">
        <w:rPr>
          <w:szCs w:val="18"/>
        </w:rPr>
        <w:t>, pakt de huidige methode voor het vaststellen van</w:t>
      </w:r>
      <w:r w:rsidRPr="003B1DAE" w:rsidR="00D90ABF">
        <w:rPr>
          <w:szCs w:val="18"/>
        </w:rPr>
        <w:t xml:space="preserve"> de vuldoelen</w:t>
      </w:r>
      <w:r w:rsidRPr="003B1DAE">
        <w:rPr>
          <w:szCs w:val="18"/>
        </w:rPr>
        <w:t xml:space="preserve"> ongunstig uit omdat het EU-vuldoel is gerelateerd aan de opslagcapaciteit in plaats van het jaarlijkse verbruik. </w:t>
      </w:r>
      <w:r w:rsidRPr="003B1DAE" w:rsidR="00950128">
        <w:rPr>
          <w:szCs w:val="18"/>
        </w:rPr>
        <w:t>Nederland heeft</w:t>
      </w:r>
      <w:r w:rsidRPr="003B1DAE" w:rsidR="0004050C">
        <w:rPr>
          <w:szCs w:val="18"/>
        </w:rPr>
        <w:t xml:space="preserve"> namelijk een </w:t>
      </w:r>
      <w:r w:rsidRPr="003B1DAE" w:rsidR="00950128">
        <w:rPr>
          <w:szCs w:val="18"/>
        </w:rPr>
        <w:t xml:space="preserve">opslagcapaciteit die veel groter is dan de eigen behoefte. </w:t>
      </w:r>
      <w:r w:rsidRPr="003B1DAE">
        <w:rPr>
          <w:szCs w:val="18"/>
        </w:rPr>
        <w:t>Het huidige EU-kader voorziet niet in een grondslag voor het verhalen van de hiervoor extra gemaakte kosten op andere lidstaten of buitenlandse afnemers, terwijl deze wel baat hebben bij het in Nederland opgeslagen gas.</w:t>
      </w:r>
    </w:p>
    <w:p w:rsidRPr="003B1DAE" w:rsidR="00F341A4" w:rsidP="003B14FA" w:rsidRDefault="00F341A4" w14:paraId="3A4CB118" w14:textId="77777777">
      <w:pPr>
        <w:rPr>
          <w:rFonts w:eastAsia="Verdana" w:cs="Verdana"/>
          <w:szCs w:val="18"/>
        </w:rPr>
      </w:pPr>
    </w:p>
    <w:p w:rsidRPr="003B1DAE" w:rsidR="00A941D7" w:rsidP="003B14FA" w:rsidRDefault="00DB3AF2" w14:paraId="66598944" w14:textId="1F68EE33">
      <w:pPr>
        <w:rPr>
          <w:szCs w:val="18"/>
        </w:rPr>
      </w:pPr>
      <w:r w:rsidRPr="003B1DAE">
        <w:rPr>
          <w:szCs w:val="18"/>
        </w:rPr>
        <w:t>Omdat lidstaten aan de EU-vul</w:t>
      </w:r>
      <w:r w:rsidRPr="003B1DAE" w:rsidR="00783262">
        <w:rPr>
          <w:szCs w:val="18"/>
        </w:rPr>
        <w:t>doelen</w:t>
      </w:r>
      <w:r w:rsidRPr="003B1DAE">
        <w:rPr>
          <w:szCs w:val="18"/>
        </w:rPr>
        <w:t xml:space="preserve"> </w:t>
      </w:r>
      <w:r w:rsidRPr="003B1DAE">
        <w:rPr>
          <w:i/>
          <w:szCs w:val="18"/>
        </w:rPr>
        <w:t xml:space="preserve">moeten </w:t>
      </w:r>
      <w:r w:rsidRPr="003B1DAE">
        <w:rPr>
          <w:szCs w:val="18"/>
        </w:rPr>
        <w:t xml:space="preserve">voldoen worden overheden gedwongen om </w:t>
      </w:r>
      <w:r w:rsidRPr="003B1DAE" w:rsidR="00F17C08">
        <w:rPr>
          <w:szCs w:val="18"/>
        </w:rPr>
        <w:t xml:space="preserve">maatregelen te nemen om </w:t>
      </w:r>
      <w:r w:rsidRPr="003B1DAE">
        <w:rPr>
          <w:szCs w:val="18"/>
        </w:rPr>
        <w:t>de seizoensopslagen te vullen</w:t>
      </w:r>
      <w:r w:rsidRPr="003B1DAE" w:rsidR="52DC08D7">
        <w:rPr>
          <w:szCs w:val="18"/>
        </w:rPr>
        <w:t xml:space="preserve"> waar marktpartijen zijn gestopt</w:t>
      </w:r>
      <w:r w:rsidRPr="003B1DAE">
        <w:rPr>
          <w:szCs w:val="18"/>
        </w:rPr>
        <w:t>.</w:t>
      </w:r>
      <w:r w:rsidRPr="003B1DAE" w:rsidR="00D5286F">
        <w:rPr>
          <w:szCs w:val="18"/>
        </w:rPr>
        <w:t xml:space="preserve"> </w:t>
      </w:r>
      <w:r w:rsidRPr="003B1DAE" w:rsidR="00D5286F">
        <w:rPr>
          <w:rFonts w:eastAsia="Verdana" w:cs="Verdana"/>
          <w:szCs w:val="18"/>
        </w:rPr>
        <w:t>Doordat er door commerciële partijen gematigd wordt gevuld</w:t>
      </w:r>
      <w:r w:rsidRPr="003B1DAE" w:rsidR="0094004F">
        <w:rPr>
          <w:rFonts w:eastAsia="Verdana" w:cs="Verdana"/>
          <w:szCs w:val="18"/>
        </w:rPr>
        <w:t>,</w:t>
      </w:r>
      <w:r w:rsidRPr="003B1DAE" w:rsidR="00D5286F">
        <w:rPr>
          <w:rFonts w:eastAsia="Verdana" w:cs="Verdana"/>
          <w:szCs w:val="18"/>
        </w:rPr>
        <w:t xml:space="preserve"> moet de Staat </w:t>
      </w:r>
      <w:r w:rsidR="00F654C0">
        <w:rPr>
          <w:rFonts w:eastAsia="Verdana" w:cs="Verdana"/>
          <w:szCs w:val="18"/>
        </w:rPr>
        <w:t>een vulagent aanwijzen</w:t>
      </w:r>
      <w:r w:rsidR="00221576">
        <w:rPr>
          <w:rFonts w:eastAsia="Verdana" w:cs="Verdana"/>
          <w:szCs w:val="18"/>
        </w:rPr>
        <w:t xml:space="preserve"> die kan optreden</w:t>
      </w:r>
      <w:r w:rsidRPr="003B1DAE" w:rsidR="00D5286F">
        <w:rPr>
          <w:rFonts w:eastAsia="Verdana" w:cs="Verdana"/>
          <w:szCs w:val="18"/>
        </w:rPr>
        <w:t xml:space="preserve">. </w:t>
      </w:r>
      <w:r w:rsidRPr="003B1DAE" w:rsidR="00D5286F">
        <w:rPr>
          <w:rFonts w:eastAsia="Verdana"/>
          <w:szCs w:val="18"/>
        </w:rPr>
        <w:t xml:space="preserve">Zo is er in 2026/2027 maximaal 993 miljoen euro beschikbaar gesteld om maximaal 80 TWh gas op te slaan. </w:t>
      </w:r>
      <w:r w:rsidRPr="003B1DAE" w:rsidR="00D5286F">
        <w:rPr>
          <w:rFonts w:eastAsia="Verdana" w:cs="Verdana"/>
          <w:szCs w:val="18"/>
        </w:rPr>
        <w:t xml:space="preserve">Deze </w:t>
      </w:r>
      <w:r w:rsidR="009F50F0">
        <w:rPr>
          <w:rFonts w:eastAsia="Verdana" w:cs="Verdana"/>
          <w:szCs w:val="18"/>
        </w:rPr>
        <w:t xml:space="preserve">subsidie is beschikbaar voor </w:t>
      </w:r>
      <w:r w:rsidRPr="003B1DAE" w:rsidR="00A5344F">
        <w:rPr>
          <w:rFonts w:eastAsia="Verdana" w:cs="Verdana"/>
          <w:szCs w:val="18"/>
        </w:rPr>
        <w:t xml:space="preserve">onder meer </w:t>
      </w:r>
      <w:r w:rsidRPr="003B1DAE" w:rsidR="00D5286F">
        <w:rPr>
          <w:rFonts w:eastAsia="Verdana" w:cs="Verdana"/>
          <w:szCs w:val="18"/>
        </w:rPr>
        <w:t xml:space="preserve">de kosten voor het verschil in aankoop en verkoop van het gas </w:t>
      </w:r>
      <w:r w:rsidRPr="003B1DAE" w:rsidR="00A5344F">
        <w:rPr>
          <w:rFonts w:eastAsia="Verdana" w:cs="Verdana"/>
          <w:szCs w:val="18"/>
        </w:rPr>
        <w:t xml:space="preserve">en </w:t>
      </w:r>
      <w:r w:rsidRPr="003B1DAE" w:rsidR="00D5286F">
        <w:rPr>
          <w:rFonts w:eastAsia="Verdana" w:cs="Verdana"/>
          <w:szCs w:val="18"/>
        </w:rPr>
        <w:t xml:space="preserve">de kosten voor het </w:t>
      </w:r>
      <w:r w:rsidR="00065ADC">
        <w:rPr>
          <w:rFonts w:eastAsia="Verdana" w:cs="Verdana"/>
          <w:szCs w:val="18"/>
        </w:rPr>
        <w:t xml:space="preserve">gebruik van de </w:t>
      </w:r>
      <w:r w:rsidRPr="003B1DAE" w:rsidR="00D5286F">
        <w:rPr>
          <w:rFonts w:eastAsia="Verdana" w:cs="Verdana"/>
          <w:szCs w:val="18"/>
        </w:rPr>
        <w:t>gasopslagen</w:t>
      </w:r>
      <w:r w:rsidRPr="003B1DAE" w:rsidR="0015398D">
        <w:rPr>
          <w:rFonts w:eastAsia="Verdana" w:cs="Verdana"/>
          <w:szCs w:val="18"/>
        </w:rPr>
        <w:t>. De</w:t>
      </w:r>
      <w:r w:rsidR="009F50F0">
        <w:rPr>
          <w:rFonts w:eastAsia="Verdana" w:cs="Verdana"/>
          <w:szCs w:val="18"/>
        </w:rPr>
        <w:t xml:space="preserve"> uiteindelijke netto-</w:t>
      </w:r>
      <w:r w:rsidRPr="003B1DAE" w:rsidR="0015398D">
        <w:rPr>
          <w:rFonts w:eastAsia="Verdana" w:cs="Verdana"/>
          <w:szCs w:val="18"/>
        </w:rPr>
        <w:t>kosten worden</w:t>
      </w:r>
      <w:r w:rsidRPr="003B1DAE" w:rsidR="00D5286F">
        <w:rPr>
          <w:rFonts w:eastAsia="Verdana" w:cs="Verdana"/>
          <w:szCs w:val="18"/>
        </w:rPr>
        <w:t xml:space="preserve"> doorgeleid naar de Nederlandse afnemers van gas en leiden tot toename van de kosten voor gasgebruikers</w:t>
      </w:r>
      <w:r w:rsidRPr="003B1DAE" w:rsidR="00D5286F">
        <w:rPr>
          <w:rFonts w:eastAsia="Verdana"/>
          <w:szCs w:val="18"/>
        </w:rPr>
        <w:t xml:space="preserve">. </w:t>
      </w:r>
    </w:p>
    <w:p w:rsidRPr="003B1DAE" w:rsidR="00F341A4" w:rsidP="003B14FA" w:rsidRDefault="00F341A4" w14:paraId="50EC6014" w14:textId="77777777">
      <w:pPr>
        <w:pStyle w:val="Lijstalinea"/>
        <w:spacing w:line="240" w:lineRule="atLeast"/>
        <w:ind w:left="360"/>
        <w:rPr>
          <w:rFonts w:ascii="Verdana" w:hAnsi="Verdana"/>
          <w:sz w:val="18"/>
          <w:szCs w:val="18"/>
        </w:rPr>
      </w:pPr>
    </w:p>
    <w:p w:rsidRPr="003B1DAE" w:rsidR="00C6165F" w:rsidP="003B14FA" w:rsidRDefault="00005BEA" w14:paraId="53F5C7B8" w14:textId="5DB34165">
      <w:pPr>
        <w:rPr>
          <w:rFonts w:eastAsia="Verdana" w:cs="Verdana"/>
          <w:szCs w:val="18"/>
        </w:rPr>
      </w:pPr>
      <w:r w:rsidRPr="003B1DAE">
        <w:rPr>
          <w:rFonts w:eastAsia="Verdana" w:cs="Verdana"/>
          <w:szCs w:val="18"/>
        </w:rPr>
        <w:t>Boven</w:t>
      </w:r>
      <w:r w:rsidRPr="003B1DAE" w:rsidR="77FB3C23">
        <w:rPr>
          <w:rFonts w:eastAsia="Verdana" w:cs="Verdana"/>
          <w:szCs w:val="18"/>
        </w:rPr>
        <w:t>genoemde marktontwikkelingen in combinatie met de g</w:t>
      </w:r>
      <w:r w:rsidRPr="003B1DAE" w:rsidR="00C6165F">
        <w:rPr>
          <w:rFonts w:eastAsia="Verdana" w:cs="Verdana"/>
          <w:szCs w:val="18"/>
        </w:rPr>
        <w:t xml:space="preserve">rootschalige aankoop </w:t>
      </w:r>
      <w:r w:rsidRPr="003B1DAE" w:rsidR="6AFB2EE1">
        <w:rPr>
          <w:rFonts w:eastAsia="Verdana" w:cs="Verdana"/>
          <w:szCs w:val="18"/>
        </w:rPr>
        <w:t>van gas in de zomer</w:t>
      </w:r>
      <w:r w:rsidRPr="003B1DAE" w:rsidR="1F1B09F8">
        <w:rPr>
          <w:rFonts w:eastAsia="Verdana" w:cs="Verdana"/>
          <w:szCs w:val="18"/>
        </w:rPr>
        <w:t xml:space="preserve"> door </w:t>
      </w:r>
      <w:r w:rsidRPr="003B1DAE" w:rsidR="009740B3">
        <w:rPr>
          <w:rFonts w:eastAsia="Verdana" w:cs="Verdana"/>
          <w:szCs w:val="18"/>
        </w:rPr>
        <w:t xml:space="preserve">Europese </w:t>
      </w:r>
      <w:r w:rsidRPr="003B1DAE" w:rsidR="1F1B09F8">
        <w:rPr>
          <w:rFonts w:eastAsia="Verdana" w:cs="Verdana"/>
          <w:szCs w:val="18"/>
        </w:rPr>
        <w:t>overhed</w:t>
      </w:r>
      <w:r w:rsidRPr="003B1DAE" w:rsidR="009740B3">
        <w:rPr>
          <w:rFonts w:eastAsia="Verdana" w:cs="Verdana"/>
          <w:szCs w:val="18"/>
        </w:rPr>
        <w:t>en</w:t>
      </w:r>
      <w:r w:rsidRPr="003B1DAE" w:rsidR="00485E93">
        <w:rPr>
          <w:rFonts w:eastAsia="Verdana" w:cs="Verdana"/>
          <w:szCs w:val="18"/>
        </w:rPr>
        <w:t xml:space="preserve"> </w:t>
      </w:r>
      <w:r w:rsidRPr="003B1DAE" w:rsidR="00856912">
        <w:rPr>
          <w:rFonts w:eastAsia="Verdana" w:cs="Verdana"/>
          <w:szCs w:val="18"/>
        </w:rPr>
        <w:t xml:space="preserve">of </w:t>
      </w:r>
      <w:r w:rsidRPr="003B1DAE" w:rsidR="00800D0F">
        <w:rPr>
          <w:rFonts w:eastAsia="Verdana" w:cs="Verdana"/>
          <w:szCs w:val="18"/>
        </w:rPr>
        <w:t>aangewezen entiteiten</w:t>
      </w:r>
      <w:r w:rsidRPr="003B1DAE" w:rsidR="009740B3">
        <w:rPr>
          <w:rFonts w:eastAsia="Verdana" w:cs="Verdana"/>
          <w:szCs w:val="18"/>
        </w:rPr>
        <w:t xml:space="preserve">, </w:t>
      </w:r>
      <w:r w:rsidRPr="003B1DAE" w:rsidR="000451E9">
        <w:rPr>
          <w:rFonts w:eastAsia="Verdana" w:cs="Verdana"/>
          <w:szCs w:val="18"/>
        </w:rPr>
        <w:t>hebben</w:t>
      </w:r>
      <w:r w:rsidRPr="003B1DAE" w:rsidR="003A0830">
        <w:rPr>
          <w:rFonts w:eastAsia="Verdana" w:cs="Verdana"/>
          <w:szCs w:val="18"/>
        </w:rPr>
        <w:t xml:space="preserve"> </w:t>
      </w:r>
      <w:r w:rsidRPr="003B1DAE" w:rsidR="4DB553FE">
        <w:rPr>
          <w:rFonts w:eastAsia="Verdana" w:cs="Verdana"/>
          <w:szCs w:val="18"/>
        </w:rPr>
        <w:t xml:space="preserve">ertoe </w:t>
      </w:r>
      <w:r w:rsidRPr="003B1DAE" w:rsidR="00C6165F">
        <w:rPr>
          <w:rFonts w:eastAsia="Verdana" w:cs="Verdana"/>
          <w:szCs w:val="18"/>
        </w:rPr>
        <w:t xml:space="preserve">geleid dat de gasvraag in de zomer inmiddels groter is geworden dan in de winter. Dit drijft de gasprijzen in de zomer op ten opzichte van de winter, waardoor het opgeslagen gas voor levering in de winter niet met winst verkocht kan worden. </w:t>
      </w:r>
    </w:p>
    <w:p w:rsidRPr="003B1DAE" w:rsidR="00F87601" w:rsidP="003B14FA" w:rsidRDefault="00F87601" w14:paraId="4E0C5773" w14:textId="77777777">
      <w:pPr>
        <w:rPr>
          <w:rFonts w:eastAsia="Verdana" w:cs="Verdana"/>
          <w:szCs w:val="18"/>
        </w:rPr>
      </w:pPr>
    </w:p>
    <w:p w:rsidRPr="003B1DAE" w:rsidR="00552AF9" w:rsidP="003B14FA" w:rsidRDefault="00C6165F" w14:paraId="0FCC1A55" w14:textId="6FE84AF1">
      <w:pPr>
        <w:rPr>
          <w:rFonts w:eastAsia="Verdana" w:cs="Verdana"/>
          <w:szCs w:val="18"/>
        </w:rPr>
      </w:pPr>
      <w:r w:rsidRPr="003B1DAE">
        <w:rPr>
          <w:rFonts w:eastAsia="Verdana" w:cs="Verdana"/>
        </w:rPr>
        <w:t xml:space="preserve">Zodoende is er momenteel in Nederland nagenoeg geen markt meer voor het </w:t>
      </w:r>
      <w:r w:rsidRPr="003B1DAE" w:rsidR="0026550F">
        <w:rPr>
          <w:rFonts w:eastAsia="Verdana" w:cs="Verdana"/>
        </w:rPr>
        <w:t xml:space="preserve">opslaan </w:t>
      </w:r>
      <w:r w:rsidRPr="003B1DAE">
        <w:rPr>
          <w:rFonts w:eastAsia="Verdana" w:cs="Verdana"/>
        </w:rPr>
        <w:t>van</w:t>
      </w:r>
      <w:r w:rsidRPr="003B1DAE" w:rsidR="0026550F">
        <w:rPr>
          <w:rFonts w:eastAsia="Verdana" w:cs="Verdana"/>
        </w:rPr>
        <w:t xml:space="preserve"> gas in</w:t>
      </w:r>
      <w:r w:rsidRPr="003B1DAE">
        <w:rPr>
          <w:rFonts w:eastAsia="Verdana" w:cs="Verdana"/>
        </w:rPr>
        <w:t xml:space="preserve"> de seizoensopslagen</w:t>
      </w:r>
      <w:r w:rsidRPr="003B1DAE" w:rsidR="000A3370">
        <w:rPr>
          <w:rFonts w:eastAsia="Verdana" w:cs="Verdana"/>
        </w:rPr>
        <w:t xml:space="preserve">, </w:t>
      </w:r>
      <w:r w:rsidRPr="003B1DAE" w:rsidR="6537237F">
        <w:rPr>
          <w:rFonts w:eastAsia="Verdana" w:cs="Verdana"/>
        </w:rPr>
        <w:t xml:space="preserve">terwijl seizoensopslagen </w:t>
      </w:r>
      <w:r w:rsidRPr="003B1DAE" w:rsidR="7DE3B34F">
        <w:rPr>
          <w:rFonts w:eastAsia="Verdana" w:cs="Verdana"/>
        </w:rPr>
        <w:t xml:space="preserve">in het kader van leveringszekerheid </w:t>
      </w:r>
      <w:r w:rsidRPr="003B1DAE" w:rsidR="6537237F">
        <w:rPr>
          <w:rFonts w:eastAsia="Verdana" w:cs="Verdana"/>
        </w:rPr>
        <w:t>wel een essentieel onderdeel blijven in de portfolio van aanbodmiddelen voor leveranciers</w:t>
      </w:r>
      <w:r w:rsidRPr="003B1DAE" w:rsidR="2F011690">
        <w:rPr>
          <w:rFonts w:eastAsia="Verdana" w:cs="Verdana"/>
        </w:rPr>
        <w:t>.</w:t>
      </w:r>
      <w:r w:rsidRPr="003B1DAE">
        <w:rPr>
          <w:szCs w:val="18"/>
        </w:rPr>
        <w:t xml:space="preserve"> </w:t>
      </w:r>
      <w:r w:rsidRPr="003B1DAE">
        <w:rPr>
          <w:rFonts w:eastAsia="Verdana" w:cs="Verdana"/>
        </w:rPr>
        <w:t>Deze analyse wordt onderschreven in het onderzoek dat het kabinet heeft laten uitvoeren door PWC.</w:t>
      </w:r>
      <w:r w:rsidRPr="003B1DAE">
        <w:rPr>
          <w:rStyle w:val="Voetnootmarkering"/>
          <w:rFonts w:eastAsia="Verdana" w:cs="Verdana"/>
        </w:rPr>
        <w:footnoteReference w:id="15"/>
      </w:r>
      <w:r w:rsidRPr="003B1DAE">
        <w:rPr>
          <w:rFonts w:eastAsia="Verdana" w:cs="Verdana"/>
        </w:rPr>
        <w:t xml:space="preserve"> </w:t>
      </w:r>
      <w:r w:rsidRPr="003B1DAE" w:rsidR="00C85824">
        <w:rPr>
          <w:rFonts w:eastAsia="Verdana" w:cs="Verdana"/>
        </w:rPr>
        <w:t>De vraag is of de rekening daarvoor structureel bij de Nederlandse belastingbetaler zou moeten blijven liggen, of dat leveringszekerheid</w:t>
      </w:r>
      <w:r w:rsidRPr="003B1DAE" w:rsidR="00051F88">
        <w:rPr>
          <w:rFonts w:eastAsia="Verdana" w:cs="Verdana"/>
        </w:rPr>
        <w:t xml:space="preserve"> met een andere mix van maatregelen tegen lagere kosten te verzekeren is.</w:t>
      </w:r>
    </w:p>
    <w:p w:rsidRPr="003B1DAE" w:rsidR="00A25164" w:rsidP="003B14FA" w:rsidRDefault="00A25164" w14:paraId="1991A4EB" w14:textId="0327D9DC">
      <w:pPr>
        <w:rPr>
          <w:rFonts w:eastAsia="Verdana" w:cs="Verdana"/>
          <w:szCs w:val="18"/>
        </w:rPr>
      </w:pPr>
    </w:p>
    <w:p w:rsidRPr="003B1DAE" w:rsidR="003278E6" w:rsidP="003B14FA" w:rsidRDefault="00F337DD" w14:paraId="2E86E214" w14:textId="0568B152">
      <w:pPr>
        <w:rPr>
          <w:rFonts w:eastAsia="Verdana" w:cs="Verdana"/>
          <w:b/>
          <w:bCs/>
          <w:szCs w:val="18"/>
        </w:rPr>
      </w:pPr>
      <w:r w:rsidRPr="003B1DAE">
        <w:rPr>
          <w:rFonts w:eastAsia="Verdana" w:cs="Verdana"/>
          <w:b/>
          <w:bCs/>
          <w:szCs w:val="18"/>
        </w:rPr>
        <w:t xml:space="preserve">Uitdaging: </w:t>
      </w:r>
      <w:r w:rsidRPr="003B1DAE" w:rsidR="00051F88">
        <w:rPr>
          <w:rFonts w:eastAsia="Verdana" w:cs="Verdana"/>
          <w:b/>
          <w:bCs/>
          <w:szCs w:val="18"/>
        </w:rPr>
        <w:t>balans weerbaarheid en kosten</w:t>
      </w:r>
    </w:p>
    <w:p w:rsidRPr="003B1DAE" w:rsidR="001C62CA" w:rsidP="003B14FA" w:rsidRDefault="001C62CA" w14:paraId="2E287DD9" w14:textId="77777777">
      <w:pPr>
        <w:rPr>
          <w:rFonts w:eastAsia="Verdana" w:cs="Verdana"/>
          <w:szCs w:val="18"/>
        </w:rPr>
      </w:pPr>
    </w:p>
    <w:p w:rsidRPr="003B1DAE" w:rsidR="00F2133B" w:rsidP="003B14FA" w:rsidRDefault="005B1062" w14:paraId="5331F2C9" w14:textId="4AA183D9">
      <w:pPr>
        <w:rPr>
          <w:rFonts w:eastAsia="Verdana" w:cs="Verdana"/>
          <w:szCs w:val="18"/>
        </w:rPr>
      </w:pPr>
      <w:r w:rsidRPr="003B1DAE">
        <w:rPr>
          <w:rFonts w:eastAsia="Verdana" w:cs="Verdana"/>
        </w:rPr>
        <w:t xml:space="preserve">Het kabinet </w:t>
      </w:r>
      <w:r w:rsidRPr="003B1DAE" w:rsidR="00051F88">
        <w:rPr>
          <w:rFonts w:eastAsia="Verdana" w:cs="Verdana"/>
        </w:rPr>
        <w:t>stuurt voor normale omstandigheden op</w:t>
      </w:r>
      <w:r w:rsidRPr="003B1DAE" w:rsidR="00696678">
        <w:rPr>
          <w:rFonts w:eastAsia="Verdana" w:cs="Verdana"/>
        </w:rPr>
        <w:t xml:space="preserve"> zo laag mogelijke kosten voor burgers, bedrijven en maatschappelijke organisaties.</w:t>
      </w:r>
      <w:r w:rsidRPr="003B1DAE" w:rsidR="00696678">
        <w:rPr>
          <w:rStyle w:val="Voetnootmarkering"/>
          <w:rFonts w:eastAsia="Verdana" w:cs="Verdana"/>
        </w:rPr>
        <w:footnoteReference w:id="16"/>
      </w:r>
      <w:r w:rsidRPr="003B1DAE" w:rsidR="00696678">
        <w:rPr>
          <w:rFonts w:eastAsia="Verdana" w:cs="Verdana"/>
        </w:rPr>
        <w:t xml:space="preserve"> Dat vraagt om </w:t>
      </w:r>
      <w:r w:rsidRPr="003B1DAE">
        <w:rPr>
          <w:rFonts w:eastAsia="Verdana" w:cs="Verdana"/>
        </w:rPr>
        <w:t xml:space="preserve">een goed functionerende gasmarkt als belangrijke waarborg voor de leveringszekerheid in normale omstandigheden, omdat een goed functionerende markt ervoor zorgt dat er gas naar Nederland komt en dat vraag en aanbod in evenwicht blijven. </w:t>
      </w:r>
      <w:r w:rsidRPr="003B1DAE" w:rsidR="00051F88">
        <w:rPr>
          <w:rFonts w:eastAsia="Verdana" w:cs="Verdana"/>
        </w:rPr>
        <w:t xml:space="preserve">Ter versterking van de weerbaarheid bij </w:t>
      </w:r>
      <w:r w:rsidRPr="003B1DAE" w:rsidR="00C3605A">
        <w:rPr>
          <w:rFonts w:eastAsia="Verdana" w:cs="Verdana"/>
        </w:rPr>
        <w:t>ve</w:t>
      </w:r>
      <w:r w:rsidRPr="003B1DAE" w:rsidR="00962615">
        <w:rPr>
          <w:rFonts w:eastAsia="Verdana" w:cs="Verdana"/>
        </w:rPr>
        <w:t>rstoringen</w:t>
      </w:r>
      <w:r w:rsidRPr="003B1DAE" w:rsidR="00F2133B">
        <w:rPr>
          <w:rFonts w:eastAsia="Verdana" w:cs="Verdana"/>
        </w:rPr>
        <w:t xml:space="preserve"> </w:t>
      </w:r>
      <w:r w:rsidRPr="003B1DAE" w:rsidR="78DCD61F">
        <w:rPr>
          <w:rFonts w:eastAsia="Verdana" w:cs="Verdana"/>
        </w:rPr>
        <w:t>in het aanbod aan gas</w:t>
      </w:r>
      <w:r w:rsidRPr="003B1DAE" w:rsidR="2BC79E3F">
        <w:rPr>
          <w:rFonts w:eastAsia="Verdana" w:cs="Verdana"/>
        </w:rPr>
        <w:t xml:space="preserve">, bijvoorbeeld als gevolg van geopolitieke ontwikkelingen, </w:t>
      </w:r>
      <w:r w:rsidRPr="003B1DAE" w:rsidR="62E67560">
        <w:rPr>
          <w:rFonts w:eastAsia="Verdana" w:cs="Verdana"/>
        </w:rPr>
        <w:t xml:space="preserve">is </w:t>
      </w:r>
      <w:r w:rsidRPr="003B1DAE" w:rsidR="6B7192F1">
        <w:rPr>
          <w:rFonts w:eastAsia="Verdana" w:cs="Verdana"/>
        </w:rPr>
        <w:t>aanvullend</w:t>
      </w:r>
      <w:r w:rsidRPr="003B1DAE" w:rsidR="00C3605A">
        <w:rPr>
          <w:rFonts w:eastAsia="Verdana" w:cs="Verdana"/>
        </w:rPr>
        <w:t xml:space="preserve"> behoefte </w:t>
      </w:r>
      <w:r w:rsidRPr="003B1DAE" w:rsidR="0001025D">
        <w:rPr>
          <w:rFonts w:eastAsia="Verdana" w:cs="Verdana"/>
        </w:rPr>
        <w:t xml:space="preserve">aan </w:t>
      </w:r>
      <w:r w:rsidRPr="003B1DAE" w:rsidR="00C97DC3">
        <w:rPr>
          <w:rFonts w:eastAsia="Verdana" w:cs="Verdana"/>
        </w:rPr>
        <w:t>een f</w:t>
      </w:r>
      <w:r w:rsidRPr="003B1DAE" w:rsidR="00C3605A">
        <w:rPr>
          <w:rFonts w:eastAsia="Verdana" w:cs="Verdana"/>
        </w:rPr>
        <w:t xml:space="preserve">ysieke hoeveelheid </w:t>
      </w:r>
      <w:r w:rsidRPr="003B1DAE" w:rsidR="2ACC6147">
        <w:rPr>
          <w:rFonts w:eastAsia="Verdana" w:cs="Verdana"/>
        </w:rPr>
        <w:t xml:space="preserve">beschikbaar </w:t>
      </w:r>
      <w:r w:rsidRPr="003B1DAE" w:rsidR="00C3605A">
        <w:rPr>
          <w:rFonts w:eastAsia="Verdana" w:cs="Verdana"/>
        </w:rPr>
        <w:t>gas</w:t>
      </w:r>
      <w:r w:rsidRPr="003B1DAE" w:rsidR="00C013F0">
        <w:rPr>
          <w:rFonts w:eastAsia="Verdana" w:cs="Verdana"/>
        </w:rPr>
        <w:t>.</w:t>
      </w:r>
    </w:p>
    <w:p w:rsidRPr="003B1DAE" w:rsidR="00F2133B" w:rsidP="003B14FA" w:rsidRDefault="00F2133B" w14:paraId="64A938EE" w14:textId="77777777">
      <w:pPr>
        <w:rPr>
          <w:rFonts w:eastAsia="Verdana" w:cs="Verdana"/>
          <w:szCs w:val="18"/>
        </w:rPr>
      </w:pPr>
    </w:p>
    <w:p w:rsidR="007A0AB8" w:rsidP="003B14FA" w:rsidRDefault="00F2133B" w14:paraId="63AA5011" w14:textId="5E660E8C">
      <w:pPr>
        <w:rPr>
          <w:rFonts w:eastAsia="Verdana" w:cs="Verdana"/>
          <w:szCs w:val="18"/>
        </w:rPr>
      </w:pPr>
      <w:r w:rsidRPr="003B1DAE">
        <w:rPr>
          <w:rFonts w:eastAsia="Verdana" w:cs="Verdana"/>
          <w:szCs w:val="18"/>
        </w:rPr>
        <w:t>Met behoud van het huidige beleid lever</w:t>
      </w:r>
      <w:r w:rsidRPr="003B1DAE" w:rsidR="000F3FA8">
        <w:rPr>
          <w:rFonts w:eastAsia="Verdana" w:cs="Verdana"/>
          <w:szCs w:val="18"/>
        </w:rPr>
        <w:t xml:space="preserve">t </w:t>
      </w:r>
      <w:r w:rsidRPr="003B1DAE" w:rsidR="00860781">
        <w:rPr>
          <w:rFonts w:eastAsia="Verdana" w:cs="Verdana"/>
          <w:szCs w:val="18"/>
        </w:rPr>
        <w:t xml:space="preserve">het </w:t>
      </w:r>
      <w:r w:rsidRPr="003B1DAE" w:rsidR="00E14FBF">
        <w:rPr>
          <w:rFonts w:eastAsia="Verdana" w:cs="Verdana"/>
          <w:szCs w:val="18"/>
        </w:rPr>
        <w:t>realiseren</w:t>
      </w:r>
      <w:r w:rsidRPr="003B1DAE" w:rsidR="00860781">
        <w:rPr>
          <w:rFonts w:eastAsia="Verdana" w:cs="Verdana"/>
          <w:szCs w:val="18"/>
        </w:rPr>
        <w:t xml:space="preserve"> van beide doelstellingen </w:t>
      </w:r>
      <w:r w:rsidRPr="003B1DAE">
        <w:rPr>
          <w:rFonts w:eastAsia="Verdana" w:cs="Verdana"/>
          <w:szCs w:val="18"/>
        </w:rPr>
        <w:t xml:space="preserve">een steeds verder toenemende spanning op. De uitdaging is om </w:t>
      </w:r>
      <w:r w:rsidRPr="003B1DAE" w:rsidR="00C17B3F">
        <w:rPr>
          <w:rFonts w:eastAsia="Verdana" w:cs="Verdana"/>
          <w:szCs w:val="18"/>
        </w:rPr>
        <w:t>de</w:t>
      </w:r>
      <w:r w:rsidRPr="003B1DAE">
        <w:rPr>
          <w:rFonts w:eastAsia="Verdana" w:cs="Verdana"/>
          <w:szCs w:val="18"/>
        </w:rPr>
        <w:t xml:space="preserve"> juiste balans te vinden</w:t>
      </w:r>
      <w:r w:rsidRPr="003B1DAE" w:rsidR="00A805A4">
        <w:rPr>
          <w:rFonts w:eastAsia="Verdana" w:cs="Verdana"/>
          <w:szCs w:val="18"/>
        </w:rPr>
        <w:t xml:space="preserve"> </w:t>
      </w:r>
      <w:r w:rsidRPr="003B1DAE">
        <w:rPr>
          <w:rFonts w:eastAsia="Verdana" w:cs="Verdana"/>
          <w:szCs w:val="18"/>
        </w:rPr>
        <w:t xml:space="preserve">tussen de </w:t>
      </w:r>
      <w:r w:rsidRPr="003B1DAE" w:rsidR="64E35A6D">
        <w:rPr>
          <w:rFonts w:eastAsia="Verdana" w:cs="Verdana"/>
          <w:szCs w:val="18"/>
        </w:rPr>
        <w:t xml:space="preserve">kosten voor </w:t>
      </w:r>
      <w:r w:rsidRPr="003B1DAE">
        <w:rPr>
          <w:rFonts w:eastAsia="Verdana" w:cs="Verdana"/>
          <w:szCs w:val="18"/>
        </w:rPr>
        <w:t>de beschermingsmaatregelen en de effectieve bescherming die daarmee wordt gekocht.</w:t>
      </w:r>
      <w:r w:rsidRPr="003B1DAE" w:rsidR="001C62CA">
        <w:rPr>
          <w:rFonts w:eastAsia="Verdana" w:cs="Verdana"/>
          <w:szCs w:val="18"/>
        </w:rPr>
        <w:t xml:space="preserve"> </w:t>
      </w:r>
      <w:r w:rsidRPr="003B1DAE" w:rsidR="00A25164">
        <w:rPr>
          <w:rFonts w:eastAsia="Verdana" w:cs="Verdana"/>
          <w:szCs w:val="18"/>
        </w:rPr>
        <w:t xml:space="preserve">Tegen deze achtergrond stelt het kabinet een hernieuwde </w:t>
      </w:r>
      <w:r w:rsidRPr="003B1DAE" w:rsidR="00CF35FA">
        <w:rPr>
          <w:rFonts w:eastAsia="Verdana" w:cs="Verdana"/>
          <w:szCs w:val="18"/>
        </w:rPr>
        <w:t xml:space="preserve">strategie </w:t>
      </w:r>
      <w:r w:rsidRPr="003B1DAE" w:rsidR="00A25164">
        <w:rPr>
          <w:rFonts w:eastAsia="Verdana" w:cs="Verdana"/>
          <w:szCs w:val="18"/>
        </w:rPr>
        <w:t>op de rol van de overheid in de gasmarkt voor. Bij het bepalen van de beleidsinzet houdt het kabinet rekening met een aantal</w:t>
      </w:r>
      <w:r w:rsidRPr="003B1DAE" w:rsidDel="00F026B6" w:rsidR="00A25164">
        <w:rPr>
          <w:rFonts w:eastAsia="Verdana" w:cs="Verdana"/>
          <w:szCs w:val="18"/>
        </w:rPr>
        <w:t xml:space="preserve"> </w:t>
      </w:r>
      <w:r w:rsidRPr="003B1DAE" w:rsidR="00A25164">
        <w:rPr>
          <w:rFonts w:eastAsia="Verdana" w:cs="Verdana"/>
          <w:szCs w:val="18"/>
        </w:rPr>
        <w:t xml:space="preserve">randvoorwaarden. </w:t>
      </w:r>
      <w:r w:rsidRPr="003B1DAE" w:rsidR="00583BF4">
        <w:rPr>
          <w:rFonts w:eastAsia="Verdana" w:cs="Verdana"/>
          <w:szCs w:val="18"/>
        </w:rPr>
        <w:t xml:space="preserve">Zo </w:t>
      </w:r>
      <w:r w:rsidRPr="003B1DAE" w:rsidR="00A25164">
        <w:rPr>
          <w:rFonts w:eastAsia="Verdana" w:cs="Verdana"/>
          <w:szCs w:val="18"/>
        </w:rPr>
        <w:t>is sprake van een Europese gereguleerde markt waarbij gasstromen niet beperkt mogen worden en lidstaten elkaar helpen. Ook lenen bepaalde maatregelen zich beter voor Europees dan nationaal niveau</w:t>
      </w:r>
      <w:r w:rsidRPr="003B1DAE" w:rsidR="00EA7E53">
        <w:rPr>
          <w:rFonts w:eastAsia="Verdana" w:cs="Verdana"/>
          <w:szCs w:val="18"/>
        </w:rPr>
        <w:t>.</w:t>
      </w:r>
    </w:p>
    <w:p w:rsidRPr="003B1DAE" w:rsidR="007A0AB8" w:rsidP="003B14FA" w:rsidRDefault="007A0AB8" w14:paraId="56712C00" w14:textId="77777777">
      <w:pPr>
        <w:rPr>
          <w:rFonts w:eastAsia="Verdana" w:cs="Verdana"/>
          <w:szCs w:val="18"/>
        </w:rPr>
      </w:pPr>
    </w:p>
    <w:p w:rsidRPr="003B1DAE" w:rsidR="00A25164" w:rsidP="003B14FA" w:rsidRDefault="00F337DD" w14:paraId="5A3362AB" w14:textId="7EFC7158">
      <w:pPr>
        <w:rPr>
          <w:rFonts w:eastAsia="Verdana" w:cs="Verdana"/>
          <w:szCs w:val="18"/>
        </w:rPr>
      </w:pPr>
      <w:r w:rsidRPr="003B1DAE">
        <w:rPr>
          <w:rFonts w:eastAsia="Verdana" w:cs="Verdana"/>
          <w:b/>
          <w:bCs/>
          <w:szCs w:val="18"/>
        </w:rPr>
        <w:t xml:space="preserve">Strategie: </w:t>
      </w:r>
      <w:r w:rsidRPr="003B1DAE" w:rsidR="007A7221">
        <w:rPr>
          <w:rFonts w:eastAsia="Verdana" w:cs="Verdana"/>
          <w:b/>
          <w:bCs/>
          <w:szCs w:val="18"/>
        </w:rPr>
        <w:t>toekomstbeste</w:t>
      </w:r>
      <w:r w:rsidRPr="003B1DAE" w:rsidR="00677C5D">
        <w:rPr>
          <w:rFonts w:eastAsia="Verdana" w:cs="Verdana"/>
          <w:b/>
          <w:bCs/>
          <w:szCs w:val="18"/>
        </w:rPr>
        <w:t>n</w:t>
      </w:r>
      <w:r w:rsidRPr="003B1DAE" w:rsidR="007A7221">
        <w:rPr>
          <w:rFonts w:eastAsia="Verdana" w:cs="Verdana"/>
          <w:b/>
          <w:bCs/>
          <w:szCs w:val="18"/>
        </w:rPr>
        <w:t>dige</w:t>
      </w:r>
      <w:r w:rsidRPr="003B1DAE">
        <w:rPr>
          <w:rFonts w:eastAsia="Verdana" w:cs="Verdana"/>
          <w:b/>
          <w:bCs/>
          <w:szCs w:val="18"/>
        </w:rPr>
        <w:t xml:space="preserve"> invulling </w:t>
      </w:r>
      <w:r w:rsidRPr="003B1DAE" w:rsidR="005B7A91">
        <w:rPr>
          <w:rFonts w:eastAsia="Verdana" w:cs="Verdana"/>
          <w:b/>
          <w:bCs/>
          <w:szCs w:val="18"/>
        </w:rPr>
        <w:t>van</w:t>
      </w:r>
      <w:r w:rsidRPr="003B1DAE" w:rsidR="007A7221">
        <w:rPr>
          <w:rFonts w:eastAsia="Verdana" w:cs="Verdana"/>
          <w:b/>
          <w:bCs/>
          <w:szCs w:val="18"/>
        </w:rPr>
        <w:t xml:space="preserve"> het lange termijn </w:t>
      </w:r>
      <w:r w:rsidRPr="003B1DAE">
        <w:rPr>
          <w:rFonts w:eastAsia="Verdana" w:cs="Verdana"/>
          <w:b/>
          <w:bCs/>
          <w:szCs w:val="18"/>
        </w:rPr>
        <w:t>gasbeleid</w:t>
      </w:r>
    </w:p>
    <w:p w:rsidRPr="003B1DAE" w:rsidR="00A25164" w:rsidP="003B14FA" w:rsidRDefault="00A25164" w14:paraId="005D1EAE" w14:textId="77777777">
      <w:pPr>
        <w:rPr>
          <w:rFonts w:eastAsia="Verdana" w:cs="Verdana"/>
          <w:szCs w:val="18"/>
        </w:rPr>
      </w:pPr>
    </w:p>
    <w:p w:rsidRPr="003B1DAE" w:rsidR="00A81CAF" w:rsidP="003B14FA" w:rsidRDefault="00A25164" w14:paraId="74AF877F" w14:textId="0EEE636D">
      <w:pPr>
        <w:rPr>
          <w:rFonts w:eastAsia="Verdana" w:cs="Verdana"/>
          <w:szCs w:val="18"/>
        </w:rPr>
      </w:pPr>
      <w:r w:rsidRPr="003B1DAE">
        <w:rPr>
          <w:rFonts w:eastAsia="Verdana" w:cs="Verdana"/>
          <w:szCs w:val="18"/>
        </w:rPr>
        <w:t xml:space="preserve">Samenvattend </w:t>
      </w:r>
      <w:r w:rsidRPr="003B1DAE" w:rsidR="00677C5D">
        <w:rPr>
          <w:rFonts w:eastAsia="Verdana" w:cs="Verdana"/>
          <w:szCs w:val="18"/>
        </w:rPr>
        <w:t>ziet het kabinet het volgende als de contouren</w:t>
      </w:r>
      <w:r w:rsidRPr="003B1DAE" w:rsidR="00852E50">
        <w:rPr>
          <w:rFonts w:eastAsia="Verdana" w:cs="Verdana"/>
          <w:szCs w:val="18"/>
        </w:rPr>
        <w:t xml:space="preserve"> van de</w:t>
      </w:r>
      <w:r w:rsidRPr="003B1DAE">
        <w:rPr>
          <w:rFonts w:eastAsia="Verdana" w:cs="Verdana"/>
          <w:szCs w:val="18"/>
        </w:rPr>
        <w:t xml:space="preserve"> lange termijn beleidsinzet. </w:t>
      </w:r>
      <w:r w:rsidRPr="003B1DAE" w:rsidR="000519DF">
        <w:rPr>
          <w:rFonts w:eastAsia="Verdana" w:cs="Verdana"/>
          <w:szCs w:val="18"/>
        </w:rPr>
        <w:t>Een</w:t>
      </w:r>
      <w:r w:rsidRPr="003B1DAE" w:rsidR="00222C03">
        <w:rPr>
          <w:rFonts w:eastAsia="Verdana" w:cs="Verdana"/>
          <w:szCs w:val="18"/>
        </w:rPr>
        <w:t xml:space="preserve"> goed functionerende markt met zo gunstig mogelijke prijzen, die </w:t>
      </w:r>
      <w:r w:rsidRPr="003B1DAE" w:rsidR="00970BA3">
        <w:rPr>
          <w:rFonts w:eastAsia="Verdana" w:cs="Verdana"/>
          <w:szCs w:val="18"/>
        </w:rPr>
        <w:t>d</w:t>
      </w:r>
      <w:r w:rsidRPr="003B1DAE" w:rsidR="00222C03">
        <w:rPr>
          <w:rFonts w:eastAsia="Verdana" w:cs="Verdana"/>
          <w:szCs w:val="18"/>
        </w:rPr>
        <w:t>oor effectieve instrumen</w:t>
      </w:r>
      <w:r w:rsidRPr="003B1DAE" w:rsidR="00ED25BA">
        <w:rPr>
          <w:rFonts w:eastAsia="Verdana" w:cs="Verdana"/>
          <w:szCs w:val="18"/>
        </w:rPr>
        <w:t>ten</w:t>
      </w:r>
      <w:r w:rsidRPr="003B1DAE" w:rsidR="00222C03">
        <w:rPr>
          <w:rFonts w:eastAsia="Verdana" w:cs="Verdana"/>
          <w:szCs w:val="18"/>
        </w:rPr>
        <w:t xml:space="preserve"> voldoende weer</w:t>
      </w:r>
      <w:r w:rsidRPr="003B1DAE" w:rsidR="00ED25BA">
        <w:rPr>
          <w:rFonts w:eastAsia="Verdana" w:cs="Verdana"/>
          <w:szCs w:val="18"/>
        </w:rPr>
        <w:t xml:space="preserve">baar is </w:t>
      </w:r>
      <w:r w:rsidRPr="003B1DAE" w:rsidR="00892869">
        <w:rPr>
          <w:rFonts w:eastAsia="Verdana" w:cs="Verdana"/>
          <w:szCs w:val="18"/>
        </w:rPr>
        <w:t xml:space="preserve">tegen verstoringen van de gasvoorziening of </w:t>
      </w:r>
      <w:r w:rsidRPr="003B1DAE" w:rsidR="00E8798A">
        <w:rPr>
          <w:rFonts w:eastAsia="Verdana" w:cs="Verdana"/>
          <w:szCs w:val="18"/>
        </w:rPr>
        <w:t>reële</w:t>
      </w:r>
      <w:r w:rsidRPr="003B1DAE" w:rsidR="00ED25BA">
        <w:rPr>
          <w:rFonts w:eastAsia="Verdana" w:cs="Verdana"/>
          <w:szCs w:val="18"/>
        </w:rPr>
        <w:t xml:space="preserve"> risico’s</w:t>
      </w:r>
      <w:r w:rsidRPr="003B1DAE" w:rsidR="00892869">
        <w:rPr>
          <w:rFonts w:eastAsia="Verdana" w:cs="Verdana"/>
          <w:szCs w:val="18"/>
        </w:rPr>
        <w:t xml:space="preserve"> daarop</w:t>
      </w:r>
      <w:r w:rsidRPr="003B1DAE" w:rsidR="00ED25BA">
        <w:rPr>
          <w:rFonts w:eastAsia="Verdana" w:cs="Verdana"/>
          <w:szCs w:val="18"/>
        </w:rPr>
        <w:t xml:space="preserve">. Daarbij geeft het kabinet </w:t>
      </w:r>
      <w:r w:rsidRPr="003B1DAE" w:rsidR="00E8798A">
        <w:rPr>
          <w:rFonts w:eastAsia="Verdana" w:cs="Verdana"/>
          <w:szCs w:val="18"/>
        </w:rPr>
        <w:t>zich in alle gevallen rekenschap van de Europese context.</w:t>
      </w:r>
      <w:r w:rsidRPr="003B1DAE" w:rsidR="00A81CAF">
        <w:rPr>
          <w:rFonts w:eastAsia="Verdana" w:cs="Verdana"/>
          <w:szCs w:val="18"/>
        </w:rPr>
        <w:t xml:space="preserve"> </w:t>
      </w:r>
    </w:p>
    <w:p w:rsidRPr="003B1DAE" w:rsidR="00A25164" w:rsidP="003B14FA" w:rsidRDefault="00A25164" w14:paraId="394239B1" w14:textId="77777777">
      <w:pPr>
        <w:rPr>
          <w:rFonts w:eastAsia="Verdana" w:cs="Verdana"/>
          <w:szCs w:val="18"/>
        </w:rPr>
      </w:pPr>
    </w:p>
    <w:p w:rsidRPr="003B1DAE" w:rsidR="00C010BC" w:rsidP="003B14FA" w:rsidRDefault="00A21685" w14:paraId="02F81602" w14:textId="59F5E6D2">
      <w:pPr>
        <w:rPr>
          <w:rFonts w:eastAsia="Verdana" w:cs="Verdana"/>
          <w:szCs w:val="18"/>
        </w:rPr>
      </w:pPr>
      <w:r w:rsidRPr="003B1DAE">
        <w:rPr>
          <w:rFonts w:eastAsia="Verdana" w:cs="Verdana"/>
          <w:szCs w:val="18"/>
        </w:rPr>
        <w:t>H</w:t>
      </w:r>
      <w:r w:rsidRPr="003B1DAE" w:rsidR="00847C66">
        <w:rPr>
          <w:rFonts w:eastAsia="Verdana" w:cs="Verdana"/>
          <w:szCs w:val="18"/>
        </w:rPr>
        <w:t>et kabinet stelt de volgende acties voor:</w:t>
      </w:r>
    </w:p>
    <w:p w:rsidRPr="003B1DAE" w:rsidR="00F15E12" w:rsidP="003B14FA" w:rsidRDefault="00127609" w14:paraId="4B80042C" w14:textId="7C90D9E2">
      <w:pPr>
        <w:pStyle w:val="Lijstalinea"/>
        <w:numPr>
          <w:ilvl w:val="0"/>
          <w:numId w:val="41"/>
        </w:numPr>
        <w:spacing w:line="240" w:lineRule="atLeast"/>
        <w:rPr>
          <w:rFonts w:ascii="Verdana" w:hAnsi="Verdana" w:eastAsia="Verdana" w:cs="Verdana"/>
          <w:b/>
          <w:sz w:val="18"/>
          <w:szCs w:val="18"/>
        </w:rPr>
      </w:pPr>
      <w:r w:rsidRPr="003B1DAE">
        <w:rPr>
          <w:rFonts w:ascii="Verdana" w:hAnsi="Verdana" w:eastAsia="Verdana" w:cs="Verdana"/>
          <w:b/>
          <w:bCs/>
          <w:sz w:val="18"/>
          <w:szCs w:val="18"/>
        </w:rPr>
        <w:t>Een eerlijke</w:t>
      </w:r>
      <w:r w:rsidRPr="003B1DAE" w:rsidR="00D71CB7">
        <w:rPr>
          <w:rFonts w:ascii="Verdana" w:hAnsi="Verdana" w:eastAsia="Verdana" w:cs="Verdana"/>
          <w:b/>
          <w:sz w:val="18"/>
          <w:szCs w:val="18"/>
        </w:rPr>
        <w:t>r</w:t>
      </w:r>
      <w:r w:rsidRPr="003B1DAE" w:rsidR="00690D5F">
        <w:rPr>
          <w:rFonts w:ascii="Verdana" w:hAnsi="Verdana" w:eastAsia="Verdana" w:cs="Verdana"/>
          <w:b/>
          <w:sz w:val="18"/>
          <w:szCs w:val="18"/>
        </w:rPr>
        <w:t>e</w:t>
      </w:r>
      <w:r w:rsidRPr="003B1DAE">
        <w:rPr>
          <w:rFonts w:ascii="Verdana" w:hAnsi="Verdana" w:eastAsia="Verdana" w:cs="Verdana"/>
          <w:b/>
          <w:bCs/>
          <w:sz w:val="18"/>
          <w:szCs w:val="18"/>
        </w:rPr>
        <w:t xml:space="preserve"> rekening voor Nederland</w:t>
      </w:r>
    </w:p>
    <w:p w:rsidRPr="003B1DAE" w:rsidR="006E1D5F" w:rsidP="003B14FA" w:rsidRDefault="00DD1583" w14:paraId="118B3795" w14:textId="744CB4ED">
      <w:pPr>
        <w:pStyle w:val="Lijstalinea"/>
        <w:numPr>
          <w:ilvl w:val="0"/>
          <w:numId w:val="37"/>
        </w:numPr>
        <w:spacing w:line="240" w:lineRule="atLeast"/>
        <w:rPr>
          <w:rFonts w:ascii="Verdana" w:hAnsi="Verdana"/>
          <w:sz w:val="18"/>
          <w:szCs w:val="18"/>
        </w:rPr>
      </w:pPr>
      <w:r w:rsidRPr="003B1DAE">
        <w:rPr>
          <w:rFonts w:ascii="Verdana" w:hAnsi="Verdana" w:eastAsia="Verdana" w:cs="Verdana"/>
          <w:sz w:val="18"/>
          <w:szCs w:val="18"/>
        </w:rPr>
        <w:t>Het kabinet zet i</w:t>
      </w:r>
      <w:r w:rsidRPr="003B1DAE" w:rsidR="00506273">
        <w:rPr>
          <w:rFonts w:ascii="Verdana" w:hAnsi="Verdana" w:eastAsia="Verdana" w:cs="Verdana"/>
          <w:sz w:val="18"/>
          <w:szCs w:val="18"/>
        </w:rPr>
        <w:t>n het kader van de herziening van de Europese Verordening gasleveringszekerheid</w:t>
      </w:r>
      <w:r w:rsidRPr="003B1DAE" w:rsidR="00506273">
        <w:rPr>
          <w:rStyle w:val="Voetnootmarkering"/>
          <w:rFonts w:ascii="Verdana" w:hAnsi="Verdana" w:eastAsia="Verdana" w:cs="Verdana"/>
          <w:sz w:val="18"/>
          <w:szCs w:val="18"/>
        </w:rPr>
        <w:footnoteReference w:id="17"/>
      </w:r>
      <w:r w:rsidRPr="003B1DAE" w:rsidR="00F26CF5">
        <w:rPr>
          <w:rFonts w:ascii="Verdana" w:hAnsi="Verdana" w:eastAsia="Verdana" w:cs="Verdana"/>
          <w:sz w:val="18"/>
          <w:szCs w:val="18"/>
        </w:rPr>
        <w:t xml:space="preserve"> in op het</w:t>
      </w:r>
      <w:r w:rsidRPr="003B1DAE" w:rsidR="00A25164">
        <w:rPr>
          <w:rFonts w:ascii="Verdana" w:hAnsi="Verdana"/>
          <w:sz w:val="18"/>
          <w:szCs w:val="18"/>
        </w:rPr>
        <w:t xml:space="preserve"> </w:t>
      </w:r>
      <w:r w:rsidRPr="003B1DAE" w:rsidR="00667DF4">
        <w:rPr>
          <w:rFonts w:ascii="Verdana" w:hAnsi="Verdana"/>
          <w:sz w:val="18"/>
          <w:szCs w:val="18"/>
        </w:rPr>
        <w:t>uitfaseren</w:t>
      </w:r>
      <w:r w:rsidRPr="003B1DAE" w:rsidR="007114F1">
        <w:rPr>
          <w:rFonts w:ascii="Verdana" w:hAnsi="Verdana"/>
          <w:sz w:val="18"/>
          <w:szCs w:val="18"/>
        </w:rPr>
        <w:t xml:space="preserve"> </w:t>
      </w:r>
      <w:r w:rsidRPr="003B1DAE" w:rsidR="00A25164">
        <w:rPr>
          <w:rFonts w:ascii="Verdana" w:hAnsi="Verdana"/>
          <w:sz w:val="18"/>
          <w:szCs w:val="18"/>
        </w:rPr>
        <w:t xml:space="preserve">van de </w:t>
      </w:r>
      <w:r w:rsidRPr="003B1DAE" w:rsidR="000C388C">
        <w:rPr>
          <w:rFonts w:ascii="Verdana" w:hAnsi="Verdana"/>
          <w:sz w:val="18"/>
          <w:szCs w:val="18"/>
        </w:rPr>
        <w:t>EU-vuldoelen</w:t>
      </w:r>
      <w:r w:rsidRPr="003B1DAE" w:rsidR="00A25164">
        <w:rPr>
          <w:rFonts w:ascii="Verdana" w:hAnsi="Verdana"/>
          <w:sz w:val="18"/>
          <w:szCs w:val="18"/>
        </w:rPr>
        <w:t xml:space="preserve"> in hun huidige vorm</w:t>
      </w:r>
      <w:r w:rsidRPr="003B1DAE" w:rsidR="00B5359B">
        <w:rPr>
          <w:rFonts w:ascii="Verdana" w:hAnsi="Verdana"/>
          <w:sz w:val="18"/>
          <w:szCs w:val="18"/>
        </w:rPr>
        <w:t xml:space="preserve">. </w:t>
      </w:r>
      <w:r w:rsidRPr="003B1DAE" w:rsidR="000D788E">
        <w:rPr>
          <w:rFonts w:ascii="Verdana" w:hAnsi="Verdana"/>
          <w:sz w:val="18"/>
          <w:szCs w:val="18"/>
        </w:rPr>
        <w:t xml:space="preserve">Momenteel leiden deze namelijk voor een onevenredig grote opgave voor lidstaten met veel opslagcapaciteit zoals Nederland. </w:t>
      </w:r>
      <w:r w:rsidRPr="003B1DAE" w:rsidR="005C39C6">
        <w:rPr>
          <w:rFonts w:ascii="Verdana" w:hAnsi="Verdana"/>
          <w:sz w:val="18"/>
          <w:szCs w:val="18"/>
        </w:rPr>
        <w:t>Als de vuldoelen blijven bestaan ziet het kabinet</w:t>
      </w:r>
      <w:r w:rsidRPr="003B1DAE" w:rsidR="00017C27">
        <w:rPr>
          <w:rFonts w:ascii="Verdana" w:hAnsi="Verdana"/>
          <w:sz w:val="18"/>
          <w:szCs w:val="18"/>
        </w:rPr>
        <w:t xml:space="preserve"> ten eerste liever dat deze rust op marktpartijen in plaats van op lidstaten. </w:t>
      </w:r>
      <w:r w:rsidRPr="003B1DAE" w:rsidR="0059780C">
        <w:rPr>
          <w:rFonts w:ascii="Verdana" w:hAnsi="Verdana"/>
          <w:sz w:val="18"/>
          <w:szCs w:val="18"/>
        </w:rPr>
        <w:t>Als de verplichting op lidstaten blijft rusten</w:t>
      </w:r>
      <w:r w:rsidRPr="003B1DAE" w:rsidR="005C39C6">
        <w:rPr>
          <w:rFonts w:ascii="Verdana" w:hAnsi="Verdana"/>
          <w:sz w:val="18"/>
          <w:szCs w:val="18"/>
        </w:rPr>
        <w:t xml:space="preserve"> ziet</w:t>
      </w:r>
      <w:r w:rsidRPr="003B1DAE" w:rsidR="0043059D">
        <w:rPr>
          <w:rFonts w:ascii="Verdana" w:hAnsi="Verdana"/>
          <w:sz w:val="18"/>
          <w:szCs w:val="18"/>
        </w:rPr>
        <w:t xml:space="preserve"> het kabinet</w:t>
      </w:r>
      <w:r w:rsidRPr="003B1DAE" w:rsidR="00B5359B">
        <w:rPr>
          <w:rFonts w:ascii="Verdana" w:hAnsi="Verdana"/>
          <w:sz w:val="18"/>
          <w:szCs w:val="18"/>
        </w:rPr>
        <w:t xml:space="preserve"> </w:t>
      </w:r>
      <w:r w:rsidRPr="003B1DAE" w:rsidR="003104AE">
        <w:rPr>
          <w:rFonts w:ascii="Verdana" w:hAnsi="Verdana"/>
          <w:sz w:val="18"/>
          <w:szCs w:val="18"/>
        </w:rPr>
        <w:t>liever een verplichting op basis van de daadwerkelijk</w:t>
      </w:r>
      <w:r w:rsidRPr="003B1DAE" w:rsidR="00290A8C">
        <w:rPr>
          <w:rFonts w:ascii="Verdana" w:hAnsi="Verdana"/>
          <w:sz w:val="18"/>
          <w:szCs w:val="18"/>
        </w:rPr>
        <w:t>e</w:t>
      </w:r>
      <w:r w:rsidRPr="003B1DAE" w:rsidR="003104AE">
        <w:rPr>
          <w:rFonts w:ascii="Verdana" w:hAnsi="Verdana"/>
          <w:sz w:val="18"/>
          <w:szCs w:val="18"/>
        </w:rPr>
        <w:t xml:space="preserve"> gasvraag </w:t>
      </w:r>
      <w:r w:rsidRPr="003B1DAE" w:rsidR="00C166AD">
        <w:rPr>
          <w:rFonts w:ascii="Verdana" w:hAnsi="Verdana"/>
          <w:sz w:val="18"/>
          <w:szCs w:val="18"/>
        </w:rPr>
        <w:t>en een breder beeld van de gasinfrastructuur</w:t>
      </w:r>
      <w:r w:rsidRPr="003B1DAE" w:rsidR="003104AE">
        <w:rPr>
          <w:rFonts w:ascii="Verdana" w:hAnsi="Verdana"/>
          <w:sz w:val="18"/>
          <w:szCs w:val="18"/>
        </w:rPr>
        <w:t xml:space="preserve"> van een lidstaat in plaats van op basis van de opslagcapaciteit</w:t>
      </w:r>
      <w:r w:rsidRPr="003B1DAE" w:rsidR="004D21AA">
        <w:rPr>
          <w:rFonts w:ascii="Verdana" w:hAnsi="Verdana"/>
          <w:sz w:val="18"/>
          <w:szCs w:val="18"/>
        </w:rPr>
        <w:t xml:space="preserve">, waarin de gasvraag </w:t>
      </w:r>
      <w:r w:rsidRPr="003B1DAE" w:rsidR="00FD288B">
        <w:rPr>
          <w:rFonts w:ascii="Verdana" w:hAnsi="Verdana"/>
          <w:sz w:val="18"/>
          <w:szCs w:val="18"/>
        </w:rPr>
        <w:t xml:space="preserve">en LNG-importcapaciteit </w:t>
      </w:r>
      <w:r w:rsidRPr="003B1DAE" w:rsidR="004D21AA">
        <w:rPr>
          <w:rFonts w:ascii="Verdana" w:hAnsi="Verdana"/>
          <w:sz w:val="18"/>
          <w:szCs w:val="18"/>
        </w:rPr>
        <w:t>maar in zeer beperkte mate kan worden meegenomen,</w:t>
      </w:r>
      <w:r w:rsidRPr="003B1DAE" w:rsidR="003104AE">
        <w:rPr>
          <w:rFonts w:ascii="Verdana" w:hAnsi="Verdana"/>
          <w:sz w:val="18"/>
          <w:szCs w:val="18"/>
        </w:rPr>
        <w:t xml:space="preserve"> zoals nu het geval is</w:t>
      </w:r>
      <w:r w:rsidRPr="003B1DAE" w:rsidR="00A25164">
        <w:rPr>
          <w:rFonts w:ascii="Verdana" w:hAnsi="Verdana"/>
          <w:sz w:val="18"/>
          <w:szCs w:val="18"/>
        </w:rPr>
        <w:t>.</w:t>
      </w:r>
      <w:r w:rsidRPr="003B1DAE" w:rsidR="00A25164">
        <w:rPr>
          <w:rStyle w:val="Voetnootmarkering"/>
          <w:rFonts w:ascii="Verdana" w:hAnsi="Verdana" w:eastAsia="Verdana" w:cs="Verdana"/>
          <w:sz w:val="18"/>
          <w:szCs w:val="18"/>
        </w:rPr>
        <w:footnoteReference w:id="18"/>
      </w:r>
      <w:r w:rsidRPr="003B1DAE" w:rsidR="00A25164">
        <w:rPr>
          <w:rFonts w:ascii="Verdana" w:hAnsi="Verdana"/>
          <w:sz w:val="18"/>
          <w:szCs w:val="18"/>
        </w:rPr>
        <w:t xml:space="preserve"> </w:t>
      </w:r>
      <w:r w:rsidRPr="0054295C" w:rsidR="0059780C">
        <w:rPr>
          <w:rFonts w:ascii="Verdana" w:hAnsi="Verdana"/>
          <w:sz w:val="18"/>
          <w:szCs w:val="18"/>
        </w:rPr>
        <w:t xml:space="preserve">Tot slot, als de </w:t>
      </w:r>
      <w:r w:rsidRPr="003B1DAE" w:rsidR="008D4CAF">
        <w:rPr>
          <w:rFonts w:ascii="Verdana" w:hAnsi="Verdana"/>
          <w:sz w:val="18"/>
          <w:szCs w:val="18"/>
        </w:rPr>
        <w:t xml:space="preserve">vuldoelen in hun huidige vorm blijven </w:t>
      </w:r>
      <w:r w:rsidRPr="003B1DAE" w:rsidR="00A25164">
        <w:rPr>
          <w:rFonts w:ascii="Verdana" w:hAnsi="Verdana"/>
          <w:sz w:val="18"/>
          <w:szCs w:val="18"/>
        </w:rPr>
        <w:t>pleit het kabinet voor een meer evenwichtige kostendeling tussen lidstaten voor het vullen van de gasopslagen</w:t>
      </w:r>
      <w:r w:rsidRPr="003B1DAE" w:rsidR="004567CC">
        <w:rPr>
          <w:rFonts w:ascii="Verdana" w:hAnsi="Verdana"/>
          <w:sz w:val="18"/>
          <w:szCs w:val="18"/>
        </w:rPr>
        <w:t>.</w:t>
      </w:r>
      <w:r w:rsidRPr="003B1DAE" w:rsidR="00A25164">
        <w:rPr>
          <w:rStyle w:val="Voetnootmarkering"/>
          <w:rFonts w:ascii="Verdana" w:hAnsi="Verdana" w:eastAsia="Verdana" w:cs="Verdana"/>
          <w:sz w:val="18"/>
          <w:szCs w:val="18"/>
        </w:rPr>
        <w:footnoteReference w:id="19"/>
      </w:r>
    </w:p>
    <w:p w:rsidRPr="0054295C" w:rsidR="00750FD2" w:rsidP="003B14FA" w:rsidRDefault="001F34BA" w14:paraId="3110F83B" w14:textId="3DC5DEDC">
      <w:pPr>
        <w:pStyle w:val="Lijstalinea"/>
        <w:numPr>
          <w:ilvl w:val="0"/>
          <w:numId w:val="37"/>
        </w:numPr>
        <w:spacing w:line="240" w:lineRule="atLeast"/>
        <w:rPr>
          <w:rFonts w:ascii="Verdana" w:hAnsi="Verdana"/>
          <w:sz w:val="18"/>
          <w:szCs w:val="18"/>
        </w:rPr>
      </w:pPr>
      <w:r w:rsidRPr="56D43442">
        <w:rPr>
          <w:rFonts w:ascii="Verdana" w:hAnsi="Verdana"/>
          <w:sz w:val="18"/>
          <w:szCs w:val="18"/>
        </w:rPr>
        <w:t>Het</w:t>
      </w:r>
      <w:r w:rsidRPr="56D43442" w:rsidR="00750FD2">
        <w:rPr>
          <w:rFonts w:ascii="Verdana" w:hAnsi="Verdana"/>
          <w:sz w:val="18"/>
          <w:szCs w:val="18"/>
        </w:rPr>
        <w:t xml:space="preserve"> kabinet </w:t>
      </w:r>
      <w:r w:rsidRPr="56D43442">
        <w:rPr>
          <w:rFonts w:ascii="Verdana" w:hAnsi="Verdana"/>
          <w:sz w:val="18"/>
          <w:szCs w:val="18"/>
        </w:rPr>
        <w:t xml:space="preserve">zet zich in </w:t>
      </w:r>
      <w:r w:rsidRPr="56D43442" w:rsidR="00750FD2">
        <w:rPr>
          <w:rFonts w:ascii="Verdana" w:hAnsi="Verdana"/>
          <w:sz w:val="18"/>
          <w:szCs w:val="18"/>
        </w:rPr>
        <w:t>om aan alle Europese normen, inclusief de Europese vuldoelen, te voldoen</w:t>
      </w:r>
      <w:r w:rsidRPr="56D43442">
        <w:rPr>
          <w:rFonts w:ascii="Verdana" w:hAnsi="Verdana"/>
          <w:sz w:val="18"/>
          <w:szCs w:val="18"/>
        </w:rPr>
        <w:t xml:space="preserve">, zolang deze </w:t>
      </w:r>
      <w:r w:rsidRPr="56D43442" w:rsidR="00575DFF">
        <w:rPr>
          <w:rFonts w:ascii="Verdana" w:hAnsi="Verdana"/>
          <w:sz w:val="18"/>
          <w:szCs w:val="18"/>
        </w:rPr>
        <w:t>van kracht</w:t>
      </w:r>
      <w:r w:rsidRPr="56D43442">
        <w:rPr>
          <w:rFonts w:ascii="Verdana" w:hAnsi="Verdana"/>
          <w:sz w:val="18"/>
          <w:szCs w:val="18"/>
        </w:rPr>
        <w:t xml:space="preserve"> zijn</w:t>
      </w:r>
      <w:r w:rsidRPr="56D43442" w:rsidR="00750FD2">
        <w:rPr>
          <w:rFonts w:ascii="Verdana" w:hAnsi="Verdana"/>
          <w:sz w:val="18"/>
          <w:szCs w:val="18"/>
        </w:rPr>
        <w:t>.</w:t>
      </w:r>
    </w:p>
    <w:p w:rsidRPr="003B1DAE" w:rsidR="00576574" w:rsidP="003B14FA" w:rsidRDefault="00576574" w14:paraId="39A19C1A" w14:textId="77777777">
      <w:pPr>
        <w:pStyle w:val="Lijstalinea"/>
        <w:spacing w:line="240" w:lineRule="atLeast"/>
        <w:ind w:left="1080"/>
        <w:rPr>
          <w:rFonts w:ascii="Verdana" w:hAnsi="Verdana" w:eastAsia="Verdana" w:cs="Verdana"/>
          <w:sz w:val="18"/>
          <w:szCs w:val="18"/>
        </w:rPr>
      </w:pPr>
    </w:p>
    <w:p w:rsidRPr="003B1DAE" w:rsidR="007175FE" w:rsidP="003B14FA" w:rsidRDefault="00171A25" w14:paraId="509FA8DD" w14:textId="573A9E9B">
      <w:pPr>
        <w:pStyle w:val="Lijstalinea"/>
        <w:numPr>
          <w:ilvl w:val="0"/>
          <w:numId w:val="41"/>
        </w:numPr>
        <w:spacing w:line="240" w:lineRule="atLeast"/>
        <w:rPr>
          <w:rFonts w:ascii="Verdana" w:hAnsi="Verdana"/>
          <w:b/>
          <w:bCs/>
          <w:sz w:val="18"/>
          <w:szCs w:val="18"/>
        </w:rPr>
      </w:pPr>
      <w:r w:rsidRPr="003B1DAE">
        <w:rPr>
          <w:rFonts w:ascii="Verdana" w:hAnsi="Verdana"/>
          <w:b/>
          <w:bCs/>
          <w:sz w:val="18"/>
          <w:szCs w:val="18"/>
        </w:rPr>
        <w:t>Verplichte opslag voor leveranciers</w:t>
      </w:r>
      <w:r w:rsidRPr="003B1DAE" w:rsidR="00453316">
        <w:rPr>
          <w:rFonts w:ascii="Verdana" w:hAnsi="Verdana"/>
          <w:b/>
          <w:bCs/>
          <w:sz w:val="18"/>
          <w:szCs w:val="18"/>
        </w:rPr>
        <w:t xml:space="preserve"> in het kader van de gasleveringsnorm</w:t>
      </w:r>
    </w:p>
    <w:p w:rsidRPr="003B1DAE" w:rsidR="00A25164" w:rsidP="003B14FA" w:rsidRDefault="00DB709A" w14:paraId="4580E32A" w14:textId="6E11CF56">
      <w:pPr>
        <w:pStyle w:val="Lijstalinea"/>
        <w:numPr>
          <w:ilvl w:val="0"/>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Zoals hierboven beschreven zet het</w:t>
      </w:r>
      <w:r w:rsidRPr="003B1DAE">
        <w:rPr>
          <w:rFonts w:ascii="Verdana" w:hAnsi="Verdana"/>
          <w:sz w:val="18"/>
          <w:szCs w:val="18"/>
        </w:rPr>
        <w:t xml:space="preserve"> </w:t>
      </w:r>
      <w:r w:rsidRPr="003B1DAE" w:rsidR="00A25164">
        <w:rPr>
          <w:rFonts w:ascii="Verdana" w:hAnsi="Verdana"/>
          <w:sz w:val="18"/>
          <w:szCs w:val="18"/>
        </w:rPr>
        <w:t>kabinet</w:t>
      </w:r>
      <w:r w:rsidRPr="003B1DAE" w:rsidR="00E066C1">
        <w:rPr>
          <w:rFonts w:ascii="Verdana" w:hAnsi="Verdana"/>
          <w:sz w:val="18"/>
          <w:szCs w:val="18"/>
        </w:rPr>
        <w:t xml:space="preserve"> </w:t>
      </w:r>
      <w:r w:rsidRPr="003B1DAE" w:rsidR="005A1EA1">
        <w:rPr>
          <w:rFonts w:ascii="Verdana" w:hAnsi="Verdana"/>
          <w:sz w:val="18"/>
          <w:szCs w:val="18"/>
        </w:rPr>
        <w:t xml:space="preserve">in </w:t>
      </w:r>
      <w:r w:rsidRPr="003B1DAE" w:rsidR="00CA5669">
        <w:rPr>
          <w:rFonts w:ascii="Verdana" w:hAnsi="Verdana"/>
          <w:sz w:val="18"/>
          <w:szCs w:val="18"/>
        </w:rPr>
        <w:t>op</w:t>
      </w:r>
      <w:r w:rsidRPr="003B1DAE" w:rsidR="00BE38E6">
        <w:rPr>
          <w:rFonts w:ascii="Verdana" w:hAnsi="Verdana" w:eastAsia="Verdana" w:cs="Verdana"/>
          <w:sz w:val="18"/>
          <w:szCs w:val="18"/>
        </w:rPr>
        <w:t xml:space="preserve"> </w:t>
      </w:r>
      <w:r w:rsidRPr="003B1DAE" w:rsidR="007F75AE">
        <w:rPr>
          <w:rFonts w:ascii="Verdana" w:hAnsi="Verdana" w:eastAsia="Verdana" w:cs="Verdana"/>
          <w:sz w:val="18"/>
          <w:szCs w:val="18"/>
        </w:rPr>
        <w:t>Europese</w:t>
      </w:r>
      <w:r w:rsidRPr="003B1DAE" w:rsidR="007F75AE">
        <w:rPr>
          <w:rFonts w:ascii="Verdana" w:hAnsi="Verdana"/>
          <w:sz w:val="18"/>
          <w:szCs w:val="18"/>
        </w:rPr>
        <w:t xml:space="preserve"> </w:t>
      </w:r>
      <w:r w:rsidRPr="003B1DAE" w:rsidR="00A25164">
        <w:rPr>
          <w:rFonts w:ascii="Verdana" w:hAnsi="Verdana"/>
          <w:sz w:val="18"/>
          <w:szCs w:val="18"/>
        </w:rPr>
        <w:t>verplichtingen die rusten op marktpartijen en die gerelateerd</w:t>
      </w:r>
      <w:r w:rsidRPr="003B1DAE" w:rsidR="000A585B">
        <w:rPr>
          <w:rFonts w:ascii="Verdana" w:hAnsi="Verdana"/>
          <w:sz w:val="18"/>
          <w:szCs w:val="18"/>
        </w:rPr>
        <w:t xml:space="preserve"> zijn</w:t>
      </w:r>
      <w:r w:rsidRPr="003B1DAE" w:rsidR="00A25164">
        <w:rPr>
          <w:rFonts w:ascii="Verdana" w:hAnsi="Verdana"/>
          <w:sz w:val="18"/>
          <w:szCs w:val="18"/>
        </w:rPr>
        <w:t xml:space="preserve"> aan de gasvraag waarin moet worden voorzien.</w:t>
      </w:r>
      <w:r w:rsidRPr="003B1DAE" w:rsidR="00A25164">
        <w:rPr>
          <w:rFonts w:ascii="Verdana" w:hAnsi="Verdana" w:eastAsia="Verdana" w:cs="Verdana"/>
          <w:sz w:val="18"/>
          <w:szCs w:val="18"/>
        </w:rPr>
        <w:t xml:space="preserve"> Concreet zet het kabinet in op het explicieter verankeren van gasopslag in de zogenoemde Europese gasleveringsnorm</w:t>
      </w:r>
      <w:r w:rsidRPr="003B1DAE" w:rsidR="00111BAD">
        <w:rPr>
          <w:rFonts w:ascii="Verdana" w:hAnsi="Verdana" w:eastAsia="Verdana" w:cs="Verdana"/>
          <w:sz w:val="18"/>
          <w:szCs w:val="18"/>
        </w:rPr>
        <w:t xml:space="preserve"> (die ziet op extreme koude, een extreem hoge gasvraag en uitval van infrastructuur onder gemiddelde winte</w:t>
      </w:r>
      <w:r w:rsidRPr="003B1DAE" w:rsidR="00191C42">
        <w:rPr>
          <w:rFonts w:ascii="Verdana" w:hAnsi="Verdana" w:eastAsia="Verdana" w:cs="Verdana"/>
          <w:sz w:val="18"/>
          <w:szCs w:val="18"/>
        </w:rPr>
        <w:t>r</w:t>
      </w:r>
      <w:r w:rsidRPr="003B1DAE" w:rsidR="00111BAD">
        <w:rPr>
          <w:rFonts w:ascii="Verdana" w:hAnsi="Verdana" w:eastAsia="Verdana" w:cs="Verdana"/>
          <w:sz w:val="18"/>
          <w:szCs w:val="18"/>
        </w:rPr>
        <w:t>se omstandigheden)</w:t>
      </w:r>
      <w:r w:rsidRPr="003B1DAE" w:rsidR="00A25164">
        <w:rPr>
          <w:rFonts w:ascii="Verdana" w:hAnsi="Verdana" w:eastAsia="Verdana" w:cs="Verdana"/>
          <w:sz w:val="18"/>
          <w:szCs w:val="18"/>
        </w:rPr>
        <w:t xml:space="preserve"> door leveranciers van beschermde afnemers te verplichten (een deel van het) gas dat nodig is om invulling te geven aan de gasleveringsnorm aan te houden in </w:t>
      </w:r>
      <w:r w:rsidRPr="003B1DAE" w:rsidR="0040733C">
        <w:rPr>
          <w:rFonts w:ascii="Verdana" w:hAnsi="Verdana" w:eastAsia="Verdana" w:cs="Verdana"/>
          <w:sz w:val="18"/>
          <w:szCs w:val="18"/>
        </w:rPr>
        <w:t>een</w:t>
      </w:r>
      <w:r w:rsidRPr="003B1DAE" w:rsidR="00A25164">
        <w:rPr>
          <w:rFonts w:ascii="Verdana" w:hAnsi="Verdana" w:eastAsia="Verdana" w:cs="Verdana"/>
          <w:sz w:val="18"/>
          <w:szCs w:val="18"/>
        </w:rPr>
        <w:t xml:space="preserve"> gasopslag</w:t>
      </w:r>
      <w:r w:rsidRPr="003B1DAE" w:rsidR="00036374">
        <w:rPr>
          <w:rFonts w:ascii="Verdana" w:hAnsi="Verdana" w:eastAsia="Verdana" w:cs="Verdana"/>
          <w:sz w:val="18"/>
          <w:szCs w:val="18"/>
        </w:rPr>
        <w:t>.</w:t>
      </w:r>
      <w:r w:rsidRPr="003B1DAE" w:rsidR="00A25164">
        <w:rPr>
          <w:rStyle w:val="Voetnootmarkering"/>
          <w:rFonts w:ascii="Verdana" w:hAnsi="Verdana" w:eastAsia="Verdana" w:cs="Verdana"/>
          <w:sz w:val="18"/>
          <w:szCs w:val="18"/>
        </w:rPr>
        <w:footnoteReference w:id="20"/>
      </w:r>
      <w:r w:rsidRPr="003B1DAE" w:rsidR="00A25164">
        <w:rPr>
          <w:rFonts w:ascii="Verdana" w:hAnsi="Verdana" w:eastAsia="Verdana" w:cs="Verdana"/>
          <w:sz w:val="18"/>
          <w:szCs w:val="18"/>
        </w:rPr>
        <w:t xml:space="preserve"> Dit is het effectiefst op Europees niveau en zo betalen alle afnemers in Europa mee aan de verhoogde weerbaarheid van het systeem.</w:t>
      </w:r>
    </w:p>
    <w:p w:rsidRPr="003B1DAE" w:rsidR="00D32784" w:rsidP="003B14FA" w:rsidRDefault="00D32784" w14:paraId="506CB2EE" w14:textId="5FEA241A">
      <w:pPr>
        <w:pStyle w:val="Lijstalinea"/>
        <w:numPr>
          <w:ilvl w:val="0"/>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Vooruitlopend op mogelijke aanpassing van het Europese gasleveringszekerheidskader (zie hierboven): het nationaal verkennen van de voor- en nadelen</w:t>
      </w:r>
      <w:r w:rsidRPr="003B1DAE" w:rsidR="00953BCB">
        <w:rPr>
          <w:rFonts w:ascii="Verdana" w:hAnsi="Verdana" w:eastAsia="Verdana" w:cs="Verdana"/>
          <w:sz w:val="18"/>
          <w:szCs w:val="18"/>
        </w:rPr>
        <w:t xml:space="preserve"> van</w:t>
      </w:r>
      <w:r w:rsidRPr="003B1DAE">
        <w:rPr>
          <w:rFonts w:ascii="Verdana" w:hAnsi="Verdana" w:eastAsia="Verdana" w:cs="Verdana"/>
          <w:sz w:val="18"/>
          <w:szCs w:val="18"/>
        </w:rPr>
        <w:t xml:space="preserve"> een verplichting voor leveranciers om een deel van het gas dat nodig is om invulling te geven aan gasleveringsnorm voor beschermde afnemers aan te houden in </w:t>
      </w:r>
      <w:r w:rsidRPr="003B1DAE" w:rsidR="00C61B53">
        <w:rPr>
          <w:rFonts w:ascii="Verdana" w:hAnsi="Verdana" w:eastAsia="Verdana" w:cs="Verdana"/>
          <w:sz w:val="18"/>
          <w:szCs w:val="18"/>
        </w:rPr>
        <w:t>een</w:t>
      </w:r>
      <w:r w:rsidRPr="003B1DAE">
        <w:rPr>
          <w:rFonts w:ascii="Verdana" w:hAnsi="Verdana" w:eastAsia="Verdana" w:cs="Verdana"/>
          <w:sz w:val="18"/>
          <w:szCs w:val="18"/>
        </w:rPr>
        <w:t xml:space="preserve"> gasopslag. Hierbij geldt dat de ACM momenteel in het kader van de vergunningsplicht van leveranciers die leveren aan afnemers met een kleine aansluiting al toezicht houdt op </w:t>
      </w:r>
      <w:r w:rsidRPr="003B1DAE" w:rsidR="00C61B53">
        <w:rPr>
          <w:rFonts w:ascii="Verdana" w:hAnsi="Verdana" w:eastAsia="Verdana" w:cs="Verdana"/>
          <w:sz w:val="18"/>
          <w:szCs w:val="18"/>
        </w:rPr>
        <w:t>deze</w:t>
      </w:r>
      <w:r w:rsidRPr="003B1DAE">
        <w:rPr>
          <w:rFonts w:ascii="Verdana" w:hAnsi="Verdana" w:eastAsia="Verdana" w:cs="Verdana"/>
          <w:sz w:val="18"/>
          <w:szCs w:val="18"/>
        </w:rPr>
        <w:t xml:space="preserve"> leveranciers. In dit kader beoordeelt de ACM of leveranciers hun verwachte leveringsverplichtingen van gas in de leveringsperiode waarin de prijs vaststaat voldoende afdekken. De te verkennen verplichting moet hieraan complementair zijn.</w:t>
      </w:r>
    </w:p>
    <w:p w:rsidRPr="003B1DAE" w:rsidR="008C4522" w:rsidP="003B14FA" w:rsidRDefault="008C4522" w14:paraId="05658057" w14:textId="77777777">
      <w:pPr>
        <w:pStyle w:val="Lijstalinea"/>
        <w:spacing w:line="240" w:lineRule="atLeast"/>
        <w:ind w:left="1080"/>
        <w:rPr>
          <w:rFonts w:ascii="Verdana" w:hAnsi="Verdana" w:eastAsia="Verdana" w:cs="Verdana"/>
          <w:sz w:val="18"/>
          <w:szCs w:val="18"/>
        </w:rPr>
      </w:pPr>
    </w:p>
    <w:p w:rsidRPr="003B1DAE" w:rsidR="00A25164" w:rsidP="003B14FA" w:rsidRDefault="00163562" w14:paraId="5D1BB5F9" w14:textId="067FCBF1">
      <w:pPr>
        <w:pStyle w:val="Lijstalinea"/>
        <w:numPr>
          <w:ilvl w:val="0"/>
          <w:numId w:val="41"/>
        </w:numPr>
        <w:spacing w:line="240" w:lineRule="atLeast"/>
        <w:rPr>
          <w:rFonts w:ascii="Verdana" w:hAnsi="Verdana"/>
          <w:b/>
          <w:bCs/>
          <w:sz w:val="18"/>
          <w:szCs w:val="18"/>
        </w:rPr>
      </w:pPr>
      <w:r w:rsidRPr="003B1DAE">
        <w:rPr>
          <w:rFonts w:ascii="Verdana" w:hAnsi="Verdana"/>
          <w:b/>
          <w:bCs/>
          <w:sz w:val="18"/>
          <w:szCs w:val="18"/>
        </w:rPr>
        <w:t xml:space="preserve">Betere toegang tot de </w:t>
      </w:r>
      <w:r w:rsidRPr="003B1DAE" w:rsidR="006E280C">
        <w:rPr>
          <w:rFonts w:ascii="Verdana" w:hAnsi="Verdana"/>
          <w:b/>
          <w:bCs/>
          <w:sz w:val="18"/>
          <w:szCs w:val="18"/>
        </w:rPr>
        <w:t>opslagen</w:t>
      </w:r>
    </w:p>
    <w:p w:rsidRPr="003B1DAE" w:rsidR="00A25164" w:rsidP="003B14FA" w:rsidRDefault="7281DA00" w14:paraId="0893986C" w14:textId="7FC54B84">
      <w:pPr>
        <w:pStyle w:val="Lijstalinea"/>
        <w:numPr>
          <w:ilvl w:val="0"/>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 xml:space="preserve">Verstevigen van toegang tot seizoensopslagen </w:t>
      </w:r>
      <w:r w:rsidRPr="003B1DAE" w:rsidR="785F1E42">
        <w:rPr>
          <w:rFonts w:ascii="Verdana" w:hAnsi="Verdana" w:eastAsia="Verdana" w:cs="Verdana"/>
          <w:sz w:val="18"/>
          <w:szCs w:val="18"/>
        </w:rPr>
        <w:t xml:space="preserve">voor marktpartijen, hetzij technisch, hetzij door middel van virtuele producten. </w:t>
      </w:r>
      <w:r w:rsidRPr="003B1DAE" w:rsidR="00A25164">
        <w:rPr>
          <w:rFonts w:ascii="Verdana" w:hAnsi="Verdana" w:eastAsia="Verdana" w:cs="Verdana"/>
          <w:sz w:val="18"/>
          <w:szCs w:val="18"/>
        </w:rPr>
        <w:t xml:space="preserve">Zo wil het kabinet onderzoeken of het systeem van derdentoegang tot gasopslagen </w:t>
      </w:r>
      <w:r w:rsidRPr="003B1DAE" w:rsidR="00CE0BB5">
        <w:rPr>
          <w:rFonts w:ascii="Verdana" w:hAnsi="Verdana" w:eastAsia="Verdana" w:cs="Verdana"/>
          <w:sz w:val="18"/>
          <w:szCs w:val="18"/>
        </w:rPr>
        <w:t>verder kan worden geoptimaliseerd</w:t>
      </w:r>
      <w:r w:rsidRPr="003B1DAE" w:rsidR="00A25164">
        <w:rPr>
          <w:rFonts w:ascii="Verdana" w:hAnsi="Verdana" w:eastAsia="Verdana" w:cs="Verdana"/>
          <w:sz w:val="18"/>
          <w:szCs w:val="18"/>
        </w:rPr>
        <w:t xml:space="preserve"> in wetgeving.</w:t>
      </w:r>
      <w:r w:rsidRPr="003B1DAE" w:rsidR="00375B9C">
        <w:rPr>
          <w:rFonts w:ascii="Verdana" w:hAnsi="Verdana" w:eastAsia="Verdana" w:cs="Verdana"/>
          <w:sz w:val="18"/>
          <w:szCs w:val="18"/>
        </w:rPr>
        <w:t xml:space="preserve"> Om seizoensopslag toegankelijker te maken wil het kabinet de komende tijd onder meer het aanbieden van virtuele opslagproducten door EBN verkennen</w:t>
      </w:r>
      <w:r w:rsidRPr="003B1DAE" w:rsidR="002610F1">
        <w:rPr>
          <w:rFonts w:ascii="Verdana" w:hAnsi="Verdana" w:eastAsia="Verdana" w:cs="Verdana"/>
          <w:sz w:val="18"/>
          <w:szCs w:val="18"/>
        </w:rPr>
        <w:t>.</w:t>
      </w:r>
      <w:r w:rsidRPr="003B1DAE" w:rsidR="00375B9C">
        <w:rPr>
          <w:rStyle w:val="Voetnootmarkering"/>
          <w:rFonts w:ascii="Verdana" w:hAnsi="Verdana" w:eastAsia="Verdana" w:cs="Verdana"/>
          <w:sz w:val="18"/>
          <w:szCs w:val="18"/>
        </w:rPr>
        <w:footnoteReference w:id="21"/>
      </w:r>
      <w:r w:rsidRPr="003B1DAE" w:rsidR="00375B9C">
        <w:rPr>
          <w:rFonts w:ascii="Verdana" w:hAnsi="Verdana" w:eastAsia="Verdana" w:cs="Verdana"/>
          <w:sz w:val="18"/>
          <w:szCs w:val="18"/>
        </w:rPr>
        <w:t xml:space="preserve"> Hiermee kan </w:t>
      </w:r>
      <w:r w:rsidRPr="003B1DAE" w:rsidR="00347FB9">
        <w:rPr>
          <w:rFonts w:ascii="Verdana" w:hAnsi="Verdana" w:eastAsia="Verdana" w:cs="Verdana"/>
          <w:sz w:val="18"/>
          <w:szCs w:val="18"/>
        </w:rPr>
        <w:t>ervoor</w:t>
      </w:r>
      <w:r w:rsidRPr="003B1DAE" w:rsidR="00375B9C">
        <w:rPr>
          <w:rFonts w:ascii="Verdana" w:hAnsi="Verdana" w:eastAsia="Verdana" w:cs="Verdana"/>
          <w:sz w:val="18"/>
          <w:szCs w:val="18"/>
        </w:rPr>
        <w:t xml:space="preserve"> worden gezorgd dat marktpartijen toch virtueel toegang krijgen tot de gasopslagen waar in de praktijk beperkte technische derdentoegang voor is.</w:t>
      </w:r>
    </w:p>
    <w:p w:rsidRPr="003B1DAE" w:rsidR="00A25164" w:rsidP="003B14FA" w:rsidRDefault="00A25164" w14:paraId="6D1BBDB9" w14:textId="77777777">
      <w:pPr>
        <w:rPr>
          <w:rFonts w:eastAsia="Verdana" w:cs="Verdana"/>
          <w:szCs w:val="18"/>
        </w:rPr>
      </w:pPr>
    </w:p>
    <w:p w:rsidRPr="003B1DAE" w:rsidR="000671DF" w:rsidP="003B14FA" w:rsidRDefault="000671DF" w14:paraId="548D4076" w14:textId="0044181B">
      <w:pPr>
        <w:pStyle w:val="Lijstalinea"/>
        <w:numPr>
          <w:ilvl w:val="0"/>
          <w:numId w:val="41"/>
        </w:numPr>
        <w:spacing w:line="240" w:lineRule="atLeast"/>
        <w:rPr>
          <w:rFonts w:ascii="Verdana" w:hAnsi="Verdana"/>
          <w:b/>
          <w:sz w:val="18"/>
          <w:szCs w:val="18"/>
        </w:rPr>
      </w:pPr>
      <w:r w:rsidRPr="003B1DAE">
        <w:rPr>
          <w:rFonts w:ascii="Verdana" w:hAnsi="Verdana" w:eastAsia="Verdana" w:cs="Verdana"/>
          <w:b/>
          <w:sz w:val="18"/>
          <w:szCs w:val="18"/>
        </w:rPr>
        <w:t xml:space="preserve">Een publieke strategische </w:t>
      </w:r>
      <w:r w:rsidRPr="003B1DAE" w:rsidR="00F63CB1">
        <w:rPr>
          <w:rFonts w:ascii="Verdana" w:hAnsi="Verdana" w:eastAsia="Verdana" w:cs="Verdana"/>
          <w:b/>
          <w:sz w:val="18"/>
          <w:szCs w:val="18"/>
        </w:rPr>
        <w:t>opslag</w:t>
      </w:r>
    </w:p>
    <w:p w:rsidRPr="0054295C" w:rsidR="005573B0" w:rsidP="003B14FA" w:rsidRDefault="00DE5AB5" w14:paraId="5BE3F38A" w14:textId="2ECCB229">
      <w:pPr>
        <w:pStyle w:val="Lijstalinea"/>
        <w:numPr>
          <w:ilvl w:val="0"/>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 xml:space="preserve">Onder het huidige beleid start </w:t>
      </w:r>
      <w:r w:rsidRPr="003B1DAE" w:rsidR="00C04C00">
        <w:rPr>
          <w:rFonts w:ascii="Verdana" w:hAnsi="Verdana" w:eastAsia="Verdana" w:cs="Verdana"/>
          <w:sz w:val="18"/>
          <w:szCs w:val="18"/>
        </w:rPr>
        <w:t xml:space="preserve">de overheid met de aanleg van </w:t>
      </w:r>
      <w:r w:rsidRPr="003B1DAE" w:rsidR="005573B0">
        <w:rPr>
          <w:rFonts w:ascii="Verdana" w:hAnsi="Verdana" w:eastAsia="Verdana" w:cs="Verdana"/>
          <w:sz w:val="18"/>
          <w:szCs w:val="18"/>
        </w:rPr>
        <w:t>een strategische opslag van 5 TWh (noodvoorraad)</w:t>
      </w:r>
      <w:r w:rsidRPr="003B1DAE" w:rsidR="00310B84">
        <w:rPr>
          <w:rFonts w:ascii="Verdana" w:hAnsi="Verdana" w:eastAsia="Verdana" w:cs="Verdana"/>
          <w:sz w:val="18"/>
          <w:szCs w:val="18"/>
        </w:rPr>
        <w:t>.</w:t>
      </w:r>
      <w:r w:rsidRPr="003B1DAE" w:rsidR="005573B0">
        <w:rPr>
          <w:rFonts w:ascii="Verdana" w:hAnsi="Verdana"/>
          <w:sz w:val="18"/>
          <w:szCs w:val="18"/>
          <w:vertAlign w:val="superscript"/>
        </w:rPr>
        <w:footnoteReference w:id="22"/>
      </w:r>
      <w:r w:rsidRPr="003B1DAE" w:rsidR="00574837">
        <w:rPr>
          <w:rFonts w:ascii="Verdana" w:hAnsi="Verdana" w:eastAsia="Verdana" w:cs="Verdana"/>
          <w:sz w:val="18"/>
          <w:szCs w:val="18"/>
        </w:rPr>
        <w:t xml:space="preserve"> </w:t>
      </w:r>
      <w:r w:rsidRPr="003B1DAE" w:rsidR="005573B0">
        <w:rPr>
          <w:rFonts w:ascii="Verdana" w:hAnsi="Verdana" w:eastAsia="Verdana" w:cs="Verdana"/>
          <w:sz w:val="18"/>
          <w:szCs w:val="18"/>
        </w:rPr>
        <w:t xml:space="preserve">Met deze omvang is er, in geval van een crisis, twee weken tijd om niet-beschermde afnemers gecontroleerd af te schakelen om zo schade aan installaties te voorkomen en tijd te hebben voor het uitvoeren van reparaties of organiseren van alternatieve import. </w:t>
      </w:r>
      <w:r w:rsidRPr="003B1DAE" w:rsidR="00712C05">
        <w:rPr>
          <w:rFonts w:ascii="Verdana" w:hAnsi="Verdana" w:eastAsia="Verdana" w:cs="Verdana"/>
          <w:sz w:val="18"/>
          <w:szCs w:val="18"/>
        </w:rPr>
        <w:t xml:space="preserve">Met deze omvang wordt gestart omdat momenteel nog sprake is van Europese vuldoelen, waardoor </w:t>
      </w:r>
      <w:r w:rsidRPr="003B1DAE" w:rsidR="00610AD0">
        <w:rPr>
          <w:rFonts w:ascii="Verdana" w:hAnsi="Verdana" w:eastAsia="Verdana" w:cs="Verdana"/>
          <w:sz w:val="18"/>
          <w:szCs w:val="18"/>
        </w:rPr>
        <w:t xml:space="preserve">al </w:t>
      </w:r>
      <w:r w:rsidRPr="003B1DAE" w:rsidR="00852B04">
        <w:rPr>
          <w:rFonts w:ascii="Verdana" w:hAnsi="Verdana" w:eastAsia="Verdana" w:cs="Verdana"/>
          <w:sz w:val="18"/>
          <w:szCs w:val="18"/>
        </w:rPr>
        <w:t xml:space="preserve">op meer dan alleen normale winters wordt voorbereid. </w:t>
      </w:r>
      <w:r w:rsidRPr="003B1DAE" w:rsidR="0025554D">
        <w:rPr>
          <w:rFonts w:ascii="Verdana" w:hAnsi="Verdana" w:eastAsia="Verdana" w:cs="Verdana"/>
          <w:sz w:val="18"/>
          <w:szCs w:val="18"/>
        </w:rPr>
        <w:t>A</w:t>
      </w:r>
      <w:r w:rsidRPr="003B1DAE" w:rsidR="004B5208">
        <w:rPr>
          <w:rFonts w:ascii="Verdana" w:hAnsi="Verdana" w:eastAsia="Verdana" w:cs="Verdana"/>
          <w:sz w:val="18"/>
          <w:szCs w:val="18"/>
        </w:rPr>
        <w:t>ls deze</w:t>
      </w:r>
      <w:r w:rsidRPr="003B1DAE" w:rsidR="0025554D">
        <w:rPr>
          <w:rFonts w:ascii="Verdana" w:hAnsi="Verdana" w:eastAsia="Verdana" w:cs="Verdana"/>
          <w:sz w:val="18"/>
          <w:szCs w:val="18"/>
        </w:rPr>
        <w:t xml:space="preserve"> vuldoelen </w:t>
      </w:r>
      <w:r w:rsidRPr="003B1DAE" w:rsidR="004B5208">
        <w:rPr>
          <w:rFonts w:ascii="Verdana" w:hAnsi="Verdana" w:eastAsia="Verdana" w:cs="Verdana"/>
          <w:sz w:val="18"/>
          <w:szCs w:val="18"/>
        </w:rPr>
        <w:t>zouden komen te vervallen</w:t>
      </w:r>
      <w:r w:rsidRPr="003B1DAE" w:rsidR="0025554D">
        <w:rPr>
          <w:rFonts w:ascii="Verdana" w:hAnsi="Verdana" w:eastAsia="Verdana" w:cs="Verdana"/>
          <w:sz w:val="18"/>
          <w:szCs w:val="18"/>
        </w:rPr>
        <w:t xml:space="preserve"> </w:t>
      </w:r>
      <w:r w:rsidRPr="003B1DAE" w:rsidR="00971816">
        <w:rPr>
          <w:rFonts w:ascii="Verdana" w:hAnsi="Verdana" w:eastAsia="Verdana" w:cs="Verdana"/>
          <w:sz w:val="18"/>
          <w:szCs w:val="18"/>
        </w:rPr>
        <w:t>onderzoekt</w:t>
      </w:r>
      <w:r w:rsidRPr="003B1DAE" w:rsidDel="004E5971" w:rsidR="0025554D">
        <w:rPr>
          <w:rFonts w:ascii="Verdana" w:hAnsi="Verdana" w:eastAsia="Verdana" w:cs="Verdana"/>
          <w:sz w:val="18"/>
          <w:szCs w:val="18"/>
        </w:rPr>
        <w:t xml:space="preserve"> het kabinet </w:t>
      </w:r>
      <w:r w:rsidRPr="003B1DAE" w:rsidR="004E5971">
        <w:rPr>
          <w:rFonts w:ascii="Verdana" w:hAnsi="Verdana" w:eastAsia="Verdana" w:cs="Verdana"/>
          <w:sz w:val="18"/>
          <w:szCs w:val="18"/>
        </w:rPr>
        <w:t>in welke mate</w:t>
      </w:r>
      <w:r w:rsidRPr="003B1DAE" w:rsidR="0024674D">
        <w:rPr>
          <w:rFonts w:ascii="Verdana" w:hAnsi="Verdana" w:eastAsia="Verdana" w:cs="Verdana"/>
          <w:sz w:val="18"/>
          <w:szCs w:val="18"/>
        </w:rPr>
        <w:t xml:space="preserve"> uitbreiding </w:t>
      </w:r>
      <w:r w:rsidRPr="003B1DAE" w:rsidR="008C74B0">
        <w:rPr>
          <w:rFonts w:ascii="Verdana" w:hAnsi="Verdana" w:eastAsia="Verdana" w:cs="Verdana"/>
          <w:sz w:val="18"/>
          <w:szCs w:val="18"/>
        </w:rPr>
        <w:t xml:space="preserve">van de strategische opslag </w:t>
      </w:r>
      <w:r w:rsidRPr="003B1DAE" w:rsidR="0024674D">
        <w:rPr>
          <w:rFonts w:ascii="Verdana" w:hAnsi="Verdana" w:eastAsia="Verdana" w:cs="Verdana"/>
          <w:sz w:val="18"/>
          <w:szCs w:val="18"/>
        </w:rPr>
        <w:t>nodig is</w:t>
      </w:r>
      <w:r w:rsidRPr="003B1DAE" w:rsidR="00CC6CDF">
        <w:rPr>
          <w:rFonts w:ascii="Verdana" w:hAnsi="Verdana" w:eastAsia="Verdana" w:cs="Verdana"/>
          <w:sz w:val="18"/>
          <w:szCs w:val="18"/>
        </w:rPr>
        <w:t xml:space="preserve">. </w:t>
      </w:r>
      <w:r w:rsidRPr="003B1DAE" w:rsidDel="004E5971" w:rsidR="0025554D">
        <w:rPr>
          <w:rFonts w:ascii="Verdana" w:hAnsi="Verdana" w:eastAsia="Verdana" w:cs="Verdana"/>
          <w:sz w:val="18"/>
          <w:szCs w:val="18"/>
        </w:rPr>
        <w:t>Voor eventuele uitbreiding van de noodvoorraad dien</w:t>
      </w:r>
      <w:r w:rsidRPr="56D43442" w:rsidR="0025554D">
        <w:rPr>
          <w:rFonts w:ascii="Verdana" w:hAnsi="Verdana" w:eastAsia="Verdana" w:cs="Verdana"/>
          <w:sz w:val="18"/>
          <w:szCs w:val="18"/>
        </w:rPr>
        <w:t>t eerst budgettaire besluitvorming plaats te vinden.</w:t>
      </w:r>
    </w:p>
    <w:p w:rsidRPr="003B1DAE" w:rsidR="00A25164" w:rsidP="003B14FA" w:rsidRDefault="00EB443E" w14:paraId="07D685DF" w14:textId="1CE880B9">
      <w:pPr>
        <w:pStyle w:val="Lijstalinea"/>
        <w:numPr>
          <w:ilvl w:val="0"/>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 xml:space="preserve">Voorbereidingen treffen voor </w:t>
      </w:r>
      <w:r w:rsidRPr="003B1DAE" w:rsidR="00913699">
        <w:rPr>
          <w:rFonts w:ascii="Verdana" w:hAnsi="Verdana" w:eastAsia="Verdana" w:cs="Verdana"/>
          <w:sz w:val="18"/>
          <w:szCs w:val="18"/>
        </w:rPr>
        <w:t xml:space="preserve">mogelijke </w:t>
      </w:r>
      <w:r w:rsidRPr="003B1DAE">
        <w:rPr>
          <w:rFonts w:ascii="Verdana" w:hAnsi="Verdana" w:eastAsia="Verdana" w:cs="Verdana"/>
          <w:sz w:val="18"/>
          <w:szCs w:val="18"/>
        </w:rPr>
        <w:t>uitbreid</w:t>
      </w:r>
      <w:r w:rsidRPr="003B1DAE" w:rsidR="00066565">
        <w:rPr>
          <w:rFonts w:ascii="Verdana" w:hAnsi="Verdana" w:eastAsia="Verdana" w:cs="Verdana"/>
          <w:sz w:val="18"/>
          <w:szCs w:val="18"/>
        </w:rPr>
        <w:t>ing</w:t>
      </w:r>
      <w:r w:rsidRPr="003B1DAE">
        <w:rPr>
          <w:rFonts w:ascii="Verdana" w:hAnsi="Verdana" w:eastAsia="Verdana" w:cs="Verdana"/>
          <w:sz w:val="18"/>
          <w:szCs w:val="18"/>
        </w:rPr>
        <w:t xml:space="preserve"> van</w:t>
      </w:r>
      <w:r w:rsidRPr="003B1DAE" w:rsidR="00066565">
        <w:rPr>
          <w:rFonts w:ascii="Verdana" w:hAnsi="Verdana" w:eastAsia="Verdana" w:cs="Verdana"/>
          <w:sz w:val="18"/>
          <w:szCs w:val="18"/>
        </w:rPr>
        <w:t xml:space="preserve"> de</w:t>
      </w:r>
      <w:r w:rsidRPr="003B1DAE">
        <w:rPr>
          <w:rFonts w:ascii="Verdana" w:hAnsi="Verdana" w:eastAsia="Verdana" w:cs="Verdana"/>
          <w:sz w:val="18"/>
          <w:szCs w:val="18"/>
        </w:rPr>
        <w:t xml:space="preserve"> strategische opslag</w:t>
      </w:r>
      <w:r w:rsidRPr="003B1DAE" w:rsidR="00083CDA">
        <w:rPr>
          <w:rFonts w:ascii="Verdana" w:hAnsi="Verdana" w:eastAsia="Verdana" w:cs="Verdana"/>
          <w:sz w:val="18"/>
          <w:szCs w:val="18"/>
        </w:rPr>
        <w:t>:</w:t>
      </w:r>
      <w:r w:rsidRPr="003B1DAE">
        <w:rPr>
          <w:rFonts w:ascii="Verdana" w:hAnsi="Verdana" w:eastAsia="Verdana" w:cs="Verdana"/>
          <w:sz w:val="18"/>
          <w:szCs w:val="18"/>
        </w:rPr>
        <w:t xml:space="preserve"> </w:t>
      </w:r>
      <w:r w:rsidRPr="003B1DAE" w:rsidR="00083CDA">
        <w:rPr>
          <w:rFonts w:ascii="Verdana" w:hAnsi="Verdana" w:eastAsia="Verdana" w:cs="Verdana"/>
          <w:sz w:val="18"/>
          <w:szCs w:val="18"/>
        </w:rPr>
        <w:t>h</w:t>
      </w:r>
      <w:r w:rsidRPr="003B1DAE" w:rsidR="00A25164">
        <w:rPr>
          <w:rFonts w:ascii="Verdana" w:hAnsi="Verdana" w:eastAsia="Verdana" w:cs="Verdana"/>
          <w:sz w:val="18"/>
          <w:szCs w:val="18"/>
        </w:rPr>
        <w:t>et kabinet heeft onderzocht of</w:t>
      </w:r>
      <w:r w:rsidRPr="003B1DAE" w:rsidR="00742B95">
        <w:rPr>
          <w:rFonts w:ascii="Verdana" w:hAnsi="Verdana" w:eastAsia="Verdana" w:cs="Verdana"/>
          <w:sz w:val="18"/>
          <w:szCs w:val="18"/>
        </w:rPr>
        <w:t xml:space="preserve"> het wenselijk is te streven naar een grotere strategische opslag en hoe deze eventueel </w:t>
      </w:r>
      <w:r w:rsidRPr="003B1DAE" w:rsidR="00A25164">
        <w:rPr>
          <w:rFonts w:ascii="Verdana" w:hAnsi="Verdana" w:eastAsia="Verdana" w:cs="Verdana"/>
          <w:sz w:val="18"/>
          <w:szCs w:val="18"/>
        </w:rPr>
        <w:t xml:space="preserve">vormgegeven kan worden in termen van (technische) inzetbaarheid, mogelijke locaties, omvang en kosten. </w:t>
      </w:r>
      <w:r w:rsidRPr="003B1DAE" w:rsidR="00106555">
        <w:rPr>
          <w:rFonts w:ascii="Verdana" w:hAnsi="Verdana" w:eastAsia="Verdana" w:cs="Verdana"/>
          <w:sz w:val="18"/>
          <w:szCs w:val="18"/>
        </w:rPr>
        <w:t>B</w:t>
      </w:r>
      <w:r w:rsidRPr="003B1DAE" w:rsidR="00A25164">
        <w:rPr>
          <w:rFonts w:ascii="Verdana" w:hAnsi="Verdana" w:eastAsia="Verdana" w:cs="Verdana"/>
          <w:sz w:val="18"/>
          <w:szCs w:val="18"/>
        </w:rPr>
        <w:t>epalende factor</w:t>
      </w:r>
      <w:r w:rsidRPr="003B1DAE" w:rsidR="00943F4B">
        <w:rPr>
          <w:rFonts w:ascii="Verdana" w:hAnsi="Verdana" w:eastAsia="Verdana" w:cs="Verdana"/>
          <w:sz w:val="18"/>
          <w:szCs w:val="18"/>
        </w:rPr>
        <w:t>en</w:t>
      </w:r>
      <w:r w:rsidRPr="003B1DAE" w:rsidR="00106555">
        <w:rPr>
          <w:rFonts w:ascii="Verdana" w:hAnsi="Verdana" w:eastAsia="Verdana" w:cs="Verdana"/>
          <w:sz w:val="18"/>
          <w:szCs w:val="18"/>
        </w:rPr>
        <w:t xml:space="preserve"> hierbij</w:t>
      </w:r>
      <w:r w:rsidRPr="003B1DAE" w:rsidR="00943F4B">
        <w:rPr>
          <w:rFonts w:ascii="Verdana" w:hAnsi="Verdana" w:eastAsia="Verdana" w:cs="Verdana"/>
          <w:sz w:val="18"/>
          <w:szCs w:val="18"/>
        </w:rPr>
        <w:t xml:space="preserve"> zijn</w:t>
      </w:r>
      <w:r w:rsidRPr="003B1DAE" w:rsidR="00A25164">
        <w:rPr>
          <w:rFonts w:ascii="Verdana" w:hAnsi="Verdana" w:eastAsia="Verdana" w:cs="Verdana"/>
          <w:sz w:val="18"/>
          <w:szCs w:val="18"/>
        </w:rPr>
        <w:t>:</w:t>
      </w:r>
    </w:p>
    <w:p w:rsidRPr="003B1DAE" w:rsidR="00A25164" w:rsidP="003B14FA" w:rsidRDefault="00A25164" w14:paraId="4BDA81D8" w14:textId="03DD0C8C">
      <w:pPr>
        <w:pStyle w:val="Lijstalinea"/>
        <w:numPr>
          <w:ilvl w:val="1"/>
          <w:numId w:val="18"/>
        </w:numPr>
        <w:spacing w:line="240" w:lineRule="atLeast"/>
        <w:rPr>
          <w:rFonts w:ascii="Verdana" w:hAnsi="Verdana" w:eastAsia="Verdana" w:cs="Verdana"/>
          <w:sz w:val="18"/>
          <w:szCs w:val="18"/>
        </w:rPr>
      </w:pPr>
      <w:r w:rsidRPr="0054295C">
        <w:rPr>
          <w:rFonts w:ascii="Verdana" w:hAnsi="Verdana" w:eastAsia="Verdana" w:cs="Verdana"/>
          <w:sz w:val="18"/>
          <w:szCs w:val="18"/>
          <w:u w:val="single"/>
        </w:rPr>
        <w:t>De baten van een strategische opslag</w:t>
      </w:r>
      <w:r w:rsidRPr="003B1DAE">
        <w:rPr>
          <w:rFonts w:ascii="Verdana" w:hAnsi="Verdana" w:eastAsia="Verdana" w:cs="Verdana"/>
          <w:sz w:val="18"/>
          <w:szCs w:val="18"/>
        </w:rPr>
        <w:t xml:space="preserve"> worden bepaald door de verlichting die het kan bieden ten tijde van </w:t>
      </w:r>
      <w:r w:rsidRPr="003B1DAE">
        <w:rPr>
          <w:rFonts w:ascii="Verdana" w:hAnsi="Verdana"/>
          <w:sz w:val="18"/>
          <w:szCs w:val="18"/>
        </w:rPr>
        <w:t>inzet</w:t>
      </w:r>
      <w:r w:rsidRPr="003B1DAE">
        <w:rPr>
          <w:rFonts w:ascii="Verdana" w:hAnsi="Verdana" w:eastAsia="Verdana" w:cs="Verdana"/>
          <w:sz w:val="18"/>
          <w:szCs w:val="18"/>
        </w:rPr>
        <w:t>. Een strategische opslag dient voornamelijk om bij het aandienen van een noodsituatie tijd te hebben om niet-beschermde afnemers zorgvuldig af te schakelen om schade te voorkomen en gaslevering voort te zetten terwijl een oplossing wordt gezocht voor de verstoring (zoals alternatieve importen en reparaties). Het is niet</w:t>
      </w:r>
      <w:r w:rsidRPr="003B1DAE" w:rsidR="00A92B6A">
        <w:rPr>
          <w:rFonts w:ascii="Verdana" w:hAnsi="Verdana" w:eastAsia="Verdana" w:cs="Verdana"/>
          <w:sz w:val="18"/>
          <w:szCs w:val="18"/>
        </w:rPr>
        <w:t xml:space="preserve"> bewezen</w:t>
      </w:r>
      <w:r w:rsidRPr="003B1DAE">
        <w:rPr>
          <w:rFonts w:ascii="Verdana" w:hAnsi="Verdana" w:eastAsia="Verdana" w:cs="Verdana"/>
          <w:sz w:val="18"/>
          <w:szCs w:val="18"/>
        </w:rPr>
        <w:t xml:space="preserve"> effectief en momenteel </w:t>
      </w:r>
      <w:r w:rsidRPr="003B1DAE" w:rsidR="003B2706">
        <w:rPr>
          <w:rFonts w:ascii="Verdana" w:hAnsi="Verdana" w:eastAsia="Verdana" w:cs="Verdana"/>
          <w:sz w:val="18"/>
          <w:szCs w:val="18"/>
        </w:rPr>
        <w:t xml:space="preserve">op grond van Europese regelgeving </w:t>
      </w:r>
      <w:r w:rsidRPr="003B1DAE">
        <w:rPr>
          <w:rFonts w:ascii="Verdana" w:hAnsi="Verdana" w:eastAsia="Verdana" w:cs="Verdana"/>
          <w:sz w:val="18"/>
          <w:szCs w:val="18"/>
        </w:rPr>
        <w:t xml:space="preserve">niet toegestaan om strategische opslag in te zetten om hoge prijzen te dempen. </w:t>
      </w:r>
    </w:p>
    <w:p w:rsidRPr="003B1DAE" w:rsidR="00B60A3C" w:rsidP="003B14FA" w:rsidRDefault="00A25164" w14:paraId="419DE39A" w14:textId="419ABD40">
      <w:pPr>
        <w:pStyle w:val="Lijstalinea"/>
        <w:numPr>
          <w:ilvl w:val="1"/>
          <w:numId w:val="18"/>
        </w:numPr>
        <w:spacing w:line="240" w:lineRule="atLeast"/>
        <w:rPr>
          <w:rFonts w:ascii="Verdana" w:hAnsi="Verdana" w:eastAsia="Verdana" w:cs="Verdana"/>
          <w:sz w:val="18"/>
          <w:szCs w:val="18"/>
        </w:rPr>
      </w:pPr>
      <w:r w:rsidRPr="0054295C">
        <w:rPr>
          <w:rFonts w:ascii="Verdana" w:hAnsi="Verdana" w:eastAsia="Verdana" w:cs="Verdana"/>
          <w:sz w:val="18"/>
          <w:szCs w:val="18"/>
          <w:u w:val="single"/>
        </w:rPr>
        <w:t>De omvang van een strategische opslag</w:t>
      </w:r>
      <w:r w:rsidRPr="003B1DAE">
        <w:rPr>
          <w:rFonts w:ascii="Verdana" w:hAnsi="Verdana" w:eastAsia="Verdana" w:cs="Verdana"/>
          <w:sz w:val="18"/>
          <w:szCs w:val="18"/>
        </w:rPr>
        <w:t xml:space="preserve"> bepaalt de periode die kan worden overbrugd, afhankelijk van het type verstoring dat zich voordoet en de vraag die resteert (ook in </w:t>
      </w:r>
      <w:r w:rsidRPr="003B1DAE" w:rsidR="00CE0BB5">
        <w:rPr>
          <w:rFonts w:ascii="Verdana" w:hAnsi="Verdana" w:eastAsia="Verdana" w:cs="Verdana"/>
          <w:sz w:val="18"/>
          <w:szCs w:val="18"/>
        </w:rPr>
        <w:t>andere lidstaten</w:t>
      </w:r>
      <w:r w:rsidRPr="003B1DAE">
        <w:rPr>
          <w:rFonts w:ascii="Verdana" w:hAnsi="Verdana" w:eastAsia="Verdana" w:cs="Verdana"/>
          <w:sz w:val="18"/>
          <w:szCs w:val="18"/>
        </w:rPr>
        <w:t xml:space="preserve">, vanwege solidariteit). Het kabinet heeft een aantal opties vergeleken, namelijk 5, 9, 19 en 72 TWh. Hiermee kan variërend tussen enkele weken en 90 dagen de volledige gasvraag worden overbrugd. 5 TWh is </w:t>
      </w:r>
      <w:r w:rsidRPr="003B1DAE" w:rsidR="00A943DC">
        <w:rPr>
          <w:rFonts w:ascii="Verdana" w:hAnsi="Verdana" w:eastAsia="Verdana" w:cs="Verdana"/>
          <w:sz w:val="18"/>
          <w:szCs w:val="18"/>
        </w:rPr>
        <w:t xml:space="preserve">daarbij </w:t>
      </w:r>
      <w:r w:rsidRPr="003B1DAE" w:rsidR="00913699">
        <w:rPr>
          <w:rFonts w:ascii="Verdana" w:hAnsi="Verdana" w:eastAsia="Verdana" w:cs="Verdana"/>
          <w:sz w:val="18"/>
          <w:szCs w:val="18"/>
        </w:rPr>
        <w:t xml:space="preserve">het huidige </w:t>
      </w:r>
      <w:r w:rsidRPr="003B1DAE" w:rsidR="00065F5B">
        <w:rPr>
          <w:rFonts w:ascii="Verdana" w:hAnsi="Verdana" w:eastAsia="Verdana" w:cs="Verdana"/>
          <w:sz w:val="18"/>
          <w:szCs w:val="18"/>
        </w:rPr>
        <w:t>beleid</w:t>
      </w:r>
      <w:r w:rsidRPr="003B1DAE">
        <w:rPr>
          <w:rFonts w:ascii="Verdana" w:hAnsi="Verdana" w:eastAsia="Verdana" w:cs="Verdana"/>
          <w:sz w:val="18"/>
          <w:szCs w:val="18"/>
        </w:rPr>
        <w:t xml:space="preserve">, </w:t>
      </w:r>
      <w:r w:rsidRPr="003B1DAE" w:rsidR="00EB49A0">
        <w:rPr>
          <w:rFonts w:ascii="Verdana" w:hAnsi="Verdana" w:eastAsia="Verdana" w:cs="Verdana"/>
          <w:sz w:val="18"/>
          <w:szCs w:val="18"/>
        </w:rPr>
        <w:t>9 TWh komt overeen met 10</w:t>
      </w:r>
      <w:r w:rsidRPr="003B1DAE" w:rsidR="00C82E73">
        <w:rPr>
          <w:rFonts w:ascii="Verdana" w:hAnsi="Verdana" w:eastAsia="Verdana" w:cs="Verdana"/>
          <w:sz w:val="18"/>
          <w:szCs w:val="18"/>
        </w:rPr>
        <w:t xml:space="preserve">% van de </w:t>
      </w:r>
      <w:r w:rsidRPr="003B1DAE" w:rsidR="002215F3">
        <w:rPr>
          <w:rFonts w:ascii="Verdana" w:hAnsi="Verdana" w:eastAsia="Verdana" w:cs="Verdana"/>
          <w:sz w:val="18"/>
          <w:szCs w:val="18"/>
        </w:rPr>
        <w:t xml:space="preserve">resterende </w:t>
      </w:r>
      <w:r w:rsidRPr="003B1DAE" w:rsidR="00C82E73">
        <w:rPr>
          <w:rFonts w:ascii="Verdana" w:hAnsi="Verdana" w:eastAsia="Verdana" w:cs="Verdana"/>
          <w:sz w:val="18"/>
          <w:szCs w:val="18"/>
        </w:rPr>
        <w:t>opslagcapaciteit</w:t>
      </w:r>
      <w:r w:rsidRPr="003B1DAE" w:rsidR="002215F3">
        <w:rPr>
          <w:rFonts w:ascii="Verdana" w:hAnsi="Verdana" w:eastAsia="Verdana" w:cs="Verdana"/>
          <w:sz w:val="18"/>
          <w:szCs w:val="18"/>
        </w:rPr>
        <w:t>,</w:t>
      </w:r>
      <w:r w:rsidRPr="003B1DAE" w:rsidR="00C82E73">
        <w:rPr>
          <w:rFonts w:ascii="Verdana" w:hAnsi="Verdana" w:eastAsia="Verdana" w:cs="Verdana"/>
          <w:sz w:val="18"/>
          <w:szCs w:val="18"/>
        </w:rPr>
        <w:t xml:space="preserve"> </w:t>
      </w:r>
      <w:r w:rsidRPr="003B1DAE" w:rsidR="00E869DB">
        <w:rPr>
          <w:rFonts w:ascii="Verdana" w:hAnsi="Verdana" w:eastAsia="Verdana" w:cs="Verdana"/>
          <w:sz w:val="18"/>
          <w:szCs w:val="18"/>
        </w:rPr>
        <w:t xml:space="preserve">met </w:t>
      </w:r>
      <w:r w:rsidRPr="003B1DAE" w:rsidR="002215F3">
        <w:rPr>
          <w:rFonts w:ascii="Verdana" w:hAnsi="Verdana" w:eastAsia="Verdana" w:cs="Verdana"/>
          <w:sz w:val="18"/>
          <w:szCs w:val="18"/>
        </w:rPr>
        <w:t>19</w:t>
      </w:r>
      <w:r w:rsidRPr="003B1DAE">
        <w:rPr>
          <w:rFonts w:ascii="Verdana" w:hAnsi="Verdana" w:eastAsia="Verdana" w:cs="Verdana"/>
          <w:sz w:val="18"/>
          <w:szCs w:val="18"/>
        </w:rPr>
        <w:t xml:space="preserve"> TWh </w:t>
      </w:r>
      <w:r w:rsidRPr="003B1DAE" w:rsidR="00E869DB">
        <w:rPr>
          <w:rFonts w:ascii="Verdana" w:hAnsi="Verdana" w:eastAsia="Verdana" w:cs="Verdana"/>
          <w:sz w:val="18"/>
          <w:szCs w:val="18"/>
        </w:rPr>
        <w:t xml:space="preserve">kan 30 dagen uitval </w:t>
      </w:r>
      <w:r w:rsidRPr="003B1DAE" w:rsidR="00425B02">
        <w:rPr>
          <w:rFonts w:ascii="Verdana" w:hAnsi="Verdana" w:eastAsia="Verdana" w:cs="Verdana"/>
          <w:sz w:val="18"/>
          <w:szCs w:val="18"/>
        </w:rPr>
        <w:t xml:space="preserve">van de grootste installatie </w:t>
      </w:r>
      <w:r w:rsidRPr="003B1DAE" w:rsidR="00E869DB">
        <w:rPr>
          <w:rFonts w:ascii="Verdana" w:hAnsi="Verdana" w:eastAsia="Verdana" w:cs="Verdana"/>
          <w:sz w:val="18"/>
          <w:szCs w:val="18"/>
        </w:rPr>
        <w:t>worden overbrugd</w:t>
      </w:r>
      <w:r w:rsidRPr="003B1DAE" w:rsidR="007B0C55">
        <w:rPr>
          <w:rFonts w:ascii="Verdana" w:hAnsi="Verdana" w:eastAsia="Verdana" w:cs="Verdana"/>
          <w:sz w:val="18"/>
          <w:szCs w:val="18"/>
        </w:rPr>
        <w:t xml:space="preserve"> (</w:t>
      </w:r>
      <w:r w:rsidRPr="003B1DAE" w:rsidR="002215F3">
        <w:rPr>
          <w:rFonts w:ascii="Verdana" w:hAnsi="Verdana" w:eastAsia="Verdana" w:cs="Verdana"/>
          <w:sz w:val="18"/>
          <w:szCs w:val="18"/>
        </w:rPr>
        <w:t xml:space="preserve">9 en 19 TWh </w:t>
      </w:r>
      <w:r w:rsidRPr="003B1DAE" w:rsidR="007B0C55">
        <w:rPr>
          <w:rFonts w:ascii="Verdana" w:hAnsi="Verdana" w:eastAsia="Verdana" w:cs="Verdana"/>
          <w:sz w:val="18"/>
          <w:szCs w:val="18"/>
        </w:rPr>
        <w:t xml:space="preserve">naar analogie van de Duitse </w:t>
      </w:r>
      <w:r w:rsidRPr="003B1DAE" w:rsidR="002215F3">
        <w:rPr>
          <w:rFonts w:ascii="Verdana" w:hAnsi="Verdana" w:eastAsia="Verdana" w:cs="Verdana"/>
          <w:sz w:val="18"/>
          <w:szCs w:val="18"/>
        </w:rPr>
        <w:t xml:space="preserve">voorstel voor </w:t>
      </w:r>
      <w:r w:rsidRPr="003B1DAE" w:rsidR="007B0C55">
        <w:rPr>
          <w:rFonts w:ascii="Verdana" w:hAnsi="Verdana" w:eastAsia="Verdana" w:cs="Verdana"/>
          <w:sz w:val="18"/>
          <w:szCs w:val="18"/>
        </w:rPr>
        <w:t>strategische opslag)</w:t>
      </w:r>
      <w:r w:rsidRPr="003B1DAE">
        <w:rPr>
          <w:rFonts w:ascii="Verdana" w:hAnsi="Verdana" w:eastAsia="Verdana" w:cs="Verdana"/>
          <w:sz w:val="18"/>
          <w:szCs w:val="18"/>
        </w:rPr>
        <w:t xml:space="preserve"> en</w:t>
      </w:r>
      <w:r w:rsidRPr="003B1DAE" w:rsidR="00E869DB">
        <w:rPr>
          <w:rFonts w:ascii="Verdana" w:hAnsi="Verdana" w:eastAsia="Verdana" w:cs="Verdana"/>
          <w:sz w:val="18"/>
          <w:szCs w:val="18"/>
        </w:rPr>
        <w:t xml:space="preserve"> met</w:t>
      </w:r>
      <w:r w:rsidRPr="003B1DAE">
        <w:rPr>
          <w:rFonts w:ascii="Verdana" w:hAnsi="Verdana" w:eastAsia="Verdana" w:cs="Verdana"/>
          <w:sz w:val="18"/>
          <w:szCs w:val="18"/>
        </w:rPr>
        <w:t xml:space="preserve"> 72 TWh</w:t>
      </w:r>
      <w:r w:rsidRPr="003B1DAE" w:rsidR="00E869DB">
        <w:rPr>
          <w:rFonts w:ascii="Verdana" w:hAnsi="Verdana" w:eastAsia="Verdana" w:cs="Verdana"/>
          <w:sz w:val="18"/>
          <w:szCs w:val="18"/>
        </w:rPr>
        <w:t xml:space="preserve"> kan </w:t>
      </w:r>
      <w:r w:rsidRPr="003B1DAE">
        <w:rPr>
          <w:rFonts w:ascii="Verdana" w:hAnsi="Verdana" w:eastAsia="Verdana" w:cs="Verdana"/>
          <w:sz w:val="18"/>
          <w:szCs w:val="18"/>
        </w:rPr>
        <w:t>90 dagen uitval van het volledige aanbod</w:t>
      </w:r>
      <w:r w:rsidRPr="003B1DAE" w:rsidR="00630533">
        <w:rPr>
          <w:rFonts w:ascii="Verdana" w:hAnsi="Verdana" w:eastAsia="Verdana" w:cs="Verdana"/>
          <w:sz w:val="18"/>
          <w:szCs w:val="18"/>
        </w:rPr>
        <w:t xml:space="preserve"> worden overbrugd</w:t>
      </w:r>
      <w:r w:rsidRPr="003B1DAE">
        <w:rPr>
          <w:rFonts w:ascii="Verdana" w:hAnsi="Verdana" w:eastAsia="Verdana" w:cs="Verdana"/>
          <w:sz w:val="18"/>
          <w:szCs w:val="18"/>
        </w:rPr>
        <w:t xml:space="preserve">. Elk van de opties gaat gepaard met verschillende </w:t>
      </w:r>
      <w:r w:rsidRPr="003B1DAE" w:rsidR="00630533">
        <w:rPr>
          <w:rFonts w:ascii="Verdana" w:hAnsi="Verdana" w:eastAsia="Verdana" w:cs="Verdana"/>
          <w:sz w:val="18"/>
          <w:szCs w:val="18"/>
        </w:rPr>
        <w:t>(on)</w:t>
      </w:r>
      <w:r w:rsidRPr="003B1DAE">
        <w:rPr>
          <w:rFonts w:ascii="Verdana" w:hAnsi="Verdana" w:eastAsia="Verdana" w:cs="Verdana"/>
          <w:sz w:val="18"/>
          <w:szCs w:val="18"/>
        </w:rPr>
        <w:t>zekerheden, kosten</w:t>
      </w:r>
      <w:r w:rsidRPr="003B1DAE" w:rsidR="00630533">
        <w:rPr>
          <w:rFonts w:ascii="Verdana" w:hAnsi="Verdana" w:eastAsia="Verdana" w:cs="Verdana"/>
          <w:sz w:val="18"/>
          <w:szCs w:val="18"/>
        </w:rPr>
        <w:t xml:space="preserve"> </w:t>
      </w:r>
      <w:r w:rsidRPr="003B1DAE">
        <w:rPr>
          <w:rFonts w:ascii="Verdana" w:hAnsi="Verdana" w:eastAsia="Verdana" w:cs="Verdana"/>
          <w:sz w:val="18"/>
          <w:szCs w:val="18"/>
        </w:rPr>
        <w:t>en vraagstukken rondom de inzet van de onderscheiden opslagen.</w:t>
      </w:r>
    </w:p>
    <w:p w:rsidRPr="0054295C" w:rsidR="001F288F" w:rsidP="003B14FA" w:rsidRDefault="001F288F" w14:paraId="42DF2B64" w14:textId="11D06C88">
      <w:pPr>
        <w:pStyle w:val="Lijstalinea"/>
        <w:numPr>
          <w:ilvl w:val="1"/>
          <w:numId w:val="18"/>
        </w:numPr>
        <w:spacing w:line="240" w:lineRule="atLeast"/>
        <w:rPr>
          <w:rFonts w:ascii="Verdana" w:hAnsi="Verdana"/>
          <w:sz w:val="18"/>
          <w:szCs w:val="18"/>
        </w:rPr>
      </w:pPr>
      <w:r w:rsidRPr="0054295C">
        <w:rPr>
          <w:rFonts w:ascii="Verdana" w:hAnsi="Verdana"/>
          <w:sz w:val="18"/>
          <w:szCs w:val="18"/>
        </w:rPr>
        <w:t>De inzet van een beperkt deel van het kussengas</w:t>
      </w:r>
      <w:r w:rsidRPr="003B1DAE">
        <w:rPr>
          <w:rStyle w:val="Voetnootmarkering"/>
          <w:rFonts w:ascii="Verdana" w:hAnsi="Verdana" w:eastAsia="Verdana" w:cs="Verdana"/>
          <w:sz w:val="18"/>
          <w:szCs w:val="18"/>
        </w:rPr>
        <w:footnoteReference w:id="23"/>
      </w:r>
      <w:r w:rsidRPr="0054295C">
        <w:rPr>
          <w:rFonts w:ascii="Verdana" w:hAnsi="Verdana"/>
          <w:sz w:val="18"/>
          <w:szCs w:val="18"/>
        </w:rPr>
        <w:t xml:space="preserve"> als onderdeel van strategische opslag kent een aantal belangrijke juridische en technische beperkingen. </w:t>
      </w:r>
      <w:r w:rsidRPr="0054295C" w:rsidR="007D4A43">
        <w:rPr>
          <w:rFonts w:ascii="Verdana" w:hAnsi="Verdana"/>
          <w:sz w:val="18"/>
          <w:szCs w:val="18"/>
        </w:rPr>
        <w:t xml:space="preserve">Wat betreft mogelijke locaties heeft het kabinet een inschatting gemaakt van de mogelijke fysieke ruimte in het werkgasvolume van gasopslagen waarbij er voldoende ruimte overblijft voor seizoensopslag. </w:t>
      </w:r>
      <w:r w:rsidRPr="0054295C" w:rsidR="006F6B4E">
        <w:rPr>
          <w:rFonts w:ascii="Verdana" w:hAnsi="Verdana"/>
          <w:sz w:val="18"/>
          <w:szCs w:val="18"/>
        </w:rPr>
        <w:t>E</w:t>
      </w:r>
      <w:r w:rsidRPr="0054295C">
        <w:rPr>
          <w:rFonts w:ascii="Verdana" w:hAnsi="Verdana"/>
          <w:sz w:val="18"/>
          <w:szCs w:val="18"/>
        </w:rPr>
        <w:t>en strategische opslag met een groter volume dan wat past in enkel het werkgasvolume</w:t>
      </w:r>
      <w:r w:rsidRPr="003B1DAE" w:rsidR="00AB3205">
        <w:rPr>
          <w:rFonts w:ascii="Verdana" w:hAnsi="Verdana"/>
          <w:sz w:val="18"/>
          <w:szCs w:val="18"/>
        </w:rPr>
        <w:t xml:space="preserve"> zou dan ook</w:t>
      </w:r>
      <w:r w:rsidRPr="0054295C">
        <w:rPr>
          <w:rFonts w:ascii="Verdana" w:hAnsi="Verdana"/>
          <w:sz w:val="18"/>
          <w:szCs w:val="18"/>
        </w:rPr>
        <w:t xml:space="preserve"> verder onderzoek vereisen</w:t>
      </w:r>
      <w:r w:rsidRPr="003B1DAE" w:rsidR="009A0EBF">
        <w:rPr>
          <w:rFonts w:ascii="Verdana" w:hAnsi="Verdana"/>
          <w:sz w:val="18"/>
          <w:szCs w:val="18"/>
        </w:rPr>
        <w:t xml:space="preserve"> met betrekking tot </w:t>
      </w:r>
      <w:r w:rsidRPr="003B1DAE" w:rsidR="005A04F6">
        <w:rPr>
          <w:rFonts w:ascii="Verdana" w:hAnsi="Verdana"/>
          <w:sz w:val="18"/>
          <w:szCs w:val="18"/>
        </w:rPr>
        <w:t>verschillende opslagen</w:t>
      </w:r>
      <w:r w:rsidRPr="0054295C">
        <w:rPr>
          <w:rFonts w:ascii="Verdana" w:hAnsi="Verdana"/>
          <w:sz w:val="18"/>
          <w:szCs w:val="18"/>
        </w:rPr>
        <w:t>, voordat hier een besluit over kan worden genomen.</w:t>
      </w:r>
    </w:p>
    <w:p w:rsidRPr="003B1DAE" w:rsidR="00E749F2" w:rsidP="003B14FA" w:rsidRDefault="0173A7D1" w14:paraId="33BED3AB" w14:textId="1724B889">
      <w:pPr>
        <w:pStyle w:val="Lijstalinea"/>
        <w:numPr>
          <w:ilvl w:val="1"/>
          <w:numId w:val="18"/>
        </w:numPr>
        <w:spacing w:line="240" w:lineRule="atLeast"/>
        <w:rPr>
          <w:rFonts w:ascii="Verdana" w:hAnsi="Verdana" w:eastAsia="Verdana" w:cs="Verdana"/>
          <w:sz w:val="18"/>
          <w:szCs w:val="18"/>
        </w:rPr>
      </w:pPr>
      <w:r w:rsidRPr="003B1DAE">
        <w:rPr>
          <w:rFonts w:ascii="Verdana" w:hAnsi="Verdana" w:eastAsia="Verdana" w:cs="Verdana"/>
          <w:sz w:val="18"/>
          <w:szCs w:val="18"/>
        </w:rPr>
        <w:t>Specifiek dient benoemd te worden dat er momenteel een besluitvormingsprocedure loopt naar aanleiding van een door de NAM ingediend winningsplan voor het gasveld Norg, dat nu nog als gasopslag fungeert. De NAM heeft hiervoor reeds drie jaar geleden een winningsplan ingediend. De besluitvorming bevindt zich in de afrondende fase waarna het ontwerpbesluit ter inzage wordt gelegd. De NAM is bij de Afdeling bestuursrechtspraak van de Raad van State in beroep gegaan wegens niet tijdig beslissen. De Afdeling heeft in de uitspraak van 14 september jl. opgedragen het (definitieve) besluit uiterlijk 31 december 2026 vast te stellen op straffe van het verbeuren van een dwangsom. Voordat de opslagfunctie van het gasveld Norg beëindigd kan worden zijn instemming met het winningsplan en andere bestuursrechtelijke besluiten vereist, waaronder het oordeel van de ACM of met beëindiging van de opslagactiviteit de leveringszekerheid in Nederland de gasleveringszekerheid op nationaal of Unie-niveau niet vermindert.</w:t>
      </w:r>
    </w:p>
    <w:p w:rsidRPr="0054295C" w:rsidR="00A25164" w:rsidP="003B14FA" w:rsidRDefault="00A25164" w14:paraId="4E48FFCE" w14:textId="77777777">
      <w:pPr>
        <w:pStyle w:val="Lijstalinea"/>
        <w:spacing w:line="240" w:lineRule="atLeast"/>
        <w:ind w:left="1789"/>
        <w:rPr>
          <w:rFonts w:ascii="Verdana" w:hAnsi="Verdana" w:eastAsia="Verdana" w:cs="Verdana"/>
          <w:szCs w:val="18"/>
        </w:rPr>
      </w:pPr>
    </w:p>
    <w:p w:rsidRPr="003B1DAE" w:rsidR="002F74CC" w:rsidP="003B14FA" w:rsidRDefault="00D70F25" w14:paraId="377BC448" w14:textId="07977A34">
      <w:pPr>
        <w:rPr>
          <w:rFonts w:eastAsia="Verdana" w:cs="Verdana"/>
          <w:b/>
          <w:color w:val="000000"/>
          <w:szCs w:val="18"/>
        </w:rPr>
      </w:pPr>
      <w:r w:rsidRPr="003B1DAE">
        <w:rPr>
          <w:rFonts w:eastAsia="Verdana" w:cs="Verdana"/>
          <w:b/>
          <w:bCs/>
          <w:color w:val="000000"/>
          <w:szCs w:val="18"/>
        </w:rPr>
        <w:t>Europee</w:t>
      </w:r>
      <w:r w:rsidRPr="003B1DAE" w:rsidR="00BD38B4">
        <w:rPr>
          <w:rFonts w:eastAsia="Verdana" w:cs="Verdana"/>
          <w:b/>
          <w:bCs/>
          <w:color w:val="000000"/>
          <w:szCs w:val="18"/>
        </w:rPr>
        <w:t>s</w:t>
      </w:r>
      <w:r w:rsidRPr="003B1DAE">
        <w:rPr>
          <w:rFonts w:eastAsia="Verdana" w:cs="Verdana"/>
          <w:b/>
          <w:bCs/>
          <w:color w:val="000000"/>
          <w:szCs w:val="18"/>
        </w:rPr>
        <w:t xml:space="preserve"> krachtenveld</w:t>
      </w:r>
    </w:p>
    <w:p w:rsidRPr="003B1DAE" w:rsidR="006F2A6E" w:rsidP="003B14FA" w:rsidRDefault="006F2A6E" w14:paraId="30D1AE22" w14:textId="77777777">
      <w:pPr>
        <w:rPr>
          <w:rFonts w:eastAsia="Verdana" w:cs="Verdana"/>
          <w:color w:val="000000"/>
          <w:szCs w:val="18"/>
          <w:u w:val="single"/>
        </w:rPr>
      </w:pPr>
    </w:p>
    <w:p w:rsidRPr="003B1DAE" w:rsidR="00A25164" w:rsidP="003B14FA" w:rsidRDefault="00980510" w14:paraId="28CD9778" w14:textId="32FDC445">
      <w:pPr>
        <w:rPr>
          <w:rFonts w:eastAsia="Verdana" w:cs="Verdana"/>
          <w:szCs w:val="18"/>
        </w:rPr>
      </w:pPr>
      <w:r w:rsidRPr="003B1DAE">
        <w:rPr>
          <w:rFonts w:eastAsia="Verdana" w:cs="Verdana"/>
          <w:szCs w:val="18"/>
        </w:rPr>
        <w:t>In Europa is sprake van één interne gasmarkt</w:t>
      </w:r>
      <w:r w:rsidRPr="003B1DAE" w:rsidR="00404BED">
        <w:rPr>
          <w:rFonts w:eastAsia="Verdana" w:cs="Verdana"/>
          <w:szCs w:val="18"/>
        </w:rPr>
        <w:t>,</w:t>
      </w:r>
      <w:r w:rsidRPr="003B1DAE">
        <w:rPr>
          <w:rFonts w:eastAsia="Verdana" w:cs="Verdana"/>
          <w:szCs w:val="18"/>
        </w:rPr>
        <w:t xml:space="preserve"> waar Nederland integraal onderdeel van uitmaakt, die</w:t>
      </w:r>
      <w:r w:rsidRPr="003B1DAE" w:rsidR="002B1E51">
        <w:rPr>
          <w:rFonts w:eastAsia="Verdana" w:cs="Verdana"/>
          <w:szCs w:val="18"/>
        </w:rPr>
        <w:t xml:space="preserve"> ervoor zorgt dat er </w:t>
      </w:r>
      <w:r w:rsidRPr="003B1DAE" w:rsidR="00F47413">
        <w:rPr>
          <w:rFonts w:eastAsia="Verdana" w:cs="Verdana"/>
          <w:szCs w:val="18"/>
        </w:rPr>
        <w:t xml:space="preserve">gas naar en via Nederland stroomt. </w:t>
      </w:r>
      <w:r w:rsidRPr="0054295C" w:rsidR="001B267E">
        <w:rPr>
          <w:rFonts w:eastAsia="Verdana" w:cs="Verdana"/>
          <w:szCs w:val="18"/>
        </w:rPr>
        <w:t xml:space="preserve">Zoals hierboven beschreven ziet Nederland </w:t>
      </w:r>
      <w:r w:rsidRPr="003B1DAE" w:rsidR="00404BED">
        <w:rPr>
          <w:rFonts w:eastAsia="Verdana" w:cs="Verdana"/>
          <w:szCs w:val="18"/>
        </w:rPr>
        <w:t>daarom</w:t>
      </w:r>
      <w:r w:rsidRPr="003B1DAE" w:rsidR="001B267E">
        <w:rPr>
          <w:rFonts w:eastAsia="Verdana" w:cs="Verdana"/>
          <w:szCs w:val="18"/>
        </w:rPr>
        <w:t xml:space="preserve"> het grote belang van Europese samenwerking, om onze weerbaarheid te borgen, maar zet Nederland in op eerlijke verdeling van de kosten. </w:t>
      </w:r>
      <w:r w:rsidRPr="003B1DAE" w:rsidR="00A25164">
        <w:rPr>
          <w:rFonts w:eastAsia="Verdana" w:cs="Verdana"/>
          <w:szCs w:val="18"/>
        </w:rPr>
        <w:t>EZK</w:t>
      </w:r>
      <w:r w:rsidRPr="0054295C" w:rsidR="00983816">
        <w:rPr>
          <w:rFonts w:eastAsia="Verdana" w:cs="Verdana"/>
          <w:szCs w:val="18"/>
        </w:rPr>
        <w:t>/KGG</w:t>
      </w:r>
      <w:r w:rsidRPr="003B1DAE" w:rsidR="00A25164">
        <w:rPr>
          <w:rFonts w:eastAsia="Verdana" w:cs="Verdana"/>
          <w:szCs w:val="18"/>
        </w:rPr>
        <w:t xml:space="preserve"> heeft in juli 2026 op ambtelijk niveau een dialoog gehouden met meerdere lidstaten, en de Europese Commissie als toehoorder, over verschillende maatregelen om de weerbaarheid op Europees niveau te versterken</w:t>
      </w:r>
      <w:r w:rsidRPr="003B1DAE" w:rsidR="00752744">
        <w:rPr>
          <w:rFonts w:eastAsia="Verdana" w:cs="Verdana"/>
          <w:szCs w:val="18"/>
        </w:rPr>
        <w:t xml:space="preserve">, zoals een </w:t>
      </w:r>
      <w:r w:rsidRPr="003B1DAE" w:rsidR="00A8114B">
        <w:rPr>
          <w:rFonts w:eastAsia="Verdana" w:cs="Verdana"/>
          <w:szCs w:val="18"/>
        </w:rPr>
        <w:t>verplichte</w:t>
      </w:r>
      <w:r w:rsidRPr="003B1DAE" w:rsidR="00405030">
        <w:rPr>
          <w:rFonts w:eastAsia="Verdana" w:cs="Verdana"/>
          <w:szCs w:val="18"/>
        </w:rPr>
        <w:t xml:space="preserve"> strategische opslag </w:t>
      </w:r>
      <w:r w:rsidRPr="0054295C" w:rsidR="00673679">
        <w:rPr>
          <w:rFonts w:eastAsia="Verdana" w:cs="Verdana"/>
          <w:szCs w:val="18"/>
        </w:rPr>
        <w:t>met</w:t>
      </w:r>
      <w:r w:rsidRPr="003B1DAE" w:rsidR="007A2E8B">
        <w:rPr>
          <w:rFonts w:eastAsia="Verdana" w:cs="Verdana"/>
          <w:szCs w:val="18"/>
        </w:rPr>
        <w:t xml:space="preserve"> een evenredige verdeling van de kosten tussen lidstaten</w:t>
      </w:r>
      <w:r w:rsidRPr="003B1DAE" w:rsidR="00A25164">
        <w:rPr>
          <w:rFonts w:eastAsia="Verdana" w:cs="Verdana"/>
          <w:szCs w:val="18"/>
        </w:rPr>
        <w:t xml:space="preserve">. Vooralsnog is </w:t>
      </w:r>
      <w:r w:rsidRPr="003B1DAE" w:rsidR="00631FBE">
        <w:rPr>
          <w:rFonts w:eastAsia="Verdana" w:cs="Verdana"/>
          <w:szCs w:val="18"/>
        </w:rPr>
        <w:t>hi</w:t>
      </w:r>
      <w:r w:rsidRPr="003B1DAE" w:rsidR="00A25164">
        <w:rPr>
          <w:rFonts w:eastAsia="Verdana" w:cs="Verdana"/>
          <w:szCs w:val="18"/>
        </w:rPr>
        <w:t xml:space="preserve">er onder lidstaten onvoldoende draagvlak voor. In het algemeen lijken lidstaten die individueel al maatregelen nemen, zoals een strategische opslag, de voorkeur te hebben voor het nationaal ontwerpen en bekostigen van deze maatregelen ten opzichte van Europese coördinatie. Het kabinet zal het gesprek hierover, in het kader van de herziening van de </w:t>
      </w:r>
      <w:r w:rsidRPr="003B1DAE" w:rsidR="00EB5C24">
        <w:rPr>
          <w:rFonts w:eastAsia="Verdana" w:cs="Verdana"/>
          <w:szCs w:val="18"/>
        </w:rPr>
        <w:t>V</w:t>
      </w:r>
      <w:r w:rsidRPr="003B1DAE" w:rsidR="00A25164">
        <w:rPr>
          <w:rFonts w:eastAsia="Verdana" w:cs="Verdana"/>
          <w:szCs w:val="18"/>
        </w:rPr>
        <w:t>erordening gasleveringszekerheid, blijven voeren met de andere lidstaten.</w:t>
      </w:r>
      <w:r w:rsidRPr="003B1DAE" w:rsidR="00F00E2C">
        <w:rPr>
          <w:rStyle w:val="Voetnootmarkering"/>
          <w:rFonts w:eastAsia="Verdana" w:cs="Verdana"/>
          <w:szCs w:val="18"/>
        </w:rPr>
        <w:footnoteReference w:id="24"/>
      </w:r>
      <w:r w:rsidRPr="003B1DAE" w:rsidR="00A25164">
        <w:rPr>
          <w:rFonts w:eastAsia="Verdana" w:cs="Verdana"/>
          <w:szCs w:val="18"/>
        </w:rPr>
        <w:t xml:space="preserve"> </w:t>
      </w:r>
    </w:p>
    <w:p w:rsidRPr="003B1DAE" w:rsidR="00E84CC1" w:rsidP="003B14FA" w:rsidRDefault="00E84CC1" w14:paraId="23F2745F" w14:textId="77777777">
      <w:pPr>
        <w:rPr>
          <w:rFonts w:eastAsia="Verdana" w:cs="Verdana"/>
          <w:szCs w:val="18"/>
        </w:rPr>
      </w:pPr>
    </w:p>
    <w:p w:rsidRPr="003B1DAE" w:rsidR="00A02787" w:rsidP="003B14FA" w:rsidRDefault="00E84CC1" w14:paraId="49502FBD" w14:textId="5D244736">
      <w:pPr>
        <w:rPr>
          <w:rFonts w:eastAsia="Verdana" w:cs="Verdana"/>
          <w:szCs w:val="18"/>
        </w:rPr>
      </w:pPr>
      <w:r w:rsidRPr="003B1DAE">
        <w:rPr>
          <w:rFonts w:eastAsia="Verdana" w:cs="Verdana"/>
          <w:szCs w:val="18"/>
        </w:rPr>
        <w:t xml:space="preserve">In de Gas Coordination Group </w:t>
      </w:r>
      <w:r w:rsidRPr="003B1DAE" w:rsidR="00881855">
        <w:rPr>
          <w:rFonts w:eastAsia="Verdana" w:cs="Verdana"/>
          <w:szCs w:val="18"/>
        </w:rPr>
        <w:t xml:space="preserve">(GCG) </w:t>
      </w:r>
      <w:r w:rsidRPr="003B1DAE">
        <w:rPr>
          <w:rFonts w:eastAsia="Verdana" w:cs="Verdana"/>
          <w:szCs w:val="18"/>
        </w:rPr>
        <w:t xml:space="preserve">zijn lidstaten en de Europese Commissie in april van dit jaar reeds tot de conclusie gekomen dat het vullen van de gasopslagen niet koste wat kost moet gebeuren </w:t>
      </w:r>
      <w:r w:rsidRPr="0054295C">
        <w:rPr>
          <w:rFonts w:eastAsia="Verdana" w:cs="Verdana"/>
          <w:szCs w:val="18"/>
        </w:rPr>
        <w:t>en dat betaalbaarheid en leveringszekerheid tegen elkaar moet worden afgewogen</w:t>
      </w:r>
      <w:r w:rsidRPr="003B1DAE">
        <w:rPr>
          <w:rFonts w:eastAsia="Verdana" w:cs="Verdana"/>
          <w:szCs w:val="18"/>
        </w:rPr>
        <w:t>.</w:t>
      </w:r>
      <w:r w:rsidRPr="003B1DAE" w:rsidR="00CC2594">
        <w:rPr>
          <w:rFonts w:cs="AAAAAP+Verdana"/>
          <w:color w:val="000000"/>
          <w:szCs w:val="18"/>
          <w:lang w:eastAsia="en-US"/>
        </w:rPr>
        <w:t xml:space="preserve"> </w:t>
      </w:r>
      <w:r w:rsidRPr="003B1DAE" w:rsidR="007529B7">
        <w:rPr>
          <w:rFonts w:cs="AAAAAP+Verdana"/>
          <w:color w:val="000000"/>
          <w:szCs w:val="18"/>
          <w:lang w:eastAsia="en-US"/>
        </w:rPr>
        <w:t>In de G</w:t>
      </w:r>
      <w:r w:rsidRPr="003B1DAE" w:rsidR="00881855">
        <w:rPr>
          <w:rFonts w:cs="AAAAAP+Verdana"/>
          <w:color w:val="000000"/>
          <w:szCs w:val="18"/>
          <w:lang w:eastAsia="en-US"/>
        </w:rPr>
        <w:t>CG zijn lidstaten en de Europese Commissie overigens doorlopend in gesprek over het borgen van de leveringszekerheid zonder de prijzen verder op te drijven.</w:t>
      </w:r>
    </w:p>
    <w:p w:rsidRPr="003B1DAE" w:rsidR="00E84CC1" w:rsidP="003B14FA" w:rsidRDefault="00E84CC1" w14:paraId="01CD9785" w14:textId="44F6A9E3">
      <w:pPr>
        <w:rPr>
          <w:rFonts w:eastAsia="Verdana" w:cs="Verdana"/>
          <w:szCs w:val="18"/>
        </w:rPr>
      </w:pPr>
    </w:p>
    <w:p w:rsidRPr="003B1DAE" w:rsidR="00D70F25" w:rsidP="003B14FA" w:rsidRDefault="006D2A70" w14:paraId="04004208" w14:textId="49D75C42">
      <w:pPr>
        <w:rPr>
          <w:rFonts w:eastAsia="Verdana" w:cs="Verdana"/>
          <w:b/>
          <w:bCs/>
          <w:szCs w:val="18"/>
        </w:rPr>
      </w:pPr>
      <w:r w:rsidRPr="003B1DAE">
        <w:rPr>
          <w:rFonts w:eastAsia="Verdana" w:cs="Verdana"/>
          <w:b/>
          <w:bCs/>
          <w:szCs w:val="18"/>
        </w:rPr>
        <w:t>Geen opslag in het kader van prijsbeleid</w:t>
      </w:r>
    </w:p>
    <w:p w:rsidRPr="003B1DAE" w:rsidR="00E868E2" w:rsidP="003B14FA" w:rsidRDefault="00E868E2" w14:paraId="6F4C0807" w14:textId="77777777">
      <w:pPr>
        <w:rPr>
          <w:b/>
          <w:bCs/>
          <w:szCs w:val="18"/>
        </w:rPr>
      </w:pPr>
    </w:p>
    <w:p w:rsidRPr="0054295C" w:rsidR="00D70F25" w:rsidP="003B14FA" w:rsidRDefault="00D70F25" w14:paraId="18F1E914" w14:textId="106F0CF5">
      <w:pPr>
        <w:pStyle w:val="p1"/>
        <w:spacing w:line="240" w:lineRule="atLeast"/>
        <w:rPr>
          <w:rFonts w:eastAsia="Verdana" w:cs="Verdana"/>
          <w:sz w:val="18"/>
          <w:szCs w:val="18"/>
        </w:rPr>
      </w:pPr>
      <w:r w:rsidRPr="003B1DAE">
        <w:rPr>
          <w:rFonts w:eastAsia="Verdana" w:cs="Verdana"/>
          <w:sz w:val="18"/>
          <w:szCs w:val="18"/>
        </w:rPr>
        <w:t>Enkele ontvangen adviezen raden aan om de strategische opslag te gebruiken voor het dempen van prijzen wanneer deze zeer hoog zijn. Naast dat dit momenteel niet is toegestaan op grond van Europese regelgeving, is het kabinet niet overtuigd van de effectiviteit hiervan. Het</w:t>
      </w:r>
      <w:r w:rsidRPr="0054295C">
        <w:rPr>
          <w:rFonts w:eastAsia="Verdana" w:cs="Verdana"/>
          <w:sz w:val="18"/>
          <w:szCs w:val="18"/>
        </w:rPr>
        <w:t xml:space="preserve"> kabinet is, in lijn met het ontvangen advies van PWC, van mening dat de negatieve impact van zeer hoge gasprijzen in een crisissituatie het best kan worden geadresseerd door kwetsbare afnemers gericht te beschermen en doet dat ook.</w:t>
      </w:r>
    </w:p>
    <w:p w:rsidRPr="003B1DAE" w:rsidR="00D70F25" w:rsidP="003B14FA" w:rsidRDefault="00D70F25" w14:paraId="13875246" w14:textId="77777777">
      <w:pPr>
        <w:pStyle w:val="p1"/>
        <w:spacing w:line="240" w:lineRule="atLeast"/>
        <w:rPr>
          <w:rFonts w:eastAsia="Verdana" w:cs="Verdana"/>
          <w:sz w:val="18"/>
          <w:szCs w:val="18"/>
        </w:rPr>
      </w:pPr>
    </w:p>
    <w:p w:rsidRPr="003B1DAE" w:rsidR="00D70F25" w:rsidP="003B14FA" w:rsidRDefault="6FDAA770" w14:paraId="7BDE3E54" w14:textId="4873CDFE">
      <w:pPr>
        <w:rPr>
          <w:rFonts w:eastAsia="Verdana" w:cs="Verdana"/>
        </w:rPr>
      </w:pPr>
      <w:r w:rsidRPr="003B1DAE">
        <w:rPr>
          <w:rFonts w:eastAsia="Verdana" w:cs="Verdana"/>
        </w:rPr>
        <w:t>D</w:t>
      </w:r>
      <w:r w:rsidRPr="003B1DAE" w:rsidR="00D70F25">
        <w:rPr>
          <w:rFonts w:eastAsia="Verdana" w:cs="Verdana"/>
        </w:rPr>
        <w:t xml:space="preserve">e </w:t>
      </w:r>
      <w:r w:rsidRPr="003B1DAE">
        <w:rPr>
          <w:rFonts w:eastAsia="Verdana" w:cs="Verdana"/>
        </w:rPr>
        <w:t xml:space="preserve">meest structurele </w:t>
      </w:r>
      <w:r w:rsidRPr="003B1DAE" w:rsidR="00D70F25">
        <w:rPr>
          <w:rFonts w:eastAsia="Verdana" w:cs="Verdana"/>
        </w:rPr>
        <w:t xml:space="preserve">oplossingen voor hoge energierekeningen </w:t>
      </w:r>
      <w:r w:rsidRPr="003B1DAE">
        <w:rPr>
          <w:rFonts w:eastAsia="Verdana" w:cs="Verdana"/>
        </w:rPr>
        <w:t xml:space="preserve">zijn </w:t>
      </w:r>
      <w:r w:rsidRPr="003B1DAE" w:rsidR="00D70F25">
        <w:rPr>
          <w:rFonts w:eastAsia="Verdana" w:cs="Verdana"/>
        </w:rPr>
        <w:t>minder energie gebruiken en minder afhankelijk zijn van olie, gas en kolen door verduurzamingsmaatregelen. Om deze duurzame oplossingen te versnellen, zijn onder meer maatregelen aangekondigd in het coalitieakkoord</w:t>
      </w:r>
      <w:r w:rsidRPr="003B1DAE" w:rsidR="00763090">
        <w:rPr>
          <w:rFonts w:eastAsia="Verdana" w:cs="Verdana"/>
        </w:rPr>
        <w:t xml:space="preserve"> en</w:t>
      </w:r>
      <w:r w:rsidRPr="003B1DAE" w:rsidR="00D70F25">
        <w:rPr>
          <w:rFonts w:eastAsia="Verdana" w:cs="Verdana"/>
        </w:rPr>
        <w:t xml:space="preserve"> </w:t>
      </w:r>
      <w:r w:rsidRPr="003B1DAE" w:rsidR="004C6E25">
        <w:rPr>
          <w:rFonts w:eastAsia="Verdana" w:cs="Verdana"/>
        </w:rPr>
        <w:t>in</w:t>
      </w:r>
      <w:r w:rsidRPr="003B1DAE" w:rsidR="00D70F25">
        <w:rPr>
          <w:rFonts w:eastAsia="Verdana" w:cs="Verdana"/>
        </w:rPr>
        <w:t xml:space="preserve"> het in april gepresenteerde maatregelenpakket ‘Acties weerbaarheid energieschok’.</w:t>
      </w:r>
      <w:r w:rsidRPr="003B1DAE" w:rsidR="00D70F25">
        <w:rPr>
          <w:rStyle w:val="Voetnootmarkering"/>
          <w:rFonts w:eastAsia="Verdana" w:cs="Verdana"/>
        </w:rPr>
        <w:footnoteReference w:id="25"/>
      </w:r>
      <w:r w:rsidRPr="003B1DAE">
        <w:rPr>
          <w:rFonts w:eastAsia="Verdana" w:cs="Verdana"/>
        </w:rPr>
        <w:t xml:space="preserve"> Daarnaast</w:t>
      </w:r>
      <w:r w:rsidRPr="003B1DAE" w:rsidR="009B220A">
        <w:rPr>
          <w:rFonts w:eastAsia="Verdana" w:cs="Verdana"/>
        </w:rPr>
        <w:t xml:space="preserve"> </w:t>
      </w:r>
      <w:r w:rsidRPr="003B1DAE" w:rsidDel="0096398A" w:rsidR="009B220A">
        <w:rPr>
          <w:rFonts w:eastAsia="Verdana" w:cs="Verdana"/>
          <w:szCs w:val="18"/>
        </w:rPr>
        <w:t>bereidt het kabinet</w:t>
      </w:r>
      <w:r w:rsidRPr="003B1DAE" w:rsidR="00B032B4">
        <w:rPr>
          <w:rFonts w:eastAsia="Verdana" w:cs="Verdana"/>
          <w:szCs w:val="18"/>
        </w:rPr>
        <w:t xml:space="preserve"> in het kader van </w:t>
      </w:r>
      <w:r w:rsidRPr="003B1DAE" w:rsidR="000A1BE5">
        <w:rPr>
          <w:rFonts w:eastAsia="Verdana" w:cs="Verdana"/>
          <w:szCs w:val="18"/>
        </w:rPr>
        <w:t>dat pakket</w:t>
      </w:r>
      <w:r w:rsidRPr="003B1DAE" w:rsidDel="0096398A" w:rsidR="009B220A">
        <w:rPr>
          <w:rFonts w:eastAsia="Verdana" w:cs="Verdana"/>
          <w:szCs w:val="18"/>
        </w:rPr>
        <w:t xml:space="preserve"> een Noodfonds Energie</w:t>
      </w:r>
      <w:r w:rsidRPr="003B1DAE" w:rsidR="009B220A">
        <w:rPr>
          <w:rStyle w:val="Voetnootmarkering"/>
          <w:rFonts w:eastAsia="Verdana" w:cs="Verdana"/>
          <w:szCs w:val="18"/>
        </w:rPr>
        <w:footnoteReference w:id="26"/>
      </w:r>
      <w:r w:rsidRPr="003B1DAE" w:rsidDel="0096398A" w:rsidR="009B220A">
        <w:rPr>
          <w:rFonts w:eastAsia="Verdana" w:cs="Verdana"/>
          <w:szCs w:val="18"/>
        </w:rPr>
        <w:t xml:space="preserve"> voor om huishoudens in de meest kwetsbare positie te helpen met het betalen van hun hoge </w:t>
      </w:r>
      <w:r w:rsidRPr="003B1DAE" w:rsidDel="0096398A" w:rsidR="002E2EF7">
        <w:rPr>
          <w:rFonts w:eastAsia="Verdana" w:cs="Verdana"/>
          <w:szCs w:val="18"/>
        </w:rPr>
        <w:t>energierekening.</w:t>
      </w:r>
      <w:r w:rsidRPr="003B1DAE" w:rsidR="002E2EF7">
        <w:rPr>
          <w:rFonts w:eastAsia="Verdana" w:cs="Verdana"/>
        </w:rPr>
        <w:t xml:space="preserve"> De</w:t>
      </w:r>
      <w:r w:rsidRPr="003B1DAE">
        <w:rPr>
          <w:rFonts w:eastAsia="Verdana" w:cs="Verdana"/>
        </w:rPr>
        <w:t xml:space="preserve"> stijgende energieprijzen vormen ten slotte onderdeel van de jaarlijkse koopkrachtbeoordeling bij de Augustusbesluitvorming. Eventuele mitigerende maatregelen worden in dat kader genomen.</w:t>
      </w:r>
    </w:p>
    <w:p w:rsidRPr="003B1DAE" w:rsidR="00D70F25" w:rsidP="003B14FA" w:rsidRDefault="00D70F25" w14:paraId="109411D8" w14:textId="77777777">
      <w:pPr>
        <w:rPr>
          <w:rFonts w:eastAsia="Verdana" w:cs="Verdana"/>
          <w:szCs w:val="18"/>
        </w:rPr>
      </w:pPr>
    </w:p>
    <w:p w:rsidRPr="003B1DAE" w:rsidR="00A25164" w:rsidP="003B14FA" w:rsidRDefault="00A25164" w14:paraId="7F5D5777" w14:textId="77777777">
      <w:pPr>
        <w:rPr>
          <w:b/>
          <w:bCs/>
          <w:szCs w:val="18"/>
        </w:rPr>
      </w:pPr>
      <w:r w:rsidRPr="003B1DAE">
        <w:rPr>
          <w:b/>
          <w:bCs/>
          <w:szCs w:val="18"/>
        </w:rPr>
        <w:t>Vervolg</w:t>
      </w:r>
    </w:p>
    <w:p w:rsidRPr="003B1DAE" w:rsidR="00C1122B" w:rsidP="003B14FA" w:rsidRDefault="00C1122B" w14:paraId="542D96F6" w14:textId="10D88FB0">
      <w:pPr>
        <w:rPr>
          <w:szCs w:val="18"/>
        </w:rPr>
      </w:pPr>
    </w:p>
    <w:p w:rsidRPr="003B1DAE" w:rsidR="00BE19A9" w:rsidP="003B14FA" w:rsidRDefault="002F1E8D" w14:paraId="43F40F5A" w14:textId="40E84FF5">
      <w:pPr>
        <w:rPr>
          <w:rFonts w:eastAsia="Verdana" w:cs="Verdana"/>
          <w:szCs w:val="18"/>
        </w:rPr>
      </w:pPr>
      <w:r w:rsidRPr="003B1DAE">
        <w:rPr>
          <w:szCs w:val="18"/>
        </w:rPr>
        <w:t xml:space="preserve">Voor de </w:t>
      </w:r>
      <w:r w:rsidRPr="003B1DAE" w:rsidR="00DF03C8">
        <w:rPr>
          <w:szCs w:val="18"/>
        </w:rPr>
        <w:t>komende en volgende winter</w:t>
      </w:r>
      <w:r w:rsidRPr="003B1DAE">
        <w:rPr>
          <w:szCs w:val="18"/>
        </w:rPr>
        <w:t xml:space="preserve"> </w:t>
      </w:r>
      <w:r w:rsidRPr="0054295C">
        <w:rPr>
          <w:szCs w:val="18"/>
        </w:rPr>
        <w:t>blijft</w:t>
      </w:r>
      <w:r w:rsidRPr="003B1DAE" w:rsidR="000E786A">
        <w:rPr>
          <w:szCs w:val="18"/>
        </w:rPr>
        <w:t xml:space="preserve"> </w:t>
      </w:r>
      <w:r w:rsidRPr="003B1DAE">
        <w:rPr>
          <w:rFonts w:eastAsia="Verdana" w:cs="Verdana"/>
          <w:szCs w:val="18"/>
        </w:rPr>
        <w:t xml:space="preserve">het </w:t>
      </w:r>
      <w:r w:rsidRPr="003B1DAE">
        <w:rPr>
          <w:szCs w:val="18"/>
        </w:rPr>
        <w:t xml:space="preserve">huidige </w:t>
      </w:r>
      <w:r w:rsidRPr="003B1DAE">
        <w:rPr>
          <w:rFonts w:eastAsia="Verdana" w:cs="Verdana"/>
          <w:szCs w:val="18"/>
        </w:rPr>
        <w:t>beleid</w:t>
      </w:r>
      <w:r w:rsidRPr="003B1DAE">
        <w:rPr>
          <w:szCs w:val="18"/>
        </w:rPr>
        <w:t xml:space="preserve"> ten aanzien van </w:t>
      </w:r>
      <w:r w:rsidRPr="003B1DAE">
        <w:rPr>
          <w:rFonts w:eastAsia="Verdana" w:cs="Verdana"/>
          <w:szCs w:val="18"/>
        </w:rPr>
        <w:t>het vullen van</w:t>
      </w:r>
      <w:r w:rsidRPr="003B1DAE">
        <w:rPr>
          <w:szCs w:val="18"/>
        </w:rPr>
        <w:t xml:space="preserve"> de gasopslagen</w:t>
      </w:r>
      <w:r w:rsidRPr="003B1DAE">
        <w:rPr>
          <w:rFonts w:eastAsia="Verdana" w:cs="Verdana"/>
          <w:szCs w:val="18"/>
        </w:rPr>
        <w:t xml:space="preserve"> van kracht. </w:t>
      </w:r>
      <w:r w:rsidRPr="003B1DAE" w:rsidR="00785D8C">
        <w:rPr>
          <w:rFonts w:eastAsia="Verdana" w:cs="Verdana"/>
          <w:szCs w:val="18"/>
        </w:rPr>
        <w:t xml:space="preserve">Een overheidsrol zal nodig zijn zolang vulling van de seizoensopslagen noodzakelijk blijft ter uitvoering van de </w:t>
      </w:r>
      <w:r w:rsidRPr="003B1DAE" w:rsidR="001D7BC4">
        <w:rPr>
          <w:rFonts w:eastAsia="Verdana" w:cs="Verdana"/>
          <w:szCs w:val="18"/>
        </w:rPr>
        <w:t xml:space="preserve">huidige </w:t>
      </w:r>
      <w:r w:rsidRPr="003B1DAE" w:rsidR="00785D8C">
        <w:rPr>
          <w:rFonts w:eastAsia="Verdana" w:cs="Verdana"/>
          <w:szCs w:val="18"/>
        </w:rPr>
        <w:t xml:space="preserve">Europese vuldoelen en de markt onvoldoende zelfstandig in deze vulling voorziet. </w:t>
      </w:r>
      <w:r w:rsidRPr="003B1DAE" w:rsidR="000E786A">
        <w:rPr>
          <w:rFonts w:eastAsia="Verdana" w:cs="Verdana"/>
          <w:szCs w:val="18"/>
        </w:rPr>
        <w:t xml:space="preserve">De voorstellen in deze brief </w:t>
      </w:r>
      <w:r w:rsidRPr="003B1DAE" w:rsidR="0080197D">
        <w:rPr>
          <w:rFonts w:eastAsia="Verdana" w:cs="Verdana"/>
          <w:szCs w:val="18"/>
        </w:rPr>
        <w:t xml:space="preserve">betreffen dus niet deze winter of de volgende. </w:t>
      </w:r>
    </w:p>
    <w:p w:rsidRPr="003B1DAE" w:rsidR="002F1E8D" w:rsidP="003B14FA" w:rsidRDefault="002F1E8D" w14:paraId="72304F5F" w14:textId="77777777">
      <w:pPr>
        <w:rPr>
          <w:szCs w:val="18"/>
        </w:rPr>
      </w:pPr>
    </w:p>
    <w:p w:rsidRPr="003B1DAE" w:rsidR="002F1E8D" w:rsidP="003B14FA" w:rsidRDefault="002F1E8D" w14:paraId="4261F735" w14:textId="445EF7CB">
      <w:pPr>
        <w:rPr>
          <w:szCs w:val="18"/>
        </w:rPr>
      </w:pPr>
      <w:r w:rsidRPr="003B1DAE">
        <w:rPr>
          <w:szCs w:val="18"/>
        </w:rPr>
        <w:t>In het najaar wordt het voorstel van de Europese Commissie ter herziening van het raamwerk energieveiligheid verwacht. De Verordening gasleveringszekerheid zal onderdeel zijn van die herziening. Daarnaast worden dit najaar risico-evaluaties uitgevoerd in lijn met de verplichting uit de Verordening gasleveringszekerheid. Daarin worden, hoofdzakelijk vanuit infrastructureel perspectief, meer inzichten geboden in een aantal scenario’s van verstoringen. Aanvullend hierop worden inzichten verzameld</w:t>
      </w:r>
      <w:r w:rsidRPr="003B1DAE" w:rsidR="002D6A43">
        <w:rPr>
          <w:szCs w:val="18"/>
        </w:rPr>
        <w:t xml:space="preserve"> over hoe de</w:t>
      </w:r>
      <w:r w:rsidRPr="003B1DAE" w:rsidR="00D105D9">
        <w:rPr>
          <w:szCs w:val="18"/>
        </w:rPr>
        <w:t xml:space="preserve"> wereldwijde</w:t>
      </w:r>
      <w:r w:rsidRPr="003B1DAE" w:rsidR="002D6A43">
        <w:rPr>
          <w:szCs w:val="18"/>
        </w:rPr>
        <w:t xml:space="preserve"> </w:t>
      </w:r>
      <w:r w:rsidRPr="003B1DAE" w:rsidR="00D105D9">
        <w:rPr>
          <w:szCs w:val="18"/>
        </w:rPr>
        <w:t>gas</w:t>
      </w:r>
      <w:r w:rsidRPr="003B1DAE" w:rsidR="002D6A43">
        <w:rPr>
          <w:szCs w:val="18"/>
        </w:rPr>
        <w:t xml:space="preserve">markt </w:t>
      </w:r>
      <w:r w:rsidRPr="003B1DAE" w:rsidR="00FB2EB1">
        <w:rPr>
          <w:szCs w:val="18"/>
        </w:rPr>
        <w:t xml:space="preserve">naar verwachting reageert bij bepaalde verstoringen. </w:t>
      </w:r>
      <w:r w:rsidRPr="003B1DAE">
        <w:rPr>
          <w:szCs w:val="18"/>
        </w:rPr>
        <w:t>Dit kan bijdragen aan het vervolggesprek over maatregelen om weerbaarheid te vergroten.</w:t>
      </w:r>
      <w:r w:rsidRPr="003B1DAE">
        <w:rPr>
          <w:rFonts w:eastAsia="Verdana" w:cs="Verdana"/>
          <w:szCs w:val="18"/>
        </w:rPr>
        <w:t xml:space="preserve"> Daarnaast werkt</w:t>
      </w:r>
      <w:r w:rsidRPr="003B1DAE">
        <w:rPr>
          <w:szCs w:val="18"/>
        </w:rPr>
        <w:t xml:space="preserve"> het kabinet het voorstel voor de Wet bestrijden energieleveringscrisis en de daarbij horende lagere regelgeving verder </w:t>
      </w:r>
      <w:r w:rsidRPr="003B1DAE">
        <w:rPr>
          <w:rFonts w:eastAsia="Verdana" w:cs="Verdana"/>
          <w:szCs w:val="18"/>
        </w:rPr>
        <w:t>uit</w:t>
      </w:r>
      <w:r w:rsidRPr="003B1DAE">
        <w:rPr>
          <w:szCs w:val="18"/>
        </w:rPr>
        <w:t>. Hier</w:t>
      </w:r>
      <w:r w:rsidRPr="003B1DAE" w:rsidR="008751CA">
        <w:rPr>
          <w:szCs w:val="18"/>
        </w:rPr>
        <w:t>bij</w:t>
      </w:r>
      <w:r w:rsidRPr="003B1DAE">
        <w:rPr>
          <w:szCs w:val="18"/>
        </w:rPr>
        <w:t xml:space="preserve"> zal ook, vooruitlopend op de Europese discussie, een leveranciersverplichting ten behoeve van de gasleveringsnorm verder onderzocht worden.</w:t>
      </w:r>
    </w:p>
    <w:p w:rsidRPr="003B1DAE" w:rsidR="00122C8A" w:rsidP="003B14FA" w:rsidRDefault="00122C8A" w14:paraId="50D785E5" w14:textId="77777777">
      <w:pPr>
        <w:rPr>
          <w:szCs w:val="18"/>
        </w:rPr>
      </w:pPr>
    </w:p>
    <w:p w:rsidRPr="0054295C" w:rsidR="00122C8A" w:rsidP="003B14FA" w:rsidRDefault="00AF6966" w14:paraId="367E9E4D" w14:textId="7A2870EB">
      <w:pPr>
        <w:rPr>
          <w:rFonts w:eastAsia="Verdana" w:cs="Verdana"/>
          <w:szCs w:val="18"/>
        </w:rPr>
      </w:pPr>
      <w:r w:rsidRPr="003B1DAE">
        <w:rPr>
          <w:rFonts w:eastAsia="Verdana" w:cs="Verdana"/>
          <w:szCs w:val="18"/>
        </w:rPr>
        <w:t xml:space="preserve">In deze brief heb ik de afwegingen van het kabinet op hoofdlijnen </w:t>
      </w:r>
      <w:r w:rsidRPr="003B1DAE" w:rsidR="00A42434">
        <w:rPr>
          <w:rFonts w:eastAsia="Verdana" w:cs="Verdana"/>
          <w:szCs w:val="18"/>
        </w:rPr>
        <w:t>geschetst</w:t>
      </w:r>
      <w:r w:rsidRPr="003B1DAE" w:rsidR="004A476E">
        <w:rPr>
          <w:rFonts w:eastAsia="Verdana" w:cs="Verdana"/>
          <w:szCs w:val="18"/>
        </w:rPr>
        <w:t xml:space="preserve">. Komende maanden zal ik </w:t>
      </w:r>
      <w:r w:rsidRPr="003B1DAE" w:rsidR="00232ACB">
        <w:rPr>
          <w:rFonts w:eastAsia="Verdana" w:cs="Verdana"/>
          <w:szCs w:val="18"/>
        </w:rPr>
        <w:t xml:space="preserve">uw </w:t>
      </w:r>
      <w:r w:rsidRPr="003B1DAE" w:rsidR="009713A8">
        <w:rPr>
          <w:rFonts w:eastAsia="Verdana" w:cs="Verdana"/>
          <w:szCs w:val="18"/>
        </w:rPr>
        <w:t>K</w:t>
      </w:r>
      <w:r w:rsidRPr="003B1DAE" w:rsidR="00232ACB">
        <w:rPr>
          <w:rFonts w:eastAsia="Verdana" w:cs="Verdana"/>
          <w:szCs w:val="18"/>
        </w:rPr>
        <w:t xml:space="preserve">amer </w:t>
      </w:r>
      <w:r w:rsidRPr="003B1DAE" w:rsidR="009713A8">
        <w:rPr>
          <w:rFonts w:eastAsia="Verdana" w:cs="Verdana"/>
          <w:szCs w:val="18"/>
        </w:rPr>
        <w:t xml:space="preserve">op de hoogte houden </w:t>
      </w:r>
      <w:r w:rsidRPr="003B1DAE" w:rsidR="006D3C05">
        <w:rPr>
          <w:rFonts w:eastAsia="Verdana" w:cs="Verdana"/>
          <w:szCs w:val="18"/>
        </w:rPr>
        <w:t xml:space="preserve">van de voortgang van de hier genoemde nationale </w:t>
      </w:r>
      <w:r w:rsidRPr="003B1DAE" w:rsidR="000A1103">
        <w:rPr>
          <w:rFonts w:eastAsia="Verdana" w:cs="Verdana"/>
          <w:szCs w:val="18"/>
        </w:rPr>
        <w:t xml:space="preserve">en Europese dossiers. </w:t>
      </w:r>
      <w:r w:rsidRPr="003B1DAE" w:rsidR="00122C8A">
        <w:rPr>
          <w:rFonts w:eastAsia="Verdana" w:cs="Verdana"/>
          <w:szCs w:val="18"/>
        </w:rPr>
        <w:t xml:space="preserve">Met de Kamer hecht het kabinet eraan het gesprek over de contouren van het lange termijn beleid nu te voeren, zodat benodigde stappen tijdig kunnen worden voorbereid en onze toekomstige gasvoorziening de leveringszekerheid op een kosteneffectieve manier waarborgt. </w:t>
      </w:r>
    </w:p>
    <w:p w:rsidRPr="003B1DAE" w:rsidR="00A25164" w:rsidP="003B14FA" w:rsidRDefault="00A25164" w14:paraId="3FADAD1B" w14:textId="77777777">
      <w:pPr>
        <w:rPr>
          <w:rFonts w:eastAsia="Verdana" w:cs="Verdana"/>
          <w:szCs w:val="18"/>
        </w:rPr>
      </w:pPr>
    </w:p>
    <w:p w:rsidRPr="003B1DAE" w:rsidR="00E506B1" w:rsidP="003B14FA" w:rsidRDefault="00E506B1" w14:paraId="776F97EE" w14:textId="77777777">
      <w:pPr>
        <w:rPr>
          <w:rFonts w:eastAsia="Verdana" w:cs="Verdana"/>
          <w:szCs w:val="18"/>
        </w:rPr>
      </w:pPr>
    </w:p>
    <w:p w:rsidRPr="003B1DAE" w:rsidR="00804112" w:rsidP="003B14FA" w:rsidRDefault="00804112" w14:paraId="01CF33E0" w14:textId="77777777">
      <w:pPr>
        <w:rPr>
          <w:szCs w:val="18"/>
        </w:rPr>
      </w:pPr>
      <w:r w:rsidRPr="003B1DAE">
        <w:rPr>
          <w:szCs w:val="18"/>
        </w:rPr>
        <w:t>Stientje van Veldhoven-van der Meer</w:t>
      </w:r>
    </w:p>
    <w:p w:rsidRPr="003B1DAE" w:rsidR="00A21685" w:rsidP="003B14FA" w:rsidRDefault="00804112" w14:paraId="07B2F7B4" w14:textId="42DD411F">
      <w:pPr>
        <w:rPr>
          <w:szCs w:val="18"/>
        </w:rPr>
      </w:pPr>
      <w:r w:rsidRPr="003B1DAE">
        <w:rPr>
          <w:szCs w:val="18"/>
        </w:rPr>
        <w:t>Minister van Klimaat en Groene Groei</w:t>
      </w:r>
      <w:r w:rsidRPr="003B1DAE" w:rsidR="00A21685">
        <w:rPr>
          <w:szCs w:val="18"/>
        </w:rPr>
        <w:br w:type="page"/>
      </w:r>
    </w:p>
    <w:p w:rsidRPr="003B1DAE" w:rsidR="00A25164" w:rsidP="003B14FA" w:rsidRDefault="00A25164" w14:paraId="4E8620BB" w14:textId="53B23681">
      <w:pPr>
        <w:rPr>
          <w:rFonts w:eastAsia="Verdana" w:cs="Verdana"/>
          <w:b/>
          <w:bCs/>
          <w:szCs w:val="18"/>
        </w:rPr>
      </w:pPr>
      <w:r w:rsidRPr="003B1DAE">
        <w:rPr>
          <w:rFonts w:eastAsia="Verdana" w:cs="Verdana"/>
          <w:b/>
          <w:bCs/>
          <w:szCs w:val="18"/>
        </w:rPr>
        <w:t>Onderbouwing en toelichting</w:t>
      </w:r>
    </w:p>
    <w:p w:rsidRPr="003B1DAE" w:rsidR="00A25164" w:rsidP="003B14FA" w:rsidRDefault="00A25164" w14:paraId="0AA28878" w14:textId="77777777">
      <w:pPr>
        <w:rPr>
          <w:rFonts w:eastAsia="Verdana" w:cs="Verdana"/>
          <w:b/>
          <w:bCs/>
          <w:szCs w:val="18"/>
        </w:rPr>
      </w:pPr>
    </w:p>
    <w:p w:rsidRPr="003B1DAE" w:rsidR="00A25164" w:rsidP="003B14FA" w:rsidRDefault="00A25164" w14:paraId="185A119A" w14:textId="77777777">
      <w:pPr>
        <w:pStyle w:val="Lijstalinea"/>
        <w:numPr>
          <w:ilvl w:val="0"/>
          <w:numId w:val="16"/>
        </w:numPr>
        <w:spacing w:line="240" w:lineRule="atLeast"/>
        <w:contextualSpacing w:val="0"/>
        <w:rPr>
          <w:rFonts w:ascii="Verdana" w:hAnsi="Verdana" w:eastAsia="Verdana" w:cs="Verdana"/>
          <w:b/>
          <w:bCs/>
          <w:sz w:val="18"/>
          <w:szCs w:val="18"/>
        </w:rPr>
      </w:pPr>
      <w:r w:rsidRPr="003B1DAE">
        <w:rPr>
          <w:rFonts w:ascii="Verdana" w:hAnsi="Verdana" w:eastAsia="Verdana" w:cs="Verdana"/>
          <w:b/>
          <w:bCs/>
          <w:sz w:val="18"/>
          <w:szCs w:val="18"/>
        </w:rPr>
        <w:t xml:space="preserve">Werking van de gasmarkt en aandachtspunten bij overheidsinterventie </w:t>
      </w:r>
    </w:p>
    <w:p w:rsidRPr="003B1DAE" w:rsidR="00A25164" w:rsidP="003B14FA" w:rsidRDefault="00A25164" w14:paraId="526208A7" w14:textId="77777777">
      <w:pPr>
        <w:rPr>
          <w:rFonts w:eastAsia="Verdana" w:cs="Verdana"/>
          <w:szCs w:val="18"/>
        </w:rPr>
      </w:pPr>
    </w:p>
    <w:p w:rsidRPr="003B1DAE" w:rsidR="00A25164" w:rsidP="003B14FA" w:rsidRDefault="00A25164" w14:paraId="15F2C1FE" w14:textId="7A32E0BF">
      <w:pPr>
        <w:rPr>
          <w:rFonts w:eastAsia="Verdana" w:cs="Verdana"/>
          <w:szCs w:val="18"/>
        </w:rPr>
      </w:pPr>
      <w:r w:rsidRPr="003B1DAE">
        <w:rPr>
          <w:rFonts w:eastAsia="Verdana" w:cs="Verdana"/>
          <w:szCs w:val="18"/>
        </w:rPr>
        <w:t xml:space="preserve">Voor </w:t>
      </w:r>
      <w:r w:rsidRPr="003B1DAE" w:rsidR="00671434">
        <w:rPr>
          <w:rFonts w:eastAsia="Verdana" w:cs="Verdana"/>
          <w:szCs w:val="18"/>
        </w:rPr>
        <w:t>het in deze brief voorgestelde toekomstige strategische gasbeleid op de langere termijn (</w:t>
      </w:r>
      <w:r w:rsidRPr="003B1DAE" w:rsidR="00971060">
        <w:rPr>
          <w:rFonts w:eastAsia="Verdana" w:cs="Verdana"/>
          <w:szCs w:val="18"/>
        </w:rPr>
        <w:t xml:space="preserve">vanaf </w:t>
      </w:r>
      <w:r w:rsidRPr="003B1DAE" w:rsidR="00671434">
        <w:rPr>
          <w:rFonts w:eastAsia="Verdana" w:cs="Verdana"/>
          <w:szCs w:val="18"/>
        </w:rPr>
        <w:t>winter 202</w:t>
      </w:r>
      <w:r w:rsidRPr="003B1DAE" w:rsidR="00971060">
        <w:rPr>
          <w:rFonts w:eastAsia="Verdana" w:cs="Verdana"/>
          <w:szCs w:val="18"/>
        </w:rPr>
        <w:t>8</w:t>
      </w:r>
      <w:r w:rsidRPr="003B1DAE" w:rsidR="00671434">
        <w:rPr>
          <w:rFonts w:eastAsia="Verdana" w:cs="Verdana"/>
          <w:szCs w:val="18"/>
        </w:rPr>
        <w:t>/202</w:t>
      </w:r>
      <w:r w:rsidRPr="003B1DAE" w:rsidR="00971060">
        <w:rPr>
          <w:rFonts w:eastAsia="Verdana" w:cs="Verdana"/>
          <w:szCs w:val="18"/>
        </w:rPr>
        <w:t>9</w:t>
      </w:r>
      <w:r w:rsidRPr="003B1DAE" w:rsidR="00671434">
        <w:rPr>
          <w:rFonts w:eastAsia="Verdana" w:cs="Verdana"/>
          <w:szCs w:val="18"/>
        </w:rPr>
        <w:t>)</w:t>
      </w:r>
      <w:r w:rsidRPr="003B1DAE" w:rsidR="00F459C2">
        <w:rPr>
          <w:rFonts w:eastAsia="Verdana" w:cs="Verdana"/>
          <w:szCs w:val="18"/>
        </w:rPr>
        <w:t xml:space="preserve"> </w:t>
      </w:r>
      <w:r w:rsidRPr="003B1DAE">
        <w:rPr>
          <w:rFonts w:eastAsia="Verdana" w:cs="Verdana"/>
          <w:szCs w:val="18"/>
        </w:rPr>
        <w:t xml:space="preserve">zijn de goede werking van de gasmarkt, de belangrijkste eigenschappen van de gasmarkt en de gevolgen van overheidsingrijpen op de gasmarkt van belang. </w:t>
      </w:r>
    </w:p>
    <w:p w:rsidRPr="003B1DAE" w:rsidR="00A25164" w:rsidP="003B14FA" w:rsidRDefault="00A25164" w14:paraId="1D08E027" w14:textId="77777777">
      <w:pPr>
        <w:rPr>
          <w:rFonts w:eastAsia="Verdana" w:cs="Verdana"/>
          <w:szCs w:val="18"/>
        </w:rPr>
      </w:pPr>
    </w:p>
    <w:p w:rsidRPr="003B1DAE" w:rsidR="00A25164" w:rsidP="003B14FA" w:rsidRDefault="00A25164" w14:paraId="788BF874" w14:textId="77777777">
      <w:pPr>
        <w:rPr>
          <w:rFonts w:eastAsia="Verdana" w:cs="Verdana"/>
          <w:b/>
          <w:bCs/>
          <w:szCs w:val="18"/>
        </w:rPr>
      </w:pPr>
      <w:r w:rsidRPr="003B1DAE">
        <w:rPr>
          <w:rFonts w:eastAsia="Verdana" w:cs="Verdana"/>
          <w:b/>
          <w:bCs/>
          <w:szCs w:val="18"/>
        </w:rPr>
        <w:t>A.1. Werking van de Europese interne gasmarkt</w:t>
      </w:r>
    </w:p>
    <w:p w:rsidRPr="003B1DAE" w:rsidR="00A25164" w:rsidP="003B14FA" w:rsidRDefault="00A25164" w14:paraId="2CC77480" w14:textId="77777777">
      <w:pPr>
        <w:rPr>
          <w:rFonts w:eastAsia="Verdana" w:cs="Verdana"/>
          <w:szCs w:val="18"/>
        </w:rPr>
      </w:pPr>
    </w:p>
    <w:p w:rsidRPr="003B1DAE" w:rsidR="00A25164" w:rsidP="003B14FA" w:rsidRDefault="00A25164" w14:paraId="7ACD1DCD" w14:textId="561B39B1">
      <w:pPr>
        <w:rPr>
          <w:rFonts w:eastAsia="Verdana" w:cs="Verdana"/>
          <w:szCs w:val="18"/>
        </w:rPr>
      </w:pPr>
      <w:r w:rsidRPr="003B1DAE">
        <w:rPr>
          <w:rFonts w:eastAsia="Verdana" w:cs="Verdana"/>
          <w:szCs w:val="18"/>
        </w:rPr>
        <w:t xml:space="preserve">Het kabinet hecht veel waarde aan een goed functionerende gasmarkt omdat dit de belangrijkste voorwaarde is voor het borgen van de leveringszekerheid. Met leveringszekerheid wordt hier bedoeld: genoeg gas </w:t>
      </w:r>
      <w:r w:rsidRPr="003B1DAE" w:rsidR="00DD69D3">
        <w:rPr>
          <w:rFonts w:eastAsia="Verdana" w:cs="Verdana"/>
          <w:szCs w:val="18"/>
        </w:rPr>
        <w:t>(volume en capaciteit)</w:t>
      </w:r>
      <w:r w:rsidRPr="003B1DAE">
        <w:rPr>
          <w:rFonts w:eastAsia="Verdana" w:cs="Verdana"/>
          <w:szCs w:val="18"/>
        </w:rPr>
        <w:t xml:space="preserve"> in de juiste kwaliteit (</w:t>
      </w:r>
      <w:r w:rsidRPr="003B1DAE" w:rsidR="00DD69D3">
        <w:rPr>
          <w:rFonts w:eastAsia="Verdana" w:cs="Verdana"/>
          <w:szCs w:val="18"/>
        </w:rPr>
        <w:t>hoog-</w:t>
      </w:r>
      <w:r w:rsidRPr="003B1DAE" w:rsidR="00E95759">
        <w:rPr>
          <w:rFonts w:eastAsia="Verdana" w:cs="Verdana"/>
          <w:szCs w:val="18"/>
        </w:rPr>
        <w:t xml:space="preserve"> of laagcalorisch</w:t>
      </w:r>
      <w:r w:rsidRPr="003B1DAE">
        <w:rPr>
          <w:rFonts w:eastAsia="Verdana" w:cs="Verdana"/>
          <w:szCs w:val="18"/>
        </w:rPr>
        <w:t xml:space="preserve">) om op het juiste moment te voorzien in de vraag van afnemers, ook als de vraag hoog is. De belangrijkste verantwoordelijkheid voor leveringszekerheid ligt bij marktpartijen: zij moeten genoeg gas (laten) produceren, importeren, inkopen en/of opslaan om te voorzien in de vraag van afnemers aan wie zij een leveringsverplichting hebben. De overheid heeft primair een faciliterende rol (bijvoorbeeld door besluitvorming en regulering), en een rol in het treffen van voorzieningen voor (crisis)situaties in het geval de markt niet (langer) in de leveringszekerheid kan voorzien en een rol bij het beschermen van </w:t>
      </w:r>
      <w:r w:rsidRPr="003B1DAE" w:rsidR="00CD663F">
        <w:rPr>
          <w:rFonts w:eastAsia="Verdana" w:cs="Verdana"/>
          <w:szCs w:val="18"/>
        </w:rPr>
        <w:t>bijzonder</w:t>
      </w:r>
      <w:r w:rsidRPr="003B1DAE" w:rsidR="009710E6">
        <w:rPr>
          <w:rFonts w:eastAsia="Verdana" w:cs="Verdana"/>
          <w:szCs w:val="18"/>
        </w:rPr>
        <w:t xml:space="preserve"> </w:t>
      </w:r>
      <w:r w:rsidRPr="003B1DAE">
        <w:rPr>
          <w:rFonts w:eastAsia="Verdana" w:cs="Verdana"/>
          <w:szCs w:val="18"/>
        </w:rPr>
        <w:t xml:space="preserve">kwetsbare </w:t>
      </w:r>
      <w:r w:rsidRPr="003B1DAE" w:rsidR="007C2C3B">
        <w:rPr>
          <w:rFonts w:eastAsia="Verdana" w:cs="Verdana"/>
          <w:szCs w:val="18"/>
        </w:rPr>
        <w:t xml:space="preserve">groepen </w:t>
      </w:r>
      <w:r w:rsidRPr="003B1DAE" w:rsidR="00C23E9E">
        <w:rPr>
          <w:rFonts w:eastAsia="Verdana" w:cs="Verdana"/>
          <w:szCs w:val="18"/>
        </w:rPr>
        <w:t>(zoals beschermde en door solidariteit beschermde afnemers)</w:t>
      </w:r>
      <w:r w:rsidRPr="003B1DAE">
        <w:rPr>
          <w:rFonts w:eastAsia="Verdana" w:cs="Verdana"/>
          <w:szCs w:val="18"/>
        </w:rPr>
        <w:t>.</w:t>
      </w:r>
    </w:p>
    <w:p w:rsidRPr="003B1DAE" w:rsidR="00A25164" w:rsidP="003B14FA" w:rsidRDefault="00A25164" w14:paraId="29FD305E" w14:textId="77777777">
      <w:pPr>
        <w:rPr>
          <w:rFonts w:eastAsia="Verdana" w:cs="Verdana"/>
          <w:szCs w:val="18"/>
        </w:rPr>
      </w:pPr>
    </w:p>
    <w:p w:rsidRPr="003B1DAE" w:rsidR="00A25164" w:rsidP="003B14FA" w:rsidRDefault="00A25164" w14:paraId="71355964" w14:textId="77777777">
      <w:pPr>
        <w:rPr>
          <w:rFonts w:eastAsia="Verdana" w:cs="Verdana"/>
          <w:szCs w:val="18"/>
        </w:rPr>
      </w:pPr>
      <w:r w:rsidRPr="003B1DAE">
        <w:rPr>
          <w:rFonts w:eastAsia="Verdana" w:cs="Verdana"/>
          <w:szCs w:val="18"/>
        </w:rPr>
        <w:t xml:space="preserve">De markt beschikt over een ingebouwd mechanisme om vraag en aanbod met elkaar in evenwicht te brengen: prijsvorming. Bij schaarste stijgt de prijs, bij veel aanbod daalt de prijs. Het is juist dit prijsmechanisme dat schaarste efficiënt vertaalt in signalen die vraag en aanbod weer in balans brengen, bijvoorbeeld bij verstoringen. </w:t>
      </w:r>
    </w:p>
    <w:p w:rsidRPr="003B1DAE" w:rsidR="00A25164" w:rsidP="003B14FA" w:rsidRDefault="00A25164" w14:paraId="26B349F7" w14:textId="77777777">
      <w:pPr>
        <w:rPr>
          <w:rFonts w:eastAsia="Verdana" w:cs="Verdana"/>
          <w:szCs w:val="18"/>
        </w:rPr>
      </w:pPr>
    </w:p>
    <w:p w:rsidRPr="003B1DAE" w:rsidR="00A25164" w:rsidP="003B14FA" w:rsidRDefault="00A25164" w14:paraId="47294D4A" w14:textId="2234B38D">
      <w:pPr>
        <w:rPr>
          <w:rFonts w:eastAsia="Verdana" w:cs="Verdana"/>
          <w:szCs w:val="18"/>
        </w:rPr>
      </w:pPr>
      <w:r w:rsidRPr="003B1DAE">
        <w:rPr>
          <w:rFonts w:eastAsia="Verdana" w:cs="Verdana"/>
        </w:rPr>
        <w:t>Wat betreft de werking van de gasmarkt is relevant dat in Europa sprake is van één interne gasmarkt.</w:t>
      </w:r>
      <w:r w:rsidRPr="003B1DAE">
        <w:rPr>
          <w:rStyle w:val="Voetnootmarkering"/>
          <w:rFonts w:eastAsia="Verdana" w:cs="Verdana"/>
        </w:rPr>
        <w:footnoteReference w:id="27"/>
      </w:r>
      <w:r w:rsidRPr="003B1DAE">
        <w:rPr>
          <w:szCs w:val="18"/>
        </w:rPr>
        <w:t xml:space="preserve"> </w:t>
      </w:r>
      <w:r w:rsidRPr="003B1DAE">
        <w:rPr>
          <w:rFonts w:eastAsia="Verdana" w:cs="Verdana"/>
        </w:rPr>
        <w:t>In die Europese interne gasmarkt is Nederland in het bijzonder een belangrijke gashub. Nederland heeft een zeer uitgebreide gasinfrastructuur, grote gasopslagfaciliteiten en</w:t>
      </w:r>
      <w:r w:rsidRPr="003B1DAE" w:rsidR="009E5C3D">
        <w:rPr>
          <w:rFonts w:eastAsia="Verdana" w:cs="Verdana"/>
        </w:rPr>
        <w:t xml:space="preserve"> </w:t>
      </w:r>
      <w:r w:rsidRPr="003B1DAE">
        <w:rPr>
          <w:rFonts w:eastAsia="Verdana" w:cs="Verdana"/>
        </w:rPr>
        <w:t xml:space="preserve">veruit </w:t>
      </w:r>
      <w:r w:rsidRPr="003B1DAE" w:rsidR="00BC5B24">
        <w:rPr>
          <w:rFonts w:eastAsia="Verdana" w:cs="Verdana"/>
        </w:rPr>
        <w:t xml:space="preserve">de </w:t>
      </w:r>
      <w:r w:rsidRPr="003B1DAE">
        <w:rPr>
          <w:rFonts w:eastAsia="Verdana" w:cs="Verdana"/>
        </w:rPr>
        <w:t>meest liquide gashandelsplaats van Europa (de Title Transfer Facility of TTF), waarop gas wordt verhandeld dat zich in het Nederlandse gassysteem bevindt of in de toekomst zal bevinden. Er lopen dan ook veel gasstromen via Nederland, niet alleen ten behoeve van afname in Nederland, maar ook ten behoeve van andere landen (in de EU, maar ook derde landen zoals het VK). De TTF is veruit de grootste gashandelsplaats van Europa, zowel in volumes als in liquiditeit. Zo werd op de TTF meer dan 80% van al het gas in Europa (incl. het VK) verhandeld in het jaar 2025</w:t>
      </w:r>
      <w:r w:rsidRPr="003B1DAE" w:rsidR="00316F1D">
        <w:rPr>
          <w:rFonts w:eastAsia="Verdana" w:cs="Verdana"/>
        </w:rPr>
        <w:t>.</w:t>
      </w:r>
      <w:r w:rsidRPr="003B1DAE">
        <w:rPr>
          <w:rStyle w:val="Voetnootmarkering"/>
          <w:rFonts w:eastAsia="Verdana" w:cs="Verdana"/>
        </w:rPr>
        <w:footnoteReference w:id="28"/>
      </w:r>
      <w:r w:rsidRPr="003B1DAE">
        <w:rPr>
          <w:rFonts w:eastAsia="Verdana" w:cs="Verdana"/>
        </w:rPr>
        <w:t xml:space="preserve"> Het TTF-verhandelde volume is ruim 250 keer groter dan de binnenlandse gasvraag.</w:t>
      </w:r>
      <w:r w:rsidRPr="003B1DAE">
        <w:rPr>
          <w:rStyle w:val="Voetnootmarkering"/>
          <w:rFonts w:eastAsia="Verdana" w:cs="Verdana"/>
        </w:rPr>
        <w:footnoteReference w:id="29"/>
      </w:r>
      <w:r w:rsidRPr="003B1DAE">
        <w:rPr>
          <w:rFonts w:eastAsia="Verdana" w:cs="Verdana"/>
        </w:rPr>
        <w:t xml:space="preserve"> De TTF-prijs wordt gezien als leidend en marktconform</w:t>
      </w:r>
      <w:r w:rsidRPr="003B1DAE" w:rsidR="00A5224A">
        <w:rPr>
          <w:rFonts w:eastAsia="Verdana" w:cs="Verdana"/>
        </w:rPr>
        <w:t xml:space="preserve"> en wordt zowel binnen als buiten Europa als referentieprijs gebruikt</w:t>
      </w:r>
      <w:r w:rsidRPr="003B1DAE">
        <w:rPr>
          <w:rFonts w:eastAsia="Verdana" w:cs="Verdana"/>
        </w:rPr>
        <w:t xml:space="preserve">. </w:t>
      </w:r>
    </w:p>
    <w:p w:rsidRPr="003B1DAE" w:rsidR="00A25164" w:rsidP="003B14FA" w:rsidRDefault="00A25164" w14:paraId="1686F171" w14:textId="77777777">
      <w:pPr>
        <w:rPr>
          <w:rFonts w:eastAsia="Verdana" w:cs="Verdana"/>
          <w:szCs w:val="18"/>
        </w:rPr>
      </w:pPr>
    </w:p>
    <w:p w:rsidRPr="003B1DAE" w:rsidR="00A25164" w:rsidP="003B14FA" w:rsidRDefault="00A25164" w14:paraId="51E9428F" w14:textId="0A54FD71">
      <w:pPr>
        <w:rPr>
          <w:rFonts w:eastAsia="Verdana" w:cs="Verdana"/>
          <w:szCs w:val="18"/>
        </w:rPr>
      </w:pPr>
      <w:r w:rsidRPr="003B1DAE">
        <w:rPr>
          <w:rFonts w:eastAsia="Verdana" w:cs="Verdana"/>
          <w:szCs w:val="18"/>
        </w:rPr>
        <w:t>Op de mondiale gasmarkt is Europa een belangrijke afzetmarkt voor producenten en importeurs van aardgas. Zo was de EU in 2025 mondiaal de grootste afzetmarkt van LNG. Gelet op bovengenoemde rol van Nederland als gashub en meest liquide handelsplaats, heeft Nederland een belangrijke rol in het aantrekken van gasvolumes naar Europa.</w:t>
      </w:r>
    </w:p>
    <w:p w:rsidRPr="003B1DAE" w:rsidR="00A25164" w:rsidP="003B14FA" w:rsidRDefault="00A25164" w14:paraId="7CAB3EDD" w14:textId="77777777">
      <w:pPr>
        <w:rPr>
          <w:rFonts w:eastAsia="Verdana" w:cs="Verdana"/>
          <w:szCs w:val="18"/>
        </w:rPr>
      </w:pPr>
    </w:p>
    <w:p w:rsidRPr="003B1DAE" w:rsidR="00A25164" w:rsidP="003B14FA" w:rsidRDefault="00A25164" w14:paraId="50979919" w14:textId="77777777">
      <w:pPr>
        <w:rPr>
          <w:rFonts w:eastAsia="Verdana" w:cs="Verdana"/>
          <w:szCs w:val="18"/>
        </w:rPr>
      </w:pPr>
      <w:r w:rsidRPr="003B1DAE">
        <w:rPr>
          <w:rFonts w:eastAsia="Verdana" w:cs="Verdana"/>
        </w:rPr>
        <w:t>Ten slotte is van belang dat de Europese interne markt in vergaande mate is gereguleerd. Centrale pijlers in deze regulering zijn het vrije verkeer in handel en transport en energiesolidariteit tussen lidstaten.</w:t>
      </w:r>
      <w:r w:rsidRPr="003B1DAE">
        <w:rPr>
          <w:rStyle w:val="Voetnootmarkering"/>
          <w:rFonts w:eastAsia="Verdana" w:cs="Verdana"/>
        </w:rPr>
        <w:footnoteReference w:id="30"/>
      </w:r>
      <w:r w:rsidRPr="003B1DAE">
        <w:rPr>
          <w:rFonts w:eastAsia="Verdana" w:cs="Verdana"/>
        </w:rPr>
        <w:t xml:space="preserve"> Voor gas betekent dit dat lidstaten een interne gasmarkt in stand moeten houden, rekening moeten houden met belangen van alle lidstaten op gebied van leveringszekerheid en elkaar bijstand moeten bieden in crisissituaties. Ook zijn grensoverschrijdende en non-discriminatoire toegang tot de gasinfrastructuur vastgelegd</w:t>
      </w:r>
      <w:r w:rsidRPr="003B1DAE">
        <w:rPr>
          <w:rStyle w:val="Voetnootmarkering"/>
          <w:rFonts w:eastAsia="Verdana" w:cs="Verdana"/>
        </w:rPr>
        <w:footnoteReference w:id="31"/>
      </w:r>
      <w:r w:rsidRPr="003B1DAE">
        <w:rPr>
          <w:rFonts w:eastAsia="Verdana" w:cs="Verdana"/>
        </w:rPr>
        <w:t xml:space="preserve"> en mogen lidstaten de gasstromen op de interne markt niet onnodig beperken en de gasleveringssituatie in een andere lidstaat niet in gevaar brengen.</w:t>
      </w:r>
      <w:r w:rsidRPr="003B1DAE">
        <w:rPr>
          <w:rStyle w:val="Voetnootmarkering"/>
          <w:rFonts w:eastAsia="Verdana" w:cs="Verdana"/>
        </w:rPr>
        <w:footnoteReference w:id="32"/>
      </w:r>
      <w:r w:rsidRPr="003B1DAE">
        <w:rPr>
          <w:rFonts w:eastAsia="Verdana" w:cs="Verdana"/>
        </w:rPr>
        <w:t xml:space="preserve"> </w:t>
      </w:r>
    </w:p>
    <w:p w:rsidRPr="003B1DAE" w:rsidR="00A25164" w:rsidP="003B14FA" w:rsidRDefault="00A25164" w14:paraId="62D934D0" w14:textId="77777777">
      <w:pPr>
        <w:rPr>
          <w:rFonts w:eastAsia="Verdana" w:cs="Verdana"/>
          <w:b/>
          <w:bCs/>
          <w:szCs w:val="18"/>
        </w:rPr>
      </w:pPr>
    </w:p>
    <w:p w:rsidRPr="003B1DAE" w:rsidR="00A25164" w:rsidP="003B14FA" w:rsidRDefault="00A25164" w14:paraId="41CBFC82" w14:textId="77777777">
      <w:pPr>
        <w:rPr>
          <w:rFonts w:eastAsia="Verdana" w:cs="Verdana"/>
          <w:szCs w:val="18"/>
        </w:rPr>
      </w:pPr>
      <w:r w:rsidRPr="003B1DAE">
        <w:rPr>
          <w:rFonts w:eastAsia="Verdana" w:cs="Verdana"/>
          <w:b/>
          <w:bCs/>
          <w:szCs w:val="18"/>
        </w:rPr>
        <w:t>A.2. Kwaliteitsloze gasmarkt en afbouw laagcalorische gasvraag</w:t>
      </w:r>
    </w:p>
    <w:p w:rsidRPr="003B1DAE" w:rsidR="00A25164" w:rsidP="003B14FA" w:rsidRDefault="00A25164" w14:paraId="49A2E51D" w14:textId="77777777">
      <w:pPr>
        <w:rPr>
          <w:rFonts w:eastAsia="Verdana" w:cs="Verdana"/>
          <w:szCs w:val="18"/>
        </w:rPr>
      </w:pPr>
    </w:p>
    <w:p w:rsidRPr="003B1DAE" w:rsidR="00A25164" w:rsidP="003B14FA" w:rsidRDefault="00A25164" w14:paraId="093C53DE" w14:textId="77777777">
      <w:pPr>
        <w:rPr>
          <w:rFonts w:eastAsia="Verdana" w:cs="Verdana"/>
          <w:szCs w:val="18"/>
        </w:rPr>
      </w:pPr>
      <w:r w:rsidRPr="003B1DAE">
        <w:rPr>
          <w:rFonts w:eastAsia="Verdana" w:cs="Verdana"/>
          <w:szCs w:val="18"/>
        </w:rPr>
        <w:t xml:space="preserve">Voor de beoordeling van de noodzaak en doelmatigheid van overheidsmaatregelen op de gasmarkt is een aantal specifieke technische en feitelijke kenmerken relevant. </w:t>
      </w:r>
    </w:p>
    <w:p w:rsidRPr="003B1DAE" w:rsidR="00A25164" w:rsidP="003B14FA" w:rsidRDefault="00A25164" w14:paraId="6A6A2651" w14:textId="77777777">
      <w:pPr>
        <w:rPr>
          <w:rFonts w:eastAsia="Verdana" w:cs="Verdana"/>
          <w:szCs w:val="18"/>
        </w:rPr>
      </w:pPr>
    </w:p>
    <w:p w:rsidRPr="003B1DAE" w:rsidR="00A25164" w:rsidP="003B14FA" w:rsidRDefault="00A25164" w14:paraId="054CD3E3" w14:textId="1ED22AFB">
      <w:pPr>
        <w:rPr>
          <w:rFonts w:eastAsia="Verdana" w:cs="Verdana"/>
          <w:szCs w:val="18"/>
        </w:rPr>
      </w:pPr>
      <w:r w:rsidRPr="003B1DAE">
        <w:rPr>
          <w:rFonts w:eastAsia="Verdana" w:cs="Verdana"/>
        </w:rPr>
        <w:t>In Nederland zijn</w:t>
      </w:r>
      <w:r w:rsidRPr="003B1DAE" w:rsidDel="00C526A5">
        <w:rPr>
          <w:rFonts w:eastAsia="Verdana" w:cs="Verdana"/>
        </w:rPr>
        <w:t xml:space="preserve"> </w:t>
      </w:r>
      <w:r w:rsidRPr="003B1DAE">
        <w:rPr>
          <w:rFonts w:eastAsia="Verdana" w:cs="Verdana"/>
        </w:rPr>
        <w:t>twee soorten gas in omloop: hoogcalorisch gas en laagcalorisch gas</w:t>
      </w:r>
      <w:r w:rsidRPr="003B1DAE" w:rsidR="0077261B">
        <w:rPr>
          <w:rFonts w:eastAsia="Verdana" w:cs="Verdana"/>
        </w:rPr>
        <w:t>.</w:t>
      </w:r>
      <w:r w:rsidRPr="003B1DAE">
        <w:rPr>
          <w:rStyle w:val="Voetnootmarkering"/>
          <w:rFonts w:eastAsia="Verdana" w:cs="Verdana"/>
        </w:rPr>
        <w:footnoteReference w:id="33"/>
      </w:r>
      <w:r w:rsidRPr="003B1DAE">
        <w:rPr>
          <w:rFonts w:eastAsia="Verdana" w:cs="Verdana"/>
        </w:rPr>
        <w:t xml:space="preserve"> In het verleden was het Groningenveld de belangrijkste bron van laagcalorisch gas. </w:t>
      </w:r>
      <w:r w:rsidRPr="003B1DAE" w:rsidR="00A40F63">
        <w:rPr>
          <w:rFonts w:eastAsia="Verdana" w:cs="Verdana"/>
        </w:rPr>
        <w:t>Vrijwel</w:t>
      </w:r>
      <w:r w:rsidRPr="003B1DAE" w:rsidR="00F438BB">
        <w:rPr>
          <w:rFonts w:eastAsia="Verdana" w:cs="Verdana"/>
        </w:rPr>
        <w:t xml:space="preserve"> al het</w:t>
      </w:r>
      <w:r w:rsidRPr="003B1DAE">
        <w:rPr>
          <w:rFonts w:eastAsia="Verdana" w:cs="Verdana"/>
        </w:rPr>
        <w:t xml:space="preserve"> gas dat wereldwijd wordt geproduceerd en verhandeld is hoogcalorisch gas; onze import is daarom eveneens hoogcalorisch gas. GTS kan hoogcalorisch gas converteren naar laagcalorisch gas. Conversie van laag- naar hoogcalorisch gas is niet mogelijk.</w:t>
      </w:r>
    </w:p>
    <w:p w:rsidRPr="003B1DAE" w:rsidR="00A25164" w:rsidP="003B14FA" w:rsidRDefault="00A25164" w14:paraId="6F695280" w14:textId="77777777">
      <w:pPr>
        <w:rPr>
          <w:rFonts w:eastAsia="Verdana" w:cs="Verdana"/>
          <w:szCs w:val="18"/>
        </w:rPr>
      </w:pPr>
    </w:p>
    <w:p w:rsidRPr="003B1DAE" w:rsidR="00A25164" w:rsidP="003B14FA" w:rsidRDefault="00A25164" w14:paraId="368EEAB1" w14:textId="7FC7A3F7">
      <w:pPr>
        <w:rPr>
          <w:rFonts w:eastAsia="Verdana" w:cs="Verdana"/>
          <w:szCs w:val="18"/>
        </w:rPr>
      </w:pPr>
      <w:r w:rsidRPr="003B1DAE">
        <w:rPr>
          <w:rFonts w:eastAsia="Verdana" w:cs="Verdana"/>
          <w:szCs w:val="18"/>
        </w:rPr>
        <w:t>Veel Nederlandse afnemers, met name huishoudens, zijn afgesteld op laagcalorisch gas. Veel industri</w:t>
      </w:r>
      <w:r w:rsidRPr="003B1DAE" w:rsidR="00F438BB">
        <w:rPr>
          <w:rFonts w:eastAsia="Verdana" w:cs="Verdana"/>
          <w:szCs w:val="18"/>
        </w:rPr>
        <w:t>ële grootverbruikers</w:t>
      </w:r>
      <w:r w:rsidRPr="003B1DAE">
        <w:rPr>
          <w:rFonts w:eastAsia="Verdana" w:cs="Verdana"/>
          <w:szCs w:val="18"/>
        </w:rPr>
        <w:t xml:space="preserve"> en elektriciteits- en warmtecentrales gebruiken hoogcalorisch gas. In de afgelopen jaren is, vanwege geringer aanbod door het sluiten van het Groningenveld, ingezet op de afbouw van de laagcalorische gasvraag inclusief succesvolle afbouw van export van laagcalorisch gas naar buurlanden en de ombouw van de grootste binnenlandse grootverbruikers van laag- naar hoogcalorisch gas.</w:t>
      </w:r>
    </w:p>
    <w:p w:rsidRPr="003B1DAE" w:rsidR="00A25164" w:rsidP="003B14FA" w:rsidRDefault="00A25164" w14:paraId="23CE5B40" w14:textId="77777777">
      <w:pPr>
        <w:rPr>
          <w:rFonts w:eastAsia="Verdana" w:cs="Verdana"/>
          <w:szCs w:val="18"/>
        </w:rPr>
      </w:pPr>
    </w:p>
    <w:p w:rsidRPr="0054295C" w:rsidR="00A25164" w:rsidP="003B14FA" w:rsidRDefault="00A25164" w14:paraId="2A2073A7" w14:textId="05372F7A">
      <w:pPr>
        <w:rPr>
          <w:rFonts w:eastAsia="Verdana" w:cs="Verdana"/>
          <w:szCs w:val="18"/>
        </w:rPr>
      </w:pPr>
      <w:r w:rsidRPr="003B1DAE">
        <w:rPr>
          <w:rFonts w:eastAsia="Verdana" w:cs="Verdana"/>
          <w:szCs w:val="18"/>
        </w:rPr>
        <w:t xml:space="preserve">De handel op de gasmarkt is ‘kwaliteitsloos’. Dit houdt in dat gehandeld wordt in energie-eenheden zonder onderscheid tussen hoogcalorisch en laagcalorisch gas. Dat is relevant omdat – in tegenstelling tot de handel – het aanbod en de opslag van gas zowel laag- als hoogcalorisch is. GTS heeft de wettelijke taak om ervoor te zorgen dat het verhandelde gas in de juiste kwaliteit bij de afnemer kan komen. Voor de leveringszekerheid in Nederland is van belang dat GTS – ook in de komende periode met veranderingen op de gasmarkt – de kwaliteitsloze gasmarkt in stand kan blijven houden, zodat beide soorten gas zonder beperkingen op het net kunnen worden ingevoed en onttrokken. </w:t>
      </w:r>
      <w:r w:rsidRPr="003B1DAE" w:rsidR="005E7FC4">
        <w:rPr>
          <w:rFonts w:eastAsia="Verdana" w:cs="Verdana"/>
          <w:szCs w:val="18"/>
        </w:rPr>
        <w:t>Voor</w:t>
      </w:r>
      <w:r w:rsidRPr="003B1DAE" w:rsidR="00A573A9">
        <w:rPr>
          <w:rFonts w:eastAsia="Verdana" w:cs="Verdana"/>
          <w:szCs w:val="18"/>
        </w:rPr>
        <w:t xml:space="preserve"> de inrichting van een strategische opslag is dit vraagstuk relevant omdat </w:t>
      </w:r>
      <w:r w:rsidRPr="003B1DAE" w:rsidR="00B25C9D">
        <w:rPr>
          <w:rFonts w:eastAsia="Verdana" w:cs="Verdana"/>
          <w:szCs w:val="18"/>
        </w:rPr>
        <w:t>rekening gehouden moet worden met de kwaliteit gas die hiervoor wordt ingezet</w:t>
      </w:r>
      <w:r w:rsidRPr="003B1DAE" w:rsidR="00794E4F">
        <w:rPr>
          <w:rFonts w:eastAsia="Verdana" w:cs="Verdana"/>
          <w:szCs w:val="18"/>
        </w:rPr>
        <w:t>, zodat het in een noodsituatie snel gebruikt kan worden</w:t>
      </w:r>
      <w:r w:rsidRPr="003B1DAE" w:rsidR="00B25C9D">
        <w:rPr>
          <w:rFonts w:eastAsia="Verdana" w:cs="Verdana"/>
          <w:szCs w:val="18"/>
        </w:rPr>
        <w:t>.</w:t>
      </w:r>
    </w:p>
    <w:p w:rsidRPr="003B1DAE" w:rsidR="00A25164" w:rsidP="003B14FA" w:rsidRDefault="00A25164" w14:paraId="3A018424" w14:textId="77777777">
      <w:pPr>
        <w:rPr>
          <w:rFonts w:eastAsia="Verdana" w:cs="Verdana"/>
          <w:szCs w:val="18"/>
        </w:rPr>
      </w:pPr>
    </w:p>
    <w:p w:rsidRPr="003B1DAE" w:rsidR="00A25164" w:rsidP="003B14FA" w:rsidRDefault="00A25164" w14:paraId="673734F0" w14:textId="77777777">
      <w:pPr>
        <w:rPr>
          <w:rFonts w:eastAsia="Verdana" w:cs="Verdana"/>
          <w:b/>
          <w:bCs/>
          <w:szCs w:val="18"/>
        </w:rPr>
      </w:pPr>
      <w:r w:rsidRPr="003B1DAE">
        <w:rPr>
          <w:rFonts w:eastAsia="Verdana" w:cs="Verdana"/>
          <w:b/>
          <w:bCs/>
          <w:szCs w:val="18"/>
        </w:rPr>
        <w:t>A.3. Overheidsingrijpen op de gasmarkt</w:t>
      </w:r>
    </w:p>
    <w:p w:rsidRPr="003B1DAE" w:rsidR="00A25164" w:rsidP="003B14FA" w:rsidRDefault="00A25164" w14:paraId="4BF6CF8D" w14:textId="77777777">
      <w:pPr>
        <w:rPr>
          <w:rFonts w:eastAsia="Verdana" w:cs="Verdana"/>
          <w:szCs w:val="18"/>
        </w:rPr>
      </w:pPr>
    </w:p>
    <w:p w:rsidRPr="003B1DAE" w:rsidR="00A25164" w:rsidP="003B14FA" w:rsidRDefault="00A25164" w14:paraId="5685316F" w14:textId="77777777">
      <w:pPr>
        <w:rPr>
          <w:rFonts w:eastAsia="Verdana" w:cs="Verdana"/>
          <w:szCs w:val="18"/>
        </w:rPr>
      </w:pPr>
      <w:r w:rsidRPr="003B1DAE">
        <w:rPr>
          <w:rFonts w:eastAsia="Verdana" w:cs="Verdana"/>
          <w:szCs w:val="18"/>
        </w:rPr>
        <w:t xml:space="preserve">Gelet op het hiervoor beschreven belang van een goed functionerende gasmarkt wil het kabinet marktverstoring door overheidsingrijpen beperken. </w:t>
      </w:r>
    </w:p>
    <w:p w:rsidRPr="003B1DAE" w:rsidR="00A25164" w:rsidP="003B14FA" w:rsidRDefault="00A25164" w14:paraId="4EC647AA" w14:textId="77777777">
      <w:pPr>
        <w:rPr>
          <w:rFonts w:eastAsia="Verdana" w:cs="Verdana"/>
          <w:szCs w:val="18"/>
        </w:rPr>
      </w:pPr>
    </w:p>
    <w:p w:rsidRPr="003B1DAE" w:rsidR="00A25164" w:rsidP="003B14FA" w:rsidRDefault="00A25164" w14:paraId="27B82485" w14:textId="48CC6A0E">
      <w:pPr>
        <w:rPr>
          <w:rFonts w:eastAsia="Verdana" w:cs="Verdana"/>
          <w:szCs w:val="18"/>
        </w:rPr>
      </w:pPr>
      <w:r w:rsidRPr="003B1DAE">
        <w:rPr>
          <w:rFonts w:eastAsia="Verdana" w:cs="Verdana"/>
        </w:rPr>
        <w:t>Tegelijkertijd geldt dat de gasmarkt te maken heeft met grote veranderingen en geopolitieke spanningen. Dit maakt dat een goede en zorgvuldige afweging moet worden gemaakt welke omstandigheden en gevolgen de markt zelf kan en moet opvangen, en waar de overheid een rol heeft. Zo blijft het van belang dat de overheid voorziet in de juiste waarborgen en ondergrenzen, bijvoorbeeld waar het gaat om eisen die aan energieleveranciers worden opgelegd</w:t>
      </w:r>
      <w:r w:rsidRPr="003B1DAE">
        <w:rPr>
          <w:rStyle w:val="Voetnootmarkering"/>
          <w:rFonts w:eastAsia="Verdana" w:cs="Verdana"/>
        </w:rPr>
        <w:footnoteReference w:id="34"/>
      </w:r>
      <w:r w:rsidRPr="003B1DAE">
        <w:rPr>
          <w:rFonts w:eastAsia="Verdana" w:cs="Verdana"/>
        </w:rPr>
        <w:t xml:space="preserve">. Ook is het een taak van de overheid om </w:t>
      </w:r>
      <w:r w:rsidRPr="003B1DAE" w:rsidR="003F221D">
        <w:rPr>
          <w:rFonts w:eastAsia="Verdana" w:cs="Verdana"/>
        </w:rPr>
        <w:t>bijzonder</w:t>
      </w:r>
      <w:r w:rsidRPr="003B1DAE" w:rsidR="005F0F20">
        <w:rPr>
          <w:rFonts w:eastAsia="Verdana" w:cs="Verdana"/>
        </w:rPr>
        <w:t xml:space="preserve"> </w:t>
      </w:r>
      <w:r w:rsidRPr="003B1DAE">
        <w:rPr>
          <w:rFonts w:eastAsia="Verdana" w:cs="Verdana"/>
        </w:rPr>
        <w:t xml:space="preserve">kwetsbare </w:t>
      </w:r>
      <w:r w:rsidRPr="003B1DAE" w:rsidR="007C2C3B">
        <w:rPr>
          <w:rFonts w:eastAsia="Verdana" w:cs="Verdana"/>
        </w:rPr>
        <w:t xml:space="preserve">groepen </w:t>
      </w:r>
      <w:r w:rsidRPr="003B1DAE" w:rsidR="00C23E9E">
        <w:rPr>
          <w:rFonts w:eastAsia="Verdana" w:cs="Verdana"/>
        </w:rPr>
        <w:t>(zoals beschermde en door solidariteit beschermde afnemers)</w:t>
      </w:r>
      <w:r w:rsidRPr="003B1DAE">
        <w:rPr>
          <w:rFonts w:eastAsia="Verdana" w:cs="Verdana"/>
        </w:rPr>
        <w:t xml:space="preserve"> te beschermen. </w:t>
      </w:r>
    </w:p>
    <w:p w:rsidRPr="003B1DAE" w:rsidR="00A25164" w:rsidP="003B14FA" w:rsidRDefault="00A25164" w14:paraId="5E5DBB09" w14:textId="77777777">
      <w:pPr>
        <w:rPr>
          <w:rFonts w:eastAsia="Verdana" w:cs="Verdana"/>
          <w:szCs w:val="18"/>
        </w:rPr>
      </w:pPr>
    </w:p>
    <w:p w:rsidRPr="003B1DAE" w:rsidR="00A25164" w:rsidP="003B14FA" w:rsidRDefault="00A25164" w14:paraId="4CDD355D" w14:textId="7A21EC04">
      <w:pPr>
        <w:rPr>
          <w:rFonts w:eastAsia="Verdana" w:cs="Verdana"/>
          <w:szCs w:val="18"/>
        </w:rPr>
      </w:pPr>
      <w:r w:rsidRPr="003B1DAE">
        <w:rPr>
          <w:rFonts w:eastAsia="Verdana" w:cs="Verdana"/>
          <w:szCs w:val="18"/>
        </w:rPr>
        <w:t>Daarnaast is het uitgangspunt dat de overheid, teneinde de markt niet meer te verstoren dan noodzakelijk, zorgvuldig selecteert welke maatregelen in welke mate worden getroffen. Zo kan de overheid maatregelen treffen, bijvoorbeeld om de weerbaarheid te vergroten, die verhoudingsgewijs minder impact hebben op het normale functioneren van de markt. Een voorbeeld hiervan is dat (incidentele) aankoop van een afgebakend volume als strategische opslag minder impact heeft op het functioneren van de markt dan aangekondigde</w:t>
      </w:r>
      <w:r w:rsidRPr="003B1DAE" w:rsidR="00672EE4">
        <w:rPr>
          <w:rFonts w:eastAsia="Verdana" w:cs="Verdana"/>
          <w:szCs w:val="18"/>
        </w:rPr>
        <w:t xml:space="preserve"> </w:t>
      </w:r>
      <w:r w:rsidRPr="003B1DAE">
        <w:rPr>
          <w:rFonts w:eastAsia="Verdana" w:cs="Verdana"/>
          <w:szCs w:val="18"/>
        </w:rPr>
        <w:t xml:space="preserve">jaarlijkse inkoop van een volume seizoensopslag door de overheid ten behoeve van het behalen van vulgraden. In de onderzoeken van PWC en CE Delft wordt ook aandacht gevraagd voor het goede functioneren van de gasmarkt en het voorkomen van verstoring door overheidsinterventie. </w:t>
      </w:r>
    </w:p>
    <w:p w:rsidR="00A25164" w:rsidP="003B14FA" w:rsidRDefault="00A25164" w14:paraId="5D551C9B" w14:textId="77777777">
      <w:pPr>
        <w:rPr>
          <w:rFonts w:eastAsia="Verdana" w:cs="Verdana"/>
          <w:szCs w:val="18"/>
        </w:rPr>
      </w:pPr>
    </w:p>
    <w:p w:rsidR="00F755AF" w:rsidP="003B14FA" w:rsidRDefault="00F755AF" w14:paraId="710B86E7" w14:textId="77777777">
      <w:pPr>
        <w:rPr>
          <w:rFonts w:eastAsia="Verdana" w:cs="Verdana"/>
          <w:szCs w:val="18"/>
        </w:rPr>
      </w:pPr>
    </w:p>
    <w:p w:rsidR="00F755AF" w:rsidP="003B14FA" w:rsidRDefault="00F755AF" w14:paraId="3DB6217F" w14:textId="77777777">
      <w:pPr>
        <w:rPr>
          <w:rFonts w:eastAsia="Verdana" w:cs="Verdana"/>
          <w:szCs w:val="18"/>
        </w:rPr>
      </w:pPr>
    </w:p>
    <w:p w:rsidRPr="003B1DAE" w:rsidR="00F755AF" w:rsidP="003B14FA" w:rsidRDefault="00F755AF" w14:paraId="26F948D1" w14:textId="77777777">
      <w:pPr>
        <w:rPr>
          <w:rFonts w:eastAsia="Verdana" w:cs="Verdana"/>
          <w:szCs w:val="18"/>
        </w:rPr>
      </w:pPr>
    </w:p>
    <w:p w:rsidRPr="003B1DAE" w:rsidR="00A25164" w:rsidP="003B14FA" w:rsidRDefault="00A25164" w14:paraId="25374EC3" w14:textId="77777777">
      <w:pPr>
        <w:pStyle w:val="Lijstalinea"/>
        <w:numPr>
          <w:ilvl w:val="0"/>
          <w:numId w:val="16"/>
        </w:numPr>
        <w:spacing w:line="240" w:lineRule="atLeast"/>
        <w:contextualSpacing w:val="0"/>
        <w:rPr>
          <w:rFonts w:ascii="Verdana" w:hAnsi="Verdana" w:eastAsia="Verdana" w:cs="Verdana"/>
          <w:b/>
          <w:bCs/>
          <w:sz w:val="18"/>
          <w:szCs w:val="18"/>
        </w:rPr>
      </w:pPr>
      <w:r w:rsidRPr="003B1DAE">
        <w:rPr>
          <w:rFonts w:ascii="Verdana" w:hAnsi="Verdana" w:eastAsia="Verdana" w:cs="Verdana"/>
          <w:b/>
          <w:bCs/>
          <w:sz w:val="18"/>
          <w:szCs w:val="18"/>
        </w:rPr>
        <w:t>Voldoende aanbod om te voorzien in de vraag: productie en import</w:t>
      </w:r>
    </w:p>
    <w:p w:rsidRPr="003B1DAE" w:rsidR="00A25164" w:rsidP="003B14FA" w:rsidRDefault="00A25164" w14:paraId="55D54A42" w14:textId="77777777">
      <w:pPr>
        <w:rPr>
          <w:rFonts w:eastAsia="Verdana" w:cs="Verdana"/>
          <w:szCs w:val="18"/>
        </w:rPr>
      </w:pPr>
    </w:p>
    <w:p w:rsidRPr="003B1DAE" w:rsidR="00A25164" w:rsidP="003B14FA" w:rsidRDefault="00A25164" w14:paraId="728EA163" w14:textId="77777777">
      <w:pPr>
        <w:rPr>
          <w:rFonts w:eastAsia="Verdana" w:cs="Verdana"/>
          <w:szCs w:val="18"/>
        </w:rPr>
      </w:pPr>
      <w:r w:rsidRPr="003B1DAE">
        <w:rPr>
          <w:rFonts w:eastAsia="Verdana" w:cs="Verdana"/>
          <w:szCs w:val="18"/>
        </w:rPr>
        <w:t xml:space="preserve">Voor de stabiliteit van het energiesysteem tijdens de afbouw van fossiele energie richting 2050, is van belang dat er voldoende aardgas beschikbaar blijft om te voorzien in de vraag. </w:t>
      </w:r>
    </w:p>
    <w:p w:rsidRPr="003B1DAE" w:rsidR="00A25164" w:rsidP="003B14FA" w:rsidRDefault="00A25164" w14:paraId="64D243E1" w14:textId="77777777">
      <w:pPr>
        <w:rPr>
          <w:rFonts w:eastAsia="Verdana" w:cs="Verdana"/>
          <w:szCs w:val="18"/>
        </w:rPr>
      </w:pPr>
    </w:p>
    <w:p w:rsidRPr="003B1DAE" w:rsidR="00A25164" w:rsidP="003B14FA" w:rsidRDefault="00A25164" w14:paraId="718304BF" w14:textId="3B6E0562">
      <w:pPr>
        <w:rPr>
          <w:rFonts w:eastAsia="Verdana" w:cs="Verdana"/>
          <w:szCs w:val="18"/>
        </w:rPr>
      </w:pPr>
      <w:r w:rsidRPr="003B1DAE">
        <w:rPr>
          <w:rFonts w:eastAsia="Verdana" w:cs="Verdana"/>
        </w:rPr>
        <w:t>Het aanbod van aardgas bestaat uit productie in Nederland, import via pijpleidingen en import in de vorm van LNG. Hierbij geldt dat Nederland netto-importeur is: het verwachte jaarlijkse gasverbruik in Nederland ligt significant hoger dan de productie in Nederland en dat zal de komende jaren</w:t>
      </w:r>
      <w:r w:rsidRPr="003B1DAE" w:rsidDel="000F3C6B">
        <w:rPr>
          <w:rFonts w:eastAsia="Verdana" w:cs="Verdana"/>
        </w:rPr>
        <w:t xml:space="preserve"> </w:t>
      </w:r>
      <w:r w:rsidRPr="003B1DAE">
        <w:rPr>
          <w:rFonts w:eastAsia="Verdana" w:cs="Verdana"/>
        </w:rPr>
        <w:t>zo blijven</w:t>
      </w:r>
      <w:r w:rsidRPr="003B1DAE" w:rsidR="00D40DBD">
        <w:rPr>
          <w:rFonts w:eastAsia="Verdana" w:cs="Verdana"/>
        </w:rPr>
        <w:t>.</w:t>
      </w:r>
      <w:r w:rsidRPr="003B1DAE">
        <w:rPr>
          <w:rStyle w:val="Voetnootmarkering"/>
          <w:rFonts w:eastAsia="Verdana" w:cs="Verdana"/>
        </w:rPr>
        <w:footnoteReference w:id="35"/>
      </w:r>
      <w:r w:rsidRPr="003B1DAE">
        <w:rPr>
          <w:rFonts w:eastAsia="Verdana" w:cs="Verdana"/>
        </w:rPr>
        <w:t xml:space="preserve"> </w:t>
      </w:r>
    </w:p>
    <w:p w:rsidRPr="003B1DAE" w:rsidR="00A25164" w:rsidP="003B14FA" w:rsidRDefault="00A25164" w14:paraId="4A5A16D0" w14:textId="77777777">
      <w:pPr>
        <w:rPr>
          <w:rFonts w:eastAsia="Verdana" w:cs="Verdana"/>
          <w:szCs w:val="18"/>
          <w:highlight w:val="yellow"/>
        </w:rPr>
      </w:pPr>
    </w:p>
    <w:p w:rsidRPr="003B1DAE" w:rsidR="00A25164" w:rsidP="003B14FA" w:rsidRDefault="00A25164" w14:paraId="7D29F41D" w14:textId="2DA9ECAE">
      <w:pPr>
        <w:rPr>
          <w:rFonts w:eastAsia="Verdana" w:cs="Verdana"/>
          <w:szCs w:val="18"/>
        </w:rPr>
      </w:pPr>
      <w:r w:rsidRPr="003B1DAE">
        <w:rPr>
          <w:rFonts w:eastAsia="Verdana" w:cs="Verdana"/>
        </w:rPr>
        <w:t>In belang van de leveringszekerheid en om de afhankelijkheid van aardgas uit een specifieke bron zo veel mogelijk te beperken en te voorkomen</w:t>
      </w:r>
      <w:r w:rsidRPr="003B1DAE">
        <w:rPr>
          <w:rStyle w:val="Voetnootmarkering"/>
          <w:rFonts w:eastAsia="Verdana" w:cs="Verdana"/>
        </w:rPr>
        <w:footnoteReference w:id="36"/>
      </w:r>
      <w:r w:rsidRPr="003B1DAE">
        <w:rPr>
          <w:rFonts w:eastAsia="Verdana" w:cs="Verdana"/>
        </w:rPr>
        <w:t xml:space="preserve">, is het essentieel om de productie in Nederland </w:t>
      </w:r>
      <w:r w:rsidRPr="003B1DAE" w:rsidR="006005FA">
        <w:rPr>
          <w:rFonts w:eastAsia="Verdana" w:cs="Verdana"/>
        </w:rPr>
        <w:t>stabiel te houden</w:t>
      </w:r>
      <w:r w:rsidRPr="003B1DAE">
        <w:rPr>
          <w:rFonts w:eastAsia="Verdana" w:cs="Verdana"/>
        </w:rPr>
        <w:t xml:space="preserve"> </w:t>
      </w:r>
      <w:r w:rsidRPr="0054295C">
        <w:rPr>
          <w:rFonts w:eastAsia="Verdana" w:cs="Verdana"/>
        </w:rPr>
        <w:t xml:space="preserve">en de juiste randvoorwaarden in stand te houden voor voldoende en zo divers mogelijke import. De overheid heeft hierbij primair een faciliterende rol: door middel van wetgeving, besluitvorming, vergunningen, en in sommige gevallen financiële steun en/of participatie stelt de overheid marktpartijen in staat om te voorzien in productie en import en de daarvoor benodigde infrastructuur. </w:t>
      </w:r>
    </w:p>
    <w:p w:rsidRPr="003B1DAE" w:rsidR="007D5FD2" w:rsidP="003B14FA" w:rsidRDefault="007D5FD2" w14:paraId="3B257CF3" w14:textId="77777777">
      <w:pPr>
        <w:rPr>
          <w:rFonts w:eastAsia="Verdana" w:cs="Verdana"/>
          <w:szCs w:val="18"/>
        </w:rPr>
      </w:pPr>
    </w:p>
    <w:p w:rsidRPr="0054295C" w:rsidR="00A25164" w:rsidP="003B14FA" w:rsidRDefault="00A25164" w14:paraId="4D86F279" w14:textId="22CCE843">
      <w:pPr>
        <w:rPr>
          <w:rFonts w:eastAsia="Verdana" w:cs="Verdana"/>
          <w:szCs w:val="18"/>
        </w:rPr>
      </w:pPr>
      <w:r w:rsidRPr="003B1DAE">
        <w:rPr>
          <w:rFonts w:eastAsia="Verdana" w:cs="Verdana"/>
          <w:szCs w:val="18"/>
        </w:rPr>
        <w:t xml:space="preserve">Naast de faciliterende rol omtrent de beschikbaarheid van aardgas zet het </w:t>
      </w:r>
      <w:r w:rsidRPr="003B1DAE" w:rsidR="00672EE4">
        <w:rPr>
          <w:rFonts w:eastAsia="Verdana" w:cs="Verdana"/>
          <w:szCs w:val="18"/>
        </w:rPr>
        <w:t>k</w:t>
      </w:r>
      <w:r w:rsidRPr="003B1DAE">
        <w:rPr>
          <w:rFonts w:eastAsia="Verdana" w:cs="Verdana"/>
          <w:szCs w:val="18"/>
        </w:rPr>
        <w:t>abinet ook actief in op de opschaling van groen gas</w:t>
      </w:r>
      <w:r w:rsidRPr="0054295C" w:rsidR="001C6B11">
        <w:rPr>
          <w:rFonts w:eastAsia="Verdana" w:cs="Verdana"/>
          <w:szCs w:val="18"/>
        </w:rPr>
        <w:t xml:space="preserve"> om op termijn een bijdrage te kunnen leveren aan </w:t>
      </w:r>
      <w:r w:rsidRPr="003B1DAE" w:rsidR="00AB1123">
        <w:rPr>
          <w:rFonts w:eastAsia="Verdana" w:cs="Verdana"/>
          <w:szCs w:val="18"/>
        </w:rPr>
        <w:t>het verminderen van importafhankelijkheid</w:t>
      </w:r>
      <w:r w:rsidRPr="003B1DAE">
        <w:rPr>
          <w:rFonts w:eastAsia="Verdana" w:cs="Verdana"/>
          <w:szCs w:val="18"/>
        </w:rPr>
        <w:t xml:space="preserve">. Door middel van het wetsvoorstel bijmengverplichting dat momenteel </w:t>
      </w:r>
      <w:r w:rsidRPr="003B1DAE" w:rsidR="007D5FD2">
        <w:rPr>
          <w:rFonts w:eastAsia="Verdana" w:cs="Verdana"/>
          <w:szCs w:val="18"/>
        </w:rPr>
        <w:t xml:space="preserve">ter </w:t>
      </w:r>
      <w:r w:rsidRPr="003B1DAE">
        <w:rPr>
          <w:rFonts w:eastAsia="Verdana" w:cs="Verdana"/>
          <w:szCs w:val="18"/>
        </w:rPr>
        <w:t xml:space="preserve">behandeling </w:t>
      </w:r>
      <w:r w:rsidRPr="003B1DAE" w:rsidR="007D5FD2">
        <w:rPr>
          <w:rFonts w:eastAsia="Verdana" w:cs="Verdana"/>
          <w:szCs w:val="18"/>
        </w:rPr>
        <w:t>voor</w:t>
      </w:r>
      <w:r w:rsidRPr="003B1DAE">
        <w:rPr>
          <w:rFonts w:eastAsia="Verdana" w:cs="Verdana"/>
          <w:szCs w:val="18"/>
        </w:rPr>
        <w:t xml:space="preserve">ligt in uw Kamer en flankerend beleid zoals de SDE++ en het Programma groen gas stimuleert het </w:t>
      </w:r>
      <w:r w:rsidRPr="003B1DAE" w:rsidR="00672EE4">
        <w:rPr>
          <w:rFonts w:eastAsia="Verdana" w:cs="Verdana"/>
          <w:szCs w:val="18"/>
        </w:rPr>
        <w:t>k</w:t>
      </w:r>
      <w:r w:rsidRPr="003B1DAE">
        <w:rPr>
          <w:rFonts w:eastAsia="Verdana" w:cs="Verdana"/>
          <w:szCs w:val="18"/>
        </w:rPr>
        <w:t>abinet de productie van groen gas in Nederland.</w:t>
      </w:r>
    </w:p>
    <w:p w:rsidRPr="003B1DAE" w:rsidR="00A25164" w:rsidP="003B14FA" w:rsidRDefault="00A25164" w14:paraId="4D10E233" w14:textId="77777777">
      <w:pPr>
        <w:rPr>
          <w:rFonts w:eastAsia="Verdana" w:cs="Verdana"/>
          <w:szCs w:val="18"/>
        </w:rPr>
      </w:pPr>
    </w:p>
    <w:p w:rsidRPr="003B1DAE" w:rsidR="00A25164" w:rsidP="003B14FA" w:rsidRDefault="00A25164" w14:paraId="1BC29AFE" w14:textId="77777777">
      <w:pPr>
        <w:rPr>
          <w:rFonts w:eastAsia="Verdana" w:cs="Verdana"/>
          <w:szCs w:val="18"/>
        </w:rPr>
      </w:pPr>
      <w:r w:rsidRPr="003B1DAE">
        <w:rPr>
          <w:rFonts w:eastAsia="Verdana" w:cs="Verdana"/>
          <w:szCs w:val="18"/>
        </w:rPr>
        <w:t xml:space="preserve">Het kabinet heeft de afgelopen jaren reeds een breed scala aan maatregelen in gang gezet omtrent de productie en import van aardgas. Daarnaast treft het kabinet ook aanvullende maatregelen. Dit wordt in het navolgende toegelicht. </w:t>
      </w:r>
    </w:p>
    <w:p w:rsidRPr="003B1DAE" w:rsidR="00A25164" w:rsidP="003B14FA" w:rsidRDefault="00A25164" w14:paraId="13C0BB4C" w14:textId="77777777">
      <w:pPr>
        <w:rPr>
          <w:rFonts w:eastAsia="Verdana" w:cs="Verdana"/>
          <w:b/>
          <w:bCs/>
          <w:szCs w:val="18"/>
        </w:rPr>
      </w:pPr>
    </w:p>
    <w:p w:rsidRPr="003B1DAE" w:rsidR="00A25164" w:rsidP="003B14FA" w:rsidRDefault="00A25164" w14:paraId="63DE0EDA" w14:textId="77777777">
      <w:pPr>
        <w:rPr>
          <w:rFonts w:eastAsia="Verdana" w:cs="Verdana"/>
          <w:b/>
          <w:bCs/>
          <w:szCs w:val="18"/>
        </w:rPr>
      </w:pPr>
      <w:r w:rsidRPr="003B1DAE">
        <w:rPr>
          <w:rFonts w:eastAsia="Verdana" w:cs="Verdana"/>
          <w:b/>
          <w:bCs/>
          <w:szCs w:val="18"/>
        </w:rPr>
        <w:t>B.1. Winning</w:t>
      </w:r>
    </w:p>
    <w:p w:rsidRPr="003B1DAE" w:rsidR="00A25164" w:rsidP="003B14FA" w:rsidRDefault="00A25164" w14:paraId="58EC9C88" w14:textId="77777777">
      <w:pPr>
        <w:rPr>
          <w:rFonts w:eastAsia="Verdana" w:cs="Verdana"/>
          <w:szCs w:val="18"/>
        </w:rPr>
      </w:pPr>
    </w:p>
    <w:p w:rsidRPr="003B1DAE" w:rsidR="00A25164" w:rsidP="003B14FA" w:rsidRDefault="00A25164" w14:paraId="083DF75C" w14:textId="7DDB8C08">
      <w:pPr>
        <w:rPr>
          <w:rFonts w:eastAsia="Verdana" w:cs="Verdana"/>
          <w:szCs w:val="18"/>
        </w:rPr>
      </w:pPr>
      <w:r w:rsidRPr="003B1DAE">
        <w:rPr>
          <w:rFonts w:eastAsia="Verdana" w:cs="Verdana"/>
        </w:rPr>
        <w:t>In de overgang naar een klimaatneutraal energiesysteem heeft het kabinet, in lijn met de Kamerbrief over het Sectorakkoord Gaswinning in de Energietransitie</w:t>
      </w:r>
      <w:r w:rsidRPr="003B1DAE">
        <w:rPr>
          <w:rStyle w:val="Voetnootmarkering"/>
          <w:rFonts w:eastAsia="Verdana" w:cs="Verdana"/>
        </w:rPr>
        <w:footnoteReference w:id="37"/>
      </w:r>
      <w:r w:rsidRPr="003B1DAE">
        <w:rPr>
          <w:rFonts w:eastAsia="Verdana" w:cs="Verdana"/>
        </w:rPr>
        <w:t>, een voorkeur voor aardgas met zo min mogelijk klimaatimpact en zo min mogelijk afhankelijkheid van andere landen. Gaswinning in eigen land biedt voordelen boven import. Geïmporteerd aardgas</w:t>
      </w:r>
      <w:r w:rsidR="00C4294E">
        <w:rPr>
          <w:rFonts w:eastAsia="Verdana" w:cs="Verdana"/>
        </w:rPr>
        <w:t xml:space="preserve"> in de vorm van</w:t>
      </w:r>
      <w:r w:rsidRPr="003B1DAE">
        <w:rPr>
          <w:rFonts w:eastAsia="Verdana" w:cs="Verdana"/>
        </w:rPr>
        <w:t xml:space="preserve"> LNG, heeft een hogere CO</w:t>
      </w:r>
      <w:r w:rsidRPr="003B1DAE">
        <w:rPr>
          <w:rFonts w:eastAsia="Verdana" w:cs="Verdana"/>
          <w:vertAlign w:val="subscript"/>
        </w:rPr>
        <w:t>2</w:t>
      </w:r>
      <w:r w:rsidRPr="003B1DAE">
        <w:rPr>
          <w:rFonts w:eastAsia="Verdana" w:cs="Verdana"/>
        </w:rPr>
        <w:t xml:space="preserve">-voetafdruk. Daarnaast is een deel van de opbrengst van binnenlands gewonnen gas voor de Staat, waar er bij geïmporteerd gas geen inkomsten zijn. Tot slot maakt de bijdrage van binnenlandse productie Nederland minder afhankelijk van andere landen. Het kabinet wil het benodigde aardgas daarom </w:t>
      </w:r>
      <w:r w:rsidRPr="003B1DAE" w:rsidR="007906C9">
        <w:rPr>
          <w:rFonts w:eastAsia="Verdana" w:cs="Verdana"/>
        </w:rPr>
        <w:t>waar</w:t>
      </w:r>
      <w:r w:rsidRPr="003B1DAE" w:rsidR="00046A96">
        <w:rPr>
          <w:rFonts w:eastAsia="Verdana" w:cs="Verdana"/>
        </w:rPr>
        <w:t xml:space="preserve"> </w:t>
      </w:r>
      <w:r w:rsidRPr="003B1DAE">
        <w:rPr>
          <w:rFonts w:eastAsia="Verdana" w:cs="Verdana"/>
        </w:rPr>
        <w:t xml:space="preserve">mogelijk uit eigen bodem halen. </w:t>
      </w:r>
    </w:p>
    <w:p w:rsidRPr="003B1DAE" w:rsidR="00A25164" w:rsidP="003B14FA" w:rsidRDefault="00A25164" w14:paraId="4C4731C1" w14:textId="77777777">
      <w:pPr>
        <w:rPr>
          <w:rFonts w:eastAsia="Verdana" w:cs="Verdana"/>
          <w:szCs w:val="18"/>
        </w:rPr>
      </w:pPr>
    </w:p>
    <w:p w:rsidRPr="003B1DAE" w:rsidR="00A25164" w:rsidP="003B14FA" w:rsidRDefault="00A25164" w14:paraId="624C8ED4" w14:textId="77777777">
      <w:pPr>
        <w:rPr>
          <w:rFonts w:eastAsia="Verdana" w:cs="Verdana"/>
          <w:szCs w:val="18"/>
        </w:rPr>
      </w:pPr>
      <w:r w:rsidRPr="003B1DAE">
        <w:rPr>
          <w:rFonts w:eastAsia="Verdana" w:cs="Verdana"/>
        </w:rPr>
        <w:t>Met het in 2025 gesloten Sectorakkoord zet het kabinet in op opschaling van gaswinning uit gasvelden op de Noordzee. Voor gaswinning uit de kleine velden op land zijn er aanvullende afspraken gemaakt.</w:t>
      </w:r>
      <w:r w:rsidRPr="003B1DAE">
        <w:rPr>
          <w:rStyle w:val="Voetnootmarkering"/>
          <w:rFonts w:eastAsia="Verdana" w:cs="Verdana"/>
        </w:rPr>
        <w:footnoteReference w:id="38"/>
      </w:r>
      <w:r w:rsidRPr="003B1DAE">
        <w:rPr>
          <w:rFonts w:eastAsia="Verdana" w:cs="Verdana"/>
        </w:rPr>
        <w:t xml:space="preserve"> Deze aanvullende afspraken moeten bijdragen aan het vinden van een balans tussen enerzijds de zorgen van inwoners en regionale bestuurders, en anderzijds de belangrijke functie die gaswinning op land nog heeft. Naast het maken van aanvullende afspraken voor gaswinning op land zet het kabinet tevens in op de dialoog met de omgeving via het programma Duurzaam Gebruik Diepe Ondergrond. Hierin wordt ook stilgestaan bij de winning van gas (en olie) op land tijdens de transitieperiode. </w:t>
      </w:r>
    </w:p>
    <w:p w:rsidRPr="003B1DAE" w:rsidR="00A25164" w:rsidP="003B14FA" w:rsidRDefault="00A25164" w14:paraId="435D5277" w14:textId="77777777">
      <w:pPr>
        <w:rPr>
          <w:rFonts w:eastAsia="Verdana" w:cs="Verdana"/>
          <w:szCs w:val="18"/>
        </w:rPr>
      </w:pPr>
    </w:p>
    <w:p w:rsidRPr="003B1DAE" w:rsidR="00A25164" w:rsidP="003B14FA" w:rsidRDefault="00A25164" w14:paraId="6E317F36" w14:textId="2843870E">
      <w:pPr>
        <w:rPr>
          <w:rFonts w:eastAsia="Verdana" w:cs="Verdana"/>
          <w:szCs w:val="18"/>
        </w:rPr>
      </w:pPr>
      <w:r w:rsidRPr="003B1DAE">
        <w:rPr>
          <w:rFonts w:eastAsia="Verdana" w:cs="Verdana"/>
        </w:rPr>
        <w:t xml:space="preserve">Om de Nederlandse productie de komende jaren stabiel te houden, is het belangrijk dat nieuwe gasvelden worden ontwikkeld. De komende jaren zullen er veel velden uit productie raken. Ook met stimulerend beleid, zoals het sectorakkoord, loopt de Nederlandse productie af richting zeer beperkte volumes in 2050. Hiermee zal de huidige en de toekomstige Nederlandse gaswinning onder het niveau van de binnenlandse aardgasvraag blijven. </w:t>
      </w:r>
    </w:p>
    <w:p w:rsidRPr="003B1DAE" w:rsidR="00A25164" w:rsidP="003B14FA" w:rsidRDefault="00A25164" w14:paraId="7BEA2E9A" w14:textId="77777777">
      <w:pPr>
        <w:rPr>
          <w:szCs w:val="18"/>
        </w:rPr>
      </w:pPr>
    </w:p>
    <w:p w:rsidRPr="003B1DAE" w:rsidR="00A25164" w:rsidP="003B14FA" w:rsidRDefault="00A25164" w14:paraId="620AD10A" w14:textId="77777777">
      <w:pPr>
        <w:rPr>
          <w:b/>
          <w:bCs/>
          <w:szCs w:val="18"/>
        </w:rPr>
      </w:pPr>
      <w:r w:rsidRPr="003B1DAE">
        <w:rPr>
          <w:b/>
          <w:bCs/>
          <w:szCs w:val="18"/>
        </w:rPr>
        <w:t>B.2. Import</w:t>
      </w:r>
    </w:p>
    <w:p w:rsidRPr="003B1DAE" w:rsidR="00A25164" w:rsidP="003B14FA" w:rsidRDefault="00A25164" w14:paraId="540259A7" w14:textId="77777777">
      <w:pPr>
        <w:rPr>
          <w:szCs w:val="18"/>
        </w:rPr>
      </w:pPr>
    </w:p>
    <w:p w:rsidRPr="003B1DAE" w:rsidR="00A25164" w:rsidP="003B14FA" w:rsidRDefault="00A25164" w14:paraId="79364085" w14:textId="18F5B42A">
      <w:pPr>
        <w:rPr>
          <w:rFonts w:eastAsia="Verdana" w:cs="Verdana"/>
          <w:szCs w:val="18"/>
        </w:rPr>
      </w:pPr>
      <w:r w:rsidRPr="003B1DAE">
        <w:rPr>
          <w:rFonts w:eastAsia="Verdana" w:cs="Verdana"/>
        </w:rPr>
        <w:t>De belangrijkste waarborgen</w:t>
      </w:r>
      <w:r w:rsidRPr="003B1DAE" w:rsidDel="003D1D59">
        <w:rPr>
          <w:rFonts w:eastAsia="Verdana" w:cs="Verdana"/>
        </w:rPr>
        <w:t xml:space="preserve"> </w:t>
      </w:r>
      <w:r w:rsidRPr="003B1DAE">
        <w:rPr>
          <w:rFonts w:eastAsia="Verdana" w:cs="Verdana"/>
        </w:rPr>
        <w:t>voor het in stand houden van de gasstromen naar, in en via Nederland zijn vastgelegd in EU-wetgeving inzake de interne markt.</w:t>
      </w:r>
      <w:r w:rsidRPr="003B1DAE">
        <w:rPr>
          <w:rStyle w:val="Voetnootmarkering"/>
          <w:rFonts w:eastAsia="Verdana" w:cs="Verdana"/>
        </w:rPr>
        <w:footnoteReference w:id="39"/>
      </w:r>
      <w:r w:rsidRPr="003B1DAE">
        <w:rPr>
          <w:rFonts w:eastAsia="Verdana" w:cs="Verdana"/>
        </w:rPr>
        <w:t xml:space="preserve"> Nederland moet ervoor zorgen dat deze wetgeving op de juiste wijze wordt geïmplementeerd, uitgevoerd en nageleefd. Daarnaast heeft de overheid een rol in het faciliteren van de noodzakelijke infrastructuur (voldoende importcapaciteit en interconnectie) en toegang daartoe. Ten slotte is diversificatie van belang om eventuele storingen in de aanvoer zo veel mogelijk te kunnen opvangen en de afhankelijkheid van gas uit een specifieke bron zo veel mogelijk te voorkomen. </w:t>
      </w:r>
    </w:p>
    <w:p w:rsidRPr="003B1DAE" w:rsidR="00A25164" w:rsidP="003B14FA" w:rsidRDefault="00A25164" w14:paraId="31561AE4" w14:textId="77777777">
      <w:pPr>
        <w:rPr>
          <w:rFonts w:eastAsia="Verdana" w:cs="Verdana"/>
          <w:szCs w:val="18"/>
        </w:rPr>
      </w:pPr>
    </w:p>
    <w:p w:rsidRPr="003B1DAE" w:rsidR="00A25164" w:rsidP="003B14FA" w:rsidRDefault="00A25164" w14:paraId="4F5257F2" w14:textId="77777777">
      <w:pPr>
        <w:rPr>
          <w:rFonts w:eastAsia="Verdana" w:cs="Verdana"/>
          <w:szCs w:val="18"/>
          <w:u w:val="single"/>
        </w:rPr>
      </w:pPr>
      <w:r w:rsidRPr="003B1DAE">
        <w:rPr>
          <w:rFonts w:eastAsia="Verdana" w:cs="Verdana"/>
          <w:szCs w:val="18"/>
          <w:u w:val="single"/>
        </w:rPr>
        <w:t>Import per pijpleiding</w:t>
      </w:r>
    </w:p>
    <w:p w:rsidRPr="003B1DAE" w:rsidR="00A25164" w:rsidP="003B14FA" w:rsidRDefault="00A25164" w14:paraId="2504C4D2" w14:textId="77777777">
      <w:pPr>
        <w:rPr>
          <w:rFonts w:eastAsia="Verdana" w:cs="Verdana"/>
          <w:szCs w:val="18"/>
        </w:rPr>
      </w:pPr>
    </w:p>
    <w:p w:rsidRPr="003B1DAE" w:rsidR="00A25164" w:rsidP="003B14FA" w:rsidRDefault="00A25164" w14:paraId="42FF60F7" w14:textId="10BF135F">
      <w:pPr>
        <w:rPr>
          <w:rFonts w:eastAsia="Verdana" w:cs="Verdana"/>
          <w:szCs w:val="18"/>
        </w:rPr>
      </w:pPr>
      <w:r w:rsidRPr="003B1DAE">
        <w:rPr>
          <w:rFonts w:eastAsia="Verdana" w:cs="Verdana"/>
        </w:rPr>
        <w:t>Een belangrijk deel van het in Nederland geïmporteerde aardgas komt via pijpleidingen uit het Verenigd Koninkrijk (via de Bacton Balgzand Leiding, of BBL), België en Noorwegen, op dit moment de grootste leverancier van gas aan Europa.</w:t>
      </w:r>
      <w:r w:rsidRPr="003B1DAE">
        <w:rPr>
          <w:rStyle w:val="Voetnootmarkering"/>
          <w:rFonts w:eastAsia="Verdana" w:cs="Verdana"/>
        </w:rPr>
        <w:footnoteReference w:id="40"/>
      </w:r>
      <w:r w:rsidRPr="003B1DAE">
        <w:rPr>
          <w:rFonts w:eastAsia="Verdana" w:cs="Verdana"/>
        </w:rPr>
        <w:t xml:space="preserve"> </w:t>
      </w:r>
    </w:p>
    <w:p w:rsidRPr="003B1DAE" w:rsidR="00A25164" w:rsidP="003B14FA" w:rsidRDefault="00A25164" w14:paraId="5A37B1CE" w14:textId="77777777">
      <w:pPr>
        <w:rPr>
          <w:rFonts w:eastAsia="Verdana" w:cs="Verdana"/>
          <w:szCs w:val="18"/>
        </w:rPr>
      </w:pPr>
    </w:p>
    <w:p w:rsidRPr="003B1DAE" w:rsidR="00A25164" w:rsidP="003B14FA" w:rsidRDefault="00A25164" w14:paraId="25AD1004" w14:textId="0D56ED8B">
      <w:pPr>
        <w:rPr>
          <w:rFonts w:eastAsia="Verdana" w:cs="Verdana"/>
          <w:szCs w:val="18"/>
        </w:rPr>
      </w:pPr>
      <w:r w:rsidRPr="003B1DAE">
        <w:rPr>
          <w:rFonts w:eastAsia="Verdana" w:cs="Verdana"/>
        </w:rPr>
        <w:t>Het kabinet heeft aandacht voor de instandhouding van voldoende verbindingen met gastransportnetten in buurlanden (interconnectiecapaciteit). In de Kamerbrief van 14 februari 2025 heeft het kabinet een zogenoemde ‘botsproef’ opgenomen – een analyse naar de eventuele gevolgen van het wegvallen van de aanvoer van Noors gas als gevolg van een storing in een van de verbindingen met Noorwegen.</w:t>
      </w:r>
      <w:r w:rsidRPr="003B1DAE">
        <w:rPr>
          <w:rStyle w:val="Voetnootmarkering"/>
          <w:rFonts w:eastAsia="Verdana" w:cs="Verdana"/>
        </w:rPr>
        <w:footnoteReference w:id="41"/>
      </w:r>
      <w:r w:rsidRPr="003B1DAE">
        <w:rPr>
          <w:rFonts w:eastAsia="Verdana" w:cs="Verdana"/>
        </w:rPr>
        <w:t xml:space="preserve"> Hierin is toegelicht dat Noors gas via een uitgebreid stelsel van verbindingen naar de EU en het Verenigd Koninkrijk wordt aangevoerd. Dit stelsel maakt het mogelijk dat de uitval van één van de leidingen kan worden opgevangen door andere leidingen. In de</w:t>
      </w:r>
      <w:r w:rsidRPr="003B1DAE" w:rsidR="001778A0">
        <w:rPr>
          <w:rFonts w:eastAsia="Verdana" w:cs="Verdana"/>
        </w:rPr>
        <w:t>ze</w:t>
      </w:r>
      <w:r w:rsidRPr="003B1DAE">
        <w:rPr>
          <w:rFonts w:eastAsia="Verdana" w:cs="Verdana"/>
        </w:rPr>
        <w:t xml:space="preserve"> Kamerbrief is ook toegelicht dat de meest directe aanvoerroute van Noors gas naar Nederland op dit moment loopt via het Duitse Emden, vanwaar het Noorse gas zowel op het Nederlandse als Duitse </w:t>
      </w:r>
      <w:r w:rsidRPr="003B1DAE" w:rsidR="009025F6">
        <w:rPr>
          <w:rFonts w:eastAsia="Verdana" w:cs="Verdana"/>
        </w:rPr>
        <w:t xml:space="preserve">transmissiesysteem voor gas </w:t>
      </w:r>
      <w:r w:rsidRPr="003B1DAE">
        <w:rPr>
          <w:rFonts w:eastAsia="Verdana" w:cs="Verdana"/>
        </w:rPr>
        <w:t xml:space="preserve">wordt ingevoed. </w:t>
      </w:r>
    </w:p>
    <w:p w:rsidRPr="003B1DAE" w:rsidR="00A25164" w:rsidP="003B14FA" w:rsidRDefault="00A25164" w14:paraId="7B4C3DAB" w14:textId="77777777">
      <w:pPr>
        <w:pStyle w:val="Geenafstand"/>
        <w:spacing w:line="240" w:lineRule="atLeast"/>
        <w:rPr>
          <w:rFonts w:ascii="Verdana" w:hAnsi="Verdana" w:eastAsia="Verdana" w:cs="Verdana"/>
          <w:sz w:val="18"/>
          <w:szCs w:val="18"/>
        </w:rPr>
      </w:pPr>
    </w:p>
    <w:p w:rsidRPr="003B1DAE" w:rsidR="00A25164" w:rsidP="003B14FA" w:rsidRDefault="00A25164" w14:paraId="56B584BA" w14:textId="06A2854C">
      <w:pPr>
        <w:pStyle w:val="Geenafstand"/>
        <w:spacing w:line="240" w:lineRule="atLeast"/>
        <w:rPr>
          <w:rFonts w:ascii="Verdana" w:hAnsi="Verdana" w:eastAsia="Verdana" w:cs="Verdana"/>
          <w:sz w:val="18"/>
          <w:szCs w:val="18"/>
        </w:rPr>
      </w:pPr>
      <w:r w:rsidRPr="003B1DAE">
        <w:rPr>
          <w:rFonts w:ascii="Verdana" w:hAnsi="Verdana" w:eastAsia="Verdana" w:cs="Verdana"/>
          <w:sz w:val="18"/>
          <w:szCs w:val="18"/>
        </w:rPr>
        <w:t>Het kabinet verwelkomt marktinitiatieven die het stelsel van verbindingen met Noorwegen nog robuuster maken. Een voorbeeld van een dergelijk initiatief is het voorstel van het bedrijf Northern Offshore Gas Transport (NOGAT) om een verbinding te maken tussen gasproductie infrastructuur in de Noordzee en Europipe I, waar</w:t>
      </w:r>
      <w:r w:rsidRPr="003B1DAE" w:rsidR="00332539">
        <w:rPr>
          <w:rFonts w:ascii="Verdana" w:hAnsi="Verdana" w:eastAsia="Verdana" w:cs="Verdana"/>
          <w:sz w:val="18"/>
          <w:szCs w:val="18"/>
        </w:rPr>
        <w:t>door</w:t>
      </w:r>
      <w:r w:rsidRPr="003B1DAE">
        <w:rPr>
          <w:rFonts w:ascii="Verdana" w:hAnsi="Verdana" w:eastAsia="Verdana" w:cs="Verdana"/>
          <w:sz w:val="18"/>
          <w:szCs w:val="18"/>
        </w:rPr>
        <w:t xml:space="preserve"> Noors gas via een directere route naar Nederland zou kunnen stromen. Op die manier ontstaat er een additionele transportroute voor het Noorse gas, waardoor disrupties nog beter ondervangen kunnen worden. Dit is zowel voor Nederland als de bredere Noordwest-Europese gasmarkt van belang. </w:t>
      </w:r>
    </w:p>
    <w:p w:rsidRPr="003B1DAE" w:rsidR="00A25164" w:rsidP="003B14FA" w:rsidRDefault="00A25164" w14:paraId="0CB1BD26" w14:textId="77777777">
      <w:pPr>
        <w:pStyle w:val="Geenafstand"/>
        <w:spacing w:line="240" w:lineRule="atLeast"/>
        <w:rPr>
          <w:rFonts w:ascii="Verdana" w:hAnsi="Verdana" w:eastAsia="Verdana" w:cs="Verdana"/>
          <w:sz w:val="18"/>
          <w:szCs w:val="18"/>
        </w:rPr>
      </w:pPr>
    </w:p>
    <w:p w:rsidRPr="003B1DAE" w:rsidR="00A25164" w:rsidP="003B14FA" w:rsidRDefault="00A25164" w14:paraId="19B20BA9" w14:textId="23E05A00">
      <w:pPr>
        <w:pStyle w:val="Geenafstand"/>
        <w:spacing w:line="240" w:lineRule="atLeast"/>
        <w:rPr>
          <w:rFonts w:ascii="Verdana" w:hAnsi="Verdana" w:eastAsia="Verdana" w:cs="Verdana"/>
          <w:sz w:val="18"/>
          <w:szCs w:val="18"/>
        </w:rPr>
      </w:pPr>
      <w:r w:rsidRPr="003B1DAE">
        <w:rPr>
          <w:rFonts w:ascii="Verdana" w:hAnsi="Verdana" w:eastAsia="Verdana" w:cs="Verdana"/>
          <w:sz w:val="18"/>
          <w:szCs w:val="18"/>
        </w:rPr>
        <w:t>Op 30 juni 2026 heeft het lid Van den Berg c.s. per motie de regering verzocht te onderzoeken hoe het kabinet de initiatieven zoals deze kan ondersteunen en de Kamer daarover voor 1 oktober 2026 te informeren.</w:t>
      </w:r>
      <w:r w:rsidRPr="003B1DAE">
        <w:rPr>
          <w:rStyle w:val="Voetnootmarkering"/>
          <w:rFonts w:ascii="Verdana" w:hAnsi="Verdana" w:eastAsia="Verdana" w:cs="Verdana"/>
          <w:sz w:val="18"/>
          <w:szCs w:val="18"/>
        </w:rPr>
        <w:footnoteReference w:id="42"/>
      </w:r>
      <w:r w:rsidRPr="003B1DAE">
        <w:rPr>
          <w:rFonts w:ascii="Verdana" w:hAnsi="Verdana" w:eastAsia="Verdana" w:cs="Verdana"/>
          <w:sz w:val="18"/>
          <w:szCs w:val="18"/>
        </w:rPr>
        <w:t xml:space="preserve"> Ter uitvoering van deze motie: </w:t>
      </w:r>
      <w:r w:rsidRPr="003B1DAE" w:rsidR="005E044D">
        <w:rPr>
          <w:rFonts w:ascii="Verdana" w:hAnsi="Verdana" w:eastAsia="Verdana" w:cs="Verdana"/>
          <w:sz w:val="18"/>
          <w:szCs w:val="18"/>
        </w:rPr>
        <w:t>h</w:t>
      </w:r>
      <w:r w:rsidRPr="003B1DAE">
        <w:rPr>
          <w:rFonts w:ascii="Verdana" w:hAnsi="Verdana" w:eastAsia="Verdana" w:cs="Verdana"/>
          <w:sz w:val="18"/>
          <w:szCs w:val="18"/>
        </w:rPr>
        <w:t xml:space="preserve">et kabinet ondersteunt dit soort initiatieven waardoor de leveringszekerheid van aardgas uit het buitenland en de afvoer van geproduceerd gas op de Noordzee gewaarborgd blijft of kan worden verbeterd. Afhankelijk van de specifieke casus kan dat ondersteuning zijn op het vlak van vergunningen (bijvoorbeeld door middel van vroegtijdige ondersteuning bij het indieningsproces voor vergunningsaanvragen) en in de dialoog met buitenlandse partijen (bijvoorbeeld door contacten te faciliteren tussen publieke en private partijen). Ook kan worden geholpen bij het in kaart brengen van (Europese) financieringsopties. </w:t>
      </w:r>
    </w:p>
    <w:p w:rsidRPr="003B1DAE" w:rsidR="00A25164" w:rsidP="003B14FA" w:rsidRDefault="00A25164" w14:paraId="5E76165A" w14:textId="77777777">
      <w:pPr>
        <w:pStyle w:val="Geenafstand"/>
        <w:spacing w:line="240" w:lineRule="atLeast"/>
        <w:rPr>
          <w:rFonts w:ascii="Verdana" w:hAnsi="Verdana" w:eastAsia="Verdana" w:cs="Verdana"/>
          <w:sz w:val="18"/>
          <w:szCs w:val="18"/>
        </w:rPr>
      </w:pPr>
    </w:p>
    <w:p w:rsidRPr="0054295C" w:rsidR="00A25164" w:rsidP="003B14FA" w:rsidRDefault="00A25164" w14:paraId="7344713B" w14:textId="70E97DFA">
      <w:pPr>
        <w:pStyle w:val="Geenafstand"/>
        <w:spacing w:line="240" w:lineRule="atLeast"/>
        <w:rPr>
          <w:rFonts w:ascii="Verdana" w:hAnsi="Verdana"/>
        </w:rPr>
      </w:pPr>
      <w:r w:rsidRPr="003B1DAE">
        <w:rPr>
          <w:rFonts w:ascii="Verdana" w:hAnsi="Verdana" w:eastAsia="Verdana" w:cs="Verdana"/>
          <w:sz w:val="18"/>
          <w:szCs w:val="18"/>
        </w:rPr>
        <w:t xml:space="preserve">Om ervoor te zorgen dat dit specifieke project gerealiseerd kan worden, is er inmiddels contact gelegd met het Duitse ministerie van Economische Zaken en Energie. De verbinding tussen de bestaande leidingen loopt namelijk over Duits grondgebied. Daarnaast ondersteunt EZK NOGAT in de inventarisatie van mogelijke Europese financiering, zoals de Europese </w:t>
      </w:r>
      <w:r w:rsidRPr="003B1DAE">
        <w:rPr>
          <w:rFonts w:ascii="Verdana" w:hAnsi="Verdana" w:eastAsia="Verdana" w:cs="Verdana"/>
          <w:i/>
          <w:iCs/>
          <w:sz w:val="18"/>
          <w:szCs w:val="18"/>
        </w:rPr>
        <w:t>EIB Infrastructure and Climate Funds</w:t>
      </w:r>
      <w:r w:rsidRPr="003B1DAE">
        <w:rPr>
          <w:rFonts w:ascii="Verdana" w:hAnsi="Verdana" w:eastAsia="Verdana" w:cs="Verdana"/>
          <w:sz w:val="18"/>
          <w:szCs w:val="18"/>
        </w:rPr>
        <w:t xml:space="preserve"> en </w:t>
      </w:r>
      <w:r w:rsidRPr="003B1DAE">
        <w:rPr>
          <w:rFonts w:ascii="Verdana" w:hAnsi="Verdana" w:eastAsia="Verdana" w:cs="Verdana"/>
          <w:i/>
          <w:iCs/>
          <w:sz w:val="18"/>
          <w:szCs w:val="18"/>
        </w:rPr>
        <w:t>InvestEU</w:t>
      </w:r>
      <w:r w:rsidRPr="003B1DAE">
        <w:rPr>
          <w:rFonts w:ascii="Verdana" w:hAnsi="Verdana" w:eastAsia="Verdana" w:cs="Verdana"/>
          <w:sz w:val="18"/>
          <w:szCs w:val="18"/>
        </w:rPr>
        <w:t xml:space="preserve">. Voorts is EBN als aandeelhouder in NOGAT betrokken bij de lopende verkenning voor deze verbinding, waarbij EBN o.a. ondersteunt bij het in kaart brengen van de technische aspecten. Voor Nederland is dit een belangrijk project. De beoogde verbinding heeft een gunstig effect op de Nederlandse gaswinningsprojecten op de Noordzee doordat er extra volumes over de NOGAT-leiding worden vervoerd, waardoor de kosten van het gebruik van de leiding over relatief meer volume wordt verdeeld, wat de kosten voor de gasproducenten drukt en daarmee de bestaande en nieuwe winning op de Noordzee aantrekkelijker maakt. </w:t>
      </w:r>
      <w:r w:rsidRPr="003B1DAE" w:rsidR="6145EA61">
        <w:rPr>
          <w:rFonts w:ascii="Verdana" w:hAnsi="Verdana" w:eastAsia="Verdana" w:cs="Verdana"/>
          <w:sz w:val="18"/>
          <w:szCs w:val="18"/>
        </w:rPr>
        <w:t>Onlangs heeft NOGAT aangekondigd dat zij zijn gestart met de pre-FEED fase van het project en voornemens te zijn een investeringsbesluit te nemen medio 2027 en operationeel te zijn in 2029</w:t>
      </w:r>
      <w:r w:rsidRPr="003B1DAE" w:rsidR="000F3D69">
        <w:rPr>
          <w:rFonts w:ascii="Verdana" w:hAnsi="Verdana" w:eastAsia="Verdana" w:cs="Verdana"/>
          <w:sz w:val="18"/>
          <w:szCs w:val="18"/>
        </w:rPr>
        <w:t>.</w:t>
      </w:r>
      <w:r w:rsidRPr="003B1DAE">
        <w:rPr>
          <w:rFonts w:ascii="Verdana" w:hAnsi="Verdana" w:eastAsia="Verdana" w:cs="Verdana"/>
          <w:sz w:val="18"/>
          <w:szCs w:val="18"/>
          <w:vertAlign w:val="superscript"/>
        </w:rPr>
        <w:footnoteReference w:id="43"/>
      </w:r>
    </w:p>
    <w:p w:rsidR="00A25164" w:rsidP="003B14FA" w:rsidRDefault="00A25164" w14:paraId="23B8CBE9" w14:textId="77777777">
      <w:pPr>
        <w:pStyle w:val="Geenafstand"/>
        <w:spacing w:line="240" w:lineRule="atLeast"/>
        <w:rPr>
          <w:rFonts w:ascii="Verdana" w:hAnsi="Verdana" w:eastAsia="Verdana" w:cs="Verdana"/>
          <w:sz w:val="18"/>
          <w:szCs w:val="18"/>
        </w:rPr>
      </w:pPr>
    </w:p>
    <w:p w:rsidRPr="003B1DAE" w:rsidR="00F755AF" w:rsidP="003B14FA" w:rsidRDefault="00F755AF" w14:paraId="2C997103" w14:textId="77777777">
      <w:pPr>
        <w:pStyle w:val="Geenafstand"/>
        <w:spacing w:line="240" w:lineRule="atLeast"/>
        <w:rPr>
          <w:rFonts w:ascii="Verdana" w:hAnsi="Verdana" w:eastAsia="Verdana" w:cs="Verdana"/>
          <w:sz w:val="18"/>
          <w:szCs w:val="18"/>
        </w:rPr>
      </w:pPr>
    </w:p>
    <w:p w:rsidRPr="003B1DAE" w:rsidR="00A25164" w:rsidP="003B14FA" w:rsidRDefault="00A25164" w14:paraId="03737DA5" w14:textId="77777777">
      <w:pPr>
        <w:rPr>
          <w:rFonts w:eastAsia="Verdana" w:cs="Verdana"/>
          <w:szCs w:val="18"/>
        </w:rPr>
      </w:pPr>
      <w:r w:rsidRPr="003B1DAE">
        <w:rPr>
          <w:rFonts w:eastAsia="Verdana" w:cs="Verdana"/>
          <w:szCs w:val="18"/>
          <w:u w:val="single"/>
        </w:rPr>
        <w:t>LNG-import</w:t>
      </w:r>
      <w:r w:rsidRPr="003B1DAE">
        <w:rPr>
          <w:rFonts w:eastAsia="Verdana" w:cs="Verdana"/>
          <w:szCs w:val="18"/>
        </w:rPr>
        <w:t xml:space="preserve"> </w:t>
      </w:r>
    </w:p>
    <w:p w:rsidRPr="003B1DAE" w:rsidR="00A25164" w:rsidP="003B14FA" w:rsidRDefault="00A25164" w14:paraId="00A7C7CF" w14:textId="77777777">
      <w:pPr>
        <w:rPr>
          <w:rFonts w:eastAsia="Verdana" w:cs="Verdana"/>
          <w:szCs w:val="18"/>
        </w:rPr>
      </w:pPr>
    </w:p>
    <w:p w:rsidRPr="003B1DAE" w:rsidR="00A25164" w:rsidP="003B14FA" w:rsidRDefault="00A25164" w14:paraId="3FA911C3" w14:textId="4D4E66A3">
      <w:pPr>
        <w:tabs>
          <w:tab w:val="num" w:pos="720"/>
        </w:tabs>
        <w:rPr>
          <w:szCs w:val="18"/>
        </w:rPr>
      </w:pPr>
      <w:r w:rsidRPr="003B1DAE">
        <w:rPr>
          <w:szCs w:val="18"/>
        </w:rPr>
        <w:t>In de kabinetsvisie op de afbouw van fossiele energie in het NPE heeft het kabinet toegelicht dat richting 2050 verkend wordt of de LNG-import</w:t>
      </w:r>
      <w:r w:rsidRPr="003B1DAE" w:rsidR="00403BE1">
        <w:rPr>
          <w:szCs w:val="18"/>
        </w:rPr>
        <w:t>capaciteit</w:t>
      </w:r>
      <w:r w:rsidRPr="003B1DAE">
        <w:rPr>
          <w:szCs w:val="18"/>
        </w:rPr>
        <w:t xml:space="preserve">, in lijn met de verwachte daling van de gasvraag, afgebouwd kan worden. In de tussentijd geldt echter dat de productie van gas in Nederland niet voldoende is om te voorzien in de vraag: voor de leveringszekerheid van gas blijft het kabinet daarom in de komende jaren inzetten op het waarborgen van voldoende betrouwbare importstromen, waaronder via voldoende LNG-importcapaciteit. </w:t>
      </w:r>
    </w:p>
    <w:p w:rsidRPr="003B1DAE" w:rsidR="00A25164" w:rsidP="003B14FA" w:rsidRDefault="00A25164" w14:paraId="541B3D35" w14:textId="77777777">
      <w:pPr>
        <w:tabs>
          <w:tab w:val="num" w:pos="720"/>
        </w:tabs>
        <w:rPr>
          <w:szCs w:val="18"/>
          <w:u w:val="single"/>
        </w:rPr>
      </w:pPr>
    </w:p>
    <w:p w:rsidRPr="003B1DAE" w:rsidR="00A25164" w:rsidP="003B14FA" w:rsidRDefault="00A25164" w14:paraId="3407F79E" w14:textId="77777777">
      <w:pPr>
        <w:tabs>
          <w:tab w:val="num" w:pos="720"/>
        </w:tabs>
        <w:rPr>
          <w:i/>
          <w:iCs/>
          <w:szCs w:val="18"/>
        </w:rPr>
      </w:pPr>
      <w:r w:rsidRPr="003B1DAE">
        <w:rPr>
          <w:i/>
          <w:iCs/>
          <w:szCs w:val="18"/>
        </w:rPr>
        <w:t>Voldoende LNG-importcapaciteit</w:t>
      </w:r>
    </w:p>
    <w:p w:rsidRPr="003B1DAE" w:rsidR="00A25164" w:rsidP="003B14FA" w:rsidRDefault="00A25164" w14:paraId="30B32850" w14:textId="78ADC0D9">
      <w:pPr>
        <w:tabs>
          <w:tab w:val="num" w:pos="720"/>
        </w:tabs>
        <w:rPr>
          <w:szCs w:val="18"/>
        </w:rPr>
      </w:pPr>
      <w:r w:rsidRPr="003B1DAE">
        <w:t>Nadat in 2022 de gasstromen uit Rusland voor een zeer groot deel zijn weggevallen, ontstond de noodzaak om zo spoedig mogelijk extra alternatieve importroutes te creëren, specifiek in de vorm van extra LNG-importcapaciteit zodat er alternatieve volumes konden worden geïmporteerd. In dat jaar is daarom de LNG-importcapaciteit in Nederland verdubbeld van 12 naar 24 bcm per jaar.</w:t>
      </w:r>
      <w:r w:rsidRPr="003B1DAE">
        <w:rPr>
          <w:rStyle w:val="Voetnootmarkering"/>
        </w:rPr>
        <w:footnoteReference w:id="44"/>
      </w:r>
      <w:r w:rsidRPr="003B1DAE">
        <w:t xml:space="preserve"> Concreet heeft de GATE</w:t>
      </w:r>
      <w:r w:rsidRPr="003B1DAE" w:rsidR="006A284D">
        <w:t xml:space="preserve"> </w:t>
      </w:r>
      <w:r w:rsidRPr="003B1DAE">
        <w:t xml:space="preserve">terminal in Rotterdam in 2022 de importcapaciteit uitgebreid van 12 </w:t>
      </w:r>
      <w:r w:rsidRPr="003B1DAE" w:rsidR="009471B6">
        <w:t xml:space="preserve">bcm met 4 bcm </w:t>
      </w:r>
      <w:r w:rsidRPr="003B1DAE" w:rsidR="00E07E42">
        <w:t>afschakelbare capaciteit</w:t>
      </w:r>
      <w:r w:rsidRPr="003B1DAE" w:rsidR="009471B6">
        <w:t xml:space="preserve"> </w:t>
      </w:r>
      <w:r w:rsidRPr="003B1DAE">
        <w:t>naar 16 bcm</w:t>
      </w:r>
      <w:r w:rsidRPr="003B1DAE" w:rsidR="00E07E42">
        <w:t xml:space="preserve"> </w:t>
      </w:r>
      <w:r w:rsidRPr="003B1DAE">
        <w:t>per jaar</w:t>
      </w:r>
      <w:r w:rsidRPr="003B1DAE" w:rsidR="00B937D4">
        <w:t xml:space="preserve"> </w:t>
      </w:r>
      <w:r w:rsidRPr="003B1DAE">
        <w:t xml:space="preserve">en is de EemsEnergyTerminal (EET) in de Eemshaven gerealiseerd met een importcapaciteit van 8 bcm per jaar (met mogelijkheid voor verdere uitbreiding naar 10 bcm per jaar). </w:t>
      </w:r>
    </w:p>
    <w:p w:rsidRPr="003B1DAE" w:rsidR="00A25164" w:rsidP="003B14FA" w:rsidRDefault="00A25164" w14:paraId="641E5C94" w14:textId="77777777">
      <w:pPr>
        <w:tabs>
          <w:tab w:val="num" w:pos="720"/>
        </w:tabs>
        <w:rPr>
          <w:szCs w:val="18"/>
        </w:rPr>
      </w:pPr>
    </w:p>
    <w:p w:rsidRPr="003B1DAE" w:rsidR="00A25164" w:rsidP="003B14FA" w:rsidRDefault="00A25164" w14:paraId="7BD27998" w14:textId="281B7FE3">
      <w:pPr>
        <w:tabs>
          <w:tab w:val="num" w:pos="720"/>
        </w:tabs>
        <w:rPr>
          <w:szCs w:val="18"/>
        </w:rPr>
      </w:pPr>
      <w:r w:rsidRPr="003B1DAE">
        <w:t>Uit analyses van GTS bleek dat het behouden van de gerealiseerde LNG-importcapaciteit en verdere uitbreiding van de LNG-importcapaciteit in Nederland noodzakelijk is om in alle scenario’s voldoende gas in Nederland te kunnen importeren.</w:t>
      </w:r>
      <w:r w:rsidRPr="003B1DAE">
        <w:rPr>
          <w:rStyle w:val="Voetnootmarkering"/>
        </w:rPr>
        <w:footnoteReference w:id="45"/>
      </w:r>
      <w:r w:rsidRPr="003B1DAE">
        <w:t xml:space="preserve"> </w:t>
      </w:r>
      <w:r w:rsidRPr="0054295C">
        <w:t>Het kabinet heeft daarom de afgelopen jaren de vaste lijn uitgedragen, en draagt die nog steeds uit, dat de LNG-importcapaciteit in Nederland op peil moet zijn en blijven zo lang die capaciteit nodig is. Concreet betekent dit dat het kabinet uitbreiding en/of verlenging van LNG-importcapaciteit faciliteert en ondersteunt indien dit noodzakelijk is.</w:t>
      </w:r>
      <w:r w:rsidRPr="003B1DAE">
        <w:rPr>
          <w:rStyle w:val="Voetnootmarkering"/>
        </w:rPr>
        <w:footnoteReference w:id="46"/>
      </w:r>
      <w:r w:rsidRPr="003B1DAE">
        <w:t xml:space="preserve"> Hierbij baseert het kabinet zich op de analyses van GTS en houdt het kabinet daarnaast rekening met het feit dat elk project tot aan definitieve realisatie met risico’s gepaard gaat, zodat het belangrijk is dat verschillende projecten parallel verkend worden. Ook houdt het kabinet er oog voor dat uit oogpunt van weerbaarheid </w:t>
      </w:r>
      <w:r w:rsidRPr="003B1DAE" w:rsidR="003A2CDA">
        <w:t>LNG</w:t>
      </w:r>
      <w:r w:rsidRPr="003B1DAE" w:rsidR="007B6C9E">
        <w:t xml:space="preserve"> op</w:t>
      </w:r>
      <w:r w:rsidRPr="003B1DAE">
        <w:t xml:space="preserve"> verschillende </w:t>
      </w:r>
      <w:r w:rsidRPr="003B1DAE" w:rsidR="007B6C9E">
        <w:t>locaties in</w:t>
      </w:r>
      <w:r w:rsidRPr="003B1DAE">
        <w:t xml:space="preserve"> Nederland </w:t>
      </w:r>
      <w:r w:rsidRPr="003B1DAE" w:rsidR="007B6C9E">
        <w:t xml:space="preserve">kan </w:t>
      </w:r>
      <w:r w:rsidRPr="003B1DAE">
        <w:t xml:space="preserve">blijven </w:t>
      </w:r>
      <w:r w:rsidRPr="003B1DAE" w:rsidR="007B6C9E">
        <w:t>aanlanden</w:t>
      </w:r>
      <w:r w:rsidRPr="003B1DAE">
        <w:t>.</w:t>
      </w:r>
    </w:p>
    <w:p w:rsidRPr="003B1DAE" w:rsidR="00A25164" w:rsidP="003B14FA" w:rsidRDefault="00A25164" w14:paraId="548FC8A2" w14:textId="77777777">
      <w:pPr>
        <w:tabs>
          <w:tab w:val="num" w:pos="720"/>
        </w:tabs>
        <w:rPr>
          <w:szCs w:val="18"/>
        </w:rPr>
      </w:pPr>
    </w:p>
    <w:p w:rsidRPr="003B1DAE" w:rsidR="00A25164" w:rsidP="003B14FA" w:rsidRDefault="00A25164" w14:paraId="2B10D7FA" w14:textId="77777777">
      <w:pPr>
        <w:tabs>
          <w:tab w:val="num" w:pos="720"/>
        </w:tabs>
        <w:rPr>
          <w:szCs w:val="18"/>
        </w:rPr>
      </w:pPr>
      <w:r w:rsidRPr="003B1DAE">
        <w:rPr>
          <w:szCs w:val="18"/>
        </w:rPr>
        <w:t>In de praktijk zijn in de afgelopen jaren door verschillende marktpartijen – in overleg met EZK – uitgebreid de mogelijkheden onderzocht voor additionele en nieuwe importcapaciteit in Nederland. Dit heeft geresulteerd in de volgende lopende trajecten in samenwerking met EZK:</w:t>
      </w:r>
    </w:p>
    <w:p w:rsidRPr="003B1DAE" w:rsidR="00A25164" w:rsidP="003B14FA" w:rsidRDefault="00A25164" w14:paraId="403A6597" w14:textId="77777777">
      <w:pPr>
        <w:pStyle w:val="Lijstalinea"/>
        <w:numPr>
          <w:ilvl w:val="0"/>
          <w:numId w:val="25"/>
        </w:numPr>
        <w:tabs>
          <w:tab w:val="num" w:pos="720"/>
        </w:tabs>
        <w:spacing w:line="240" w:lineRule="atLeast"/>
        <w:rPr>
          <w:rFonts w:ascii="Verdana" w:hAnsi="Verdana"/>
          <w:sz w:val="18"/>
          <w:szCs w:val="18"/>
        </w:rPr>
      </w:pPr>
      <w:r w:rsidRPr="003B1DAE">
        <w:rPr>
          <w:rFonts w:ascii="Verdana" w:hAnsi="Verdana"/>
          <w:sz w:val="18"/>
          <w:szCs w:val="18"/>
        </w:rPr>
        <w:t xml:space="preserve">In de afgelopen jaren heeft GATE gewerkt aan verdere uitbreiding van de importcapaciteit met nog eens 4 bcm per jaar vanaf het najaar van 2026 door de aanleg van een vierde opslagtank. Deze werkzaamheden lopen op schema. Dit betekent dat de totale LNG-importcapaciteit in Nederland vanaf eind 2026 ca. 28 bcm per jaar zal bedragen, verspreid over Rotterdam en de Eemshaven. </w:t>
      </w:r>
    </w:p>
    <w:p w:rsidRPr="003B1DAE" w:rsidR="00A25164" w:rsidP="003B14FA" w:rsidRDefault="00A25164" w14:paraId="1B582E8B" w14:textId="2409383F">
      <w:pPr>
        <w:pStyle w:val="Lijstalinea"/>
        <w:numPr>
          <w:ilvl w:val="0"/>
          <w:numId w:val="25"/>
        </w:numPr>
        <w:tabs>
          <w:tab w:val="num" w:pos="720"/>
        </w:tabs>
        <w:spacing w:line="240" w:lineRule="atLeast"/>
        <w:rPr>
          <w:rFonts w:ascii="Verdana" w:hAnsi="Verdana"/>
          <w:sz w:val="18"/>
          <w:szCs w:val="18"/>
        </w:rPr>
      </w:pPr>
      <w:r w:rsidRPr="003B1DAE">
        <w:rPr>
          <w:rFonts w:ascii="Verdana" w:hAnsi="Verdana"/>
          <w:sz w:val="18"/>
          <w:szCs w:val="18"/>
        </w:rPr>
        <w:t xml:space="preserve">EET is in 2022 aangelegd als tijdelijke terminal voor vijf jaar. Indien deze terminal niet verlengd zou worden na 2027, neemt de LNG-importcapaciteit in Nederland vanaf dat moment weer met 8 bcm per jaar af en is er in Nederland bovendien nog maar één LNG-importlocatie, in Rotterdam. Uit de jaarlijkse analyses van GTS volgt dat tijdelijke verlenging van EET een belangrijke randvoorwaarde is voor het behouden van voldoende importcapaciteit en daarmee </w:t>
      </w:r>
      <w:r w:rsidRPr="003B1DAE" w:rsidR="00195583">
        <w:rPr>
          <w:rFonts w:ascii="Verdana" w:hAnsi="Verdana"/>
          <w:sz w:val="18"/>
          <w:szCs w:val="18"/>
        </w:rPr>
        <w:t xml:space="preserve">de </w:t>
      </w:r>
      <w:r w:rsidRPr="003B1DAE">
        <w:rPr>
          <w:rFonts w:ascii="Verdana" w:hAnsi="Verdana"/>
          <w:sz w:val="18"/>
          <w:szCs w:val="18"/>
        </w:rPr>
        <w:t>mogelijkheid voor het importeren van voldoende volume in Nederland in de komende jaren.</w:t>
      </w:r>
      <w:r w:rsidRPr="003B1DAE">
        <w:rPr>
          <w:rStyle w:val="Voetnootmarkering"/>
          <w:rFonts w:ascii="Verdana" w:hAnsi="Verdana"/>
          <w:sz w:val="18"/>
          <w:szCs w:val="18"/>
        </w:rPr>
        <w:footnoteReference w:id="47"/>
      </w:r>
      <w:r w:rsidRPr="003B1DAE">
        <w:rPr>
          <w:rFonts w:ascii="Verdana" w:hAnsi="Verdana"/>
          <w:sz w:val="18"/>
          <w:szCs w:val="18"/>
        </w:rPr>
        <w:t xml:space="preserve"> Daarom werkt EET aan verlenging van de terminal voor de periode 2028-2036.</w:t>
      </w:r>
      <w:r w:rsidRPr="003B1DAE">
        <w:rPr>
          <w:rStyle w:val="Voetnootmarkering"/>
          <w:rFonts w:ascii="Verdana" w:hAnsi="Verdana"/>
          <w:sz w:val="18"/>
          <w:szCs w:val="18"/>
        </w:rPr>
        <w:footnoteReference w:id="48"/>
      </w:r>
      <w:r w:rsidRPr="003B1DAE">
        <w:rPr>
          <w:rFonts w:ascii="Verdana" w:hAnsi="Verdana"/>
          <w:sz w:val="18"/>
          <w:szCs w:val="18"/>
        </w:rPr>
        <w:t xml:space="preserve"> </w:t>
      </w:r>
    </w:p>
    <w:p w:rsidRPr="003B1DAE" w:rsidR="00A25164" w:rsidP="003B14FA" w:rsidRDefault="00A25164" w14:paraId="20FE586C" w14:textId="05161CF1">
      <w:pPr>
        <w:pStyle w:val="Lijstalinea"/>
        <w:numPr>
          <w:ilvl w:val="0"/>
          <w:numId w:val="25"/>
        </w:numPr>
        <w:tabs>
          <w:tab w:val="num" w:pos="720"/>
        </w:tabs>
        <w:spacing w:line="240" w:lineRule="atLeast"/>
        <w:rPr>
          <w:rFonts w:ascii="Verdana" w:hAnsi="Verdana"/>
          <w:sz w:val="18"/>
          <w:szCs w:val="18"/>
        </w:rPr>
      </w:pPr>
      <w:r w:rsidRPr="003B1DAE">
        <w:rPr>
          <w:rFonts w:ascii="Verdana" w:hAnsi="Verdana"/>
          <w:sz w:val="18"/>
          <w:szCs w:val="18"/>
        </w:rPr>
        <w:t>Ten slotte werken de bedrijven VTTI B.V. en Höegh Evi aan een mogelijke LNG-terminal in Zeeland, de Zeeland Energy Terminal. Deze terminal is gepland voor opening in de tweede helft van 2029. Het kabinet heeft de Kamer op 28 mei 2026 over de voortgang van dit initiatief geïnformeerd.</w:t>
      </w:r>
      <w:r w:rsidRPr="003B1DAE">
        <w:rPr>
          <w:rStyle w:val="Voetnootmarkering"/>
          <w:rFonts w:ascii="Verdana" w:hAnsi="Verdana"/>
          <w:sz w:val="18"/>
          <w:szCs w:val="18"/>
        </w:rPr>
        <w:footnoteReference w:id="49"/>
      </w:r>
    </w:p>
    <w:p w:rsidRPr="003B1DAE" w:rsidR="00A25164" w:rsidP="003B14FA" w:rsidRDefault="00A25164" w14:paraId="5892FD7A" w14:textId="77777777">
      <w:pPr>
        <w:rPr>
          <w:rFonts w:eastAsia="Verdana" w:cs="Verdana"/>
          <w:szCs w:val="18"/>
        </w:rPr>
      </w:pPr>
      <w:r w:rsidRPr="003B1DAE">
        <w:rPr>
          <w:rFonts w:eastAsia="Verdana" w:cs="Verdana"/>
        </w:rPr>
        <w:t>Met de hiervoor genoemde trajecten wordt voldaan aan de motie van het lid Van den Berg van 10 februari 2026, die de regering verzoekt te onderzoeken waar in Nederland de importcapaciteit vergroot kan worden en wat hier de voordelen van zouden kunnen zijn.</w:t>
      </w:r>
      <w:r w:rsidRPr="003B1DAE">
        <w:rPr>
          <w:rStyle w:val="Voetnootmarkering"/>
          <w:rFonts w:eastAsia="Verdana" w:cs="Verdana"/>
        </w:rPr>
        <w:footnoteReference w:id="50"/>
      </w:r>
    </w:p>
    <w:p w:rsidRPr="003B1DAE" w:rsidR="00A25164" w:rsidP="003B14FA" w:rsidRDefault="00A25164" w14:paraId="1A130DC9" w14:textId="77777777">
      <w:pPr>
        <w:rPr>
          <w:rFonts w:eastAsia="Verdana" w:cs="Verdana"/>
          <w:szCs w:val="18"/>
        </w:rPr>
      </w:pPr>
    </w:p>
    <w:p w:rsidRPr="003B1DAE" w:rsidR="00A25164" w:rsidP="003B14FA" w:rsidRDefault="00A25164" w14:paraId="40EBD53B" w14:textId="0F9CD6A0">
      <w:r w:rsidRPr="003B1DAE">
        <w:rPr>
          <w:rFonts w:eastAsia="Verdana" w:cs="Verdana"/>
        </w:rPr>
        <w:t>Terwijl het kabinet zich inzet voor voldoende LNG-importcapaciteit, geldt tegelijkertijd dat het kabinet fossiele lock-in wil voorkomen en oog heeft voor hergebruik van LNG-infrastructuur voor duurzame toepassingen zodra dat mogelijk is. Het kabinet wijst in dit verband op het onderzoek dat is uitgevoerd door TNO in 2025 naar de mogelijkheden voor hergebruik van LNG-infrastructuur in Nederland.</w:t>
      </w:r>
      <w:r w:rsidRPr="003B1DAE">
        <w:rPr>
          <w:rStyle w:val="Voetnootmarkering"/>
          <w:rFonts w:eastAsia="Verdana" w:cs="Verdana"/>
        </w:rPr>
        <w:footnoteReference w:id="51"/>
      </w:r>
      <w:r w:rsidRPr="003B1DAE">
        <w:rPr>
          <w:rFonts w:eastAsia="Verdana" w:cs="Verdana"/>
        </w:rPr>
        <w:t xml:space="preserve"> </w:t>
      </w:r>
      <w:r w:rsidRPr="003B1DAE" w:rsidR="3E4D455F">
        <w:rPr>
          <w:rFonts w:eastAsia="Verdana" w:cs="Verdana"/>
        </w:rPr>
        <w:t xml:space="preserve">Uit dit onderzoek blijkt dat </w:t>
      </w:r>
      <w:r w:rsidRPr="0054295C" w:rsidR="27815920">
        <w:rPr>
          <w:rFonts w:eastAsia="Verdana" w:cs="Verdana"/>
        </w:rPr>
        <w:t>h</w:t>
      </w:r>
      <w:r w:rsidRPr="003B1DAE" w:rsidR="0C0DCAA9">
        <w:rPr>
          <w:rFonts w:eastAsia="Verdana" w:cs="Verdana"/>
        </w:rPr>
        <w:t>et</w:t>
      </w:r>
      <w:r w:rsidRPr="003B1DAE" w:rsidR="049328FB">
        <w:rPr>
          <w:rFonts w:eastAsia="Verdana" w:cs="Verdana"/>
        </w:rPr>
        <w:t xml:space="preserve"> mogelijk</w:t>
      </w:r>
      <w:r w:rsidRPr="003B1DAE" w:rsidR="66247D19">
        <w:rPr>
          <w:rFonts w:eastAsia="Verdana" w:cs="Verdana"/>
        </w:rPr>
        <w:t xml:space="preserve"> is</w:t>
      </w:r>
      <w:r w:rsidRPr="003B1DAE" w:rsidR="049328FB">
        <w:rPr>
          <w:rFonts w:eastAsia="Verdana" w:cs="Verdana"/>
        </w:rPr>
        <w:t xml:space="preserve"> om voorwaarden te stellen aan ‘waterstofgereedheid’ van </w:t>
      </w:r>
      <w:r w:rsidRPr="003B1DAE" w:rsidR="0C0DCAA9">
        <w:rPr>
          <w:rFonts w:eastAsia="Verdana" w:cs="Verdana"/>
        </w:rPr>
        <w:t>LNG</w:t>
      </w:r>
      <w:r w:rsidRPr="003B1DAE" w:rsidR="55234D56">
        <w:rPr>
          <w:rFonts w:eastAsia="Verdana" w:cs="Verdana"/>
        </w:rPr>
        <w:t>-</w:t>
      </w:r>
      <w:r w:rsidRPr="003B1DAE" w:rsidR="0C0DCAA9">
        <w:rPr>
          <w:rFonts w:eastAsia="Verdana" w:cs="Verdana"/>
        </w:rPr>
        <w:t>terminals</w:t>
      </w:r>
      <w:r w:rsidRPr="003B1DAE" w:rsidR="049328FB">
        <w:rPr>
          <w:rFonts w:eastAsia="Verdana" w:cs="Verdana"/>
        </w:rPr>
        <w:t xml:space="preserve"> om de bouw van terminals voor duurzame dragers op dezelfde locatie in de toekomst te vergemakkelijken, zoals voorwaarden ten aanzien van de draagkracht van de gebruikte constructie. Alleen voor een aantal specifieke energiedragers die directe alternatieven vormen voor LNG, zoals bio-LNG en synthetisch methaan, is direct hergebruik van de terminal zonder veel aanpassingen mogelijk.</w:t>
      </w:r>
    </w:p>
    <w:p w:rsidRPr="003B1DAE" w:rsidR="00A25164" w:rsidP="003B14FA" w:rsidRDefault="00A25164" w14:paraId="123D0F3E" w14:textId="77777777">
      <w:pPr>
        <w:tabs>
          <w:tab w:val="num" w:pos="720"/>
        </w:tabs>
        <w:rPr>
          <w:szCs w:val="18"/>
          <w:u w:val="single"/>
        </w:rPr>
      </w:pPr>
    </w:p>
    <w:p w:rsidRPr="003B1DAE" w:rsidR="00A25164" w:rsidP="003B14FA" w:rsidRDefault="00A25164" w14:paraId="4B7E727F" w14:textId="77777777">
      <w:pPr>
        <w:tabs>
          <w:tab w:val="num" w:pos="720"/>
        </w:tabs>
        <w:rPr>
          <w:i/>
          <w:iCs/>
          <w:szCs w:val="18"/>
        </w:rPr>
      </w:pPr>
      <w:r w:rsidRPr="003B1DAE">
        <w:rPr>
          <w:i/>
          <w:iCs/>
          <w:szCs w:val="18"/>
        </w:rPr>
        <w:t>Diversiteit</w:t>
      </w:r>
    </w:p>
    <w:p w:rsidRPr="003B1DAE" w:rsidR="00A25164" w:rsidP="003B14FA" w:rsidRDefault="00A25164" w14:paraId="4CFB5C16" w14:textId="468A687C">
      <w:pPr>
        <w:tabs>
          <w:tab w:val="num" w:pos="720"/>
        </w:tabs>
        <w:rPr>
          <w:szCs w:val="18"/>
        </w:rPr>
      </w:pPr>
      <w:r w:rsidRPr="003B1DAE">
        <w:rPr>
          <w:szCs w:val="18"/>
        </w:rPr>
        <w:t>De beschikbaarheid van voldoende LNG-importcapaciteit, en de regels in de Energiewet die derdentoegang tot deze importcapaciteit regelen, maken mogelijk dat veel verschillende partijen (importeurs) deze capaciteit kunnen contracteren en gebruiken van voor de import van gas. Op grond van de regels voor LNG-terminals geldt dat als de capaciteitshouders hun capaciteit niet benutten, ze die weer vrij moeten geven zodat een andere marktpartij de capaciteit kan benutten (</w:t>
      </w:r>
      <w:r w:rsidRPr="003B1DAE">
        <w:rPr>
          <w:i/>
          <w:iCs/>
          <w:szCs w:val="18"/>
        </w:rPr>
        <w:t>use-it-or-lose-it</w:t>
      </w:r>
      <w:r w:rsidRPr="003B1DAE">
        <w:rPr>
          <w:szCs w:val="18"/>
        </w:rPr>
        <w:t xml:space="preserve">). </w:t>
      </w:r>
    </w:p>
    <w:p w:rsidRPr="003B1DAE" w:rsidR="00A25164" w:rsidP="003B14FA" w:rsidRDefault="00A25164" w14:paraId="62088BAF" w14:textId="77777777">
      <w:pPr>
        <w:tabs>
          <w:tab w:val="num" w:pos="720"/>
        </w:tabs>
        <w:rPr>
          <w:szCs w:val="18"/>
        </w:rPr>
      </w:pPr>
    </w:p>
    <w:p w:rsidRPr="003B1DAE" w:rsidR="00A25164" w:rsidP="003B14FA" w:rsidRDefault="00A25164" w14:paraId="7CE3B4A7" w14:textId="1F71DBA2">
      <w:pPr>
        <w:tabs>
          <w:tab w:val="num" w:pos="720"/>
        </w:tabs>
        <w:rPr>
          <w:szCs w:val="18"/>
        </w:rPr>
      </w:pPr>
      <w:r w:rsidRPr="003B1DAE">
        <w:rPr>
          <w:szCs w:val="18"/>
        </w:rPr>
        <w:t>Dit systeem maakt diversiteit van importst</w:t>
      </w:r>
      <w:r w:rsidRPr="003B1DAE" w:rsidR="009B7676">
        <w:rPr>
          <w:szCs w:val="18"/>
        </w:rPr>
        <w:t>ro</w:t>
      </w:r>
      <w:r w:rsidRPr="003B1DAE">
        <w:rPr>
          <w:szCs w:val="18"/>
        </w:rPr>
        <w:t xml:space="preserve">men mogelijk. Immers, elk van de partijen die importcapaciteit heeft geboekt, heeft een eigen portfolio aan importcontracten en kan over de hele wereld LNG inkopen. Er is niet één dominante partij die in Nederland LNG importeert. Weliswaar geldt dat veel van het LNG dat op de wereldmarkt wordt geproduceerd afkomstig is uit de VS, waardoor naar verhouding ook een groot deel van het in Nederland geïmporteerde LNG afkomstig is uit de VS. Dit </w:t>
      </w:r>
      <w:r w:rsidRPr="003B1DAE" w:rsidR="004019BC">
        <w:rPr>
          <w:szCs w:val="18"/>
        </w:rPr>
        <w:t>neemt</w:t>
      </w:r>
      <w:r w:rsidRPr="003B1DAE">
        <w:rPr>
          <w:szCs w:val="18"/>
        </w:rPr>
        <w:t xml:space="preserve"> echter niet </w:t>
      </w:r>
      <w:r w:rsidRPr="003B1DAE" w:rsidR="004019BC">
        <w:rPr>
          <w:szCs w:val="18"/>
        </w:rPr>
        <w:t xml:space="preserve">weg </w:t>
      </w:r>
      <w:r w:rsidRPr="003B1DAE">
        <w:rPr>
          <w:szCs w:val="18"/>
        </w:rPr>
        <w:t xml:space="preserve">dat de groep in Nederland importerende partijen ook elders ter wereld LNG kan inkopen. </w:t>
      </w:r>
    </w:p>
    <w:p w:rsidRPr="003B1DAE" w:rsidR="00A25164" w:rsidP="003B14FA" w:rsidRDefault="00A25164" w14:paraId="46966314" w14:textId="77777777">
      <w:pPr>
        <w:tabs>
          <w:tab w:val="num" w:pos="720"/>
        </w:tabs>
        <w:rPr>
          <w:szCs w:val="18"/>
        </w:rPr>
      </w:pPr>
    </w:p>
    <w:p w:rsidRPr="003B1DAE" w:rsidR="00A25164" w:rsidP="003B14FA" w:rsidRDefault="00A25164" w14:paraId="1263CC36" w14:textId="14302ABF">
      <w:pPr>
        <w:tabs>
          <w:tab w:val="num" w:pos="720"/>
        </w:tabs>
        <w:rPr>
          <w:szCs w:val="18"/>
        </w:rPr>
      </w:pPr>
      <w:r w:rsidRPr="003B1DAE">
        <w:t>Ter illustratie: De bestaande capaciteit van G</w:t>
      </w:r>
      <w:r w:rsidRPr="003B1DAE" w:rsidR="004019BC">
        <w:t>ATE</w:t>
      </w:r>
      <w:r w:rsidRPr="003B1DAE">
        <w:t xml:space="preserve"> is op dit moment volledig geboekt door vier verschillende partijen.</w:t>
      </w:r>
      <w:r w:rsidRPr="003B1DAE">
        <w:rPr>
          <w:rStyle w:val="Voetnootmarkering"/>
        </w:rPr>
        <w:footnoteReference w:id="52"/>
      </w:r>
      <w:r w:rsidRPr="003B1DAE">
        <w:t xml:space="preserve"> Ook in de komende 10 tot 15 jaar is er grote interesse in de capaciteit in G</w:t>
      </w:r>
      <w:r w:rsidRPr="003B1DAE" w:rsidR="004019BC">
        <w:t>ATE</w:t>
      </w:r>
      <w:r w:rsidRPr="003B1DAE">
        <w:t xml:space="preserve"> en is er capaciteit door een groep capaciteitshouders geboekt.</w:t>
      </w:r>
      <w:r w:rsidRPr="003B1DAE">
        <w:rPr>
          <w:rStyle w:val="Voetnootmarkering"/>
        </w:rPr>
        <w:footnoteReference w:id="53"/>
      </w:r>
      <w:r w:rsidRPr="003B1DAE">
        <w:t xml:space="preserve"> Ook de capaciteit van de vierde tank is volledig uitverkocht aan twee verschillende partijen. De capaciteit in EET is geboekt door drie verschillende bedrijven.</w:t>
      </w:r>
      <w:r w:rsidRPr="003B1DAE">
        <w:rPr>
          <w:rStyle w:val="Voetnootmarkering"/>
        </w:rPr>
        <w:footnoteReference w:id="54"/>
      </w:r>
      <w:r w:rsidRPr="003B1DAE">
        <w:t xml:space="preserve"> Voor de verlenging van EET is ook al een substantieel deel van de capaciteit geboekt.</w:t>
      </w:r>
      <w:r w:rsidRPr="003B1DAE">
        <w:rPr>
          <w:rStyle w:val="Voetnootmarkering"/>
        </w:rPr>
        <w:footnoteReference w:id="55"/>
      </w:r>
      <w:r w:rsidRPr="003B1DAE">
        <w:t xml:space="preserve"> VTTI B.V. en Höegh Evi hebben begin 2026 een </w:t>
      </w:r>
      <w:r w:rsidRPr="003B1DAE">
        <w:rPr>
          <w:i/>
        </w:rPr>
        <w:t xml:space="preserve">open season </w:t>
      </w:r>
      <w:r w:rsidRPr="003B1DAE">
        <w:t>uitgeschreven voor de Zeeland Energy Terminal, waarvoor veel interesse van marktpartijen is getoond.</w:t>
      </w:r>
      <w:r w:rsidRPr="003B1DAE">
        <w:rPr>
          <w:rStyle w:val="Voetnootmarkering"/>
        </w:rPr>
        <w:footnoteReference w:id="56"/>
      </w:r>
      <w:r w:rsidRPr="003B1DAE">
        <w:t xml:space="preserve"> Per saldo levert dit </w:t>
      </w:r>
      <w:r w:rsidRPr="003B1DAE" w:rsidR="004019BC">
        <w:t>het</w:t>
      </w:r>
      <w:r w:rsidRPr="003B1DAE">
        <w:t xml:space="preserve"> beeld </w:t>
      </w:r>
      <w:r w:rsidRPr="003B1DAE" w:rsidR="004019BC">
        <w:t>op van</w:t>
      </w:r>
      <w:r w:rsidRPr="003B1DAE">
        <w:t xml:space="preserve"> een grote en diverse groep importeurs op die de komende jaren LNG importeren in Nederland. </w:t>
      </w:r>
    </w:p>
    <w:p w:rsidRPr="003B1DAE" w:rsidR="00A25164" w:rsidP="003B14FA" w:rsidRDefault="00A25164" w14:paraId="199DF435" w14:textId="77777777">
      <w:pPr>
        <w:rPr>
          <w:rFonts w:eastAsia="Verdana" w:cs="Verdana"/>
          <w:szCs w:val="18"/>
        </w:rPr>
      </w:pPr>
    </w:p>
    <w:p w:rsidRPr="003B1DAE" w:rsidR="00A25164" w:rsidP="003B14FA" w:rsidRDefault="00A25164" w14:paraId="5BAE5EC2" w14:textId="77777777">
      <w:pPr>
        <w:rPr>
          <w:rFonts w:eastAsia="Verdana" w:cs="Verdana"/>
          <w:szCs w:val="18"/>
          <w:u w:val="single"/>
        </w:rPr>
      </w:pPr>
      <w:r w:rsidRPr="003B1DAE">
        <w:rPr>
          <w:rFonts w:eastAsia="Verdana" w:cs="Verdana"/>
          <w:szCs w:val="18"/>
          <w:u w:val="single"/>
        </w:rPr>
        <w:t xml:space="preserve">Langetermijncontracten </w:t>
      </w:r>
    </w:p>
    <w:p w:rsidRPr="003B1DAE" w:rsidR="00292825" w:rsidP="003B14FA" w:rsidRDefault="00292825" w14:paraId="576655B6" w14:textId="77777777">
      <w:pPr>
        <w:rPr>
          <w:rFonts w:eastAsia="Verdana" w:cs="Verdana"/>
        </w:rPr>
      </w:pPr>
    </w:p>
    <w:p w:rsidRPr="003B1DAE" w:rsidR="00A25164" w:rsidP="003B14FA" w:rsidRDefault="00A25164" w14:paraId="4B761995" w14:textId="2EED0F07">
      <w:pPr>
        <w:rPr>
          <w:rFonts w:eastAsia="Verdana" w:cs="Verdana"/>
          <w:szCs w:val="18"/>
        </w:rPr>
      </w:pPr>
      <w:r w:rsidRPr="003B1DAE">
        <w:rPr>
          <w:rFonts w:eastAsia="Verdana" w:cs="Verdana"/>
        </w:rPr>
        <w:t>De motie van de leden Van den Berg en Grinwis van 30 juni 2026</w:t>
      </w:r>
      <w:r w:rsidRPr="003B1DAE">
        <w:rPr>
          <w:rStyle w:val="Voetnootmarkering"/>
          <w:rFonts w:eastAsia="Verdana" w:cs="Verdana"/>
        </w:rPr>
        <w:footnoteReference w:id="57"/>
      </w:r>
      <w:r w:rsidRPr="003B1DAE">
        <w:rPr>
          <w:rFonts w:eastAsia="Verdana" w:cs="Verdana"/>
        </w:rPr>
        <w:t xml:space="preserve"> verzoekt de regering in het strategisch gasbeleid expliciet mee te nemen hoe fysieke langetermijnimportcontracten kunnen bijdragen aan de Nederlandse gasleveringszekerheid. Dit verzoek</w:t>
      </w:r>
      <w:r w:rsidRPr="003B1DAE" w:rsidDel="000F3C6B">
        <w:rPr>
          <w:rFonts w:eastAsia="Verdana" w:cs="Verdana"/>
        </w:rPr>
        <w:t xml:space="preserve"> </w:t>
      </w:r>
      <w:r w:rsidRPr="003B1DAE">
        <w:rPr>
          <w:rFonts w:eastAsia="Verdana" w:cs="Verdana"/>
        </w:rPr>
        <w:t xml:space="preserve">veronderstelt dat fysieke langetermijnimportcontracten de beschikbaarheid van aardgas kunnen versterken en dat EBN als beleidsdeelneming, indien de markt deze rol niet op zich neemt, een publieke rol zou kunnen vervullen. </w:t>
      </w:r>
    </w:p>
    <w:p w:rsidRPr="003B1DAE" w:rsidR="00A25164" w:rsidP="003B14FA" w:rsidRDefault="00A25164" w14:paraId="0CC0528E" w14:textId="77777777">
      <w:pPr>
        <w:rPr>
          <w:rFonts w:eastAsia="Verdana" w:cs="Verdana"/>
          <w:szCs w:val="18"/>
        </w:rPr>
      </w:pPr>
    </w:p>
    <w:p w:rsidRPr="003B1DAE" w:rsidR="00A25164" w:rsidP="003B14FA" w:rsidRDefault="00A25164" w14:paraId="492BDADE" w14:textId="3DCE53E1">
      <w:pPr>
        <w:rPr>
          <w:rFonts w:eastAsia="Verdana" w:cs="Verdana"/>
          <w:szCs w:val="18"/>
        </w:rPr>
      </w:pPr>
      <w:r w:rsidRPr="003B1DAE">
        <w:rPr>
          <w:rFonts w:eastAsia="Verdana" w:cs="Verdana"/>
          <w:szCs w:val="18"/>
        </w:rPr>
        <w:t xml:space="preserve">Het kabinet is, net als in voorgaande jaren, nog steeds van mening dat het verplichten van of sturen op langetermijncontracten, al dan niet via EBN, geen doelmatig instrument is dat bijdraagt aan de leveringszekerheid en betaalbaarheid in Nederland. </w:t>
      </w:r>
    </w:p>
    <w:p w:rsidRPr="003B1DAE" w:rsidR="00A25164" w:rsidP="003B14FA" w:rsidRDefault="00A25164" w14:paraId="327842DA" w14:textId="77777777">
      <w:pPr>
        <w:rPr>
          <w:rFonts w:eastAsia="Verdana" w:cs="Verdana"/>
          <w:szCs w:val="18"/>
        </w:rPr>
      </w:pPr>
    </w:p>
    <w:p w:rsidRPr="003B1DAE" w:rsidR="00A25164" w:rsidP="003B14FA" w:rsidRDefault="00A25164" w14:paraId="4AA9749E" w14:textId="77777777">
      <w:pPr>
        <w:rPr>
          <w:rFonts w:eastAsia="Verdana" w:cs="Verdana"/>
          <w:szCs w:val="18"/>
        </w:rPr>
      </w:pPr>
      <w:r w:rsidRPr="003B1DAE">
        <w:rPr>
          <w:rFonts w:eastAsia="Verdana" w:cs="Verdana"/>
        </w:rPr>
        <w:t>De afgelopen jaren is, naar aanleiding van verschillende moties en toezeggingen aan de Kamer, het onderwerp langetermijncontracten in verschillende marktsegmenten geanalyseerd. In de Kamerbrief van 23 november 2023 is het toenmalige kabinet ingegaan op de vraag of de Nederlandse consument er baat bij zou hebben als in Nederland gewonnen gas – al dan niet via langetermijncontracten – rechtstreeks zou worden verkocht aan partijen die gas leveren aan Nederlandse huishoudens.</w:t>
      </w:r>
      <w:r w:rsidRPr="003B1DAE">
        <w:rPr>
          <w:rStyle w:val="Voetnootmarkering"/>
          <w:rFonts w:eastAsia="Verdana" w:cs="Verdana"/>
        </w:rPr>
        <w:footnoteReference w:id="58"/>
      </w:r>
      <w:r w:rsidRPr="003B1DAE">
        <w:rPr>
          <w:rFonts w:eastAsia="Verdana" w:cs="Verdana"/>
        </w:rPr>
        <w:t xml:space="preserve"> Vervolgens is er in 2024 door Strategy&amp; onderzocht in hoeverre de markt wordt bediend door langetermijncontracten, of het wenselijk is dat het aandeel langetermijncontracten wordt vergroot in het belang van de leveringszekerheid en wat de rol van de overheid hierin moet zijn. De uitkomsten en appreciatie van dit onderzoek zijn op 8 mei 2024 aan de Kamer gezonden.</w:t>
      </w:r>
      <w:r w:rsidRPr="003B1DAE">
        <w:rPr>
          <w:rStyle w:val="Voetnootmarkering"/>
          <w:rFonts w:eastAsia="Verdana" w:cs="Verdana"/>
        </w:rPr>
        <w:footnoteReference w:id="59"/>
      </w:r>
      <w:r w:rsidRPr="003B1DAE">
        <w:rPr>
          <w:rFonts w:eastAsia="Verdana" w:cs="Verdana"/>
        </w:rPr>
        <w:t xml:space="preserve"> De belangrijkste bevindingen uit deze analyses gelden nog steeds en worden hierbij samengevat om invulling te geven aan de motie van de leden Van den Berg en Grinwis van 30 juni 2026.</w:t>
      </w:r>
    </w:p>
    <w:p w:rsidRPr="003B1DAE" w:rsidR="00A25164" w:rsidP="003B14FA" w:rsidRDefault="00A25164" w14:paraId="61EBBFEA" w14:textId="77777777">
      <w:pPr>
        <w:rPr>
          <w:rFonts w:eastAsia="Verdana" w:cs="Verdana"/>
          <w:szCs w:val="18"/>
        </w:rPr>
      </w:pPr>
    </w:p>
    <w:p w:rsidRPr="003B1DAE" w:rsidR="00A25164" w:rsidP="003B14FA" w:rsidRDefault="00A25164" w14:paraId="2C2E7124" w14:textId="508A11A1">
      <w:pPr>
        <w:rPr>
          <w:rFonts w:eastAsia="Verdana" w:cs="Verdana"/>
          <w:szCs w:val="18"/>
        </w:rPr>
      </w:pPr>
      <w:r w:rsidRPr="003B1DAE">
        <w:rPr>
          <w:rFonts w:eastAsia="Verdana" w:cs="Verdana"/>
        </w:rPr>
        <w:t>In de markt is reeds sprake van een significant, mogelijk zelfs toenemend, aantal langetermijncontracten.</w:t>
      </w:r>
      <w:r w:rsidRPr="003B1DAE">
        <w:rPr>
          <w:rStyle w:val="Voetnootmarkering"/>
          <w:rFonts w:eastAsia="Verdana" w:cs="Verdana"/>
        </w:rPr>
        <w:footnoteReference w:id="60"/>
      </w:r>
      <w:r w:rsidRPr="003B1DAE">
        <w:rPr>
          <w:rFonts w:eastAsia="Verdana" w:cs="Verdana"/>
        </w:rPr>
        <w:t xml:space="preserve"> Het staat marktpartijen (producenten, importeurs en/of leveranciers aan afnemers in Nederland en elders in de EU) vrij te kiezen welk type contracten zij sluiten en voor welke duur: bilateraal (bijvoorbeeld een langetermijncontract) of op de beurs (via de TTF).</w:t>
      </w:r>
      <w:r w:rsidRPr="003B1DAE">
        <w:rPr>
          <w:rStyle w:val="Voetnootmarkering"/>
          <w:rFonts w:eastAsia="Verdana" w:cs="Verdana"/>
        </w:rPr>
        <w:footnoteReference w:id="61"/>
      </w:r>
      <w:r w:rsidRPr="003B1DAE">
        <w:rPr>
          <w:rFonts w:eastAsia="Verdana" w:cs="Verdana"/>
        </w:rPr>
        <w:t xml:space="preserve"> Hierbij wegen marktpartijen bijvoorbeeld mee dat zij hun leveringsverplichtingen aan afnemers moeten kunnen nakomen en/of hun investeringen (bijvoorbeeld in productie- of importcapaciteit) moeten kunnen terugverdienen. Binnen de werking van de Europese interne markt geldt dat gas dat op deze manier</w:t>
      </w:r>
      <w:r w:rsidRPr="003B1DAE" w:rsidR="00024B60">
        <w:rPr>
          <w:rFonts w:eastAsia="Verdana" w:cs="Verdana"/>
        </w:rPr>
        <w:t xml:space="preserve"> </w:t>
      </w:r>
      <w:r w:rsidRPr="003B1DAE">
        <w:rPr>
          <w:rFonts w:eastAsia="Verdana" w:cs="Verdana"/>
        </w:rPr>
        <w:t>wordt geïmporteerd op de gasmarkt</w:t>
      </w:r>
      <w:r w:rsidRPr="003B1DAE" w:rsidR="00CA6784">
        <w:rPr>
          <w:rFonts w:eastAsia="Verdana" w:cs="Verdana"/>
        </w:rPr>
        <w:t xml:space="preserve"> kan worden doorverkocht</w:t>
      </w:r>
      <w:r w:rsidRPr="003B1DAE">
        <w:rPr>
          <w:rFonts w:eastAsia="Verdana" w:cs="Verdana"/>
        </w:rPr>
        <w:t xml:space="preserve"> ook </w:t>
      </w:r>
      <w:r w:rsidRPr="003B1DAE" w:rsidR="005A379E">
        <w:rPr>
          <w:rFonts w:eastAsia="Verdana" w:cs="Verdana"/>
        </w:rPr>
        <w:t xml:space="preserve">aan </w:t>
      </w:r>
      <w:r w:rsidRPr="003B1DAE">
        <w:rPr>
          <w:rFonts w:eastAsia="Verdana" w:cs="Verdana"/>
        </w:rPr>
        <w:t>partijen die leveren aan Nederlandse afnemers.</w:t>
      </w:r>
    </w:p>
    <w:p w:rsidRPr="003B1DAE" w:rsidR="00A25164" w:rsidP="003B14FA" w:rsidRDefault="00A25164" w14:paraId="0CB73298" w14:textId="77777777">
      <w:pPr>
        <w:rPr>
          <w:rFonts w:eastAsia="Verdana" w:cs="Verdana"/>
          <w:szCs w:val="18"/>
        </w:rPr>
      </w:pPr>
    </w:p>
    <w:p w:rsidRPr="003B1DAE" w:rsidR="00A25164" w:rsidP="003B14FA" w:rsidRDefault="00A25164" w14:paraId="6B1CB3C1" w14:textId="77777777">
      <w:pPr>
        <w:pStyle w:val="paragraph"/>
        <w:spacing w:before="0" w:beforeAutospacing="0" w:after="0" w:afterAutospacing="0" w:line="240" w:lineRule="atLeast"/>
        <w:textAlignment w:val="baseline"/>
        <w:rPr>
          <w:rStyle w:val="normaltextrun"/>
          <w:rFonts w:ascii="Verdana" w:hAnsi="Verdana" w:eastAsia="Verdana" w:cs="Verdana"/>
          <w:sz w:val="18"/>
          <w:szCs w:val="18"/>
        </w:rPr>
      </w:pPr>
      <w:r w:rsidRPr="003B1DAE">
        <w:rPr>
          <w:rStyle w:val="normaltextrun"/>
          <w:rFonts w:ascii="Verdana" w:hAnsi="Verdana" w:eastAsia="Verdana" w:cs="Verdana"/>
          <w:sz w:val="18"/>
          <w:szCs w:val="18"/>
        </w:rPr>
        <w:t xml:space="preserve">Daarbij is relevant op te merken dat langetermijncontracten als zodanig niet zorgen voor extra aanbod en ook niet in alle omstandigheden een garantie geven op daadwerkelijke fysieke levering. Zo zijn de langetermijncontracten die Duitse energiebedrijven in het verleden met Russische partijen hebben gesloten door de oorlog in Oekraïne geheel weggevallen en moesten de Duitse energiebedrijven in 2022 het gas opnieuw inkopen op de interne markt. Ook meer recent konden op de mondiale markt leveringen onder langetermijncontracten met producenten in Qatar niet doorgaan, met een beroep op overmacht, als gevolg van het conflict in het Midden-Oosten. </w:t>
      </w:r>
    </w:p>
    <w:p w:rsidRPr="003B1DAE" w:rsidR="00A25164" w:rsidP="003B14FA" w:rsidRDefault="00A25164" w14:paraId="4728D857" w14:textId="77777777">
      <w:pPr>
        <w:pStyle w:val="paragraph"/>
        <w:spacing w:before="0" w:beforeAutospacing="0" w:after="0" w:afterAutospacing="0" w:line="240" w:lineRule="atLeast"/>
        <w:textAlignment w:val="baseline"/>
        <w:rPr>
          <w:rStyle w:val="normaltextrun"/>
          <w:rFonts w:ascii="Verdana" w:hAnsi="Verdana" w:eastAsia="Verdana" w:cs="Verdana"/>
          <w:sz w:val="18"/>
          <w:szCs w:val="18"/>
        </w:rPr>
      </w:pPr>
    </w:p>
    <w:p w:rsidRPr="003B1DAE" w:rsidR="00A25164" w:rsidP="003B14FA" w:rsidRDefault="00A25164" w14:paraId="05006ABC" w14:textId="0320DD9B">
      <w:pPr>
        <w:pStyle w:val="paragraph"/>
        <w:spacing w:before="0" w:beforeAutospacing="0" w:after="0" w:afterAutospacing="0" w:line="240" w:lineRule="atLeast"/>
        <w:textAlignment w:val="baseline"/>
        <w:rPr>
          <w:rStyle w:val="normaltextrun"/>
          <w:rFonts w:ascii="Verdana" w:hAnsi="Verdana" w:eastAsia="Verdana" w:cs="Verdana"/>
          <w:sz w:val="18"/>
          <w:szCs w:val="18"/>
        </w:rPr>
      </w:pPr>
      <w:r w:rsidRPr="003B1DAE">
        <w:rPr>
          <w:rStyle w:val="normaltextrun"/>
          <w:rFonts w:ascii="Verdana" w:hAnsi="Verdana" w:eastAsia="Verdana" w:cs="Verdana"/>
          <w:sz w:val="18"/>
          <w:szCs w:val="18"/>
        </w:rPr>
        <w:t>Langetermijncontracten bieden ook geen garantie op lage prijzen. Ten eerste wordt in dergelijke contracten veelal gewerkt met een prijsformule waardoor de prijs meebeweegt met de actuele gasprijzen (en in de EU gaat het dan veelal om een combinatie van aan de TTF gekoppelde prijzen).</w:t>
      </w:r>
      <w:r w:rsidRPr="003B1DAE">
        <w:rPr>
          <w:rStyle w:val="Voetnootmarkering"/>
          <w:rFonts w:ascii="Verdana" w:hAnsi="Verdana" w:eastAsia="Verdana" w:cs="Verdana"/>
          <w:sz w:val="18"/>
          <w:szCs w:val="18"/>
        </w:rPr>
        <w:footnoteReference w:id="62"/>
      </w:r>
      <w:r w:rsidRPr="003B1DAE">
        <w:rPr>
          <w:rStyle w:val="normaltextrun"/>
          <w:rFonts w:ascii="Verdana" w:hAnsi="Verdana" w:eastAsia="Verdana" w:cs="Verdana"/>
          <w:sz w:val="18"/>
          <w:szCs w:val="18"/>
        </w:rPr>
        <w:t xml:space="preserve"> Ten tweede is niet gezegd dat gas uit een specifieke bron in prijs voordeliger is. Partijen die gas leveren aan Nederlandse afnemers kopen in voor hun hele portfolio en maken daarbij de inschatting waar zij dat op enig moment het gunstigst kunnen doen. Het is niet automatisch zo dat rechtstreekse inkoop voordeliger is en bijdraagt aan een lagere prijs voor de consument. Het is bijvoorbeeld ook goed denkbaar dat een leverancier aan Nederlandse afnemers op enig moment juist voordeliger af is </w:t>
      </w:r>
      <w:r w:rsidRPr="003B1DAE" w:rsidR="009E769F">
        <w:rPr>
          <w:rStyle w:val="normaltextrun"/>
          <w:rFonts w:ascii="Verdana" w:hAnsi="Verdana" w:eastAsia="Verdana" w:cs="Verdana"/>
          <w:sz w:val="18"/>
          <w:szCs w:val="18"/>
        </w:rPr>
        <w:t>met inkoop</w:t>
      </w:r>
      <w:r w:rsidRPr="003B1DAE">
        <w:rPr>
          <w:rStyle w:val="normaltextrun"/>
          <w:rFonts w:ascii="Verdana" w:hAnsi="Verdana" w:eastAsia="Verdana" w:cs="Verdana"/>
          <w:sz w:val="18"/>
          <w:szCs w:val="18"/>
        </w:rPr>
        <w:t xml:space="preserve"> bij een andere producent of importeur of op een gasbeurs</w:t>
      </w:r>
      <w:r w:rsidRPr="003B1DAE">
        <w:rPr>
          <w:rStyle w:val="normaltextrun"/>
          <w:rFonts w:ascii="Verdana" w:hAnsi="Verdana" w:eastAsia="Verdana" w:cs="Verdana"/>
          <w:i/>
          <w:iCs/>
          <w:sz w:val="18"/>
          <w:szCs w:val="18"/>
        </w:rPr>
        <w:t xml:space="preserve">. </w:t>
      </w:r>
      <w:r w:rsidRPr="003B1DAE">
        <w:rPr>
          <w:rStyle w:val="normaltextrun"/>
          <w:rFonts w:ascii="Verdana" w:hAnsi="Verdana" w:eastAsia="Verdana" w:cs="Verdana"/>
          <w:sz w:val="18"/>
          <w:szCs w:val="18"/>
        </w:rPr>
        <w:t>Partijen die gas leveren aan Nederlandse afnemers kopen in voor hun hele klantenportfolio, dat ook afnemers in andere landen kan bevatten, en maken daarbij de inschatting waar zij dat op enig moment het gunstigst kunnen doen.</w:t>
      </w:r>
    </w:p>
    <w:p w:rsidRPr="003B1DAE" w:rsidR="00A25164" w:rsidP="003B14FA" w:rsidRDefault="00A25164" w14:paraId="7C0B5BB3" w14:textId="77777777">
      <w:pPr>
        <w:rPr>
          <w:rFonts w:eastAsia="Verdana" w:cs="Verdana"/>
          <w:szCs w:val="18"/>
        </w:rPr>
      </w:pPr>
    </w:p>
    <w:p w:rsidRPr="003B1DAE" w:rsidR="00A25164" w:rsidP="003B14FA" w:rsidRDefault="00A25164" w14:paraId="5AC9E513" w14:textId="77777777">
      <w:pPr>
        <w:pStyle w:val="paragraph"/>
        <w:spacing w:before="0" w:beforeAutospacing="0" w:after="0" w:afterAutospacing="0" w:line="240" w:lineRule="atLeast"/>
        <w:textAlignment w:val="baseline"/>
        <w:rPr>
          <w:rFonts w:ascii="Verdana" w:hAnsi="Verdana" w:eastAsia="Verdana" w:cs="Verdana"/>
          <w:sz w:val="18"/>
          <w:szCs w:val="18"/>
        </w:rPr>
      </w:pPr>
      <w:r w:rsidRPr="003B1DAE">
        <w:rPr>
          <w:rFonts w:ascii="Verdana" w:hAnsi="Verdana" w:eastAsia="Verdana" w:cs="Verdana"/>
          <w:sz w:val="18"/>
          <w:szCs w:val="18"/>
        </w:rPr>
        <w:t xml:space="preserve">De motie verzoekt ook om in te gaan op de vraag of EBN een publieke rol zou kunnen vervullen indien de markt niet de fysieke beschikbaarheid van gas zou versterken middels langetermijncontracten. In dit verband geldt het volgende. </w:t>
      </w:r>
    </w:p>
    <w:p w:rsidRPr="003B1DAE" w:rsidR="00A25164" w:rsidP="003B14FA" w:rsidRDefault="00A25164" w14:paraId="0E65FE45" w14:textId="77777777">
      <w:pPr>
        <w:pStyle w:val="paragraph"/>
        <w:spacing w:before="0" w:beforeAutospacing="0" w:after="0" w:afterAutospacing="0" w:line="240" w:lineRule="atLeast"/>
        <w:textAlignment w:val="baseline"/>
        <w:rPr>
          <w:rFonts w:ascii="Verdana" w:hAnsi="Verdana" w:eastAsia="Verdana" w:cs="Verdana"/>
          <w:sz w:val="18"/>
          <w:szCs w:val="18"/>
        </w:rPr>
      </w:pPr>
    </w:p>
    <w:p w:rsidRPr="003B1DAE" w:rsidR="00A25164" w:rsidP="003B14FA" w:rsidRDefault="009025F6" w14:paraId="79D853E9" w14:textId="1BF7A273">
      <w:pPr>
        <w:pStyle w:val="paragraph"/>
        <w:spacing w:before="0" w:beforeAutospacing="0" w:after="0" w:afterAutospacing="0" w:line="240" w:lineRule="atLeast"/>
        <w:textAlignment w:val="baseline"/>
        <w:rPr>
          <w:rStyle w:val="normaltextrun"/>
          <w:rFonts w:ascii="Verdana" w:hAnsi="Verdana" w:eastAsia="Verdana" w:cs="Verdana"/>
          <w:sz w:val="18"/>
          <w:szCs w:val="18"/>
        </w:rPr>
      </w:pPr>
      <w:r w:rsidRPr="003B1DAE">
        <w:rPr>
          <w:rFonts w:ascii="Verdana" w:hAnsi="Verdana" w:eastAsia="Verdana" w:cs="Verdana"/>
          <w:sz w:val="18"/>
          <w:szCs w:val="18"/>
        </w:rPr>
        <w:t>EBN mag op grond van de Mijnbouwwet alleen de in die wet opgenomen taken uitvoeren.</w:t>
      </w:r>
      <w:r w:rsidRPr="003B1DAE" w:rsidR="00C23994">
        <w:rPr>
          <w:rStyle w:val="Voetnootmarkering"/>
          <w:rFonts w:ascii="Verdana" w:hAnsi="Verdana" w:eastAsia="Verdana" w:cs="Verdana"/>
          <w:sz w:val="18"/>
          <w:szCs w:val="18"/>
        </w:rPr>
        <w:footnoteReference w:id="63"/>
      </w:r>
      <w:r w:rsidRPr="003B1DAE">
        <w:rPr>
          <w:rFonts w:ascii="Verdana" w:hAnsi="Verdana" w:eastAsia="Verdana" w:cs="Verdana"/>
          <w:sz w:val="18"/>
          <w:szCs w:val="18"/>
        </w:rPr>
        <w:t xml:space="preserve"> Voor andere activiteiten is instemming door de Minister van Klimaat en Groene Groei vereist. Indien ingestemd zou worden met deze activiteit gelden de volgende eisen en beperkingen. </w:t>
      </w:r>
      <w:r w:rsidRPr="003B1DAE" w:rsidR="00A25164">
        <w:rPr>
          <w:rFonts w:ascii="Verdana" w:hAnsi="Verdana" w:eastAsia="Verdana" w:cs="Verdana"/>
          <w:sz w:val="18"/>
          <w:szCs w:val="18"/>
        </w:rPr>
        <w:t xml:space="preserve">EBN opereert, bij het inkopen op de groothandelsmarkt, als marktpartij voor wie dezelfde wettelijke interne marktregels gelden als voor andere marktpartijen. Er moet dus </w:t>
      </w:r>
      <w:r w:rsidRPr="003B1DAE" w:rsidR="00A25164">
        <w:rPr>
          <w:rStyle w:val="normaltextrun"/>
          <w:rFonts w:ascii="Verdana" w:hAnsi="Verdana" w:eastAsia="Verdana" w:cs="Verdana"/>
          <w:sz w:val="18"/>
          <w:szCs w:val="18"/>
        </w:rPr>
        <w:t>sprake zijn van marktconforme (prijs)afspraken conform de mededingingsregels. EBN heeft zelf geen afnemers of klanten: EBN is immers geen leverancier. Dit betekent dat het gas dat zij op basis van een langetermijnimportcontract zou inkopen, bilateraal of op de TTF weer wordt verkocht aan partijen (leveranciers) op de Europese interne markt. Hierbij geldt</w:t>
      </w:r>
      <w:r w:rsidRPr="003B1DAE" w:rsidDel="00BF32A8" w:rsidR="00A25164">
        <w:rPr>
          <w:rStyle w:val="normaltextrun"/>
          <w:rFonts w:ascii="Verdana" w:hAnsi="Verdana" w:eastAsia="Verdana" w:cs="Verdana"/>
          <w:sz w:val="18"/>
          <w:szCs w:val="18"/>
        </w:rPr>
        <w:t xml:space="preserve"> </w:t>
      </w:r>
      <w:r w:rsidRPr="003B1DAE" w:rsidR="00A25164">
        <w:rPr>
          <w:rStyle w:val="normaltextrun"/>
          <w:rFonts w:ascii="Verdana" w:hAnsi="Verdana" w:eastAsia="Verdana" w:cs="Verdana"/>
          <w:sz w:val="18"/>
          <w:szCs w:val="18"/>
        </w:rPr>
        <w:t>dat het EBN niet is toegestaan om contracten te sluiten waarin is vastgelegd dat gas alleen geleverd mag worden aan Nederlandse afnemers (met uitsluiting van afnemers in andere lidstaten). Dat zou in strijd zijn met het VWEU</w:t>
      </w:r>
      <w:r w:rsidRPr="003B1DAE" w:rsidR="00A25164">
        <w:rPr>
          <w:rStyle w:val="Voetnootmarkering"/>
          <w:rFonts w:ascii="Verdana" w:hAnsi="Verdana" w:eastAsia="Verdana" w:cs="Verdana"/>
          <w:sz w:val="18"/>
          <w:szCs w:val="18"/>
        </w:rPr>
        <w:footnoteReference w:id="64"/>
      </w:r>
      <w:r w:rsidRPr="003B1DAE" w:rsidR="00A25164">
        <w:rPr>
          <w:rStyle w:val="normaltextrun"/>
          <w:rFonts w:ascii="Verdana" w:hAnsi="Verdana" w:eastAsia="Verdana" w:cs="Verdana"/>
          <w:sz w:val="18"/>
          <w:szCs w:val="18"/>
        </w:rPr>
        <w:t>, de Gasrichtlijn, de Gasverordening en de Verordening gasleveringszekerheid.</w:t>
      </w:r>
      <w:r w:rsidRPr="003B1DAE" w:rsidR="00A25164">
        <w:rPr>
          <w:rStyle w:val="Voetnootmarkering"/>
          <w:rFonts w:ascii="Verdana" w:hAnsi="Verdana" w:eastAsia="Verdana" w:cs="Verdana"/>
          <w:sz w:val="18"/>
          <w:szCs w:val="18"/>
        </w:rPr>
        <w:footnoteReference w:id="65"/>
      </w:r>
      <w:r w:rsidRPr="003B1DAE" w:rsidR="00A25164">
        <w:rPr>
          <w:rStyle w:val="Voetnootmarkering"/>
          <w:rFonts w:ascii="Verdana" w:hAnsi="Verdana" w:eastAsia="Verdana" w:cs="Verdana"/>
          <w:sz w:val="18"/>
          <w:szCs w:val="18"/>
        </w:rPr>
        <w:t xml:space="preserve"> </w:t>
      </w:r>
      <w:r w:rsidRPr="003B1DAE" w:rsidR="00A25164">
        <w:rPr>
          <w:rStyle w:val="normaltextrun"/>
          <w:rFonts w:ascii="Verdana" w:hAnsi="Verdana" w:eastAsia="Verdana" w:cs="Verdana"/>
          <w:sz w:val="18"/>
          <w:szCs w:val="18"/>
        </w:rPr>
        <w:t>Er mogen geen belemmeringen worden opgeworpen ten aanzien van het vrije verkeer van gas en de mogelijkheid om dit door te verkopen binnen de EU, bijvoorbeeld aan afnemers in buurlanden.</w:t>
      </w:r>
      <w:r w:rsidRPr="003B1DAE" w:rsidDel="00002565" w:rsidR="00A25164">
        <w:rPr>
          <w:rStyle w:val="normaltextrun"/>
          <w:rFonts w:ascii="Verdana" w:hAnsi="Verdana" w:eastAsia="Verdana" w:cs="Verdana"/>
          <w:sz w:val="18"/>
          <w:szCs w:val="18"/>
        </w:rPr>
        <w:t xml:space="preserve"> </w:t>
      </w:r>
      <w:r w:rsidRPr="003B1DAE" w:rsidR="00A25164">
        <w:rPr>
          <w:rStyle w:val="normaltextrun"/>
          <w:rFonts w:ascii="Verdana" w:hAnsi="Verdana" w:eastAsia="Verdana" w:cs="Verdana"/>
          <w:sz w:val="18"/>
          <w:szCs w:val="18"/>
        </w:rPr>
        <w:t>Dit betekent dat het gas dat EBN op basis van een langetermijncontract zou inkopen, op de interne markt beschikbaar komt voor alle Europese partijen die dat willen kopen: dit construct zou, binnen de werking van de interne markt, dus de hele EU en niet alleen Nederland dienen.</w:t>
      </w:r>
      <w:r w:rsidRPr="003B1DAE" w:rsidR="00A25164">
        <w:rPr>
          <w:rStyle w:val="Voetnootmarkering"/>
          <w:rFonts w:ascii="Verdana" w:hAnsi="Verdana" w:eastAsia="Verdana" w:cs="Verdana"/>
          <w:sz w:val="18"/>
          <w:szCs w:val="18"/>
        </w:rPr>
        <w:footnoteReference w:id="66"/>
      </w:r>
    </w:p>
    <w:p w:rsidRPr="003B1DAE" w:rsidR="00A25164" w:rsidP="003B14FA" w:rsidRDefault="00A25164" w14:paraId="7B181058" w14:textId="77777777">
      <w:pPr>
        <w:pStyle w:val="paragraph"/>
        <w:spacing w:before="0" w:beforeAutospacing="0" w:after="0" w:afterAutospacing="0" w:line="240" w:lineRule="atLeast"/>
        <w:textAlignment w:val="baseline"/>
        <w:rPr>
          <w:rStyle w:val="normaltextrun"/>
          <w:rFonts w:ascii="Verdana" w:hAnsi="Verdana" w:eastAsia="Verdana" w:cs="Verdana"/>
          <w:sz w:val="18"/>
          <w:szCs w:val="18"/>
        </w:rPr>
      </w:pPr>
    </w:p>
    <w:p w:rsidRPr="003B1DAE" w:rsidR="00A25164" w:rsidP="003B14FA" w:rsidRDefault="00A25164" w14:paraId="6538062A" w14:textId="6723A4A7">
      <w:pPr>
        <w:pStyle w:val="paragraph"/>
        <w:spacing w:before="0" w:beforeAutospacing="0" w:after="0" w:afterAutospacing="0" w:line="240" w:lineRule="atLeast"/>
        <w:textAlignment w:val="baseline"/>
        <w:rPr>
          <w:rStyle w:val="normaltextrun"/>
          <w:rFonts w:ascii="Verdana" w:hAnsi="Verdana" w:eastAsia="Verdana" w:cs="Verdana"/>
          <w:sz w:val="18"/>
          <w:szCs w:val="18"/>
        </w:rPr>
      </w:pPr>
      <w:r w:rsidRPr="003B1DAE">
        <w:rPr>
          <w:rStyle w:val="normaltextrun"/>
          <w:rFonts w:ascii="Verdana" w:hAnsi="Verdana" w:eastAsia="Verdana" w:cs="Verdana"/>
          <w:sz w:val="18"/>
          <w:szCs w:val="18"/>
        </w:rPr>
        <w:t xml:space="preserve">EBN kan het gas waarover zij beschikt, op basis van inkoop of op basis van de gaswinning in Nederland waarin EBN participeert, ook opslaan in het kader van </w:t>
      </w:r>
      <w:r w:rsidRPr="003B1DAE" w:rsidR="007927F5">
        <w:rPr>
          <w:rStyle w:val="normaltextrun"/>
          <w:rFonts w:ascii="Verdana" w:hAnsi="Verdana" w:eastAsia="Verdana" w:cs="Verdana"/>
          <w:sz w:val="18"/>
          <w:szCs w:val="18"/>
        </w:rPr>
        <w:t>de opslagactiviteiten waarvoor het instemming heeft gekregen</w:t>
      </w:r>
      <w:r w:rsidRPr="003B1DAE">
        <w:rPr>
          <w:rStyle w:val="normaltextrun"/>
          <w:rFonts w:ascii="Verdana" w:hAnsi="Verdana" w:eastAsia="Verdana" w:cs="Verdana"/>
          <w:sz w:val="18"/>
          <w:szCs w:val="18"/>
        </w:rPr>
        <w:t xml:space="preserve">. In dit verband geldt dat EBN zelf het in- en verkoopportfolio voor de </w:t>
      </w:r>
      <w:r w:rsidRPr="003B1DAE" w:rsidR="007927F5">
        <w:rPr>
          <w:rStyle w:val="normaltextrun"/>
          <w:rFonts w:ascii="Verdana" w:hAnsi="Verdana" w:eastAsia="Verdana" w:cs="Verdana"/>
          <w:sz w:val="18"/>
          <w:szCs w:val="18"/>
        </w:rPr>
        <w:t xml:space="preserve">opslagactiviteiten </w:t>
      </w:r>
      <w:r w:rsidRPr="003B1DAE">
        <w:rPr>
          <w:rStyle w:val="normaltextrun"/>
          <w:rFonts w:ascii="Verdana" w:hAnsi="Verdana" w:eastAsia="Verdana" w:cs="Verdana"/>
          <w:sz w:val="18"/>
          <w:szCs w:val="18"/>
        </w:rPr>
        <w:t xml:space="preserve">bepaalt en daarbij de meest gunstige strategie kiest. Voor de vraag of een langetermijnimportcontract binnen deze strategie past, is relevant dat het kabinet werkt aan een transitie wat betreft de sturing op vuldoelen en de inzet van EBN als vulagent (toegelicht in onderdeel C hierna). Gelet hierop ligt een langetermijnimportcontract ten behoeve van de </w:t>
      </w:r>
      <w:r w:rsidRPr="003B1DAE" w:rsidR="007927F5">
        <w:rPr>
          <w:rStyle w:val="normaltextrun"/>
          <w:rFonts w:ascii="Verdana" w:hAnsi="Verdana" w:eastAsia="Verdana" w:cs="Verdana"/>
          <w:sz w:val="18"/>
          <w:szCs w:val="18"/>
        </w:rPr>
        <w:t xml:space="preserve">opslagactiviteiten </w:t>
      </w:r>
      <w:r w:rsidRPr="003B1DAE">
        <w:rPr>
          <w:rStyle w:val="normaltextrun"/>
          <w:rFonts w:ascii="Verdana" w:hAnsi="Verdana" w:eastAsia="Verdana" w:cs="Verdana"/>
          <w:sz w:val="18"/>
          <w:szCs w:val="18"/>
        </w:rPr>
        <w:t>niet voor de hand.</w:t>
      </w:r>
    </w:p>
    <w:p w:rsidRPr="003B1DAE" w:rsidR="00A25164" w:rsidP="003B14FA" w:rsidRDefault="00A25164" w14:paraId="31515F63" w14:textId="1EA85217">
      <w:pPr>
        <w:pStyle w:val="paragraph"/>
        <w:spacing w:before="0" w:beforeAutospacing="0" w:after="0" w:afterAutospacing="0" w:line="240" w:lineRule="atLeast"/>
        <w:textAlignment w:val="baseline"/>
        <w:rPr>
          <w:rStyle w:val="normaltextrun"/>
          <w:rFonts w:ascii="Verdana" w:hAnsi="Verdana" w:eastAsia="Verdana" w:cs="Verdana"/>
          <w:sz w:val="18"/>
          <w:szCs w:val="18"/>
        </w:rPr>
      </w:pPr>
    </w:p>
    <w:p w:rsidRPr="003B1DAE" w:rsidR="00A25164" w:rsidP="003B14FA" w:rsidRDefault="00A25164" w14:paraId="19C5228C" w14:textId="06CB3ECA">
      <w:pPr>
        <w:rPr>
          <w:rFonts w:eastAsia="Verdana" w:cs="Verdana"/>
          <w:szCs w:val="18"/>
        </w:rPr>
      </w:pPr>
      <w:r w:rsidRPr="003B1DAE">
        <w:rPr>
          <w:rFonts w:eastAsia="Verdana" w:cs="Verdana"/>
          <w:szCs w:val="18"/>
        </w:rPr>
        <w:t xml:space="preserve">Ten slotte geldt dat indien EBN een langetermijn importcontract zou sluiten, het meest waarschijnlijk zou moeten gaan om een LNG-importcontract </w:t>
      </w:r>
      <w:r w:rsidRPr="003B1DAE" w:rsidR="00C67551">
        <w:rPr>
          <w:rFonts w:eastAsia="Verdana" w:cs="Verdana"/>
          <w:szCs w:val="18"/>
        </w:rPr>
        <w:t xml:space="preserve">en </w:t>
      </w:r>
      <w:r w:rsidRPr="003B1DAE">
        <w:rPr>
          <w:rFonts w:eastAsia="Verdana" w:cs="Verdana"/>
          <w:szCs w:val="18"/>
        </w:rPr>
        <w:t>niet om een contract met bijvoorbeeld een Noorse producent, omdat Noorwegen aan maximale productie zit. Een LNG-importcontract vergt afspraken met grote (fossiele) portfoliospelers die beschikken over LNG-importcapaciteit. E</w:t>
      </w:r>
      <w:r w:rsidRPr="003B1DAE" w:rsidR="004960F2">
        <w:rPr>
          <w:rFonts w:eastAsia="Verdana" w:cs="Verdana"/>
          <w:szCs w:val="18"/>
        </w:rPr>
        <w:t>e</w:t>
      </w:r>
      <w:r w:rsidRPr="003B1DAE">
        <w:rPr>
          <w:rFonts w:eastAsia="Verdana" w:cs="Verdana"/>
          <w:szCs w:val="18"/>
        </w:rPr>
        <w:t xml:space="preserve">n dergelijke langetermijnconstructie via EBN past niet bij de inzet van het kabinet, zoals toegelicht in het NPE, waarbij primair wordt ingezet aardgas met een zo laag mogelijke klimaatimpact en de afbouw van fossiele brandstoffen op de langere termijn. </w:t>
      </w:r>
    </w:p>
    <w:p w:rsidRPr="003B1DAE" w:rsidR="00A25164" w:rsidP="003B14FA" w:rsidRDefault="00A25164" w14:paraId="3ACB1692" w14:textId="77777777">
      <w:pPr>
        <w:rPr>
          <w:rFonts w:eastAsia="Verdana" w:cs="Verdana"/>
          <w:szCs w:val="18"/>
        </w:rPr>
      </w:pPr>
    </w:p>
    <w:p w:rsidRPr="003B1DAE" w:rsidR="00A25164" w:rsidP="003B14FA" w:rsidRDefault="00A25164" w14:paraId="1C2DC458" w14:textId="77777777">
      <w:pPr>
        <w:pStyle w:val="Lijstalinea"/>
        <w:numPr>
          <w:ilvl w:val="0"/>
          <w:numId w:val="16"/>
        </w:numPr>
        <w:spacing w:line="240" w:lineRule="atLeast"/>
        <w:contextualSpacing w:val="0"/>
        <w:rPr>
          <w:rFonts w:ascii="Verdana" w:hAnsi="Verdana" w:eastAsia="Verdana" w:cs="Verdana"/>
          <w:b/>
          <w:bCs/>
          <w:sz w:val="18"/>
          <w:szCs w:val="18"/>
        </w:rPr>
      </w:pPr>
      <w:r w:rsidRPr="003B1DAE">
        <w:rPr>
          <w:rFonts w:ascii="Verdana" w:hAnsi="Verdana" w:eastAsia="Verdana" w:cs="Verdana"/>
          <w:b/>
          <w:bCs/>
          <w:sz w:val="18"/>
          <w:szCs w:val="18"/>
        </w:rPr>
        <w:t>Achtergrond bij huidige beleid t.a.v. gasopslagen</w:t>
      </w:r>
    </w:p>
    <w:p w:rsidRPr="003B1DAE" w:rsidR="00A25164" w:rsidP="003B14FA" w:rsidRDefault="00A25164" w14:paraId="22D22DA0" w14:textId="77777777">
      <w:pPr>
        <w:pStyle w:val="Lijstalinea"/>
        <w:spacing w:line="240" w:lineRule="atLeast"/>
        <w:ind w:left="360"/>
        <w:contextualSpacing w:val="0"/>
        <w:rPr>
          <w:rFonts w:ascii="Verdana" w:hAnsi="Verdana" w:eastAsia="Verdana" w:cs="Verdana"/>
          <w:b/>
          <w:bCs/>
          <w:sz w:val="18"/>
          <w:szCs w:val="18"/>
        </w:rPr>
      </w:pPr>
    </w:p>
    <w:p w:rsidRPr="003B1DAE" w:rsidR="00A25164" w:rsidP="003B14FA" w:rsidRDefault="00A25164" w14:paraId="742D1BCD" w14:textId="77777777">
      <w:pPr>
        <w:rPr>
          <w:rFonts w:eastAsia="Verdana" w:cs="Verdana"/>
          <w:szCs w:val="18"/>
        </w:rPr>
      </w:pPr>
      <w:r w:rsidRPr="003B1DAE">
        <w:rPr>
          <w:rFonts w:eastAsia="Verdana" w:cs="Verdana"/>
          <w:szCs w:val="18"/>
        </w:rPr>
        <w:t>In dit onderdeel wordt toegelicht hoe een aantal aspecten van het huidige beleid ten aanzien van gasopslagen tot stand is gekomen. Dit betreft de rol van gasopslagen, de totstandkoming van de vuldoelen, de totstandkoming van de vulactiviteiten van EBN, de ervaringen uit de recente gascrises en de totstandkoming van de tijdelijke strategische opslag van 5 TWh. Deze context is relevant bij het bepalen van toekomstige inzet.</w:t>
      </w:r>
    </w:p>
    <w:p w:rsidRPr="003B1DAE" w:rsidR="00A25164" w:rsidP="003B14FA" w:rsidRDefault="00A25164" w14:paraId="01908F06" w14:textId="77777777">
      <w:pPr>
        <w:rPr>
          <w:rFonts w:eastAsia="Verdana" w:cs="Verdana"/>
          <w:szCs w:val="18"/>
        </w:rPr>
      </w:pPr>
    </w:p>
    <w:p w:rsidRPr="003B1DAE" w:rsidR="00A25164" w:rsidP="003B14FA" w:rsidRDefault="00A25164" w14:paraId="21CB7CEC" w14:textId="576BE307">
      <w:pPr>
        <w:rPr>
          <w:rFonts w:eastAsia="Verdana" w:cs="Verdana"/>
          <w:b/>
          <w:bCs/>
          <w:szCs w:val="18"/>
        </w:rPr>
      </w:pPr>
      <w:r w:rsidRPr="003B1DAE">
        <w:rPr>
          <w:rFonts w:eastAsia="Verdana" w:cs="Verdana"/>
          <w:b/>
          <w:bCs/>
          <w:szCs w:val="18"/>
        </w:rPr>
        <w:t>C.1</w:t>
      </w:r>
      <w:r w:rsidRPr="003B1DAE" w:rsidR="00D33070">
        <w:rPr>
          <w:rFonts w:eastAsia="Verdana" w:cs="Verdana"/>
          <w:b/>
          <w:bCs/>
          <w:szCs w:val="18"/>
        </w:rPr>
        <w:t>.</w:t>
      </w:r>
      <w:r w:rsidRPr="003B1DAE">
        <w:rPr>
          <w:rFonts w:eastAsia="Verdana" w:cs="Verdana"/>
          <w:b/>
          <w:bCs/>
          <w:szCs w:val="18"/>
        </w:rPr>
        <w:t xml:space="preserve"> Rol gasopslagen</w:t>
      </w:r>
    </w:p>
    <w:p w:rsidRPr="003B1DAE" w:rsidR="00A25164" w:rsidP="003B14FA" w:rsidRDefault="00A25164" w14:paraId="168435DE" w14:textId="77777777">
      <w:pPr>
        <w:rPr>
          <w:rFonts w:eastAsia="Verdana" w:cs="Verdana"/>
          <w:szCs w:val="18"/>
        </w:rPr>
      </w:pPr>
    </w:p>
    <w:p w:rsidRPr="003B1DAE" w:rsidR="00A25164" w:rsidP="003B14FA" w:rsidRDefault="00A25164" w14:paraId="6913333D" w14:textId="77777777">
      <w:pPr>
        <w:rPr>
          <w:rFonts w:eastAsia="Verdana" w:cs="Verdana"/>
          <w:szCs w:val="18"/>
        </w:rPr>
      </w:pPr>
      <w:r w:rsidRPr="003B1DAE">
        <w:rPr>
          <w:rFonts w:eastAsia="Verdana" w:cs="Verdana"/>
        </w:rPr>
        <w:t>Gasopslagen vervullen meerdere functies. Zo kan door middel van gasopslag bijvoorbeeld in de zomer gas worden opgeslagen om te voorzien in de hogere gasvraag in de winter (seizoensopslag). Ook kan er snel extra gas in het net gebracht worden als er sprake is van piekvraag, bijvoorbeeld als het koud is (pieklevering). Daarnaast is gasopslag nodig voor de dagelijkse balancering van het netwerk (‘fast cycle opslagen’). Tot slot kan gasopslag dienen als buffer om te gebruiken bij verstoringen (strategische opslag). In de Visie gasopslagen (2023) is uitgebreid stilgestaan bij de functies van gasopslag en de opslagen die aan het Nederlandse net verbonden zijn.</w:t>
      </w:r>
      <w:r w:rsidRPr="003B1DAE">
        <w:rPr>
          <w:rStyle w:val="Voetnootmarkering"/>
          <w:rFonts w:eastAsia="Verdana" w:cs="Verdana"/>
        </w:rPr>
        <w:footnoteReference w:id="67"/>
      </w:r>
      <w:r w:rsidRPr="003B1DAE">
        <w:rPr>
          <w:rFonts w:eastAsia="Verdana" w:cs="Verdana"/>
        </w:rPr>
        <w:t xml:space="preserve"> </w:t>
      </w:r>
    </w:p>
    <w:p w:rsidRPr="003B1DAE" w:rsidR="00A25164" w:rsidP="003B14FA" w:rsidRDefault="00A25164" w14:paraId="20A1AC73" w14:textId="77777777">
      <w:pPr>
        <w:rPr>
          <w:rFonts w:eastAsia="Verdana" w:cs="Verdana"/>
          <w:szCs w:val="18"/>
        </w:rPr>
      </w:pPr>
    </w:p>
    <w:p w:rsidRPr="003B1DAE" w:rsidR="00A25164" w:rsidP="003B14FA" w:rsidRDefault="00A25164" w14:paraId="75618E8B" w14:textId="21843A3C">
      <w:pPr>
        <w:rPr>
          <w:rFonts w:eastAsia="Verdana" w:cs="Verdana"/>
          <w:szCs w:val="18"/>
        </w:rPr>
      </w:pPr>
      <w:r w:rsidRPr="003B1DAE">
        <w:rPr>
          <w:rFonts w:eastAsia="Verdana" w:cs="Verdana"/>
        </w:rPr>
        <w:t xml:space="preserve">De rol van de gasopslagen is in de afgelopen jaren veranderd. Historisch gezien maakten gasopslagen Alkmaar, Grijpskerk en Norg deel uit van het Groningensysteem. Zij werden ingezet ter ondersteuning van het commerciële handelen van GasTerra, door in de winter bij hogere prijzen meer te kunnen verkopen dan in de zomer. Inmiddels vervullen deze opslagen al geruime tijd </w:t>
      </w:r>
      <w:r w:rsidRPr="003B1DAE" w:rsidR="00211B04">
        <w:rPr>
          <w:rFonts w:eastAsia="Verdana" w:cs="Verdana"/>
        </w:rPr>
        <w:t xml:space="preserve">louter </w:t>
      </w:r>
      <w:r w:rsidRPr="003B1DAE">
        <w:rPr>
          <w:rFonts w:eastAsia="Verdana" w:cs="Verdana"/>
        </w:rPr>
        <w:t>een functie als seizoensopslag.</w:t>
      </w:r>
    </w:p>
    <w:p w:rsidRPr="003B1DAE" w:rsidR="00A25164" w:rsidP="003B14FA" w:rsidRDefault="00A25164" w14:paraId="3AA65160" w14:textId="77777777">
      <w:pPr>
        <w:rPr>
          <w:rFonts w:eastAsia="Verdana" w:cs="Verdana"/>
          <w:szCs w:val="18"/>
        </w:rPr>
      </w:pPr>
    </w:p>
    <w:p w:rsidRPr="003B1DAE" w:rsidR="00A25164" w:rsidP="003B14FA" w:rsidRDefault="00A25164" w14:paraId="198C927D" w14:textId="5AB0E7BF">
      <w:pPr>
        <w:rPr>
          <w:rFonts w:eastAsia="Verdana" w:cs="Verdana"/>
          <w:szCs w:val="18"/>
        </w:rPr>
      </w:pPr>
      <w:r w:rsidRPr="003B1DAE">
        <w:rPr>
          <w:rFonts w:eastAsia="Verdana" w:cs="Verdana"/>
          <w:szCs w:val="18"/>
        </w:rPr>
        <w:t xml:space="preserve">Met name de toegenomen importcapaciteit van LNG in Europa zorgt voor meer mogelijkheden om in de winter meer LNG te leveren. Daarnaast is de vraag naar gas juist verhoogd in de zomer, o.a. door de wens om seizoensopslagen in de zomer te vullen. </w:t>
      </w:r>
      <w:r w:rsidRPr="003B1DAE" w:rsidR="007F75AE">
        <w:rPr>
          <w:rFonts w:eastAsia="Verdana" w:cs="Verdana"/>
          <w:szCs w:val="18"/>
        </w:rPr>
        <w:t xml:space="preserve">Ook </w:t>
      </w:r>
      <w:r w:rsidR="00A84CA5">
        <w:rPr>
          <w:rFonts w:eastAsia="Verdana" w:cs="Verdana"/>
          <w:szCs w:val="18"/>
        </w:rPr>
        <w:t>was</w:t>
      </w:r>
      <w:r w:rsidRPr="003B1DAE">
        <w:rPr>
          <w:rFonts w:eastAsia="Verdana" w:cs="Verdana"/>
          <w:szCs w:val="18"/>
        </w:rPr>
        <w:t xml:space="preserve"> de vraag naar gas in de winter</w:t>
      </w:r>
      <w:r w:rsidR="00A84CA5">
        <w:rPr>
          <w:rFonts w:eastAsia="Verdana" w:cs="Verdana"/>
          <w:szCs w:val="18"/>
        </w:rPr>
        <w:t xml:space="preserve"> in de afgelopen jaren lager, mogelijk door zachte winters, gebruik van </w:t>
      </w:r>
      <w:r w:rsidRPr="003B1DAE">
        <w:rPr>
          <w:rFonts w:eastAsia="Verdana" w:cs="Verdana"/>
          <w:szCs w:val="18"/>
        </w:rPr>
        <w:t xml:space="preserve">andere (duurzame) energiebronnen en energiebesparing. Figuur 1 laat zien dat de vraag naar gas inmiddels hoger is in de zomer dan in de winter. Door het hogere aanbod van gas in de winter, en de hogere vraag naar gas in de zomer zijn de gasprijzen in de winter niet altijd meer hoger dan in de zomer. Het verdienmodel van het opslaan van gas in seizoensopslagen wordt hierdoor </w:t>
      </w:r>
      <w:r w:rsidRPr="003B1DAE" w:rsidR="00B06698">
        <w:rPr>
          <w:rFonts w:eastAsia="Verdana" w:cs="Verdana"/>
          <w:szCs w:val="18"/>
        </w:rPr>
        <w:t>onderuitgehaald</w:t>
      </w:r>
      <w:r w:rsidRPr="003B1DAE" w:rsidR="005A4B30">
        <w:rPr>
          <w:rFonts w:eastAsia="Verdana" w:cs="Verdana"/>
          <w:szCs w:val="18"/>
        </w:rPr>
        <w:t>.</w:t>
      </w:r>
    </w:p>
    <w:p w:rsidRPr="003B1DAE" w:rsidR="007F75AE" w:rsidP="003B14FA" w:rsidRDefault="007F75AE" w14:paraId="2B22E6B2" w14:textId="77777777">
      <w:pPr>
        <w:rPr>
          <w:rFonts w:eastAsia="Verdana" w:cs="Verdana"/>
          <w:szCs w:val="18"/>
        </w:rPr>
      </w:pPr>
    </w:p>
    <w:p w:rsidRPr="003B1DAE" w:rsidR="007F75AE" w:rsidP="003B14FA" w:rsidRDefault="007F75AE" w14:paraId="19BFC3F4" w14:textId="158BD59E">
      <w:pPr>
        <w:rPr>
          <w:rFonts w:eastAsia="Verdana" w:cs="Verdana"/>
          <w:szCs w:val="18"/>
        </w:rPr>
      </w:pPr>
      <w:r w:rsidRPr="003B1DAE">
        <w:rPr>
          <w:rFonts w:eastAsia="Verdana" w:cs="Verdana"/>
          <w:szCs w:val="18"/>
        </w:rPr>
        <w:t xml:space="preserve">Ten aanzien van leveringszekerheid zorgt marktwerking </w:t>
      </w:r>
      <w:r w:rsidRPr="003B1DAE" w:rsidR="00C117C7">
        <w:rPr>
          <w:rFonts w:eastAsia="Verdana" w:cs="Verdana"/>
          <w:szCs w:val="18"/>
        </w:rPr>
        <w:t>in combinatie met</w:t>
      </w:r>
      <w:r w:rsidRPr="003B1DAE">
        <w:rPr>
          <w:rFonts w:eastAsia="Verdana" w:cs="Verdana"/>
          <w:szCs w:val="18"/>
        </w:rPr>
        <w:t xml:space="preserve"> contractuele leveringsverplichtingen ervoor dat leveranciers voldoende gas opslaan om onder normale omstandigheden aan de wintervraag te kunnen voldoen. Een leverancier kan kiezen om gas op te slaan in een gasopslag om de verwachte (winter)vraag van haar afnemers te dekken, maar kan er ook voor kiezen om dit af te dekken met andere bronnen, zoals productie, import</w:t>
      </w:r>
      <w:r w:rsidRPr="003B1DAE" w:rsidR="00BE11BF">
        <w:rPr>
          <w:rFonts w:eastAsia="Verdana" w:cs="Verdana"/>
          <w:szCs w:val="18"/>
        </w:rPr>
        <w:t xml:space="preserve"> (van</w:t>
      </w:r>
      <w:r w:rsidRPr="003B1DAE" w:rsidR="00EB715F">
        <w:rPr>
          <w:rFonts w:eastAsia="Verdana" w:cs="Verdana"/>
          <w:szCs w:val="18"/>
        </w:rPr>
        <w:t xml:space="preserve"> </w:t>
      </w:r>
      <w:r w:rsidRPr="003B1DAE">
        <w:rPr>
          <w:rFonts w:eastAsia="Verdana" w:cs="Verdana"/>
          <w:szCs w:val="18"/>
        </w:rPr>
        <w:t>LNG</w:t>
      </w:r>
      <w:r w:rsidRPr="003B1DAE" w:rsidR="00BE11BF">
        <w:rPr>
          <w:rFonts w:eastAsia="Verdana" w:cs="Verdana"/>
          <w:szCs w:val="18"/>
        </w:rPr>
        <w:t>)</w:t>
      </w:r>
      <w:r w:rsidRPr="003B1DAE">
        <w:rPr>
          <w:rFonts w:eastAsia="Verdana" w:cs="Verdana"/>
          <w:szCs w:val="18"/>
        </w:rPr>
        <w:t xml:space="preserve"> of gas kopen op de (spot)markt. Door de toenemende beschikbaarheid van LNG in de winter heeft een leverancier meerdere opties om in de wintervraag van zijn afnemers te voorzien.</w:t>
      </w:r>
    </w:p>
    <w:p w:rsidRPr="003B1DAE" w:rsidR="00A25164" w:rsidP="003B14FA" w:rsidRDefault="00A25164" w14:paraId="40DC8B3E" w14:textId="77777777">
      <w:pPr>
        <w:rPr>
          <w:rFonts w:eastAsia="Verdana" w:cs="Verdana"/>
          <w:szCs w:val="18"/>
        </w:rPr>
      </w:pPr>
    </w:p>
    <w:p w:rsidRPr="003B1DAE" w:rsidR="00A25164" w:rsidP="003B14FA" w:rsidRDefault="00A25164" w14:paraId="67D6AE73" w14:textId="77777777">
      <w:pPr>
        <w:rPr>
          <w:rFonts w:eastAsia="Verdana" w:cs="Verdana"/>
          <w:szCs w:val="18"/>
        </w:rPr>
      </w:pPr>
      <w:r w:rsidRPr="003B1DAE">
        <w:rPr>
          <w:b/>
          <w:bCs/>
          <w:noProof/>
          <w:szCs w:val="18"/>
        </w:rPr>
        <w:drawing>
          <wp:anchor distT="0" distB="0" distL="114300" distR="114300" simplePos="0" relativeHeight="251658240" behindDoc="0" locked="0" layoutInCell="1" allowOverlap="1" wp14:editId="17CE224F" wp14:anchorId="0C914EEA">
            <wp:simplePos x="0" y="0"/>
            <wp:positionH relativeFrom="column">
              <wp:posOffset>-31741</wp:posOffset>
            </wp:positionH>
            <wp:positionV relativeFrom="paragraph">
              <wp:posOffset>526680</wp:posOffset>
            </wp:positionV>
            <wp:extent cx="5760720" cy="2729865"/>
            <wp:effectExtent l="0" t="0" r="0" b="0"/>
            <wp:wrapTopAndBottom/>
            <wp:docPr id="21365737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8125" name=""/>
                    <pic:cNvPicPr/>
                  </pic:nvPicPr>
                  <pic:blipFill>
                    <a:blip r:embed="rId8">
                      <a:extLst>
                        <a:ext uri="{28A0092B-C50C-407E-A947-70E740481C1C}">
                          <a14:useLocalDpi xmlns:a14="http://schemas.microsoft.com/office/drawing/2010/main" val="0"/>
                        </a:ext>
                      </a:extLst>
                    </a:blip>
                    <a:stretch>
                      <a:fillRect/>
                    </a:stretch>
                  </pic:blipFill>
                  <pic:spPr>
                    <a:xfrm>
                      <a:off x="0" y="0"/>
                      <a:ext cx="5760720" cy="2729865"/>
                    </a:xfrm>
                    <a:prstGeom prst="rect">
                      <a:avLst/>
                    </a:prstGeom>
                  </pic:spPr>
                </pic:pic>
              </a:graphicData>
            </a:graphic>
          </wp:anchor>
        </w:drawing>
      </w:r>
      <w:r w:rsidRPr="003B1DAE">
        <w:rPr>
          <w:rFonts w:eastAsia="Verdana" w:cs="Verdana"/>
          <w:b/>
          <w:bCs/>
          <w:szCs w:val="18"/>
        </w:rPr>
        <w:t>Figuur 1:</w:t>
      </w:r>
      <w:r w:rsidRPr="003B1DAE">
        <w:rPr>
          <w:rFonts w:eastAsia="Verdana" w:cs="Verdana"/>
          <w:szCs w:val="18"/>
        </w:rPr>
        <w:t xml:space="preserve"> </w:t>
      </w:r>
      <w:r w:rsidRPr="003B1DAE">
        <w:rPr>
          <w:rFonts w:eastAsia="Verdana" w:cs="Verdana"/>
          <w:i/>
          <w:iCs/>
          <w:szCs w:val="18"/>
        </w:rPr>
        <w:t>Wintervraag ten opzichte van zomervraag naar gas (na inzet bergingen), gerealiseerd en projectie. Bron: JMP Energy Insights – Gasbergingen in Nederland</w:t>
      </w:r>
    </w:p>
    <w:p w:rsidRPr="003B1DAE" w:rsidR="00A25164" w:rsidP="003B14FA" w:rsidRDefault="00A25164" w14:paraId="31EF6551" w14:textId="77777777">
      <w:pPr>
        <w:rPr>
          <w:rFonts w:eastAsia="Verdana" w:cs="Verdana"/>
          <w:szCs w:val="18"/>
        </w:rPr>
      </w:pPr>
    </w:p>
    <w:p w:rsidRPr="003B1DAE" w:rsidR="00A25164" w:rsidP="003B14FA" w:rsidRDefault="00C439FD" w14:paraId="76C4726C" w14:textId="6E038E92">
      <w:pPr>
        <w:rPr>
          <w:rFonts w:eastAsia="Verdana" w:cs="Verdana"/>
          <w:szCs w:val="18"/>
        </w:rPr>
      </w:pPr>
      <w:r w:rsidRPr="003B1DAE">
        <w:rPr>
          <w:rFonts w:eastAsia="Verdana" w:cs="Verdana"/>
        </w:rPr>
        <w:t>Het l</w:t>
      </w:r>
      <w:r w:rsidRPr="003B1DAE" w:rsidR="00A25164">
        <w:rPr>
          <w:rFonts w:eastAsia="Verdana" w:cs="Verdana"/>
        </w:rPr>
        <w:t xml:space="preserve">id Bontenbal </w:t>
      </w:r>
      <w:r w:rsidRPr="003B1DAE">
        <w:rPr>
          <w:rFonts w:eastAsia="Verdana" w:cs="Verdana"/>
        </w:rPr>
        <w:t xml:space="preserve">(CDA) </w:t>
      </w:r>
      <w:r w:rsidRPr="003B1DAE" w:rsidR="00A25164">
        <w:rPr>
          <w:rFonts w:eastAsia="Verdana" w:cs="Verdana"/>
        </w:rPr>
        <w:t>vroeg of het verstandig is om commerciële bergingen in publiek bezit te brengen, wegens zorgen om leveringszekerheid. Het kabinet heeft toegezegd deze vraag in deze brief te beantwoorden. Het kabinet heeft in eerdere brieven</w:t>
      </w:r>
      <w:r w:rsidRPr="003B1DAE" w:rsidR="00A25164">
        <w:rPr>
          <w:rStyle w:val="Voetnootmarkering"/>
          <w:rFonts w:eastAsia="Verdana" w:cs="Verdana"/>
        </w:rPr>
        <w:footnoteReference w:id="68"/>
      </w:r>
      <w:r w:rsidRPr="003B1DAE" w:rsidR="00A25164">
        <w:rPr>
          <w:rFonts w:eastAsia="Verdana" w:cs="Verdana"/>
        </w:rPr>
        <w:t xml:space="preserve"> verkend wat de meerwaarde voor gasleveringszekerheid is van het in publieke handen brengen van het eigendom of het beheer van gasopslagen. Op dit moment heeft EBN in de gasopslagen</w:t>
      </w:r>
      <w:r w:rsidRPr="003B1DAE" w:rsidR="007927F5">
        <w:rPr>
          <w:rFonts w:eastAsia="Verdana" w:cs="Verdana"/>
        </w:rPr>
        <w:t xml:space="preserve"> </w:t>
      </w:r>
      <w:r w:rsidRPr="003B1DAE" w:rsidR="00A25164">
        <w:rPr>
          <w:rFonts w:eastAsia="Verdana" w:cs="Verdana"/>
        </w:rPr>
        <w:t>Alkmaar</w:t>
      </w:r>
      <w:r w:rsidRPr="003B1DAE" w:rsidR="004E7EFF">
        <w:rPr>
          <w:rFonts w:eastAsia="Verdana" w:cs="Verdana"/>
        </w:rPr>
        <w:t xml:space="preserve"> </w:t>
      </w:r>
      <w:r w:rsidRPr="003B1DAE" w:rsidR="00A25164">
        <w:rPr>
          <w:rFonts w:eastAsia="Verdana" w:cs="Verdana"/>
        </w:rPr>
        <w:t xml:space="preserve">en Bergermeer een belang van 40%. </w:t>
      </w:r>
      <w:r w:rsidRPr="003B1DAE" w:rsidR="007927F5">
        <w:rPr>
          <w:rFonts w:eastAsia="Verdana" w:cs="Verdana"/>
        </w:rPr>
        <w:t xml:space="preserve">Daarnaast deelt EBN op grond van de afspraken in het gasgebouw mee in de kosten en baten van de gasopslagen Norg en Grijpskerk. </w:t>
      </w:r>
      <w:r w:rsidRPr="003B1DAE" w:rsidR="00A25164">
        <w:rPr>
          <w:rFonts w:eastAsia="Verdana" w:cs="Verdana"/>
        </w:rPr>
        <w:t>Het kabinet was in eerdere beantwoording en is nog steeds van mening dat een groter aandeel in het eigendom van een gasopslag onvoldoende bijdraagt aan het realiseren van een voldoende vulling van de opslag.</w:t>
      </w:r>
      <w:r w:rsidRPr="003B1DAE" w:rsidR="0028505D">
        <w:rPr>
          <w:rFonts w:eastAsia="Verdana" w:cs="Verdana"/>
        </w:rPr>
        <w:t xml:space="preserve"> </w:t>
      </w:r>
      <w:r w:rsidRPr="003B1DAE" w:rsidR="00710E4B">
        <w:rPr>
          <w:rFonts w:eastAsia="Verdana" w:cs="Verdana"/>
        </w:rPr>
        <w:t xml:space="preserve">Eigendom van een gasberging </w:t>
      </w:r>
      <w:r w:rsidRPr="003B1DAE" w:rsidR="00B35FFB">
        <w:rPr>
          <w:rFonts w:eastAsia="Verdana" w:cs="Verdana"/>
        </w:rPr>
        <w:t>draagt</w:t>
      </w:r>
      <w:r w:rsidRPr="003B1DAE" w:rsidR="00710E4B">
        <w:rPr>
          <w:rFonts w:eastAsia="Verdana" w:cs="Verdana"/>
        </w:rPr>
        <w:t xml:space="preserve"> </w:t>
      </w:r>
      <w:r w:rsidRPr="003B1DAE" w:rsidR="00854A3C">
        <w:rPr>
          <w:rFonts w:eastAsia="Verdana" w:cs="Verdana"/>
        </w:rPr>
        <w:t xml:space="preserve">namelijk </w:t>
      </w:r>
      <w:r w:rsidRPr="003B1DAE" w:rsidR="009C48A9">
        <w:rPr>
          <w:rFonts w:eastAsia="Verdana" w:cs="Verdana"/>
        </w:rPr>
        <w:t xml:space="preserve">op zichzelf </w:t>
      </w:r>
      <w:r w:rsidRPr="003B1DAE" w:rsidR="00710E4B">
        <w:rPr>
          <w:rFonts w:eastAsia="Verdana" w:cs="Verdana"/>
        </w:rPr>
        <w:t xml:space="preserve">niet </w:t>
      </w:r>
      <w:r w:rsidRPr="003B1DAE" w:rsidR="00B35FFB">
        <w:rPr>
          <w:rFonts w:eastAsia="Verdana" w:cs="Verdana"/>
        </w:rPr>
        <w:t xml:space="preserve">bij </w:t>
      </w:r>
      <w:r w:rsidRPr="003B1DAE" w:rsidR="00924FD8">
        <w:rPr>
          <w:rFonts w:eastAsia="Verdana" w:cs="Verdana"/>
        </w:rPr>
        <w:t>aan de vulling ervan</w:t>
      </w:r>
      <w:r w:rsidRPr="003B1DAE" w:rsidR="00710E4B">
        <w:rPr>
          <w:rFonts w:eastAsia="Verdana" w:cs="Verdana"/>
        </w:rPr>
        <w:t xml:space="preserve">. Vulling is doelmatiger te sturen via </w:t>
      </w:r>
      <w:r w:rsidRPr="003B1DAE" w:rsidR="004D4134">
        <w:rPr>
          <w:rFonts w:eastAsia="Verdana" w:cs="Verdana"/>
        </w:rPr>
        <w:t>andere maatregelen</w:t>
      </w:r>
      <w:r w:rsidRPr="003B1DAE" w:rsidR="00D329F7">
        <w:rPr>
          <w:rFonts w:eastAsia="Verdana" w:cs="Verdana"/>
        </w:rPr>
        <w:t>, zoals toegang tot de gasopslagen voor derden,</w:t>
      </w:r>
      <w:r w:rsidRPr="003B1DAE" w:rsidR="004D3275">
        <w:rPr>
          <w:rFonts w:eastAsia="Verdana" w:cs="Verdana"/>
        </w:rPr>
        <w:t xml:space="preserve"> en </w:t>
      </w:r>
      <w:r w:rsidRPr="003B1DAE" w:rsidR="00710E4B">
        <w:rPr>
          <w:rFonts w:eastAsia="Verdana" w:cs="Verdana"/>
        </w:rPr>
        <w:t>eigendom</w:t>
      </w:r>
      <w:r w:rsidRPr="003B1DAE" w:rsidR="009C48A9">
        <w:rPr>
          <w:rFonts w:eastAsia="Verdana" w:cs="Verdana"/>
        </w:rPr>
        <w:t xml:space="preserve"> vormt daarvo</w:t>
      </w:r>
      <w:r w:rsidRPr="003B1DAE" w:rsidR="00924FD8">
        <w:rPr>
          <w:rFonts w:eastAsia="Verdana" w:cs="Verdana"/>
        </w:rPr>
        <w:t>o</w:t>
      </w:r>
      <w:r w:rsidRPr="003B1DAE" w:rsidR="009C48A9">
        <w:rPr>
          <w:rFonts w:eastAsia="Verdana" w:cs="Verdana"/>
        </w:rPr>
        <w:t>r</w:t>
      </w:r>
      <w:r w:rsidRPr="003B1DAE" w:rsidR="00710E4B">
        <w:rPr>
          <w:rFonts w:eastAsia="Verdana" w:cs="Verdana"/>
        </w:rPr>
        <w:t xml:space="preserve"> geen randvoorwaarde.</w:t>
      </w:r>
      <w:r w:rsidRPr="003B1DAE" w:rsidR="00A25164">
        <w:rPr>
          <w:rFonts w:eastAsia="Verdana" w:cs="Verdana"/>
        </w:rPr>
        <w:t xml:space="preserve"> In</w:t>
      </w:r>
      <w:r w:rsidRPr="0054295C" w:rsidR="00A25164">
        <w:rPr>
          <w:rFonts w:eastAsia="Verdana" w:cs="Verdana"/>
        </w:rPr>
        <w:t xml:space="preserve"> 2022 is</w:t>
      </w:r>
      <w:r w:rsidRPr="003B1DAE" w:rsidR="002546B7">
        <w:rPr>
          <w:rFonts w:eastAsia="Verdana" w:cs="Verdana"/>
        </w:rPr>
        <w:t xml:space="preserve"> (omdat de belangen van TAQA in Bergermeer destijds te koop stonden)</w:t>
      </w:r>
      <w:r w:rsidRPr="003B1DAE" w:rsidR="00A25164">
        <w:rPr>
          <w:rFonts w:eastAsia="Verdana" w:cs="Verdana"/>
        </w:rPr>
        <w:t xml:space="preserve"> ook gekeken naar vergroting van het aandeel van EBN in het eigendom van de gasopslag Bergermeer. </w:t>
      </w:r>
      <w:r w:rsidRPr="003B1DAE" w:rsidR="002546B7">
        <w:rPr>
          <w:rFonts w:eastAsia="Verdana" w:cs="Verdana"/>
        </w:rPr>
        <w:t xml:space="preserve">Dit is, mede in het licht van de crisis destijds, zeer zorgvuldig beoordeeld. De kamer is hierover meermaals </w:t>
      </w:r>
      <w:r w:rsidRPr="003B1DAE" w:rsidR="00F3347F">
        <w:rPr>
          <w:rFonts w:eastAsia="Verdana" w:cs="Verdana"/>
        </w:rPr>
        <w:t>geïnformeerd</w:t>
      </w:r>
      <w:r w:rsidRPr="003B1DAE" w:rsidR="007A1B9A">
        <w:rPr>
          <w:rFonts w:eastAsia="Verdana" w:cs="Verdana"/>
        </w:rPr>
        <w:t>.</w:t>
      </w:r>
      <w:r w:rsidRPr="003B1DAE" w:rsidR="002546B7">
        <w:rPr>
          <w:rStyle w:val="Voetnootmarkering"/>
          <w:rFonts w:eastAsia="Verdana" w:cs="Verdana"/>
        </w:rPr>
        <w:footnoteReference w:id="69"/>
      </w:r>
      <w:r w:rsidRPr="003B1DAE" w:rsidR="002546B7">
        <w:rPr>
          <w:rFonts w:eastAsia="Verdana" w:cs="Verdana"/>
        </w:rPr>
        <w:t xml:space="preserve"> </w:t>
      </w:r>
      <w:r w:rsidRPr="003B1DAE" w:rsidR="00A25164">
        <w:rPr>
          <w:rFonts w:eastAsia="Verdana" w:cs="Verdana"/>
        </w:rPr>
        <w:t>Omdat dit, na nadere analyse, onvoldoende toegevoegde waarde had voor vulling van de opslag in de winter van ’22/23 is hiervan afgezien.</w:t>
      </w:r>
    </w:p>
    <w:p w:rsidRPr="003B1DAE" w:rsidR="00A25164" w:rsidP="003B14FA" w:rsidRDefault="00A25164" w14:paraId="69669B3C" w14:textId="77777777">
      <w:pPr>
        <w:rPr>
          <w:rFonts w:eastAsia="Verdana" w:cs="Verdana"/>
          <w:szCs w:val="18"/>
        </w:rPr>
      </w:pPr>
    </w:p>
    <w:p w:rsidRPr="003B1DAE" w:rsidR="00A25164" w:rsidP="003B14FA" w:rsidRDefault="00A25164" w14:paraId="205E2C55" w14:textId="3846D9AD">
      <w:pPr>
        <w:rPr>
          <w:rFonts w:eastAsia="Verdana" w:cs="Verdana"/>
          <w:b/>
          <w:bCs/>
          <w:szCs w:val="18"/>
        </w:rPr>
      </w:pPr>
      <w:r w:rsidRPr="003B1DAE">
        <w:rPr>
          <w:rFonts w:eastAsia="Verdana" w:cs="Verdana"/>
          <w:b/>
          <w:bCs/>
          <w:szCs w:val="18"/>
        </w:rPr>
        <w:t>C.2</w:t>
      </w:r>
      <w:r w:rsidRPr="003B1DAE" w:rsidR="00D33070">
        <w:rPr>
          <w:rFonts w:eastAsia="Verdana" w:cs="Verdana"/>
          <w:b/>
          <w:bCs/>
          <w:szCs w:val="18"/>
        </w:rPr>
        <w:t>.</w:t>
      </w:r>
      <w:r w:rsidRPr="003B1DAE">
        <w:rPr>
          <w:rFonts w:eastAsia="Verdana" w:cs="Verdana"/>
          <w:b/>
          <w:bCs/>
          <w:szCs w:val="18"/>
        </w:rPr>
        <w:t xml:space="preserve"> Totstandkoming vuldoelen</w:t>
      </w:r>
    </w:p>
    <w:p w:rsidRPr="003B1DAE" w:rsidR="00A25164" w:rsidP="003B14FA" w:rsidRDefault="00A25164" w14:paraId="57D7830F" w14:textId="77777777">
      <w:pPr>
        <w:rPr>
          <w:rFonts w:eastAsia="Verdana" w:cs="Verdana"/>
          <w:b/>
          <w:bCs/>
          <w:szCs w:val="18"/>
        </w:rPr>
      </w:pPr>
    </w:p>
    <w:p w:rsidRPr="003B1DAE" w:rsidR="00A25164" w:rsidP="003B14FA" w:rsidRDefault="00A25164" w14:paraId="01CBA98C" w14:textId="6A8E38D1">
      <w:pPr>
        <w:rPr>
          <w:rFonts w:eastAsia="Verdana" w:cs="Verdana"/>
          <w:b/>
          <w:szCs w:val="18"/>
        </w:rPr>
      </w:pPr>
      <w:r w:rsidRPr="003B1DAE">
        <w:rPr>
          <w:rFonts w:eastAsia="Verdana" w:cs="Verdana"/>
        </w:rPr>
        <w:t>Sinds de gascrisis van 2022 heeft het kabinet jaarlijks een vuldoel (tot 2025 werd dit vulambitie genoemd) vastgesteld voor de start van de winter. Dit nationale vuldoel kwam voort n.a.v. de introductie van Europese vuldoelen. Met de Europese vuldoelen wordt beoogd gaslevering tijdens de winter veilig te stellen, maar ook om voorbereid te zijn op uitval van een leveringsbron zoals bijvoorbeeld de verstoring van de gaslevering vanuit Rusland. In de nationale doorvertaling van de Europese vuldoelen, met de nationale vulambities en -doelen die het kabinet sinds 2022 heeft geformuleerd, is eveneens beoogd voorbereid te zijn op een zeer koude winter en op een eventuele uitval van een leveringsbron onder verschillende omstandigheden</w:t>
      </w:r>
      <w:r w:rsidRPr="003B1DAE" w:rsidR="00990DF0">
        <w:rPr>
          <w:rFonts w:eastAsia="Verdana" w:cs="Verdana"/>
        </w:rPr>
        <w:t>.</w:t>
      </w:r>
      <w:r w:rsidRPr="003B1DAE" w:rsidR="00FA09DA">
        <w:rPr>
          <w:rStyle w:val="Voetnootmarkering"/>
          <w:rFonts w:eastAsia="Verdana" w:cs="Verdana"/>
        </w:rPr>
        <w:footnoteReference w:id="70"/>
      </w:r>
      <w:r w:rsidRPr="003B1DAE">
        <w:rPr>
          <w:rFonts w:eastAsia="Verdana" w:cs="Verdana"/>
        </w:rPr>
        <w:t xml:space="preserve"> Voor het nationale vuldoel baseert het kabinet zich op het jaarlijkse overzicht leveringszekerheid van GTS</w:t>
      </w:r>
      <w:r w:rsidRPr="003B1DAE" w:rsidR="00990DF0">
        <w:rPr>
          <w:rFonts w:eastAsia="Verdana" w:cs="Verdana"/>
        </w:rPr>
        <w:t>.</w:t>
      </w:r>
      <w:r w:rsidRPr="003B1DAE">
        <w:rPr>
          <w:rStyle w:val="Voetnootmarkering"/>
          <w:rFonts w:eastAsia="Verdana" w:cs="Verdana"/>
        </w:rPr>
        <w:footnoteReference w:id="71"/>
      </w:r>
      <w:r w:rsidRPr="003B1DAE">
        <w:rPr>
          <w:rFonts w:eastAsia="Verdana" w:cs="Verdana"/>
        </w:rPr>
        <w:t xml:space="preserve"> GTS volgt de voorschriften uit de Energiewet en de Energieregeling waarin onder meer is voorgeschreven dat GTS toetst aan de Europese infrastructuurnorm</w:t>
      </w:r>
      <w:r w:rsidRPr="003B1DAE">
        <w:rPr>
          <w:rStyle w:val="Voetnootmarkering"/>
          <w:rFonts w:eastAsia="Verdana" w:cs="Verdana"/>
        </w:rPr>
        <w:footnoteReference w:id="72"/>
      </w:r>
      <w:r w:rsidRPr="003B1DAE">
        <w:rPr>
          <w:rFonts w:eastAsia="Verdana" w:cs="Verdana"/>
        </w:rPr>
        <w:t>, de Europese gasleveringsnorm</w:t>
      </w:r>
      <w:r w:rsidRPr="003B1DAE">
        <w:rPr>
          <w:rStyle w:val="Voetnootmarkering"/>
          <w:rFonts w:eastAsia="Verdana" w:cs="Verdana"/>
        </w:rPr>
        <w:footnoteReference w:id="73"/>
      </w:r>
      <w:r w:rsidRPr="003B1DAE">
        <w:rPr>
          <w:rFonts w:eastAsia="Verdana" w:cs="Verdana"/>
        </w:rPr>
        <w:t xml:space="preserve"> en het volume dat nodig is om Nederlandse afnemers en de gasvraag vanuit Nederland naar het buitenland te voorzien van voldoende aanbod van gas in het koudste jaar op basis van de temperatuurprofielen van de afgelopen twintig jaar</w:t>
      </w:r>
      <w:r w:rsidRPr="003B1DAE" w:rsidR="00EB5980">
        <w:rPr>
          <w:rFonts w:eastAsia="Verdana" w:cs="Verdana"/>
        </w:rPr>
        <w:t xml:space="preserve"> (voor gasjaar 2026/2027 wordt nog gekeken naar het koudste jaar op basis van de temperatuurprofielen van de afgelopen dertig jaar)</w:t>
      </w:r>
      <w:r w:rsidRPr="003B1DAE">
        <w:rPr>
          <w:rFonts w:eastAsia="Verdana" w:cs="Verdana"/>
        </w:rPr>
        <w:t xml:space="preserve">. Daarnaast wordt door GTS aangenomen dat de LNG-terminals in Europa geen extra gas leveren in de winter (wat zij doorgaans wel kunnen) en dat de vraag uit buurlanden constant blijft. Marktdynamiek wordt niet meegenomen, zodat niet wordt gekeken naar een afname van de vraag in situaties met hoge prijzen (prijselasticiteit). Het vuldoel ligt daardoor hoger dan wat leveranciers zelf nodig denken te hebben aan opgeslagen gas om aan de vraag van hun klanten te kunnen voldoen en hoger dan wat daadwerkelijk gebruikt wordt. Bijvoorbeeld, het doel voor 1 november 2026 is op 115 TWh vastgesteld ten opzichte van het gemiddelde gebruik van 71 TWh in voorgaande jaren. </w:t>
      </w:r>
    </w:p>
    <w:p w:rsidRPr="003B1DAE" w:rsidR="00A25164" w:rsidP="003B14FA" w:rsidRDefault="00A25164" w14:paraId="545D5ED1" w14:textId="77777777">
      <w:pPr>
        <w:rPr>
          <w:rFonts w:eastAsia="Verdana" w:cs="Verdana"/>
          <w:szCs w:val="18"/>
        </w:rPr>
      </w:pPr>
    </w:p>
    <w:p w:rsidRPr="003B1DAE" w:rsidR="00A25164" w:rsidP="003B14FA" w:rsidRDefault="00A25164" w14:paraId="1D0B61CD" w14:textId="6D26A2EF">
      <w:pPr>
        <w:rPr>
          <w:rFonts w:eastAsia="Verdana" w:cs="Verdana"/>
          <w:szCs w:val="18"/>
        </w:rPr>
      </w:pPr>
      <w:r w:rsidRPr="003B1DAE">
        <w:rPr>
          <w:rFonts w:eastAsia="Verdana" w:cs="Verdana"/>
        </w:rPr>
        <w:t xml:space="preserve">De Europese vuldoelen zijn tijdelijk en gelden momenteel tot en met 31 december 2027. Bij de aankomende herziening van de </w:t>
      </w:r>
      <w:r w:rsidRPr="003B1DAE" w:rsidR="009025F6">
        <w:rPr>
          <w:rFonts w:eastAsia="Verdana" w:cs="Verdana"/>
        </w:rPr>
        <w:t>Verordening gas</w:t>
      </w:r>
      <w:r w:rsidRPr="003B1DAE">
        <w:rPr>
          <w:rFonts w:eastAsia="Verdana" w:cs="Verdana"/>
        </w:rPr>
        <w:t>leveringszekerheid, kan de Europese Commissie het voorstel doen om deze wel of niet te verlengen. Het vorige kabinet heeft bij de Europese Commissie, samen met Duitsland en Oostenrijk, de geïdentificeerde knelpunten bij de huidige Europese vuldoelen aangegeven</w:t>
      </w:r>
      <w:r w:rsidRPr="003B1DAE">
        <w:rPr>
          <w:rStyle w:val="Voetnootmarkering"/>
          <w:rFonts w:eastAsia="Verdana" w:cs="Verdana"/>
        </w:rPr>
        <w:footnoteReference w:id="74"/>
      </w:r>
      <w:r w:rsidRPr="003B1DAE">
        <w:rPr>
          <w:rFonts w:eastAsia="Verdana" w:cs="Verdana"/>
        </w:rPr>
        <w:t xml:space="preserve"> waaronder dat de Europese vuldoelen kunnen leiden tot marktverstoring en dat de kosten voor het vullen van de gasopslagen niet eerlijk tussen lidstaten verdeeld worden. Ook uit het rapport van de Gas Market Task Force van de Europese Commissie</w:t>
      </w:r>
      <w:r w:rsidRPr="003B1DAE">
        <w:rPr>
          <w:rStyle w:val="Voetnootmarkering"/>
          <w:rFonts w:eastAsia="Verdana" w:cs="Verdana"/>
        </w:rPr>
        <w:footnoteReference w:id="75"/>
      </w:r>
      <w:r w:rsidRPr="003B1DAE">
        <w:rPr>
          <w:rFonts w:eastAsia="Verdana" w:cs="Verdana"/>
        </w:rPr>
        <w:t xml:space="preserve"> en het CE Delft rapport</w:t>
      </w:r>
      <w:r w:rsidRPr="003B1DAE">
        <w:rPr>
          <w:rStyle w:val="Voetnootmarkering"/>
          <w:rFonts w:eastAsia="Verdana" w:cs="Verdana"/>
        </w:rPr>
        <w:footnoteReference w:id="76"/>
      </w:r>
      <w:r w:rsidRPr="003B1DAE">
        <w:rPr>
          <w:rFonts w:eastAsia="Verdana" w:cs="Verdana"/>
        </w:rPr>
        <w:t xml:space="preserve"> volgen indicaties dat de zomer/winter-spread negatief werd beïnvloed bij nieuws over het verlengen van de Europese vuldoelen. Het kabinet blijft dus zeer kritisch ten aanzien van het eventueel verlengen van de Europese vuldoelen en zal pleiten om aanpassing van de Europese vuldoelen.</w:t>
      </w:r>
    </w:p>
    <w:p w:rsidRPr="003B1DAE" w:rsidR="00E32824" w:rsidP="003B14FA" w:rsidRDefault="00E32824" w14:paraId="4467BA7C" w14:textId="77777777">
      <w:pPr>
        <w:rPr>
          <w:rFonts w:eastAsia="Verdana" w:cs="Verdana"/>
          <w:szCs w:val="18"/>
        </w:rPr>
      </w:pPr>
    </w:p>
    <w:p w:rsidRPr="003B1DAE" w:rsidR="009A0701" w:rsidP="003B14FA" w:rsidRDefault="009A0701" w14:paraId="53C9A064" w14:textId="19816423">
      <w:pPr>
        <w:rPr>
          <w:rFonts w:eastAsia="Verdana" w:cs="Verdana"/>
          <w:b/>
          <w:szCs w:val="18"/>
        </w:rPr>
      </w:pPr>
      <w:r w:rsidRPr="003B1DAE">
        <w:rPr>
          <w:b/>
          <w:szCs w:val="18"/>
        </w:rPr>
        <w:t>C</w:t>
      </w:r>
      <w:r w:rsidRPr="003B1DAE" w:rsidR="007F75AE">
        <w:rPr>
          <w:b/>
          <w:szCs w:val="18"/>
        </w:rPr>
        <w:t>.3</w:t>
      </w:r>
      <w:r w:rsidRPr="003B1DAE">
        <w:rPr>
          <w:b/>
          <w:szCs w:val="18"/>
        </w:rPr>
        <w:t>.</w:t>
      </w:r>
      <w:r w:rsidRPr="003B1DAE" w:rsidR="007F75AE">
        <w:rPr>
          <w:rFonts w:eastAsia="Verdana" w:cs="Verdana"/>
          <w:b/>
          <w:szCs w:val="18"/>
        </w:rPr>
        <w:t xml:space="preserve"> EU</w:t>
      </w:r>
      <w:r w:rsidRPr="003B1DAE" w:rsidR="00494C0E">
        <w:rPr>
          <w:rFonts w:eastAsia="Verdana" w:cs="Verdana"/>
          <w:b/>
          <w:szCs w:val="18"/>
        </w:rPr>
        <w:t xml:space="preserve"> infrastructuur</w:t>
      </w:r>
      <w:r w:rsidRPr="003B1DAE" w:rsidR="00821AE9">
        <w:rPr>
          <w:rFonts w:eastAsia="Verdana" w:cs="Verdana"/>
          <w:b/>
          <w:szCs w:val="18"/>
        </w:rPr>
        <w:t xml:space="preserve">norm </w:t>
      </w:r>
      <w:r w:rsidRPr="003B1DAE" w:rsidR="00494C0E">
        <w:rPr>
          <w:rFonts w:eastAsia="Verdana" w:cs="Verdana"/>
          <w:b/>
          <w:szCs w:val="18"/>
        </w:rPr>
        <w:t>en g</w:t>
      </w:r>
      <w:r w:rsidRPr="003B1DAE" w:rsidR="007F75AE">
        <w:rPr>
          <w:rFonts w:eastAsia="Verdana" w:cs="Verdana"/>
          <w:b/>
          <w:szCs w:val="18"/>
        </w:rPr>
        <w:t>asleveringsnorm</w:t>
      </w:r>
    </w:p>
    <w:p w:rsidRPr="003B1DAE" w:rsidR="007F75AE" w:rsidP="003B14FA" w:rsidRDefault="007F75AE" w14:paraId="7DA2C8A9" w14:textId="77777777">
      <w:pPr>
        <w:rPr>
          <w:rFonts w:eastAsia="Verdana" w:cs="Verdana"/>
          <w:szCs w:val="18"/>
        </w:rPr>
      </w:pPr>
    </w:p>
    <w:p w:rsidRPr="003B1DAE" w:rsidR="009B26A5" w:rsidP="003B14FA" w:rsidRDefault="009B26A5" w14:paraId="03435F6D" w14:textId="52EF553B">
      <w:pPr>
        <w:rPr>
          <w:szCs w:val="18"/>
        </w:rPr>
      </w:pPr>
      <w:r w:rsidRPr="003B1DAE">
        <w:rPr>
          <w:szCs w:val="18"/>
        </w:rPr>
        <w:t xml:space="preserve">Lidstaten zijn verplicht om voorzieningen te treffen om in verschillende door de verordening geïdentificeerde gevallen de leveringszekerheid, al dan niet voor een beperkte groep afnemers, binnen de lidstaat te waarborgen. Deze verplichtingen zijn erop gericht om de weerbaarheid van het gassysteem van de lidstaat te vergroten om zo te voorkomen dat een lidstaat bij deze extreme omstandigheden in een crisissituatie terecht komt. </w:t>
      </w:r>
    </w:p>
    <w:p w:rsidRPr="003B1DAE" w:rsidR="009B26A5" w:rsidP="003B14FA" w:rsidRDefault="009B26A5" w14:paraId="6FDA2B0B" w14:textId="77777777">
      <w:pPr>
        <w:rPr>
          <w:szCs w:val="18"/>
        </w:rPr>
      </w:pPr>
    </w:p>
    <w:p w:rsidRPr="003B1DAE" w:rsidR="009B26A5" w:rsidP="003B14FA" w:rsidRDefault="009B26A5" w14:paraId="5CA8F33E" w14:textId="475D6D08">
      <w:pPr>
        <w:rPr>
          <w:i/>
          <w:iCs/>
          <w:szCs w:val="18"/>
        </w:rPr>
      </w:pPr>
      <w:r w:rsidRPr="003B1DAE">
        <w:rPr>
          <w:i/>
          <w:iCs/>
          <w:szCs w:val="18"/>
        </w:rPr>
        <w:t>Infrastructuurnorm</w:t>
      </w:r>
    </w:p>
    <w:p w:rsidRPr="003B1DAE" w:rsidR="009B26A5" w:rsidP="003B14FA" w:rsidRDefault="004F4A51" w14:paraId="17CD4B8B" w14:textId="4FB77216">
      <w:pPr>
        <w:rPr>
          <w:szCs w:val="18"/>
        </w:rPr>
      </w:pPr>
      <w:r w:rsidRPr="003B1DAE">
        <w:rPr>
          <w:szCs w:val="18"/>
        </w:rPr>
        <w:t xml:space="preserve">Lidstaten worden in dit kader verplicht om de noodzakelijke maatregelen te nemen opdat, in het geval van verstoring van de grootste afzonderlijke gasinfrastructuur, de technische capaciteit van de resterende infrastructuur in staat is om te voldoen aan de totale gasvraag van het berekende gebied gedurende een dag van uitzonderlijk hoge gasvraag die met een statistische waarschijnlijkheid van eens in de 20 jaar voorkomt. </w:t>
      </w:r>
      <w:r w:rsidRPr="003B1DAE" w:rsidR="00E34A47">
        <w:rPr>
          <w:szCs w:val="18"/>
        </w:rPr>
        <w:t>Nederland voldoet aan de infrastructuurnorm.</w:t>
      </w:r>
      <w:r w:rsidRPr="003B1DAE" w:rsidR="005040A7">
        <w:rPr>
          <w:rStyle w:val="Voetnootmarkering"/>
          <w:szCs w:val="18"/>
        </w:rPr>
        <w:footnoteReference w:id="77"/>
      </w:r>
      <w:r w:rsidRPr="003B1DAE" w:rsidR="00E34A47">
        <w:rPr>
          <w:szCs w:val="18"/>
        </w:rPr>
        <w:t xml:space="preserve"> </w:t>
      </w:r>
    </w:p>
    <w:p w:rsidRPr="003B1DAE" w:rsidR="009B26A5" w:rsidP="003B14FA" w:rsidRDefault="009B26A5" w14:paraId="2534586E" w14:textId="77777777">
      <w:pPr>
        <w:rPr>
          <w:szCs w:val="18"/>
        </w:rPr>
      </w:pPr>
    </w:p>
    <w:p w:rsidRPr="0054295C" w:rsidR="009B26A5" w:rsidP="003B14FA" w:rsidRDefault="009B26A5" w14:paraId="614668FB" w14:textId="3B096827">
      <w:pPr>
        <w:rPr>
          <w:szCs w:val="18"/>
        </w:rPr>
      </w:pPr>
      <w:r w:rsidRPr="003B1DAE">
        <w:rPr>
          <w:i/>
          <w:iCs/>
          <w:szCs w:val="18"/>
        </w:rPr>
        <w:t>Gasleveringsnorm</w:t>
      </w:r>
    </w:p>
    <w:p w:rsidRPr="0054295C" w:rsidR="009A0701" w:rsidP="003B14FA" w:rsidRDefault="009A0701" w14:paraId="47AE0DE8" w14:textId="6C5162F0">
      <w:pPr>
        <w:rPr>
          <w:rFonts w:eastAsia="Verdana" w:cs="Verdana"/>
          <w:szCs w:val="18"/>
        </w:rPr>
      </w:pPr>
      <w:r w:rsidRPr="003B1DAE">
        <w:rPr>
          <w:rFonts w:eastAsia="Verdana" w:cs="Verdana"/>
        </w:rPr>
        <w:t xml:space="preserve">De gasleveringsnorm bevat </w:t>
      </w:r>
      <w:r w:rsidRPr="003B1DAE" w:rsidR="002652BF">
        <w:rPr>
          <w:rFonts w:eastAsia="Verdana" w:cs="Verdana"/>
        </w:rPr>
        <w:t>de bepaling dat</w:t>
      </w:r>
      <w:r w:rsidRPr="003B1DAE">
        <w:rPr>
          <w:rFonts w:eastAsia="Verdana" w:cs="Verdana"/>
        </w:rPr>
        <w:t xml:space="preserve"> </w:t>
      </w:r>
      <w:r w:rsidRPr="003B1DAE" w:rsidR="000012A6">
        <w:rPr>
          <w:rFonts w:eastAsia="Verdana" w:cs="Verdana"/>
        </w:rPr>
        <w:t xml:space="preserve">lidstaten </w:t>
      </w:r>
      <w:r w:rsidRPr="003B1DAE" w:rsidR="005C225F">
        <w:rPr>
          <w:rFonts w:eastAsia="Verdana" w:cs="Verdana"/>
        </w:rPr>
        <w:t xml:space="preserve">aardgasbedrijven </w:t>
      </w:r>
      <w:r w:rsidRPr="003B1DAE" w:rsidR="000012A6">
        <w:rPr>
          <w:rFonts w:eastAsia="Verdana" w:cs="Verdana"/>
        </w:rPr>
        <w:t xml:space="preserve">kunnen aanwijzen die verplicht maatregelen moeten nemen </w:t>
      </w:r>
      <w:r w:rsidRPr="003B1DAE">
        <w:rPr>
          <w:rFonts w:eastAsia="Verdana" w:cs="Verdana"/>
        </w:rPr>
        <w:t xml:space="preserve">om gas </w:t>
      </w:r>
      <w:r w:rsidRPr="003B1DAE" w:rsidR="005C225F">
        <w:rPr>
          <w:rFonts w:eastAsia="Verdana" w:cs="Verdana"/>
        </w:rPr>
        <w:t xml:space="preserve">aan beschermde afnemers </w:t>
      </w:r>
      <w:r w:rsidRPr="003B1DAE">
        <w:rPr>
          <w:rFonts w:eastAsia="Verdana" w:cs="Verdana"/>
        </w:rPr>
        <w:t xml:space="preserve">te kunnen leveren bij een vraag hoger dan de verwachte (winter)vraag (bijvoorbeeld bij extreme kou) of uitval van de grootste afzonderlijke gasinfrastructuur. </w:t>
      </w:r>
      <w:r w:rsidRPr="003B1DAE">
        <w:t xml:space="preserve">Omdat de situaties in de gasleveringsnorm zich </w:t>
      </w:r>
      <w:r w:rsidRPr="003B1DAE" w:rsidR="000012A6">
        <w:t>sporadisch</w:t>
      </w:r>
      <w:r w:rsidRPr="003B1DAE">
        <w:t xml:space="preserve"> voordoen is het ten algemene goedkoper voor leveranciers deze gasvraag niet af te dekken middels fysieke middelen (zoals gasopslag), maar op andere manieren, bijvoorbeeld door het achter de hand hebben van een financiële buffer om dit extra gas in te kopen op de handelsplaats wanneer het nodig is. </w:t>
      </w:r>
      <w:r w:rsidRPr="003B1DAE">
        <w:rPr>
          <w:rFonts w:eastAsia="Verdana" w:cs="Verdana"/>
        </w:rPr>
        <w:t>Volgens de Europese Commissie zit er een bepaalde mate van overlap tussen de invulling van de gasleveringsnorm en Europese vuldoelen, omdat de gasleveringsnorm ook met gasopslag kan worden ingevuld.</w:t>
      </w:r>
      <w:r w:rsidRPr="003B1DAE">
        <w:rPr>
          <w:rStyle w:val="Voetnootmarkering"/>
          <w:rFonts w:eastAsia="Verdana" w:cs="Verdana"/>
        </w:rPr>
        <w:footnoteReference w:id="78"/>
      </w:r>
      <w:r w:rsidRPr="003B1DAE">
        <w:rPr>
          <w:rFonts w:eastAsia="Verdana" w:cs="Verdana"/>
        </w:rPr>
        <w:t xml:space="preserve"> Het valt daarom te overwegen om, indien de Europese vuldoelen in hun huidige vorm worden afgeschaft, gasopslag explicieter te verankeren binnen de gasleveringsnorm, door leveranciers van beschermde afnemers te verplichten (een deel van het) gas dat nodig is om invulling te geven aan gasleveringsnorm aan te houden in gasopslag, om de weerbaarheid van beschermde afnemers te versterken. Deze aanpak wordt in lidstaten zoals Oostenrijk gehanteerd. Zo verplicht Oostenrijk dat leveranciers van beschermde afnemers kunnen bewijzen dat ze het gas dat nodig is om beschermde afnemers te beleveren tijdens een periode van 30 dagen in het geval van verstoring van de grootste afzonderlijke gasinfrastructuur onder gemiddelde winterse omstandigheden (onderdeel c van de gasleveringsnorm) hebben opgeslagen (eventueel via de upstream leverancier).</w:t>
      </w:r>
      <w:r w:rsidRPr="003B1DAE">
        <w:rPr>
          <w:rStyle w:val="Voetnootmarkering"/>
          <w:rFonts w:eastAsia="Verdana" w:cs="Verdana"/>
        </w:rPr>
        <w:footnoteReference w:id="79"/>
      </w:r>
    </w:p>
    <w:p w:rsidRPr="003B1DAE" w:rsidR="00A25164" w:rsidP="003B14FA" w:rsidRDefault="00A25164" w14:paraId="58B3C233" w14:textId="77777777">
      <w:pPr>
        <w:rPr>
          <w:rFonts w:eastAsia="Verdana" w:cs="Verdana"/>
          <w:i/>
          <w:iCs/>
          <w:szCs w:val="18"/>
        </w:rPr>
      </w:pPr>
    </w:p>
    <w:p w:rsidRPr="003B1DAE" w:rsidR="00A25164" w:rsidP="003B14FA" w:rsidRDefault="00A25164" w14:paraId="032DF85F" w14:textId="26A1512D">
      <w:pPr>
        <w:rPr>
          <w:rFonts w:eastAsia="Verdana" w:cs="Verdana"/>
          <w:b/>
          <w:szCs w:val="18"/>
        </w:rPr>
      </w:pPr>
      <w:r w:rsidRPr="003B1DAE">
        <w:rPr>
          <w:rFonts w:eastAsia="Verdana" w:cs="Verdana"/>
          <w:b/>
          <w:bCs/>
          <w:szCs w:val="18"/>
        </w:rPr>
        <w:t>C.</w:t>
      </w:r>
      <w:r w:rsidRPr="003B1DAE" w:rsidR="007F75AE">
        <w:rPr>
          <w:rFonts w:eastAsia="Verdana" w:cs="Verdana"/>
          <w:b/>
          <w:bCs/>
          <w:szCs w:val="18"/>
        </w:rPr>
        <w:t>4</w:t>
      </w:r>
      <w:r w:rsidRPr="003B1DAE" w:rsidR="00D33070">
        <w:rPr>
          <w:rFonts w:eastAsia="Verdana" w:cs="Verdana"/>
          <w:b/>
          <w:bCs/>
          <w:szCs w:val="18"/>
        </w:rPr>
        <w:t>.</w:t>
      </w:r>
      <w:r w:rsidRPr="003B1DAE">
        <w:rPr>
          <w:rFonts w:eastAsia="Verdana" w:cs="Verdana"/>
          <w:b/>
          <w:bCs/>
          <w:szCs w:val="18"/>
        </w:rPr>
        <w:t xml:space="preserve"> Herkomst rol EBN in vullen seizoensopslagen</w:t>
      </w:r>
    </w:p>
    <w:p w:rsidRPr="003B1DAE" w:rsidR="00A25164" w:rsidP="003B14FA" w:rsidRDefault="00A25164" w14:paraId="159DFFD3" w14:textId="77777777">
      <w:pPr>
        <w:rPr>
          <w:rFonts w:eastAsia="Verdana" w:cs="Verdana"/>
          <w:b/>
          <w:szCs w:val="18"/>
        </w:rPr>
      </w:pPr>
    </w:p>
    <w:p w:rsidRPr="003B1DAE" w:rsidR="00A25164" w:rsidP="003B14FA" w:rsidRDefault="00A25164" w14:paraId="696BF4AE" w14:textId="77777777">
      <w:pPr>
        <w:rPr>
          <w:rFonts w:eastAsia="Verdana" w:cs="Verdana"/>
          <w:szCs w:val="18"/>
        </w:rPr>
      </w:pPr>
      <w:r w:rsidRPr="003B1DAE">
        <w:rPr>
          <w:rFonts w:eastAsia="Verdana" w:cs="Verdana"/>
          <w:szCs w:val="18"/>
        </w:rPr>
        <w:t xml:space="preserve">Hoewel het vullen van seizoensopslagen een marktverantwoordelijkheid is, was de overheid de afgelopen jaren genoodzaakt om een steeds grotere rol te nemen bij het vullen (via EBN) van de opslagen. Dit kwam voort uit de wens om vuldoelen te behalen en doordat er beperkt toegang was voor marktpartijen in een aantal grote gasopslagen. Sinds de gascrisis in 2022 hebben ook andere Europese landen maatregelen genomen om de gasopslagen te vullen. </w:t>
      </w:r>
    </w:p>
    <w:p w:rsidR="00A25164" w:rsidP="003B14FA" w:rsidRDefault="00A25164" w14:paraId="6D969C70" w14:textId="77777777">
      <w:pPr>
        <w:rPr>
          <w:rFonts w:eastAsia="Verdana" w:cs="Verdana"/>
          <w:szCs w:val="18"/>
        </w:rPr>
      </w:pPr>
    </w:p>
    <w:p w:rsidR="00F755AF" w:rsidP="003B14FA" w:rsidRDefault="00F755AF" w14:paraId="6A94CE70" w14:textId="77777777">
      <w:pPr>
        <w:rPr>
          <w:rFonts w:eastAsia="Verdana" w:cs="Verdana"/>
          <w:szCs w:val="18"/>
        </w:rPr>
      </w:pPr>
    </w:p>
    <w:p w:rsidR="00F755AF" w:rsidP="003B14FA" w:rsidRDefault="00F755AF" w14:paraId="1452C3A9" w14:textId="77777777">
      <w:pPr>
        <w:rPr>
          <w:rFonts w:eastAsia="Verdana" w:cs="Verdana"/>
          <w:szCs w:val="18"/>
        </w:rPr>
      </w:pPr>
    </w:p>
    <w:p w:rsidR="00F755AF" w:rsidP="003B14FA" w:rsidRDefault="00F755AF" w14:paraId="6A15A41C" w14:textId="77777777">
      <w:pPr>
        <w:rPr>
          <w:rFonts w:eastAsia="Verdana" w:cs="Verdana"/>
          <w:szCs w:val="18"/>
        </w:rPr>
      </w:pPr>
    </w:p>
    <w:p w:rsidR="00F755AF" w:rsidP="003B14FA" w:rsidRDefault="00F755AF" w14:paraId="6F031FD3" w14:textId="77777777">
      <w:pPr>
        <w:rPr>
          <w:rFonts w:eastAsia="Verdana" w:cs="Verdana"/>
          <w:szCs w:val="18"/>
        </w:rPr>
      </w:pPr>
    </w:p>
    <w:p w:rsidR="00F755AF" w:rsidP="003B14FA" w:rsidRDefault="00F755AF" w14:paraId="345C0D68" w14:textId="77777777">
      <w:pPr>
        <w:rPr>
          <w:rFonts w:eastAsia="Verdana" w:cs="Verdana"/>
          <w:szCs w:val="18"/>
        </w:rPr>
      </w:pPr>
    </w:p>
    <w:p w:rsidR="00F755AF" w:rsidP="003B14FA" w:rsidRDefault="00F755AF" w14:paraId="44F73FAB" w14:textId="77777777">
      <w:pPr>
        <w:rPr>
          <w:rFonts w:eastAsia="Verdana" w:cs="Verdana"/>
          <w:szCs w:val="18"/>
        </w:rPr>
      </w:pPr>
    </w:p>
    <w:p w:rsidRPr="003B1DAE" w:rsidR="00F755AF" w:rsidP="003B14FA" w:rsidRDefault="00F755AF" w14:paraId="775D8E77" w14:textId="77777777">
      <w:pPr>
        <w:rPr>
          <w:rFonts w:eastAsia="Verdana" w:cs="Verdana"/>
          <w:szCs w:val="18"/>
        </w:rPr>
      </w:pPr>
    </w:p>
    <w:p w:rsidRPr="003B1DAE" w:rsidR="00A25164" w:rsidP="003B14FA" w:rsidRDefault="00A25164" w14:paraId="45FC5DBD" w14:textId="0F4C6B8B">
      <w:pPr>
        <w:rPr>
          <w:rFonts w:eastAsia="Verdana" w:cs="Verdana"/>
          <w:i/>
          <w:szCs w:val="18"/>
        </w:rPr>
      </w:pPr>
      <w:r w:rsidRPr="003B1DAE">
        <w:rPr>
          <w:rFonts w:eastAsia="Verdana" w:cs="Verdana"/>
          <w:i/>
          <w:szCs w:val="18"/>
        </w:rPr>
        <w:t xml:space="preserve">Tabel </w:t>
      </w:r>
      <w:r w:rsidRPr="003B1DAE" w:rsidR="00BD3B31">
        <w:rPr>
          <w:rFonts w:eastAsia="Verdana" w:cs="Verdana"/>
          <w:i/>
          <w:szCs w:val="18"/>
        </w:rPr>
        <w:t>1</w:t>
      </w:r>
      <w:r w:rsidRPr="003B1DAE">
        <w:rPr>
          <w:rFonts w:eastAsia="Verdana" w:cs="Verdana"/>
          <w:i/>
          <w:szCs w:val="18"/>
        </w:rPr>
        <w:t xml:space="preserve">: omvang </w:t>
      </w:r>
      <w:r w:rsidRPr="003B1DAE" w:rsidR="00A47328">
        <w:rPr>
          <w:rFonts w:eastAsia="Verdana" w:cs="Verdana"/>
          <w:i/>
          <w:szCs w:val="18"/>
        </w:rPr>
        <w:t xml:space="preserve">opslagactiviteiten </w:t>
      </w:r>
      <w:r w:rsidRPr="003B1DAE">
        <w:rPr>
          <w:rFonts w:eastAsia="Verdana" w:cs="Verdana"/>
          <w:i/>
          <w:szCs w:val="18"/>
        </w:rPr>
        <w:t>EBN sinds 2022</w:t>
      </w:r>
    </w:p>
    <w:tbl>
      <w:tblPr>
        <w:tblW w:w="0" w:type="auto"/>
        <w:tblCellMar>
          <w:left w:w="0" w:type="dxa"/>
          <w:right w:w="0" w:type="dxa"/>
        </w:tblCellMar>
        <w:tblLook w:val="04A0" w:firstRow="1" w:lastRow="0" w:firstColumn="1" w:lastColumn="0" w:noHBand="0" w:noVBand="1"/>
      </w:tblPr>
      <w:tblGrid>
        <w:gridCol w:w="3005"/>
        <w:gridCol w:w="4215"/>
      </w:tblGrid>
      <w:tr w:rsidRPr="003B1DAE" w:rsidR="00A25164" w14:paraId="58C9A954" w14:textId="77777777">
        <w:tc>
          <w:tcPr>
            <w:tcW w:w="300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7DA4E89C" w14:textId="77777777">
            <w:pPr>
              <w:rPr>
                <w:rFonts w:eastAsia="Verdana" w:cs="Verdana"/>
                <w:b/>
                <w:bCs/>
                <w:szCs w:val="18"/>
              </w:rPr>
            </w:pPr>
            <w:r w:rsidRPr="003B1DAE">
              <w:rPr>
                <w:rFonts w:eastAsia="Verdana" w:cs="Verdana"/>
                <w:b/>
                <w:bCs/>
                <w:szCs w:val="18"/>
              </w:rPr>
              <w:t>Opslagjaar</w:t>
            </w:r>
          </w:p>
        </w:tc>
        <w:tc>
          <w:tcPr>
            <w:tcW w:w="421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3A7C976B" w14:textId="54497891">
            <w:pPr>
              <w:rPr>
                <w:rFonts w:eastAsia="Verdana" w:cs="Verdana"/>
                <w:b/>
                <w:bCs/>
                <w:szCs w:val="18"/>
              </w:rPr>
            </w:pPr>
            <w:r w:rsidRPr="003B1DAE">
              <w:rPr>
                <w:rFonts w:eastAsia="Verdana" w:cs="Verdana"/>
                <w:b/>
                <w:bCs/>
                <w:szCs w:val="18"/>
              </w:rPr>
              <w:t xml:space="preserve">Maximale omvang </w:t>
            </w:r>
            <w:r w:rsidRPr="003B1DAE" w:rsidR="00A47328">
              <w:rPr>
                <w:rFonts w:eastAsia="Verdana" w:cs="Verdana"/>
                <w:b/>
                <w:bCs/>
                <w:szCs w:val="18"/>
              </w:rPr>
              <w:t>o</w:t>
            </w:r>
            <w:r w:rsidRPr="003B1DAE" w:rsidR="00A47328">
              <w:rPr>
                <w:rFonts w:eastAsia="Verdana"/>
                <w:b/>
                <w:bCs/>
                <w:szCs w:val="18"/>
              </w:rPr>
              <w:t>pslag</w:t>
            </w:r>
            <w:r w:rsidRPr="003B1DAE">
              <w:rPr>
                <w:rFonts w:eastAsia="Verdana" w:cs="Verdana"/>
                <w:b/>
                <w:bCs/>
                <w:szCs w:val="18"/>
              </w:rPr>
              <w:t>activiteiten EBN</w:t>
            </w:r>
          </w:p>
        </w:tc>
      </w:tr>
      <w:tr w:rsidRPr="003B1DAE" w:rsidR="00A25164" w14:paraId="1240E901" w14:textId="77777777">
        <w:tc>
          <w:tcPr>
            <w:tcW w:w="30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4B71E3F7" w14:textId="77777777">
            <w:pPr>
              <w:rPr>
                <w:rFonts w:eastAsia="Verdana" w:cs="Verdana"/>
                <w:szCs w:val="18"/>
              </w:rPr>
            </w:pPr>
            <w:r w:rsidRPr="003B1DAE">
              <w:rPr>
                <w:rFonts w:eastAsia="Verdana" w:cs="Verdana"/>
                <w:szCs w:val="18"/>
              </w:rPr>
              <w:t>2022/2023</w:t>
            </w:r>
          </w:p>
        </w:tc>
        <w:tc>
          <w:tcPr>
            <w:tcW w:w="4215" w:type="dxa"/>
            <w:tcBorders>
              <w:top w:val="nil"/>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6B435C82" w14:textId="77777777">
            <w:pPr>
              <w:rPr>
                <w:rFonts w:eastAsia="Verdana" w:cs="Verdana"/>
                <w:szCs w:val="18"/>
              </w:rPr>
            </w:pPr>
            <w:r w:rsidRPr="003B1DAE">
              <w:rPr>
                <w:rFonts w:eastAsia="Verdana" w:cs="Verdana"/>
                <w:szCs w:val="18"/>
              </w:rPr>
              <w:t xml:space="preserve">20 TWh </w:t>
            </w:r>
          </w:p>
        </w:tc>
      </w:tr>
      <w:tr w:rsidRPr="003B1DAE" w:rsidR="00A25164" w14:paraId="132C4502" w14:textId="77777777">
        <w:tc>
          <w:tcPr>
            <w:tcW w:w="30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5F3795EA" w14:textId="77777777">
            <w:pPr>
              <w:rPr>
                <w:rFonts w:eastAsia="Verdana" w:cs="Verdana"/>
                <w:szCs w:val="18"/>
              </w:rPr>
            </w:pPr>
            <w:r w:rsidRPr="003B1DAE">
              <w:rPr>
                <w:rFonts w:eastAsia="Verdana" w:cs="Verdana"/>
                <w:szCs w:val="18"/>
              </w:rPr>
              <w:t>2023/2024</w:t>
            </w:r>
          </w:p>
        </w:tc>
        <w:tc>
          <w:tcPr>
            <w:tcW w:w="4215" w:type="dxa"/>
            <w:tcBorders>
              <w:top w:val="nil"/>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727F27F1" w14:textId="77777777">
            <w:pPr>
              <w:rPr>
                <w:rFonts w:eastAsia="Verdana" w:cs="Verdana"/>
                <w:szCs w:val="18"/>
              </w:rPr>
            </w:pPr>
            <w:r w:rsidRPr="003B1DAE">
              <w:rPr>
                <w:rFonts w:eastAsia="Verdana" w:cs="Verdana"/>
                <w:szCs w:val="18"/>
              </w:rPr>
              <w:t xml:space="preserve">15-20 TWh </w:t>
            </w:r>
          </w:p>
        </w:tc>
      </w:tr>
      <w:tr w:rsidRPr="003B1DAE" w:rsidR="00A25164" w14:paraId="1B532F20" w14:textId="77777777">
        <w:tc>
          <w:tcPr>
            <w:tcW w:w="30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24602C54" w14:textId="77777777">
            <w:pPr>
              <w:rPr>
                <w:rFonts w:eastAsia="Verdana" w:cs="Verdana"/>
                <w:szCs w:val="18"/>
              </w:rPr>
            </w:pPr>
            <w:r w:rsidRPr="003B1DAE">
              <w:rPr>
                <w:rFonts w:eastAsia="Verdana" w:cs="Verdana"/>
                <w:szCs w:val="18"/>
              </w:rPr>
              <w:t>2024/2025</w:t>
            </w:r>
          </w:p>
        </w:tc>
        <w:tc>
          <w:tcPr>
            <w:tcW w:w="4215" w:type="dxa"/>
            <w:tcBorders>
              <w:top w:val="nil"/>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18915AC0" w14:textId="77777777">
            <w:pPr>
              <w:rPr>
                <w:rFonts w:eastAsia="Verdana" w:cs="Verdana"/>
                <w:szCs w:val="18"/>
              </w:rPr>
            </w:pPr>
            <w:r w:rsidRPr="003B1DAE">
              <w:rPr>
                <w:rFonts w:eastAsia="Verdana" w:cs="Verdana"/>
                <w:szCs w:val="18"/>
              </w:rPr>
              <w:t>20 TWh</w:t>
            </w:r>
          </w:p>
        </w:tc>
      </w:tr>
      <w:tr w:rsidRPr="003B1DAE" w:rsidR="00A25164" w14:paraId="5CE0AE46" w14:textId="77777777">
        <w:tc>
          <w:tcPr>
            <w:tcW w:w="30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61439B04" w14:textId="77777777">
            <w:pPr>
              <w:rPr>
                <w:rFonts w:eastAsia="Verdana" w:cs="Verdana"/>
                <w:szCs w:val="18"/>
              </w:rPr>
            </w:pPr>
            <w:r w:rsidRPr="003B1DAE">
              <w:rPr>
                <w:rFonts w:eastAsia="Verdana" w:cs="Verdana"/>
                <w:szCs w:val="18"/>
              </w:rPr>
              <w:t>2025/2026</w:t>
            </w:r>
          </w:p>
        </w:tc>
        <w:tc>
          <w:tcPr>
            <w:tcW w:w="4215" w:type="dxa"/>
            <w:tcBorders>
              <w:top w:val="nil"/>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799ED1B9" w14:textId="77777777">
            <w:pPr>
              <w:rPr>
                <w:rFonts w:eastAsia="Verdana" w:cs="Verdana"/>
                <w:szCs w:val="18"/>
              </w:rPr>
            </w:pPr>
            <w:r w:rsidRPr="003B1DAE">
              <w:rPr>
                <w:rFonts w:eastAsia="Verdana" w:cs="Verdana"/>
                <w:szCs w:val="18"/>
              </w:rPr>
              <w:t>28 TWh</w:t>
            </w:r>
          </w:p>
        </w:tc>
      </w:tr>
      <w:tr w:rsidRPr="003B1DAE" w:rsidR="00A25164" w14:paraId="176A68F2" w14:textId="77777777">
        <w:tc>
          <w:tcPr>
            <w:tcW w:w="3005"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328AAE3D" w14:textId="77777777">
            <w:pPr>
              <w:rPr>
                <w:rFonts w:eastAsia="Verdana" w:cs="Verdana"/>
                <w:szCs w:val="18"/>
              </w:rPr>
            </w:pPr>
            <w:r w:rsidRPr="003B1DAE">
              <w:rPr>
                <w:rFonts w:eastAsia="Verdana" w:cs="Verdana"/>
                <w:szCs w:val="18"/>
              </w:rPr>
              <w:t>2026/2027</w:t>
            </w:r>
          </w:p>
        </w:tc>
        <w:tc>
          <w:tcPr>
            <w:tcW w:w="4215" w:type="dxa"/>
            <w:tcBorders>
              <w:top w:val="nil"/>
              <w:left w:val="nil"/>
              <w:bottom w:val="single" w:color="auto" w:sz="8" w:space="0"/>
              <w:right w:val="single" w:color="auto" w:sz="8" w:space="0"/>
            </w:tcBorders>
            <w:tcMar>
              <w:top w:w="0" w:type="dxa"/>
              <w:left w:w="108" w:type="dxa"/>
              <w:bottom w:w="0" w:type="dxa"/>
              <w:right w:w="108" w:type="dxa"/>
            </w:tcMar>
            <w:hideMark/>
          </w:tcPr>
          <w:p w:rsidRPr="003B1DAE" w:rsidR="00A25164" w:rsidP="003B14FA" w:rsidRDefault="00A25164" w14:paraId="0D4B28D7" w14:textId="198424E3">
            <w:pPr>
              <w:rPr>
                <w:rFonts w:eastAsia="Verdana" w:cs="Verdana"/>
                <w:szCs w:val="18"/>
              </w:rPr>
            </w:pPr>
            <w:r w:rsidRPr="003B1DAE">
              <w:rPr>
                <w:rFonts w:eastAsia="Verdana" w:cs="Verdana"/>
                <w:szCs w:val="18"/>
              </w:rPr>
              <w:t>80 TWh</w:t>
            </w:r>
            <w:r w:rsidR="00082D28">
              <w:rPr>
                <w:rFonts w:eastAsia="Verdana" w:cs="Verdana"/>
                <w:szCs w:val="18"/>
              </w:rPr>
              <w:t xml:space="preserve"> (+ 5 TWh tijdelijke noodvoorraad)</w:t>
            </w:r>
          </w:p>
        </w:tc>
      </w:tr>
    </w:tbl>
    <w:p w:rsidRPr="003B1DAE" w:rsidR="009A0701" w:rsidP="003B14FA" w:rsidRDefault="009A0701" w14:paraId="530BCBA0" w14:textId="77777777">
      <w:pPr>
        <w:rPr>
          <w:rFonts w:eastAsia="Verdana" w:cs="Verdana"/>
          <w:szCs w:val="18"/>
        </w:rPr>
      </w:pPr>
    </w:p>
    <w:p w:rsidRPr="003B1DAE" w:rsidR="00A25164" w:rsidP="003B14FA" w:rsidRDefault="00A25164" w14:paraId="610868B7" w14:textId="0F6ADF8F">
      <w:pPr>
        <w:rPr>
          <w:rFonts w:eastAsia="Verdana" w:cs="Verdana"/>
          <w:b/>
          <w:bCs/>
          <w:szCs w:val="18"/>
        </w:rPr>
      </w:pPr>
      <w:r w:rsidRPr="003B1DAE">
        <w:rPr>
          <w:rFonts w:eastAsia="Verdana" w:cs="Verdana"/>
          <w:b/>
          <w:bCs/>
          <w:szCs w:val="18"/>
        </w:rPr>
        <w:t>C.</w:t>
      </w:r>
      <w:r w:rsidRPr="003B1DAE" w:rsidR="007F75AE">
        <w:rPr>
          <w:rFonts w:eastAsia="Verdana" w:cs="Verdana"/>
          <w:b/>
          <w:bCs/>
          <w:szCs w:val="18"/>
        </w:rPr>
        <w:t>5</w:t>
      </w:r>
      <w:r w:rsidRPr="003B1DAE">
        <w:rPr>
          <w:rFonts w:eastAsia="Verdana" w:cs="Verdana"/>
          <w:b/>
          <w:bCs/>
          <w:szCs w:val="18"/>
        </w:rPr>
        <w:t>. Reflectie op afgelopen crises</w:t>
      </w:r>
    </w:p>
    <w:p w:rsidRPr="003B1DAE" w:rsidR="00A25164" w:rsidP="003B14FA" w:rsidRDefault="00A25164" w14:paraId="1AA627F3" w14:textId="77777777">
      <w:pPr>
        <w:rPr>
          <w:rFonts w:eastAsia="Verdana" w:cs="Verdana"/>
          <w:b/>
          <w:bCs/>
          <w:szCs w:val="18"/>
        </w:rPr>
      </w:pPr>
    </w:p>
    <w:p w:rsidRPr="003B1DAE" w:rsidR="00A25164" w:rsidP="003B14FA" w:rsidRDefault="00A25164" w14:paraId="7357453B" w14:textId="4119965E">
      <w:pPr>
        <w:rPr>
          <w:rFonts w:eastAsia="Verdana" w:cs="Verdana"/>
          <w:szCs w:val="18"/>
        </w:rPr>
      </w:pPr>
      <w:r w:rsidRPr="003B1DAE">
        <w:rPr>
          <w:rFonts w:eastAsia="Verdana" w:cs="Verdana"/>
          <w:szCs w:val="18"/>
        </w:rPr>
        <w:t>In de afgelopen twintig jaar hebben zich meerdere grote verstoringen op de gasmarkt voorgedaan waar lessen uit te leren zijn. Een belangrijke constatering is dat gasstromen zeer flexibel zijn gebleken en bij het wegvallen van een bron snel levering uit andere bronnen tot stand kwam.</w:t>
      </w:r>
    </w:p>
    <w:p w:rsidRPr="003B1DAE" w:rsidR="00A25164" w:rsidP="003B14FA" w:rsidRDefault="00A25164" w14:paraId="7607CBDC" w14:textId="77777777">
      <w:pPr>
        <w:rPr>
          <w:rFonts w:eastAsia="Verdana" w:cs="Verdana"/>
          <w:szCs w:val="18"/>
        </w:rPr>
      </w:pPr>
    </w:p>
    <w:p w:rsidRPr="003B1DAE" w:rsidR="00A25164" w:rsidP="003B14FA" w:rsidRDefault="00A25164" w14:paraId="2424B8A0" w14:textId="584CDAA2">
      <w:pPr>
        <w:rPr>
          <w:rFonts w:eastAsia="Verdana" w:cs="Verdana"/>
          <w:szCs w:val="18"/>
        </w:rPr>
      </w:pPr>
      <w:r w:rsidRPr="003B1DAE">
        <w:rPr>
          <w:rFonts w:eastAsia="Verdana" w:cs="Verdana"/>
          <w:szCs w:val="18"/>
        </w:rPr>
        <w:t>Voorafgaand aan de inval van Rusland in Oekraïne was er in het najaar van 2021 sprake van sterk gestegen prijzen en minder goed gevulde opslagen in zowel de EU als in Nederland. Het was financieel onaantrekkelijk om de opslagen te vullen omdat de zomerprijs 2021 hoger was dan de winterprijs 2021-22. Wat toen</w:t>
      </w:r>
      <w:r w:rsidRPr="003B1DAE" w:rsidR="00C96385">
        <w:rPr>
          <w:rFonts w:eastAsia="Verdana" w:cs="Verdana"/>
          <w:szCs w:val="18"/>
        </w:rPr>
        <w:t xml:space="preserve"> ook</w:t>
      </w:r>
      <w:r w:rsidRPr="003B1DAE">
        <w:rPr>
          <w:rFonts w:eastAsia="Verdana" w:cs="Verdana"/>
          <w:szCs w:val="18"/>
        </w:rPr>
        <w:t xml:space="preserve"> een rol speelde was dat Gazprom in 2021 zijn in West-Europa gelegen opslagen veel minder goed vulde dan in voorgaande jaren. In Nederland was dit vooral te merken bij de gasopslag Bergermeer die op 1 november 2021 voor slechts 30% was gevuld waar dit in eerdere jaren stelselmatig 90% of meer was. Daardoor lag de totale vulgraad van de Nederlandse opslagen per 1 november 2021 op 62%, wat lager was dan in eerdere jaren. In de winter 2021-22 heeft dit echter niet tot problemen geleid, aan het eind van de winter was de totale vulgraa</w:t>
      </w:r>
      <w:r w:rsidRPr="003B1DAE" w:rsidR="009F6705">
        <w:rPr>
          <w:rFonts w:eastAsia="Verdana" w:cs="Verdana"/>
          <w:szCs w:val="18"/>
        </w:rPr>
        <w:t>d</w:t>
      </w:r>
      <w:r w:rsidRPr="003B1DAE">
        <w:rPr>
          <w:rFonts w:eastAsia="Verdana" w:cs="Verdana"/>
          <w:szCs w:val="18"/>
        </w:rPr>
        <w:t xml:space="preserve"> nog 21%. </w:t>
      </w:r>
    </w:p>
    <w:p w:rsidRPr="003B1DAE" w:rsidR="00A25164" w:rsidP="003B14FA" w:rsidRDefault="00A25164" w14:paraId="2FCB95C9" w14:textId="77777777">
      <w:pPr>
        <w:rPr>
          <w:rFonts w:eastAsia="Verdana" w:cs="Verdana"/>
          <w:szCs w:val="18"/>
        </w:rPr>
      </w:pPr>
    </w:p>
    <w:p w:rsidRPr="003B1DAE" w:rsidR="00A25164" w:rsidP="003B14FA" w:rsidRDefault="00A25164" w14:paraId="303E1AAF" w14:textId="0762B1C9">
      <w:pPr>
        <w:rPr>
          <w:rFonts w:eastAsia="Verdana" w:cs="Verdana"/>
          <w:szCs w:val="18"/>
        </w:rPr>
      </w:pPr>
      <w:r w:rsidRPr="003B1DAE">
        <w:rPr>
          <w:rFonts w:eastAsia="Verdana" w:cs="Verdana"/>
        </w:rPr>
        <w:t xml:space="preserve">Dit alles nam niet weg dat er in 2022 de nodige onrust was op de Europese gasmarkt. De prijzen bleven hoog en stegen zelfs naar recordhoogte (meer dan </w:t>
      </w:r>
      <w:r w:rsidRPr="003B1DAE" w:rsidR="009F6705">
        <w:rPr>
          <w:rFonts w:eastAsia="Verdana" w:cs="Verdana"/>
          <w:szCs w:val="18"/>
        </w:rPr>
        <w:br/>
      </w:r>
      <w:r w:rsidRPr="003B1DAE">
        <w:rPr>
          <w:rFonts w:eastAsia="Verdana" w:cs="Verdana"/>
        </w:rPr>
        <w:t xml:space="preserve">€ 300/MWh eind augustus 2022) </w:t>
      </w:r>
      <w:r w:rsidRPr="003B1DAE" w:rsidR="009F6705">
        <w:rPr>
          <w:rFonts w:eastAsia="Verdana" w:cs="Verdana"/>
        </w:rPr>
        <w:t xml:space="preserve">mede </w:t>
      </w:r>
      <w:r w:rsidRPr="003B1DAE">
        <w:rPr>
          <w:rFonts w:eastAsia="Verdana" w:cs="Verdana"/>
        </w:rPr>
        <w:t>als gevolg van diverse nationale overheidsmaatregelen om de opslagen te vullen. Dit vanwege de heersende onzekerheden</w:t>
      </w:r>
      <w:r w:rsidRPr="003B1DAE" w:rsidR="00C96385">
        <w:rPr>
          <w:rFonts w:eastAsia="Verdana" w:cs="Verdana"/>
        </w:rPr>
        <w:t xml:space="preserve"> als gevolg van</w:t>
      </w:r>
      <w:r w:rsidRPr="003B1DAE">
        <w:rPr>
          <w:rFonts w:eastAsia="Verdana" w:cs="Verdana"/>
        </w:rPr>
        <w:t xml:space="preserve"> zeer onstabiele en sterk teruglopende leveringen vanuit Rusland, zonder dat er een direct alternatief voorhanden was. In 2020 kwam nog zo’n 40% van het Europese gasverbruik uit Rusland, wat voornamelijk via pijpleidingen werd geleverd</w:t>
      </w:r>
      <w:r w:rsidRPr="003B1DAE" w:rsidR="00EE24A8">
        <w:rPr>
          <w:rFonts w:eastAsia="Verdana" w:cs="Verdana"/>
        </w:rPr>
        <w:t>.</w:t>
      </w:r>
      <w:r w:rsidRPr="003B1DAE" w:rsidR="006A75FB">
        <w:rPr>
          <w:rStyle w:val="Voetnootmarkering"/>
          <w:rFonts w:eastAsia="Verdana" w:cs="Verdana"/>
        </w:rPr>
        <w:footnoteReference w:id="80"/>
      </w:r>
      <w:r w:rsidRPr="003B1DAE" w:rsidR="00EE24A8">
        <w:rPr>
          <w:rFonts w:eastAsia="Verdana" w:cs="Verdana"/>
        </w:rPr>
        <w:t xml:space="preserve"> </w:t>
      </w:r>
      <w:r w:rsidRPr="003B1DAE">
        <w:rPr>
          <w:rFonts w:eastAsia="Verdana" w:cs="Verdana"/>
        </w:rPr>
        <w:t>Gevolg was dat Nederland, net als een aantal andere lidstaten, medio 2022 overging tot het eerste niveau van gascrisis (het niveau van vroegtijdige waarschuwing). Parallel daaraan werden op het niveau van de Unie in een hoog tempo tijdelijk verordeningen aangenomen die onder meer waren gericht op gasopslag, gasbesparing, gezamenlijke inkoop van gas en het bieden van solidariteit. Met name de hoge gasprijzen leidden ertoe dat het Nederlandse gasverbruik in de periode 2022-2023 met bijna 30% daalde van ca. 390</w:t>
      </w:r>
      <w:r w:rsidRPr="003B1DAE" w:rsidR="009F6705">
        <w:rPr>
          <w:rFonts w:eastAsia="Verdana" w:cs="Verdana"/>
        </w:rPr>
        <w:t xml:space="preserve"> </w:t>
      </w:r>
      <w:r w:rsidRPr="003B1DAE">
        <w:rPr>
          <w:rFonts w:eastAsia="Verdana" w:cs="Verdana"/>
        </w:rPr>
        <w:t xml:space="preserve">TWh naar minder dan 300 TWh, waarbij de grootste reductie vooral werd gerealiseerd in de industrie, gevolgd door huishoudens. Bovendien </w:t>
      </w:r>
      <w:r w:rsidRPr="003B1DAE" w:rsidR="00A4694F">
        <w:rPr>
          <w:rFonts w:eastAsia="Verdana" w:cs="Verdana"/>
        </w:rPr>
        <w:t xml:space="preserve">werd de </w:t>
      </w:r>
      <w:r w:rsidRPr="003B1DAE" w:rsidR="00FE5972">
        <w:rPr>
          <w:rFonts w:eastAsia="Verdana" w:cs="Verdana"/>
        </w:rPr>
        <w:t>LNG-importcapaciteit</w:t>
      </w:r>
      <w:r w:rsidRPr="003B1DAE" w:rsidR="00A4694F">
        <w:rPr>
          <w:rFonts w:eastAsia="Verdana" w:cs="Verdana"/>
        </w:rPr>
        <w:t xml:space="preserve"> </w:t>
      </w:r>
      <w:r w:rsidRPr="003B1DAE">
        <w:rPr>
          <w:rFonts w:eastAsia="Verdana" w:cs="Verdana"/>
        </w:rPr>
        <w:t xml:space="preserve">in hoog tempo </w:t>
      </w:r>
      <w:r w:rsidRPr="003B1DAE" w:rsidR="00DE5471">
        <w:rPr>
          <w:rFonts w:eastAsia="Verdana" w:cs="Verdana"/>
        </w:rPr>
        <w:t>uitgebreid door inhuur van drij</w:t>
      </w:r>
      <w:r w:rsidRPr="003B1DAE" w:rsidR="001E377E">
        <w:rPr>
          <w:rFonts w:eastAsia="Verdana" w:cs="Verdana"/>
        </w:rPr>
        <w:t>vende</w:t>
      </w:r>
      <w:r w:rsidRPr="003B1DAE" w:rsidR="00DE5471">
        <w:rPr>
          <w:rFonts w:eastAsia="Verdana" w:cs="Verdana"/>
        </w:rPr>
        <w:t xml:space="preserve"> </w:t>
      </w:r>
      <w:r w:rsidRPr="003B1DAE">
        <w:rPr>
          <w:rFonts w:eastAsia="Verdana" w:cs="Verdana"/>
        </w:rPr>
        <w:t>LNG-terminals gebouwd en werden de slots op deze terminals snel gevuld door de hoge marktvraag. Hierdoor is het overgrote deel van het Russisch gas inmiddels vervangen door gas uit andere bronnen. Ondanks de grote verstoringen is destijds in</w:t>
      </w:r>
      <w:r w:rsidRPr="003B1DAE" w:rsidR="001C1101">
        <w:rPr>
          <w:rFonts w:eastAsia="Verdana" w:cs="Verdana"/>
        </w:rPr>
        <w:t xml:space="preserve"> het overgrote deel van</w:t>
      </w:r>
      <w:r w:rsidRPr="003B1DAE">
        <w:rPr>
          <w:rFonts w:eastAsia="Verdana" w:cs="Verdana"/>
        </w:rPr>
        <w:t xml:space="preserve"> </w:t>
      </w:r>
      <w:r w:rsidRPr="003B1DAE" w:rsidR="00A76E1C">
        <w:rPr>
          <w:rFonts w:eastAsia="Verdana" w:cs="Verdana"/>
        </w:rPr>
        <w:t xml:space="preserve">de EU </w:t>
      </w:r>
      <w:r w:rsidRPr="003B1DAE" w:rsidR="00EE3CF8">
        <w:rPr>
          <w:rFonts w:eastAsia="Verdana" w:cs="Verdana"/>
        </w:rPr>
        <w:t xml:space="preserve">(afgezien van Duitsland in 2022 en Finland in 2023) </w:t>
      </w:r>
      <w:r w:rsidRPr="003B1DAE">
        <w:rPr>
          <w:rFonts w:eastAsia="Verdana" w:cs="Verdana"/>
        </w:rPr>
        <w:t>niet verder opgeschaald dan het eerste crisisniveau</w:t>
      </w:r>
      <w:r w:rsidRPr="003B1DAE" w:rsidR="00173D00">
        <w:rPr>
          <w:rFonts w:eastAsia="Verdana" w:cs="Verdana"/>
        </w:rPr>
        <w:t xml:space="preserve"> </w:t>
      </w:r>
      <w:r w:rsidRPr="003B1DAE">
        <w:rPr>
          <w:rFonts w:eastAsia="Verdana" w:cs="Verdana"/>
        </w:rPr>
        <w:t>en hebben lidstaten die over een strategische gasopslag beschikten deze niet ingezet.</w:t>
      </w:r>
    </w:p>
    <w:p w:rsidRPr="003B1DAE" w:rsidR="00A25164" w:rsidP="003B14FA" w:rsidRDefault="00A25164" w14:paraId="59927D2B" w14:textId="77777777">
      <w:pPr>
        <w:rPr>
          <w:rFonts w:eastAsia="Verdana" w:cs="Verdana"/>
          <w:szCs w:val="18"/>
        </w:rPr>
      </w:pPr>
    </w:p>
    <w:p w:rsidRPr="003B1DAE" w:rsidR="00A25164" w:rsidP="003B14FA" w:rsidRDefault="00A25164" w14:paraId="63D8D367" w14:textId="13EB582D">
      <w:pPr>
        <w:rPr>
          <w:rFonts w:eastAsia="Verdana" w:cs="Verdana"/>
          <w:szCs w:val="18"/>
        </w:rPr>
      </w:pPr>
      <w:r w:rsidRPr="003B1DAE">
        <w:rPr>
          <w:rFonts w:eastAsia="Verdana" w:cs="Verdana"/>
          <w:szCs w:val="18"/>
        </w:rPr>
        <w:t xml:space="preserve">In 2026 ontstond een nieuwe verstoring door de oorlog in het Midden-Oosten. Deze situatie verschilt met 2022. Het weggevallen volume als aandeel van de Europese gasvraag is kleiner en de leveringen uit de Golfregio verliepen grotendeels via LNG waardoor er meer flexibiliteit is in het realiseren van alternatieve aanvoer. </w:t>
      </w:r>
      <w:r w:rsidRPr="003B1DAE" w:rsidR="00C96385">
        <w:rPr>
          <w:rFonts w:eastAsia="Verdana" w:cs="Verdana"/>
          <w:szCs w:val="18"/>
        </w:rPr>
        <w:t>Wel</w:t>
      </w:r>
      <w:r w:rsidRPr="003B1DAE">
        <w:rPr>
          <w:rFonts w:eastAsia="Verdana" w:cs="Verdana"/>
          <w:szCs w:val="18"/>
        </w:rPr>
        <w:t xml:space="preserve"> is er nu sprake van een relatief hoge gasprijs (</w:t>
      </w:r>
      <w:r w:rsidRPr="003B1DAE" w:rsidR="00A47328">
        <w:rPr>
          <w:rFonts w:eastAsia="Verdana" w:cs="Verdana"/>
          <w:szCs w:val="18"/>
        </w:rPr>
        <w:t xml:space="preserve">eind </w:t>
      </w:r>
      <w:r w:rsidRPr="003B1DAE">
        <w:rPr>
          <w:rFonts w:eastAsia="Verdana" w:cs="Verdana"/>
          <w:szCs w:val="18"/>
        </w:rPr>
        <w:t>augustus ca. € 6</w:t>
      </w:r>
      <w:r w:rsidRPr="003B1DAE" w:rsidR="00A47328">
        <w:rPr>
          <w:rFonts w:eastAsia="Verdana" w:cs="Verdana"/>
          <w:szCs w:val="18"/>
        </w:rPr>
        <w:t>5-</w:t>
      </w:r>
      <w:r w:rsidRPr="003B1DAE" w:rsidR="008477DA">
        <w:rPr>
          <w:rFonts w:eastAsia="Verdana" w:cs="Verdana"/>
          <w:szCs w:val="18"/>
        </w:rPr>
        <w:t>70</w:t>
      </w:r>
      <w:r w:rsidRPr="003B1DAE">
        <w:rPr>
          <w:rFonts w:eastAsia="Verdana" w:cs="Verdana"/>
          <w:szCs w:val="18"/>
        </w:rPr>
        <w:t xml:space="preserve">/Mwh), maar lang niet zo hoog als het niveau dat eind augustus 2022 werd bereikt. Ook in 2026 bleken gasstromen zich snel aan te passen, waardoor leveringen </w:t>
      </w:r>
      <w:r w:rsidRPr="003B1DAE" w:rsidR="00C96385">
        <w:rPr>
          <w:rFonts w:eastAsia="Verdana" w:cs="Verdana"/>
          <w:szCs w:val="18"/>
        </w:rPr>
        <w:t>aan</w:t>
      </w:r>
      <w:r w:rsidRPr="003B1DAE">
        <w:rPr>
          <w:rFonts w:eastAsia="Verdana" w:cs="Verdana"/>
          <w:szCs w:val="18"/>
        </w:rPr>
        <w:t xml:space="preserve"> Europa door bleven gaan. Hierdoor zijn er geen zorgen</w:t>
      </w:r>
      <w:r w:rsidRPr="003B1DAE" w:rsidR="00874808">
        <w:rPr>
          <w:rFonts w:eastAsia="Verdana" w:cs="Verdana"/>
          <w:szCs w:val="18"/>
        </w:rPr>
        <w:t xml:space="preserve"> </w:t>
      </w:r>
      <w:r w:rsidRPr="003B1DAE">
        <w:rPr>
          <w:rFonts w:eastAsia="Verdana" w:cs="Verdana"/>
          <w:szCs w:val="18"/>
        </w:rPr>
        <w:t>rondom de fysieke beschikbaarheid van gas.</w:t>
      </w:r>
    </w:p>
    <w:p w:rsidRPr="003B1DAE" w:rsidR="00567239" w:rsidP="003B14FA" w:rsidRDefault="00567239" w14:paraId="48F80446" w14:textId="77777777">
      <w:pPr>
        <w:rPr>
          <w:rFonts w:eastAsia="Verdana" w:cs="Verdana"/>
          <w:szCs w:val="18"/>
        </w:rPr>
      </w:pPr>
    </w:p>
    <w:p w:rsidRPr="003B1DAE" w:rsidR="007F75AE" w:rsidP="003B14FA" w:rsidRDefault="00266503" w14:paraId="7F657DE0" w14:textId="6D98912F">
      <w:pPr>
        <w:rPr>
          <w:rFonts w:eastAsia="Verdana" w:cs="Verdana"/>
          <w:szCs w:val="18"/>
        </w:rPr>
      </w:pPr>
      <w:r w:rsidRPr="003B1DAE">
        <w:rPr>
          <w:rFonts w:eastAsia="Verdana" w:cs="Verdana"/>
        </w:rPr>
        <w:t>Vanuit de verordening gasleveringszekerheid moet</w:t>
      </w:r>
      <w:r w:rsidRPr="003B1DAE" w:rsidR="00C96385">
        <w:rPr>
          <w:rFonts w:eastAsia="Verdana" w:cs="Verdana"/>
        </w:rPr>
        <w:t>en</w:t>
      </w:r>
      <w:r w:rsidRPr="003B1DAE">
        <w:rPr>
          <w:rFonts w:eastAsia="Verdana" w:cs="Verdana"/>
        </w:rPr>
        <w:t xml:space="preserve"> </w:t>
      </w:r>
      <w:r w:rsidRPr="003B1DAE" w:rsidR="00272EF3">
        <w:rPr>
          <w:rFonts w:eastAsia="Verdana" w:cs="Verdana"/>
        </w:rPr>
        <w:t>de nationale risico-</w:t>
      </w:r>
      <w:r w:rsidRPr="003B1DAE" w:rsidR="00092ED5">
        <w:rPr>
          <w:rFonts w:eastAsia="Verdana" w:cs="Verdana"/>
        </w:rPr>
        <w:t>evaluatie</w:t>
      </w:r>
      <w:r w:rsidRPr="003B1DAE" w:rsidR="00FE5F1E">
        <w:rPr>
          <w:rFonts w:eastAsia="Verdana" w:cs="Verdana"/>
        </w:rPr>
        <w:t xml:space="preserve"> (in tandem met de </w:t>
      </w:r>
      <w:r w:rsidRPr="003B1DAE" w:rsidR="00E02770">
        <w:rPr>
          <w:rFonts w:eastAsia="Verdana" w:cs="Verdana"/>
        </w:rPr>
        <w:t>gemeenschappelijke</w:t>
      </w:r>
      <w:r w:rsidRPr="003B1DAE" w:rsidR="00FE5F1E">
        <w:rPr>
          <w:rFonts w:eastAsia="Verdana" w:cs="Verdana"/>
        </w:rPr>
        <w:t xml:space="preserve"> risico-evaluaties van de risicogroepen)</w:t>
      </w:r>
      <w:r w:rsidRPr="003B1DAE" w:rsidR="00272EF3">
        <w:rPr>
          <w:rFonts w:eastAsia="Verdana" w:cs="Verdana"/>
        </w:rPr>
        <w:t xml:space="preserve">, </w:t>
      </w:r>
      <w:r w:rsidRPr="003B1DAE" w:rsidR="00C96385">
        <w:rPr>
          <w:rFonts w:eastAsia="Verdana" w:cs="Verdana"/>
        </w:rPr>
        <w:t xml:space="preserve">het </w:t>
      </w:r>
      <w:r w:rsidRPr="003B1DAE" w:rsidR="00272EF3">
        <w:rPr>
          <w:rFonts w:eastAsia="Verdana" w:cs="Verdana"/>
        </w:rPr>
        <w:t xml:space="preserve">preventief actieplan en </w:t>
      </w:r>
      <w:r w:rsidRPr="003B1DAE" w:rsidR="00C96385">
        <w:rPr>
          <w:rFonts w:eastAsia="Verdana" w:cs="Verdana"/>
        </w:rPr>
        <w:t>het</w:t>
      </w:r>
      <w:r w:rsidRPr="003B1DAE" w:rsidR="00272EF3">
        <w:rPr>
          <w:rFonts w:eastAsia="Verdana" w:cs="Verdana"/>
        </w:rPr>
        <w:t xml:space="preserve"> noodplan</w:t>
      </w:r>
      <w:r w:rsidRPr="003B1DAE" w:rsidR="004E40BD">
        <w:rPr>
          <w:rStyle w:val="Voetnootmarkering"/>
          <w:rFonts w:eastAsia="Verdana" w:cs="Verdana"/>
        </w:rPr>
        <w:footnoteReference w:id="81"/>
      </w:r>
      <w:r w:rsidRPr="003B1DAE" w:rsidR="00272EF3">
        <w:rPr>
          <w:rFonts w:eastAsia="Verdana" w:cs="Verdana"/>
        </w:rPr>
        <w:t xml:space="preserve"> elke vier jaar worden herzien. </w:t>
      </w:r>
      <w:r w:rsidRPr="003B1DAE" w:rsidR="00DE21B9">
        <w:rPr>
          <w:rFonts w:eastAsia="Verdana" w:cs="Verdana"/>
        </w:rPr>
        <w:t xml:space="preserve">Hiermee worden risico’s in kaart gebracht, </w:t>
      </w:r>
      <w:r w:rsidRPr="003B1DAE" w:rsidR="00591E13">
        <w:rPr>
          <w:rFonts w:eastAsia="Verdana" w:cs="Verdana"/>
        </w:rPr>
        <w:t xml:space="preserve">preventieve maatregelen beschreven ter voorkoming van deze risico’s en </w:t>
      </w:r>
      <w:r w:rsidRPr="003B1DAE" w:rsidR="0055458E">
        <w:rPr>
          <w:rFonts w:eastAsia="Verdana" w:cs="Verdana"/>
        </w:rPr>
        <w:t xml:space="preserve">maatregelen </w:t>
      </w:r>
      <w:r w:rsidRPr="003B1DAE" w:rsidR="00092ED5">
        <w:rPr>
          <w:rFonts w:eastAsia="Verdana" w:cs="Verdana"/>
        </w:rPr>
        <w:t>om de effecten van een verstoring van de gaslevering weg te nemen of te beperken.</w:t>
      </w:r>
      <w:r w:rsidRPr="003B1DAE" w:rsidR="006E578E">
        <w:rPr>
          <w:rFonts w:eastAsia="Verdana" w:cs="Verdana"/>
        </w:rPr>
        <w:t xml:space="preserve"> Het kabinet is begonnen met de herziening van de nationale risico-evaluatie en zal daarna ook het preventie</w:t>
      </w:r>
      <w:r w:rsidRPr="003B1DAE" w:rsidR="00E76B6F">
        <w:rPr>
          <w:rFonts w:eastAsia="Verdana" w:cs="Verdana"/>
        </w:rPr>
        <w:t>f</w:t>
      </w:r>
      <w:r w:rsidRPr="003B1DAE" w:rsidR="006E578E">
        <w:rPr>
          <w:rFonts w:eastAsia="Verdana" w:cs="Verdana"/>
        </w:rPr>
        <w:t xml:space="preserve"> actieplan en </w:t>
      </w:r>
      <w:r w:rsidRPr="003B1DAE" w:rsidR="00964978">
        <w:rPr>
          <w:rFonts w:eastAsia="Verdana" w:cs="Verdana"/>
        </w:rPr>
        <w:t>het</w:t>
      </w:r>
      <w:r w:rsidRPr="003B1DAE" w:rsidR="006E578E">
        <w:rPr>
          <w:rFonts w:eastAsia="Verdana" w:cs="Verdana"/>
        </w:rPr>
        <w:t xml:space="preserve"> noodplan herzien.</w:t>
      </w:r>
    </w:p>
    <w:p w:rsidRPr="003B1DAE" w:rsidR="00A25164" w:rsidP="003B14FA" w:rsidRDefault="00A25164" w14:paraId="10330F21" w14:textId="77777777">
      <w:pPr>
        <w:rPr>
          <w:rFonts w:eastAsia="Verdana" w:cs="Verdana"/>
          <w:szCs w:val="18"/>
        </w:rPr>
      </w:pPr>
    </w:p>
    <w:p w:rsidRPr="003B1DAE" w:rsidR="00A25164" w:rsidP="003B14FA" w:rsidRDefault="00A25164" w14:paraId="11D8305F" w14:textId="19068B9C">
      <w:pPr>
        <w:rPr>
          <w:rFonts w:eastAsia="Verdana" w:cs="Verdana"/>
          <w:b/>
          <w:szCs w:val="18"/>
        </w:rPr>
      </w:pPr>
      <w:r w:rsidRPr="003B1DAE">
        <w:rPr>
          <w:rFonts w:eastAsia="Verdana" w:cs="Verdana"/>
          <w:b/>
          <w:szCs w:val="18"/>
        </w:rPr>
        <w:t>C.</w:t>
      </w:r>
      <w:r w:rsidRPr="003B1DAE" w:rsidR="007F75AE">
        <w:rPr>
          <w:rFonts w:eastAsia="Verdana" w:cs="Verdana"/>
          <w:b/>
          <w:szCs w:val="18"/>
        </w:rPr>
        <w:t>6</w:t>
      </w:r>
      <w:r w:rsidRPr="003B1DAE" w:rsidR="00D33070">
        <w:rPr>
          <w:rFonts w:eastAsia="Verdana" w:cs="Verdana"/>
          <w:b/>
          <w:szCs w:val="18"/>
        </w:rPr>
        <w:t>.</w:t>
      </w:r>
      <w:r w:rsidRPr="003B1DAE">
        <w:rPr>
          <w:rFonts w:eastAsia="Verdana" w:cs="Verdana"/>
          <w:b/>
          <w:szCs w:val="18"/>
        </w:rPr>
        <w:t xml:space="preserve"> </w:t>
      </w:r>
      <w:r w:rsidRPr="003B1DAE">
        <w:rPr>
          <w:rFonts w:eastAsia="Verdana" w:cs="Verdana"/>
          <w:b/>
          <w:bCs/>
          <w:szCs w:val="18"/>
        </w:rPr>
        <w:t>Totstandkoming</w:t>
      </w:r>
      <w:r w:rsidRPr="003B1DAE">
        <w:rPr>
          <w:rFonts w:eastAsia="Verdana" w:cs="Verdana"/>
          <w:b/>
          <w:szCs w:val="18"/>
        </w:rPr>
        <w:t xml:space="preserve"> strategische opslag van 5 TWh</w:t>
      </w:r>
    </w:p>
    <w:p w:rsidRPr="003B1DAE" w:rsidR="00A25164" w:rsidP="003B14FA" w:rsidRDefault="00A25164" w14:paraId="2DC455A6" w14:textId="77777777">
      <w:pPr>
        <w:rPr>
          <w:rFonts w:eastAsia="Verdana" w:cs="Verdana"/>
          <w:b/>
          <w:szCs w:val="18"/>
        </w:rPr>
      </w:pPr>
    </w:p>
    <w:p w:rsidRPr="003B1DAE" w:rsidR="00A25164" w:rsidP="003B14FA" w:rsidRDefault="00A25164" w14:paraId="6016906D" w14:textId="77777777">
      <w:pPr>
        <w:rPr>
          <w:rFonts w:eastAsia="Verdana" w:cs="Verdana"/>
          <w:i/>
          <w:iCs/>
          <w:szCs w:val="18"/>
        </w:rPr>
      </w:pPr>
      <w:r w:rsidRPr="003B1DAE">
        <w:rPr>
          <w:rFonts w:eastAsia="Verdana" w:cs="Verdana"/>
          <w:i/>
          <w:iCs/>
          <w:szCs w:val="18"/>
        </w:rPr>
        <w:t>Terminologie strategische opslag vs. noodvoorraad</w:t>
      </w:r>
    </w:p>
    <w:p w:rsidRPr="003B1DAE" w:rsidR="00A25164" w:rsidP="003B14FA" w:rsidRDefault="00A25164" w14:paraId="5CAF9E9B" w14:textId="493AB039">
      <w:pPr>
        <w:rPr>
          <w:rFonts w:eastAsia="Verdana" w:cs="Verdana"/>
          <w:szCs w:val="18"/>
        </w:rPr>
      </w:pPr>
      <w:r w:rsidRPr="003B1DAE">
        <w:t>In de kamerbrief van april 2025</w:t>
      </w:r>
      <w:r w:rsidRPr="003B1DAE">
        <w:rPr>
          <w:vertAlign w:val="superscript"/>
        </w:rPr>
        <w:footnoteReference w:id="82"/>
      </w:r>
      <w:r w:rsidRPr="003B1DAE">
        <w:t xml:space="preserve"> is uiteengezet dat voor wat betreft de strategische opslag in de PGI Alkmaar voor de term ‘noodvoorraad’ is gekozen om te benadrukken dat deze voorraad alleen mag worden ingezet in situaties met fysieke tekorten en wanneer er in lijn met Verordening (EU) 2017/1938</w:t>
      </w:r>
      <w:r w:rsidRPr="003B1DAE">
        <w:rPr>
          <w:vertAlign w:val="superscript"/>
        </w:rPr>
        <w:footnoteReference w:id="83"/>
      </w:r>
      <w:r w:rsidRPr="003B1DAE">
        <w:t xml:space="preserve"> een noodsituatie is uitgeroepen. Een dergelijke voorraad mag niet gebruikt worden om bijvoorbeeld de gasprijs te dempen. In deze EU</w:t>
      </w:r>
      <w:r w:rsidRPr="003B1DAE" w:rsidR="00A477C6">
        <w:rPr>
          <w:szCs w:val="18"/>
        </w:rPr>
        <w:t>-</w:t>
      </w:r>
      <w:r w:rsidRPr="003B1DAE">
        <w:t>verordening wordt dit ‘strategische opslag’ genoemd.</w:t>
      </w:r>
      <w:r w:rsidRPr="003B1DAE">
        <w:rPr>
          <w:vertAlign w:val="superscript"/>
        </w:rPr>
        <w:footnoteReference w:id="84"/>
      </w:r>
      <w:r w:rsidRPr="003B1DAE">
        <w:t xml:space="preserve"> Omdat er ook externe adviezen zijn om, naar analogie met de strategische voorraden voor olie, deze voorraden ruimer in te kunnen zetten heeft mijn voorganger gekozen om de functie van de term ’strategische opslag’ te expliciteren met de term ‘noodvoorraad’. Hiermee wordt dus hetzelfde bedoeld als met het begrip strategische opslag</w:t>
      </w:r>
      <w:r w:rsidRPr="003B1DAE" w:rsidDel="0095797C">
        <w:rPr>
          <w:szCs w:val="18"/>
        </w:rPr>
        <w:t xml:space="preserve"> </w:t>
      </w:r>
      <w:r w:rsidRPr="003B1DAE">
        <w:t>zoals gedefinieerd in de</w:t>
      </w:r>
      <w:r w:rsidRPr="003B1DAE" w:rsidDel="00640974">
        <w:rPr>
          <w:szCs w:val="18"/>
        </w:rPr>
        <w:t xml:space="preserve"> </w:t>
      </w:r>
      <w:r w:rsidRPr="003B1DAE">
        <w:t>EU</w:t>
      </w:r>
      <w:r w:rsidRPr="003B1DAE" w:rsidR="00A477C6">
        <w:rPr>
          <w:szCs w:val="18"/>
        </w:rPr>
        <w:t>-</w:t>
      </w:r>
      <w:r w:rsidRPr="003B1DAE">
        <w:t xml:space="preserve">verordening. In deze brief wordt aangesloten bij de Europese definitie ‘strategische opslag’. De omvang van 5 TWh geeft twee weken tijd voor het zorgvuldig voorbereiden van het afschakelen van niet-beschermde afnemers, </w:t>
      </w:r>
      <w:r w:rsidRPr="003B1DAE">
        <w:rPr>
          <w:rFonts w:eastAsia="Verdana" w:cs="Verdana"/>
        </w:rPr>
        <w:t xml:space="preserve">waardoor technische schade aan installaties voorkomen wordt. </w:t>
      </w:r>
      <w:r w:rsidRPr="003B1DAE">
        <w:t>Deze voorraad beoogt dus geen prijs- of langdurig volume effect.</w:t>
      </w:r>
    </w:p>
    <w:p w:rsidRPr="003B1DAE" w:rsidR="00A25164" w:rsidP="003B14FA" w:rsidRDefault="00A25164" w14:paraId="5864878F" w14:textId="77777777">
      <w:pPr>
        <w:rPr>
          <w:szCs w:val="18"/>
        </w:rPr>
      </w:pPr>
    </w:p>
    <w:p w:rsidRPr="003B1DAE" w:rsidR="00A25164" w:rsidP="003B14FA" w:rsidRDefault="00A25164" w14:paraId="23B15E54" w14:textId="77777777">
      <w:pPr>
        <w:rPr>
          <w:i/>
          <w:iCs/>
          <w:szCs w:val="18"/>
        </w:rPr>
      </w:pPr>
      <w:r w:rsidRPr="003B1DAE">
        <w:rPr>
          <w:i/>
          <w:iCs/>
          <w:szCs w:val="18"/>
        </w:rPr>
        <w:t>Permanent maken van de tijdelijke voorraad in PGI Alkmaar</w:t>
      </w:r>
    </w:p>
    <w:p w:rsidRPr="0054295C" w:rsidR="00A25164" w:rsidP="003B14FA" w:rsidRDefault="00A25164" w14:paraId="667C8D23" w14:textId="13F4ADA6">
      <w:pPr>
        <w:rPr>
          <w:rFonts w:eastAsia="Verdana"/>
          <w:b/>
          <w:i/>
          <w:u w:val="single"/>
        </w:rPr>
      </w:pPr>
      <w:r w:rsidRPr="003B1DAE">
        <w:rPr>
          <w:rFonts w:eastAsia="Verdana" w:cs="Verdana"/>
        </w:rPr>
        <w:t>Eind 2025 is aan EBN voor het opslagjaar 2026/27 instemming en subsidie verleend om te starten met het aanleggen van een tijdelijke noodvoorraad van ca. 5 TWh in PGI Alkmaar.</w:t>
      </w:r>
      <w:r w:rsidRPr="003B1DAE">
        <w:rPr>
          <w:rStyle w:val="Voetnootmarkering"/>
          <w:rFonts w:eastAsia="Verdana" w:cs="Verdana"/>
        </w:rPr>
        <w:footnoteReference w:id="85"/>
      </w:r>
      <w:r w:rsidRPr="003B1DAE">
        <w:rPr>
          <w:rFonts w:eastAsia="Verdana" w:cs="Verdana"/>
        </w:rPr>
        <w:t xml:space="preserve"> Dit was nog voor het uitbreken van een </w:t>
      </w:r>
      <w:r w:rsidRPr="003B1DAE">
        <w:rPr>
          <w:rStyle w:val="normaltextrun"/>
          <w:rFonts w:eastAsia="Verdana" w:cs="Verdana"/>
        </w:rPr>
        <w:t>conflict in het Midden-Oosten. Bij de voorjaarsnota 2026</w:t>
      </w:r>
      <w:r w:rsidRPr="003B1DAE">
        <w:rPr>
          <w:rStyle w:val="Voetnootmarkering"/>
          <w:rFonts w:eastAsia="Verdana" w:cs="Verdana"/>
        </w:rPr>
        <w:footnoteReference w:id="86"/>
      </w:r>
      <w:r w:rsidRPr="003B1DAE">
        <w:rPr>
          <w:rStyle w:val="normaltextrun"/>
          <w:rFonts w:eastAsia="Verdana" w:cs="Verdana"/>
        </w:rPr>
        <w:t xml:space="preserve"> is budget vrijgemaakt om de tijdelijke noodvoorraad in 2027 tegen een gasprijs van ca. €</w:t>
      </w:r>
      <w:r w:rsidRPr="003B1DAE" w:rsidR="009025F6">
        <w:rPr>
          <w:rStyle w:val="normaltextrun"/>
          <w:rFonts w:eastAsia="Verdana" w:cs="Verdana"/>
        </w:rPr>
        <w:t xml:space="preserve"> </w:t>
      </w:r>
      <w:r w:rsidRPr="003B1DAE">
        <w:rPr>
          <w:rStyle w:val="normaltextrun"/>
          <w:rFonts w:eastAsia="Verdana" w:cs="Verdana"/>
        </w:rPr>
        <w:t xml:space="preserve">31 per MWh permanent te maken. Onder “permanent” moet hier worden verstaan dat in de toekomst voor het gas geen verkoopposities meer </w:t>
      </w:r>
      <w:r w:rsidRPr="003B1DAE" w:rsidR="00964978">
        <w:rPr>
          <w:rStyle w:val="normaltextrun"/>
          <w:rFonts w:eastAsia="Verdana" w:cs="Verdana"/>
        </w:rPr>
        <w:t>worden</w:t>
      </w:r>
      <w:r w:rsidRPr="003B1DAE">
        <w:rPr>
          <w:rStyle w:val="normaltextrun"/>
          <w:rFonts w:eastAsia="Verdana" w:cs="Verdana"/>
        </w:rPr>
        <w:t xml:space="preserve"> </w:t>
      </w:r>
      <w:r w:rsidRPr="003B1DAE" w:rsidR="00F6070C">
        <w:rPr>
          <w:rStyle w:val="normaltextrun"/>
          <w:rFonts w:eastAsia="Verdana" w:cs="Verdana"/>
        </w:rPr>
        <w:t>ingenomen</w:t>
      </w:r>
      <w:r w:rsidRPr="003B1DAE">
        <w:rPr>
          <w:rStyle w:val="normaltextrun"/>
          <w:rFonts w:eastAsia="Verdana" w:cs="Verdana"/>
        </w:rPr>
        <w:t xml:space="preserve"> en het gas ‘ongehedged’ in de opslag blijft zitten. Dat budget is op dit moment echter onvoldoende als gevolg van de toegenomen gasprijzen. </w:t>
      </w:r>
      <w:r w:rsidRPr="003B1DAE">
        <w:rPr>
          <w:rFonts w:eastAsia="Verdana" w:cs="Verdana"/>
        </w:rPr>
        <w:t xml:space="preserve">Het is kostbaar en verder prijsopdrijvend om voorbereidingen voor een toekomstige verstoring te treffen ten tijde van een verstoring gegeven de krapte op de markt. </w:t>
      </w:r>
      <w:r w:rsidRPr="003B1DAE">
        <w:rPr>
          <w:rStyle w:val="normaltextrun"/>
          <w:rFonts w:eastAsia="Verdana" w:cs="Verdana"/>
        </w:rPr>
        <w:t>Tegen die achtergrond vindt het kabinet het niet verstandig om de tijdelijke noodvoorraad dit opslagjaar al permanent te maken. Praktisch betekent dit het volgende: d</w:t>
      </w:r>
      <w:r w:rsidRPr="003B1DAE">
        <w:rPr>
          <w:rFonts w:eastAsia="Verdana" w:cs="Verdana"/>
        </w:rPr>
        <w:t>it opslagjaar zal er 5</w:t>
      </w:r>
      <w:r w:rsidR="003B14FA">
        <w:rPr>
          <w:rFonts w:eastAsia="Verdana" w:cs="Verdana"/>
        </w:rPr>
        <w:t> </w:t>
      </w:r>
      <w:r w:rsidRPr="003B1DAE">
        <w:rPr>
          <w:rFonts w:eastAsia="Verdana" w:cs="Verdana"/>
        </w:rPr>
        <w:t xml:space="preserve">TWh gas in PGI Alkmaar worden opgeslagen. Naar </w:t>
      </w:r>
      <w:r w:rsidRPr="003B1DAE">
        <w:rPr>
          <w:rStyle w:val="normaltextrun"/>
          <w:rFonts w:eastAsia="Verdana" w:cs="Verdana"/>
        </w:rPr>
        <w:t>verwachting zal er tijdens de winter van 2026/2027 gas worden geleverd vanuit de PGI. In feite functioneert de PGI aankomende winter daarmee als</w:t>
      </w:r>
      <w:r w:rsidRPr="003B1DAE" w:rsidR="009719C2">
        <w:rPr>
          <w:rStyle w:val="normaltextrun"/>
          <w:rFonts w:eastAsia="Verdana" w:cs="Verdana"/>
        </w:rPr>
        <w:t xml:space="preserve"> extra</w:t>
      </w:r>
      <w:r w:rsidRPr="003B1DAE">
        <w:rPr>
          <w:rStyle w:val="normaltextrun"/>
          <w:rFonts w:eastAsia="Verdana" w:cs="Verdana"/>
        </w:rPr>
        <w:t xml:space="preserve"> seizoensopslag. In 2027 zal de PGI opnieuw tot 5 TWh worden gevuld. Dit verkopen en weer opnieuw aankopen is naar verwachting financieel aantrekkelijker dan het gas in de opslag laten zitten en de verkoopposities ongedaan maken. </w:t>
      </w:r>
      <w:r w:rsidRPr="003B1DAE" w:rsidR="00093747">
        <w:rPr>
          <w:rStyle w:val="normaltextrun"/>
          <w:color w:val="000000" w:themeColor="text1"/>
        </w:rPr>
        <w:t xml:space="preserve">Bij de miljoenennota 2027 is extra budget vrijgemaakt zodat EBN </w:t>
      </w:r>
      <w:r w:rsidRPr="003B1DAE" w:rsidR="00093747">
        <w:rPr>
          <w:color w:val="000000" w:themeColor="text1"/>
        </w:rPr>
        <w:t>in 2027</w:t>
      </w:r>
      <w:r w:rsidRPr="003B1DAE" w:rsidR="00093747">
        <w:rPr>
          <w:rStyle w:val="normaltextrun"/>
          <w:color w:val="000000" w:themeColor="text1"/>
        </w:rPr>
        <w:t xml:space="preserve"> </w:t>
      </w:r>
      <w:r w:rsidRPr="003B1DAE" w:rsidR="00093747">
        <w:rPr>
          <w:color w:val="000000" w:themeColor="text1"/>
        </w:rPr>
        <w:t>maximaal</w:t>
      </w:r>
      <w:r w:rsidRPr="003B1DAE" w:rsidR="00093747">
        <w:rPr>
          <w:rStyle w:val="normaltextrun"/>
          <w:color w:val="000000" w:themeColor="text1"/>
        </w:rPr>
        <w:t xml:space="preserve"> 5 TWh in de PGI Alkmaar definitief op kan slaan als noodvoorraad.</w:t>
      </w:r>
      <w:r w:rsidRPr="003B1DAE" w:rsidR="00093747">
        <w:rPr>
          <w:rStyle w:val="Voetnootmarkering"/>
          <w:color w:val="000000" w:themeColor="text1"/>
        </w:rPr>
        <w:footnoteReference w:id="87"/>
      </w:r>
      <w:r w:rsidRPr="003B1DAE" w:rsidR="00093747">
        <w:rPr>
          <w:rStyle w:val="normaltextrun"/>
          <w:color w:val="000000" w:themeColor="text1"/>
        </w:rPr>
        <w:t xml:space="preserve"> </w:t>
      </w:r>
      <w:r w:rsidRPr="003B1DAE">
        <w:rPr>
          <w:rStyle w:val="normaltextrun"/>
          <w:rFonts w:eastAsia="Verdana" w:cs="Verdana"/>
        </w:rPr>
        <w:t xml:space="preserve">Hoeveel het kost om de tijdelijke noodvoorraad permanent te maken is afhankelijk van de gasprijs op het moment van aankopen. </w:t>
      </w:r>
    </w:p>
    <w:p w:rsidRPr="003B1DAE" w:rsidR="00F16EE5" w:rsidP="003B14FA" w:rsidRDefault="00F16EE5" w14:paraId="7B8EE928" w14:textId="77777777">
      <w:pPr>
        <w:rPr>
          <w:rFonts w:eastAsia="Verdana" w:cs="Verdana"/>
          <w:b/>
          <w:bCs/>
          <w:szCs w:val="18"/>
        </w:rPr>
      </w:pPr>
    </w:p>
    <w:p w:rsidRPr="003B1DAE" w:rsidR="00A25164" w:rsidP="003B14FA" w:rsidRDefault="00A25164" w14:paraId="41B7E8C6" w14:textId="77777777">
      <w:pPr>
        <w:pStyle w:val="Lijstalinea"/>
        <w:numPr>
          <w:ilvl w:val="0"/>
          <w:numId w:val="16"/>
        </w:numPr>
        <w:spacing w:line="240" w:lineRule="atLeast"/>
        <w:rPr>
          <w:rFonts w:ascii="Verdana" w:hAnsi="Verdana" w:eastAsia="Verdana" w:cs="Verdana"/>
          <w:b/>
          <w:bCs/>
          <w:sz w:val="18"/>
          <w:szCs w:val="18"/>
        </w:rPr>
      </w:pPr>
      <w:r w:rsidRPr="003B1DAE">
        <w:rPr>
          <w:rFonts w:ascii="Verdana" w:hAnsi="Verdana" w:eastAsia="Verdana" w:cs="Verdana"/>
          <w:b/>
          <w:bCs/>
          <w:sz w:val="18"/>
          <w:szCs w:val="18"/>
        </w:rPr>
        <w:t>Relevante aspecten bij toekomstig beleid gasopslagen</w:t>
      </w:r>
    </w:p>
    <w:p w:rsidRPr="003B1DAE" w:rsidR="00A25164" w:rsidP="003B14FA" w:rsidRDefault="00A25164" w14:paraId="4769BA70" w14:textId="77777777">
      <w:pPr>
        <w:rPr>
          <w:rFonts w:eastAsia="Verdana" w:cs="Verdana"/>
          <w:b/>
          <w:bCs/>
          <w:szCs w:val="18"/>
        </w:rPr>
      </w:pPr>
    </w:p>
    <w:p w:rsidRPr="003B1DAE" w:rsidR="00A25164" w:rsidP="003B14FA" w:rsidRDefault="00A25164" w14:paraId="3E22319B" w14:textId="5D524A93">
      <w:pPr>
        <w:rPr>
          <w:rFonts w:eastAsia="Verdana" w:cs="Verdana"/>
          <w:szCs w:val="18"/>
        </w:rPr>
      </w:pPr>
      <w:r w:rsidRPr="003B1DAE">
        <w:rPr>
          <w:rFonts w:eastAsia="Verdana" w:cs="Verdana"/>
          <w:szCs w:val="18"/>
        </w:rPr>
        <w:t xml:space="preserve">Om vooruit te kijken naar herzien beleid </w:t>
      </w:r>
      <w:r w:rsidRPr="003B1DAE" w:rsidR="00D045B0">
        <w:rPr>
          <w:rFonts w:eastAsia="Verdana" w:cs="Verdana"/>
          <w:szCs w:val="18"/>
        </w:rPr>
        <w:t>ten aanzien van</w:t>
      </w:r>
      <w:r w:rsidRPr="003B1DAE">
        <w:rPr>
          <w:rFonts w:eastAsia="Verdana" w:cs="Verdana"/>
          <w:szCs w:val="18"/>
        </w:rPr>
        <w:t xml:space="preserve"> de gasopslagen wordt een aantal onderwerpen verder uitgediept. Ten eerste het Europese krachtenveld en </w:t>
      </w:r>
      <w:r w:rsidRPr="003B1DAE" w:rsidR="00792DAC">
        <w:rPr>
          <w:rFonts w:eastAsia="Verdana" w:cs="Verdana"/>
          <w:szCs w:val="18"/>
        </w:rPr>
        <w:t xml:space="preserve">het </w:t>
      </w:r>
      <w:r w:rsidRPr="003B1DAE">
        <w:rPr>
          <w:rFonts w:eastAsia="Verdana" w:cs="Verdana"/>
          <w:szCs w:val="18"/>
        </w:rPr>
        <w:t xml:space="preserve">beleid in andere lidstaten, ten tweede wordt ingegaan </w:t>
      </w:r>
      <w:r w:rsidRPr="003B1DAE" w:rsidR="00792DAC">
        <w:rPr>
          <w:rFonts w:eastAsia="Verdana" w:cs="Verdana"/>
          <w:szCs w:val="18"/>
        </w:rPr>
        <w:t>op</w:t>
      </w:r>
      <w:r w:rsidRPr="003B1DAE">
        <w:rPr>
          <w:rFonts w:eastAsia="Verdana" w:cs="Verdana"/>
          <w:szCs w:val="18"/>
        </w:rPr>
        <w:t xml:space="preserve"> mogelijke opties voor het ontwerp van een strategische opslag, ten derde wordt stilgestaan bij de (on)mogelijkheden van de inzet van kussengas en ten vierde wordt stilgestaan bij het staande beleid ten aanzien van het dempen van hoge prijzen voor kwetsbare groepen. </w:t>
      </w:r>
    </w:p>
    <w:p w:rsidRPr="003B1DAE" w:rsidR="00A25164" w:rsidP="003B14FA" w:rsidRDefault="00A25164" w14:paraId="40D5D5C2" w14:textId="77777777">
      <w:pPr>
        <w:rPr>
          <w:rFonts w:eastAsia="Verdana" w:cs="Verdana"/>
          <w:b/>
          <w:bCs/>
          <w:szCs w:val="18"/>
        </w:rPr>
      </w:pPr>
    </w:p>
    <w:p w:rsidRPr="003B1DAE" w:rsidR="00A25164" w:rsidP="003B14FA" w:rsidRDefault="00A25164" w14:paraId="66765422" w14:textId="51794A12">
      <w:pPr>
        <w:rPr>
          <w:rFonts w:eastAsia="Verdana" w:cs="Verdana"/>
          <w:b/>
          <w:bCs/>
          <w:szCs w:val="18"/>
        </w:rPr>
      </w:pPr>
      <w:r w:rsidRPr="003B1DAE">
        <w:rPr>
          <w:rFonts w:eastAsia="Verdana" w:cs="Verdana"/>
          <w:b/>
          <w:bCs/>
          <w:szCs w:val="18"/>
        </w:rPr>
        <w:t>D.1</w:t>
      </w:r>
      <w:r w:rsidRPr="003B1DAE" w:rsidR="00D33070">
        <w:rPr>
          <w:rFonts w:eastAsia="Verdana" w:cs="Verdana"/>
          <w:b/>
          <w:bCs/>
          <w:szCs w:val="18"/>
        </w:rPr>
        <w:t>.</w:t>
      </w:r>
      <w:r w:rsidRPr="003B1DAE">
        <w:rPr>
          <w:rFonts w:eastAsia="Verdana" w:cs="Verdana"/>
          <w:b/>
          <w:bCs/>
          <w:szCs w:val="18"/>
        </w:rPr>
        <w:t xml:space="preserve"> Europees krachtenveld en beleid andere lidstaten</w:t>
      </w:r>
    </w:p>
    <w:p w:rsidRPr="003B1DAE" w:rsidR="00A25164" w:rsidP="003B14FA" w:rsidRDefault="00A25164" w14:paraId="64868254" w14:textId="77777777">
      <w:pPr>
        <w:rPr>
          <w:rFonts w:eastAsia="Verdana" w:cs="Verdana"/>
          <w:b/>
          <w:bCs/>
          <w:szCs w:val="18"/>
        </w:rPr>
      </w:pPr>
    </w:p>
    <w:p w:rsidRPr="003B1DAE" w:rsidR="00A25164" w:rsidP="003B14FA" w:rsidRDefault="00A25164" w14:paraId="1742B286" w14:textId="63936E98">
      <w:pPr>
        <w:rPr>
          <w:rFonts w:eastAsia="Verdana" w:cs="Verdana"/>
          <w:szCs w:val="18"/>
        </w:rPr>
      </w:pPr>
      <w:r w:rsidRPr="003B1DAE">
        <w:rPr>
          <w:rFonts w:eastAsia="Verdana" w:cs="Verdana"/>
        </w:rPr>
        <w:t>Zoals aangegeven in de hoofdboodschappen van deze brief zijn maatregelen op Europees niveau het effectiefst en zet het kabinet zich in voor Europese coördinatie ten aanzien van strategische gasopslag, zoals ook geadviseerd door de Mijnraad, PWC, GTS en CE Delft</w:t>
      </w:r>
      <w:r w:rsidRPr="003B1DAE" w:rsidR="00AA264A">
        <w:rPr>
          <w:rFonts w:eastAsia="Verdana" w:cs="Verdana"/>
        </w:rPr>
        <w:t>.</w:t>
      </w:r>
      <w:r w:rsidRPr="003B1DAE">
        <w:rPr>
          <w:rStyle w:val="Voetnootmarkering"/>
          <w:rFonts w:eastAsia="Verdana" w:cs="Verdana"/>
        </w:rPr>
        <w:footnoteReference w:id="88"/>
      </w:r>
      <w:r w:rsidRPr="003B1DAE">
        <w:rPr>
          <w:rFonts w:eastAsia="Verdana" w:cs="Verdana"/>
        </w:rPr>
        <w:t xml:space="preserve"> Voor Europese coördinatie ten aanzien van strategische gasopslagen blijkt vooralsnog geen draagvlak voor te zijn. Enkele individuele lidstaten</w:t>
      </w:r>
      <w:r w:rsidRPr="003B1DAE" w:rsidR="00FE216D">
        <w:rPr>
          <w:rFonts w:eastAsia="Verdana" w:cs="Verdana"/>
        </w:rPr>
        <w:t xml:space="preserve"> hebben al strategische opslagen of</w:t>
      </w:r>
      <w:r w:rsidRPr="003B1DAE">
        <w:rPr>
          <w:rFonts w:eastAsia="Verdana" w:cs="Verdana"/>
        </w:rPr>
        <w:t xml:space="preserve"> zijn al gestart met de aanleg </w:t>
      </w:r>
      <w:r w:rsidRPr="003B1DAE" w:rsidR="00936317">
        <w:rPr>
          <w:rFonts w:eastAsia="Verdana" w:cs="Verdana"/>
        </w:rPr>
        <w:t>daarvan</w:t>
      </w:r>
      <w:r w:rsidRPr="003B1DAE">
        <w:rPr>
          <w:rFonts w:eastAsia="Verdana" w:cs="Verdana"/>
        </w:rPr>
        <w:t>. Zo heeft Duitsland in juli 2026 aangekondigd in de komende jaren een strategische opslag van 24 TWh aan te zullen leggen.</w:t>
      </w:r>
      <w:r w:rsidRPr="003B1DAE" w:rsidR="002A1787">
        <w:rPr>
          <w:rFonts w:eastAsia="Verdana" w:cs="Verdana"/>
        </w:rPr>
        <w:t xml:space="preserve"> D</w:t>
      </w:r>
      <w:r w:rsidRPr="003B1DAE" w:rsidR="008E51EC">
        <w:rPr>
          <w:rFonts w:eastAsia="Verdana" w:cs="Verdana"/>
        </w:rPr>
        <w:t>aarmee zou Duitsland bij onverminderd verbruik</w:t>
      </w:r>
      <w:r w:rsidRPr="003B1DAE" w:rsidR="006E7B09">
        <w:rPr>
          <w:rFonts w:eastAsia="Verdana" w:cs="Verdana"/>
        </w:rPr>
        <w:t xml:space="preserve"> </w:t>
      </w:r>
      <w:r w:rsidRPr="003B1DAE" w:rsidR="000958A3">
        <w:rPr>
          <w:rFonts w:eastAsia="Verdana" w:cs="Verdana"/>
        </w:rPr>
        <w:t>30</w:t>
      </w:r>
      <w:r w:rsidRPr="003B1DAE">
        <w:rPr>
          <w:rFonts w:eastAsia="Verdana" w:cs="Verdana"/>
        </w:rPr>
        <w:t xml:space="preserve"> </w:t>
      </w:r>
      <w:r w:rsidRPr="003B1DAE" w:rsidR="006E7B09">
        <w:rPr>
          <w:rFonts w:eastAsia="Verdana" w:cs="Verdana"/>
        </w:rPr>
        <w:t>dagen kunnen leveren</w:t>
      </w:r>
      <w:r w:rsidRPr="003B1DAE" w:rsidR="000958A3">
        <w:rPr>
          <w:rFonts w:eastAsia="Verdana" w:cs="Verdana"/>
        </w:rPr>
        <w:t xml:space="preserve"> als de grootste bron van volume </w:t>
      </w:r>
      <w:r w:rsidRPr="003B1DAE" w:rsidR="00C4386F">
        <w:rPr>
          <w:rFonts w:eastAsia="Verdana" w:cs="Verdana"/>
        </w:rPr>
        <w:t>uitvalt</w:t>
      </w:r>
      <w:r w:rsidRPr="003B1DAE" w:rsidR="006E7B09">
        <w:rPr>
          <w:rFonts w:eastAsia="Verdana" w:cs="Verdana"/>
        </w:rPr>
        <w:t>.</w:t>
      </w:r>
      <w:r w:rsidRPr="003B1DAE" w:rsidR="00A87980">
        <w:rPr>
          <w:rFonts w:eastAsia="Verdana" w:cs="Verdana"/>
        </w:rPr>
        <w:t xml:space="preserve"> </w:t>
      </w:r>
      <w:r w:rsidRPr="003B1DAE">
        <w:rPr>
          <w:rFonts w:eastAsia="Verdana" w:cs="Verdana"/>
        </w:rPr>
        <w:t xml:space="preserve">Verder zijn er veel lidstaten die al eerder (bijvoorbeeld naar aanleiding van de gascrisis van 2022) een strategische opslag hebben aangelegd, zoals Oostenrijk, Spanje en Italië. In de bijlage is een tabel opgenomen met de inzet t.a.v. strategische opslag per lidstaat en waar mogelijk is deze informatie ook geverifieerd bij de desbetreffende lidstaten. De methodiek om te komen tot een omvang van een strategische opslag verschilt sterk per lidstaat. Ook de wijze van bekostiging van de opslag verschilt, bijvoorbeeld via algemene middelen of, indien dit de taak is van de transmissiesysteembeheerder, via de gereguleerde tarieven van de transmissiesysteembeheerder. Ongeacht de manier van bekostigen </w:t>
      </w:r>
      <w:r w:rsidRPr="003B1DAE" w:rsidR="00420259">
        <w:rPr>
          <w:rFonts w:eastAsia="Verdana" w:cs="Verdana"/>
        </w:rPr>
        <w:t xml:space="preserve">slaan </w:t>
      </w:r>
      <w:r w:rsidRPr="003B1DAE">
        <w:rPr>
          <w:rFonts w:eastAsia="Verdana" w:cs="Verdana"/>
        </w:rPr>
        <w:t>de kosten van deze maatregelen</w:t>
      </w:r>
      <w:r w:rsidRPr="003B1DAE" w:rsidR="002B4825">
        <w:rPr>
          <w:rFonts w:eastAsia="Verdana" w:cs="Verdana"/>
        </w:rPr>
        <w:t xml:space="preserve"> (grotendeels)</w:t>
      </w:r>
      <w:r w:rsidRPr="003B1DAE">
        <w:rPr>
          <w:rFonts w:eastAsia="Verdana" w:cs="Verdana"/>
        </w:rPr>
        <w:t xml:space="preserve"> nationaal neer. De strategische opslagen komen echter ten goede aan de gehele Europese Unie, omdat lidstaten een strategische opslag, gezien de werking van de Europese interne markt</w:t>
      </w:r>
      <w:r w:rsidRPr="003B1DAE" w:rsidR="00A57613">
        <w:rPr>
          <w:rFonts w:eastAsia="Verdana" w:cs="Verdana"/>
        </w:rPr>
        <w:t xml:space="preserve"> en de Europese regelgeving daarover</w:t>
      </w:r>
      <w:r w:rsidRPr="003B1DAE">
        <w:rPr>
          <w:rFonts w:eastAsia="Verdana" w:cs="Verdana"/>
        </w:rPr>
        <w:t>, niet alleen voor zichzelf kunnen houden. Daardoor maken deze nationale maatregelen de Europese Unie als geheel weerbaarder tegen een verstoring van het aanbod van aardgas.</w:t>
      </w:r>
    </w:p>
    <w:p w:rsidRPr="003B1DAE" w:rsidR="00A25164" w:rsidP="003B14FA" w:rsidRDefault="00A25164" w14:paraId="74C788A2" w14:textId="77777777">
      <w:pPr>
        <w:rPr>
          <w:rFonts w:eastAsia="Verdana" w:cs="Verdana"/>
          <w:szCs w:val="18"/>
        </w:rPr>
      </w:pPr>
    </w:p>
    <w:p w:rsidRPr="003B1DAE" w:rsidR="00A25164" w:rsidP="003B14FA" w:rsidRDefault="00A25164" w14:paraId="25D19368" w14:textId="77777777">
      <w:pPr>
        <w:rPr>
          <w:rFonts w:eastAsia="Verdana" w:cs="Verdana"/>
          <w:b/>
          <w:bCs/>
          <w:szCs w:val="18"/>
        </w:rPr>
      </w:pPr>
      <w:r w:rsidRPr="003B1DAE">
        <w:rPr>
          <w:rFonts w:eastAsia="Verdana" w:cs="Verdana"/>
          <w:b/>
          <w:bCs/>
          <w:szCs w:val="18"/>
        </w:rPr>
        <w:t>D.2. Opties voor ontwerp strategische opslag</w:t>
      </w:r>
    </w:p>
    <w:p w:rsidRPr="003B1DAE" w:rsidR="00A25164" w:rsidP="003B14FA" w:rsidRDefault="00A25164" w14:paraId="7410CDA0" w14:textId="77777777">
      <w:pPr>
        <w:rPr>
          <w:rFonts w:eastAsia="Verdana" w:cs="Verdana"/>
          <w:b/>
          <w:bCs/>
          <w:szCs w:val="18"/>
        </w:rPr>
      </w:pPr>
    </w:p>
    <w:p w:rsidRPr="003B1DAE" w:rsidR="00A25164" w:rsidP="003B14FA" w:rsidRDefault="00A25164" w14:paraId="43AD72F4" w14:textId="3B2FF403">
      <w:pPr>
        <w:rPr>
          <w:rFonts w:eastAsia="Verdana" w:cs="Verdana"/>
          <w:szCs w:val="18"/>
        </w:rPr>
      </w:pPr>
      <w:r w:rsidRPr="003B1DAE">
        <w:rPr>
          <w:rFonts w:eastAsia="Verdana" w:cs="Verdana"/>
        </w:rPr>
        <w:t>Het kabinet heeft, in uitvoering van</w:t>
      </w:r>
      <w:r w:rsidRPr="003B1DAE" w:rsidR="00AF1B2A">
        <w:rPr>
          <w:rFonts w:eastAsia="Verdana" w:cs="Verdana"/>
        </w:rPr>
        <w:t xml:space="preserve"> de</w:t>
      </w:r>
      <w:r w:rsidRPr="003B1DAE">
        <w:rPr>
          <w:rFonts w:eastAsia="Verdana" w:cs="Verdana"/>
        </w:rPr>
        <w:t xml:space="preserve"> moties </w:t>
      </w:r>
      <w:r w:rsidRPr="003B1DAE" w:rsidR="00AF1B2A">
        <w:rPr>
          <w:rFonts w:eastAsia="Verdana" w:cs="Verdana"/>
        </w:rPr>
        <w:t xml:space="preserve">van het </w:t>
      </w:r>
      <w:r w:rsidRPr="003B1DAE" w:rsidR="00936317">
        <w:rPr>
          <w:rFonts w:eastAsia="Verdana" w:cs="Verdana"/>
        </w:rPr>
        <w:t>l</w:t>
      </w:r>
      <w:r w:rsidRPr="003B1DAE" w:rsidR="00AF1B2A">
        <w:rPr>
          <w:rFonts w:eastAsia="Verdana" w:cs="Verdana"/>
        </w:rPr>
        <w:t>id Postma (NSC) van 11 juni 2025</w:t>
      </w:r>
      <w:r w:rsidRPr="003B1DAE" w:rsidR="00AF1B2A">
        <w:rPr>
          <w:rStyle w:val="Voetnootmarkering"/>
          <w:rFonts w:eastAsia="Verdana" w:cs="Verdana"/>
        </w:rPr>
        <w:footnoteReference w:id="89"/>
      </w:r>
      <w:r w:rsidRPr="003B1DAE">
        <w:rPr>
          <w:rFonts w:eastAsia="Verdana" w:cs="Verdana"/>
        </w:rPr>
        <w:t>, onderzocht welke mogelijkheden er zijn ten aanzien van een nationale strategische opslag die verder gaat dan de 5 TWh in de PGI Alkmaar waar nu mee wordt gestart</w:t>
      </w:r>
      <w:r w:rsidRPr="003B1DAE" w:rsidR="00AF1B2A">
        <w:rPr>
          <w:rFonts w:eastAsia="Verdana" w:cs="Verdana"/>
        </w:rPr>
        <w:t>.</w:t>
      </w:r>
      <w:r w:rsidRPr="003B1DAE" w:rsidR="00AF1B2A">
        <w:rPr>
          <w:rStyle w:val="Voetnootmarkering"/>
          <w:rFonts w:eastAsia="Verdana" w:cs="Verdana"/>
        </w:rPr>
        <w:footnoteReference w:id="90"/>
      </w:r>
      <w:r w:rsidRPr="003B1DAE">
        <w:rPr>
          <w:rFonts w:eastAsia="Verdana" w:cs="Verdana"/>
        </w:rPr>
        <w:t xml:space="preserve"> Hiertoe is gekeken naar de mogelijke momenten van inzet van een strategische opslag, de locaties waar het zou kunnen worden opgeslagen, de omvang en mogelijk gebruik van kussengas voor dit doel. Deze informatie is bedoeld om de Tweede Kamer te informeren over mogelijke alternatieve opties voor een strategische opslag. Onder de huidige EU-verordeningen en de bijbehorende overheidsinzet (dus met vuldoelen) is </w:t>
      </w:r>
      <w:r w:rsidRPr="003B1DAE" w:rsidR="0089456C">
        <w:rPr>
          <w:rFonts w:eastAsia="Verdana" w:cs="Verdana"/>
        </w:rPr>
        <w:t xml:space="preserve">in ieder geval </w:t>
      </w:r>
      <w:r w:rsidRPr="003B1DAE">
        <w:rPr>
          <w:rFonts w:eastAsia="Verdana" w:cs="Verdana"/>
        </w:rPr>
        <w:t>een strategische opslag van 5 TWh wenselijk.</w:t>
      </w:r>
      <w:r w:rsidRPr="003B1DAE" w:rsidR="0089456C">
        <w:rPr>
          <w:rFonts w:eastAsia="Verdana" w:cs="Verdana"/>
        </w:rPr>
        <w:t xml:space="preserve"> Over </w:t>
      </w:r>
      <w:r w:rsidRPr="003B1DAE" w:rsidR="00735AFC">
        <w:rPr>
          <w:rFonts w:eastAsia="Verdana" w:cs="Verdana"/>
        </w:rPr>
        <w:t>mogelijk</w:t>
      </w:r>
      <w:r w:rsidRPr="003B1DAE" w:rsidR="0089456C">
        <w:rPr>
          <w:rFonts w:eastAsia="Verdana" w:cs="Verdana"/>
        </w:rPr>
        <w:t xml:space="preserve"> verdere uitbreiding </w:t>
      </w:r>
      <w:r w:rsidRPr="003B1DAE" w:rsidR="001C0723">
        <w:rPr>
          <w:rFonts w:eastAsia="Verdana" w:cs="Verdana"/>
        </w:rPr>
        <w:t xml:space="preserve">in samenhang met flankerend beleid, gaat het </w:t>
      </w:r>
      <w:r w:rsidRPr="003B1DAE" w:rsidR="00395D9B">
        <w:rPr>
          <w:rFonts w:eastAsia="Verdana" w:cs="Verdana"/>
        </w:rPr>
        <w:t xml:space="preserve">kabinet graag met de </w:t>
      </w:r>
      <w:r w:rsidRPr="003B1DAE" w:rsidR="009A1E07">
        <w:rPr>
          <w:rFonts w:eastAsia="Verdana" w:cs="Verdana"/>
        </w:rPr>
        <w:t>Kamer het gesprek aan.</w:t>
      </w:r>
      <w:r w:rsidRPr="003B1DAE">
        <w:rPr>
          <w:rFonts w:eastAsia="Verdana" w:cs="Verdana"/>
        </w:rPr>
        <w:t xml:space="preserve"> In het najaar wordt het voorstel van de Europese Commissie ten aanzien van de herziening van de </w:t>
      </w:r>
      <w:r w:rsidRPr="003B1DAE" w:rsidR="009025F6">
        <w:rPr>
          <w:rFonts w:eastAsia="Verdana" w:cs="Verdana"/>
        </w:rPr>
        <w:t>V</w:t>
      </w:r>
      <w:r w:rsidRPr="003B1DAE">
        <w:rPr>
          <w:rFonts w:eastAsia="Verdana" w:cs="Verdana"/>
        </w:rPr>
        <w:t xml:space="preserve">erordening </w:t>
      </w:r>
      <w:r w:rsidRPr="003B1DAE" w:rsidR="009025F6">
        <w:rPr>
          <w:rFonts w:eastAsia="Verdana" w:cs="Verdana"/>
        </w:rPr>
        <w:t>gas</w:t>
      </w:r>
      <w:r w:rsidRPr="003B1DAE">
        <w:rPr>
          <w:rFonts w:eastAsia="Verdana" w:cs="Verdana"/>
        </w:rPr>
        <w:t>leveringszekerheid verwacht, waarbij ook in zal worden gegaan op de voortzetting van de vuldoelen. Als deze worden afgeschaft zal het kabinet een nieuw beleidsvoorstel doen, mogelijk in lijn met een van de onderzochte opties in deze brief. Het eerstvolgende moment om met een beleidsvoorstel te komen is bij Voorjaarsbesluitvorming in 2027.</w:t>
      </w:r>
    </w:p>
    <w:p w:rsidRPr="003B1DAE" w:rsidR="00A25164" w:rsidP="003B14FA" w:rsidRDefault="00A25164" w14:paraId="701FCFFB" w14:textId="77777777">
      <w:pPr>
        <w:rPr>
          <w:rFonts w:eastAsia="Verdana" w:cs="Verdana"/>
          <w:szCs w:val="18"/>
        </w:rPr>
      </w:pPr>
    </w:p>
    <w:p w:rsidRPr="003B1DAE" w:rsidR="00A25164" w:rsidP="003B14FA" w:rsidRDefault="00A25164" w14:paraId="0F7ACC1E" w14:textId="5A82BBBD">
      <w:pPr>
        <w:rPr>
          <w:rFonts w:eastAsia="Verdana" w:cs="Verdana"/>
          <w:szCs w:val="18"/>
        </w:rPr>
      </w:pPr>
      <w:r w:rsidRPr="003B1DAE">
        <w:rPr>
          <w:rFonts w:eastAsia="Verdana" w:cs="Verdana"/>
          <w:szCs w:val="18"/>
        </w:rPr>
        <w:t xml:space="preserve">Om een idee te geven van de omvang </w:t>
      </w:r>
      <w:r w:rsidRPr="003B1DAE" w:rsidR="00936317">
        <w:rPr>
          <w:rFonts w:eastAsia="Verdana" w:cs="Verdana"/>
          <w:szCs w:val="18"/>
        </w:rPr>
        <w:t>een</w:t>
      </w:r>
      <w:r w:rsidRPr="003B1DAE">
        <w:rPr>
          <w:rFonts w:eastAsia="Verdana" w:cs="Verdana"/>
          <w:szCs w:val="18"/>
        </w:rPr>
        <w:t xml:space="preserve"> mogelijke strategische </w:t>
      </w:r>
      <w:r w:rsidRPr="003B1DAE" w:rsidR="00936317">
        <w:rPr>
          <w:rFonts w:eastAsia="Verdana" w:cs="Verdana"/>
          <w:szCs w:val="18"/>
        </w:rPr>
        <w:t xml:space="preserve">opslag </w:t>
      </w:r>
      <w:r w:rsidRPr="003B1DAE">
        <w:rPr>
          <w:rFonts w:eastAsia="Verdana" w:cs="Verdana"/>
          <w:szCs w:val="18"/>
        </w:rPr>
        <w:t xml:space="preserve">zijn vier opties weergegeven. In bijlage 1 is additionele informatie over deze opties te vinden. </w:t>
      </w:r>
    </w:p>
    <w:p w:rsidRPr="003B1DAE" w:rsidR="00A25164" w:rsidP="003B14FA" w:rsidRDefault="00A25164" w14:paraId="74F55F28" w14:textId="77777777">
      <w:pPr>
        <w:rPr>
          <w:rFonts w:eastAsia="Verdana" w:cs="Verdana"/>
          <w:szCs w:val="18"/>
        </w:rPr>
      </w:pPr>
    </w:p>
    <w:p w:rsidRPr="003B1DAE" w:rsidR="00A25164" w:rsidP="003B14FA" w:rsidRDefault="00A25164" w14:paraId="04506D95" w14:textId="77777777">
      <w:pPr>
        <w:rPr>
          <w:rFonts w:eastAsia="Verdana" w:cs="Verdana"/>
          <w:i/>
          <w:iCs/>
          <w:szCs w:val="18"/>
        </w:rPr>
      </w:pPr>
      <w:r w:rsidRPr="003B1DAE">
        <w:rPr>
          <w:rFonts w:eastAsia="Verdana" w:cs="Verdana"/>
          <w:i/>
          <w:iCs/>
          <w:szCs w:val="18"/>
        </w:rPr>
        <w:t>Inzet/gebruik van strategische opslag</w:t>
      </w:r>
    </w:p>
    <w:p w:rsidRPr="003B1DAE" w:rsidR="00A25164" w:rsidP="003B14FA" w:rsidRDefault="00A25164" w14:paraId="1C889DE9" w14:textId="4FFF0968">
      <w:pPr>
        <w:rPr>
          <w:rFonts w:eastAsia="Verdana" w:cs="Verdana"/>
          <w:szCs w:val="18"/>
        </w:rPr>
      </w:pPr>
      <w:r w:rsidRPr="003B1DAE">
        <w:rPr>
          <w:rFonts w:eastAsia="Verdana" w:cs="Verdana"/>
          <w:szCs w:val="18"/>
        </w:rPr>
        <w:t xml:space="preserve">Zoals eerder genoemd </w:t>
      </w:r>
      <w:r w:rsidRPr="003B1DAE" w:rsidR="00936317">
        <w:rPr>
          <w:rFonts w:eastAsia="Verdana" w:cs="Verdana"/>
          <w:szCs w:val="18"/>
        </w:rPr>
        <w:t>mag</w:t>
      </w:r>
      <w:r w:rsidRPr="003B1DAE" w:rsidR="004A1A3B">
        <w:rPr>
          <w:rFonts w:eastAsia="Verdana" w:cs="Verdana"/>
          <w:szCs w:val="18"/>
        </w:rPr>
        <w:t xml:space="preserve"> </w:t>
      </w:r>
      <w:r w:rsidRPr="003B1DAE" w:rsidR="00EE4748">
        <w:rPr>
          <w:rFonts w:eastAsia="Verdana" w:cs="Verdana"/>
          <w:szCs w:val="18"/>
        </w:rPr>
        <w:t xml:space="preserve">op grond van de geldende EU regelgeving </w:t>
      </w:r>
      <w:r w:rsidRPr="003B1DAE">
        <w:rPr>
          <w:rFonts w:eastAsia="Verdana" w:cs="Verdana"/>
          <w:szCs w:val="18"/>
        </w:rPr>
        <w:t xml:space="preserve">een </w:t>
      </w:r>
      <w:r w:rsidRPr="003B1DAE" w:rsidR="00936317">
        <w:rPr>
          <w:rFonts w:eastAsia="Verdana" w:cs="Verdana"/>
          <w:szCs w:val="18"/>
        </w:rPr>
        <w:t xml:space="preserve">lidstaat zijn </w:t>
      </w:r>
      <w:r w:rsidRPr="003B1DAE">
        <w:rPr>
          <w:rFonts w:eastAsia="Verdana" w:cs="Verdana"/>
          <w:szCs w:val="18"/>
        </w:rPr>
        <w:t xml:space="preserve">strategische opslag alleen </w:t>
      </w:r>
      <w:r w:rsidRPr="003B1DAE" w:rsidR="00936317">
        <w:rPr>
          <w:rFonts w:eastAsia="Verdana" w:cs="Verdana"/>
          <w:szCs w:val="18"/>
        </w:rPr>
        <w:t>inzetten</w:t>
      </w:r>
      <w:r w:rsidRPr="003B1DAE">
        <w:rPr>
          <w:rFonts w:eastAsia="Verdana" w:cs="Verdana"/>
          <w:szCs w:val="18"/>
        </w:rPr>
        <w:t xml:space="preserve"> als een noodsituatie is uitgeroepen. </w:t>
      </w:r>
      <w:r w:rsidRPr="003B1DAE" w:rsidR="008929BA">
        <w:rPr>
          <w:rFonts w:eastAsia="Verdana" w:cs="Verdana"/>
          <w:szCs w:val="18"/>
        </w:rPr>
        <w:t>Dit</w:t>
      </w:r>
      <w:r w:rsidRPr="003B1DAE" w:rsidR="004A1A3B">
        <w:rPr>
          <w:rFonts w:eastAsia="Verdana" w:cs="Verdana"/>
          <w:szCs w:val="18"/>
        </w:rPr>
        <w:t xml:space="preserve"> </w:t>
      </w:r>
      <w:r w:rsidRPr="003B1DAE">
        <w:rPr>
          <w:rFonts w:eastAsia="Verdana" w:cs="Verdana"/>
          <w:szCs w:val="18"/>
        </w:rPr>
        <w:t xml:space="preserve">hoogste niveau van gascrisis is nog nooit bereikt. Ook tijdens de gascrisis na de inval in Oekraïne in 2022 hebben lidstaten met een strategische opslag </w:t>
      </w:r>
      <w:r w:rsidRPr="003B1DAE" w:rsidR="00EE4748">
        <w:rPr>
          <w:rFonts w:eastAsia="Verdana" w:cs="Verdana"/>
          <w:szCs w:val="18"/>
        </w:rPr>
        <w:t xml:space="preserve">deze </w:t>
      </w:r>
      <w:r w:rsidRPr="003B1DAE">
        <w:rPr>
          <w:rFonts w:eastAsia="Verdana" w:cs="Verdana"/>
          <w:szCs w:val="18"/>
        </w:rPr>
        <w:t xml:space="preserve">niet ingezet. </w:t>
      </w:r>
      <w:r w:rsidRPr="003B1DAE">
        <w:rPr>
          <w:rFonts w:eastAsia="Verdana" w:cs="Verdana"/>
          <w:color w:val="212121"/>
          <w:szCs w:val="18"/>
        </w:rPr>
        <w:t xml:space="preserve">De kans dat een dergelijke noodsituatie zich voordoet is heel klein. Waarschijnlijk is dan sprake van grootschalige uitval van lokale infrastructuur, niet alleen het wegvallen van een </w:t>
      </w:r>
      <w:r w:rsidRPr="003B1DAE" w:rsidR="002953C9">
        <w:rPr>
          <w:rFonts w:eastAsia="Verdana" w:cs="Verdana"/>
          <w:color w:val="212121"/>
          <w:szCs w:val="18"/>
        </w:rPr>
        <w:t xml:space="preserve">aanvoerroute </w:t>
      </w:r>
      <w:r w:rsidRPr="003B1DAE">
        <w:rPr>
          <w:rFonts w:eastAsia="Verdana" w:cs="Verdana"/>
          <w:color w:val="212121"/>
          <w:szCs w:val="18"/>
        </w:rPr>
        <w:t>zoals een leiding uit Noorwegen, omdat er in dat geval alternatieven zijn om gas naar Nederland aan te trekken.</w:t>
      </w:r>
      <w:r w:rsidRPr="003B1DAE">
        <w:rPr>
          <w:rFonts w:eastAsia="Verdana" w:cs="Verdana"/>
          <w:szCs w:val="18"/>
        </w:rPr>
        <w:t xml:space="preserve"> Bij besluiten over de omvang en daarmee bijbehorende kosten van een strategische opslag moet daarom ook meegewogen worden wat de kans is dat deze ooit gebruikt wordt. De inzet van een strategische opslag tijdens een noodsituatie kan bijdragen om ten eerste tijd te hebben om niet-beschermde afnemers zorgvuldig af te schakelen (waar huidige 5 TWh voornamelijk voor bedoeld is), om tijd te hebben om het aanbod van gas te herstellen (bijvoorbeeld door reparaties of alternatieve aanvoer) en om beschermde afnemers zo lang mogelijk van gas te kunnen voorzien zo lang de alternatieve aanvoer nog niet tot stand is gekomen (dit </w:t>
      </w:r>
      <w:r w:rsidRPr="003B1DAE" w:rsidR="00B529E8">
        <w:rPr>
          <w:rFonts w:eastAsia="Verdana" w:cs="Verdana"/>
          <w:szCs w:val="18"/>
        </w:rPr>
        <w:t>kan</w:t>
      </w:r>
      <w:r w:rsidRPr="003B1DAE" w:rsidR="00777024">
        <w:rPr>
          <w:rFonts w:eastAsia="Verdana" w:cs="Verdana"/>
          <w:szCs w:val="18"/>
        </w:rPr>
        <w:t xml:space="preserve"> </w:t>
      </w:r>
      <w:r w:rsidRPr="003B1DAE">
        <w:rPr>
          <w:rFonts w:eastAsia="Verdana" w:cs="Verdana"/>
          <w:szCs w:val="18"/>
        </w:rPr>
        <w:t>afhankelijk van de situatie om meer dan 5 TWh</w:t>
      </w:r>
      <w:r w:rsidRPr="003B1DAE" w:rsidR="00B529E8">
        <w:rPr>
          <w:rFonts w:eastAsia="Verdana" w:cs="Verdana"/>
          <w:szCs w:val="18"/>
        </w:rPr>
        <w:t xml:space="preserve"> vragen</w:t>
      </w:r>
      <w:r w:rsidRPr="003B1DAE">
        <w:rPr>
          <w:rFonts w:eastAsia="Verdana" w:cs="Verdana"/>
          <w:szCs w:val="18"/>
        </w:rPr>
        <w:t>).</w:t>
      </w:r>
    </w:p>
    <w:p w:rsidRPr="003B1DAE" w:rsidR="00A25164" w:rsidP="003B14FA" w:rsidRDefault="00A25164" w14:paraId="401EB0A3" w14:textId="77777777">
      <w:pPr>
        <w:rPr>
          <w:rFonts w:eastAsia="Verdana" w:cs="Verdana"/>
          <w:szCs w:val="18"/>
        </w:rPr>
      </w:pPr>
    </w:p>
    <w:p w:rsidRPr="003B1DAE" w:rsidR="00A25164" w:rsidP="003B14FA" w:rsidRDefault="00A25164" w14:paraId="746B3182" w14:textId="66159E01">
      <w:pPr>
        <w:rPr>
          <w:rFonts w:eastAsia="Verdana" w:cs="Verdana"/>
          <w:szCs w:val="18"/>
        </w:rPr>
      </w:pPr>
      <w:r w:rsidRPr="003B1DAE">
        <w:rPr>
          <w:rFonts w:eastAsia="Verdana" w:cs="Verdana"/>
          <w:szCs w:val="18"/>
        </w:rPr>
        <w:t xml:space="preserve">Wat precies kan worden bereikt met een strategische opslag hangt erg af van het type verstoring. Het maakt bijvoorbeeld verschil of LNG-importinfrastructuur uitvalt, of </w:t>
      </w:r>
      <w:r w:rsidRPr="003B1DAE" w:rsidR="002953C9">
        <w:rPr>
          <w:rFonts w:eastAsia="Verdana" w:cs="Verdana"/>
          <w:szCs w:val="18"/>
        </w:rPr>
        <w:t>een</w:t>
      </w:r>
      <w:r w:rsidRPr="003B1DAE">
        <w:rPr>
          <w:rFonts w:eastAsia="Verdana" w:cs="Verdana"/>
          <w:szCs w:val="18"/>
        </w:rPr>
        <w:t xml:space="preserve"> stikstofinstallatie waarmee laagcalorisch gas voor huishoudens wordt gemaakt. De gewenste omvang, locatie en kwaliteit van het aangehouden gas (L-gas of H-gas) in de strategische opslag kunnen per situatie verschillen. De </w:t>
      </w:r>
      <w:r w:rsidRPr="003B1DAE" w:rsidR="00B56D0B">
        <w:rPr>
          <w:rFonts w:eastAsia="Verdana" w:cs="Verdana"/>
          <w:szCs w:val="18"/>
        </w:rPr>
        <w:t xml:space="preserve">lengte van de </w:t>
      </w:r>
      <w:r w:rsidRPr="003B1DAE">
        <w:rPr>
          <w:rFonts w:eastAsia="Verdana" w:cs="Verdana"/>
          <w:szCs w:val="18"/>
        </w:rPr>
        <w:t>periode waar</w:t>
      </w:r>
      <w:r w:rsidRPr="003B1DAE" w:rsidR="00B56D0B">
        <w:rPr>
          <w:rFonts w:eastAsia="Verdana" w:cs="Verdana"/>
          <w:szCs w:val="18"/>
        </w:rPr>
        <w:t>in</w:t>
      </w:r>
      <w:r w:rsidRPr="003B1DAE">
        <w:rPr>
          <w:rFonts w:eastAsia="Verdana" w:cs="Verdana"/>
          <w:szCs w:val="18"/>
        </w:rPr>
        <w:t xml:space="preserve"> een</w:t>
      </w:r>
      <w:r w:rsidRPr="003B1DAE" w:rsidR="00B56D0B">
        <w:rPr>
          <w:rFonts w:eastAsia="Verdana" w:cs="Verdana"/>
          <w:szCs w:val="18"/>
        </w:rPr>
        <w:t xml:space="preserve"> strategische</w:t>
      </w:r>
      <w:r w:rsidRPr="003B1DAE">
        <w:rPr>
          <w:rFonts w:eastAsia="Verdana" w:cs="Verdana"/>
          <w:szCs w:val="18"/>
        </w:rPr>
        <w:t xml:space="preserve"> opslag in de vraag kan voorzien hangt onder andere af van het gasgebruik op dat moment en de situatie in onze buurlanden. Naar verwachting heeft een hoge prijs tegen de tijd dat een strategische opslag wordt ingezet gezorgd voor afname in het gebruik</w:t>
      </w:r>
      <w:r w:rsidRPr="003B1DAE" w:rsidR="00FD6B31">
        <w:rPr>
          <w:rFonts w:eastAsia="Verdana" w:cs="Verdana"/>
          <w:szCs w:val="18"/>
        </w:rPr>
        <w:t xml:space="preserve"> (zoals ook te zien was tijdens de gascrisis </w:t>
      </w:r>
      <w:r w:rsidRPr="003B1DAE" w:rsidR="004F13EF">
        <w:rPr>
          <w:rFonts w:eastAsia="Verdana" w:cs="Verdana"/>
          <w:szCs w:val="18"/>
        </w:rPr>
        <w:t>van 2022-2023</w:t>
      </w:r>
      <w:r w:rsidRPr="003B1DAE" w:rsidR="0070690B">
        <w:rPr>
          <w:rFonts w:eastAsia="Verdana" w:cs="Verdana"/>
          <w:szCs w:val="18"/>
        </w:rPr>
        <w:t>, toen het binnenlandse verbruik daalde van zo’n 40 bcm naar zo’n 30 bcm</w:t>
      </w:r>
      <w:r w:rsidRPr="003B1DAE" w:rsidR="004F13EF">
        <w:rPr>
          <w:rFonts w:eastAsia="Verdana" w:cs="Verdana"/>
          <w:szCs w:val="18"/>
        </w:rPr>
        <w:t>)</w:t>
      </w:r>
      <w:r w:rsidRPr="003B1DAE">
        <w:rPr>
          <w:rFonts w:eastAsia="Verdana" w:cs="Verdana"/>
          <w:szCs w:val="18"/>
        </w:rPr>
        <w:t>, en zullen ook andere crisismaatregelen tot een lager gebruik leiden.</w:t>
      </w:r>
    </w:p>
    <w:p w:rsidRPr="003B1DAE" w:rsidR="00A25164" w:rsidP="003B14FA" w:rsidRDefault="00A25164" w14:paraId="4F572F54" w14:textId="77777777">
      <w:pPr>
        <w:rPr>
          <w:rFonts w:eastAsia="Verdana" w:cs="Verdana"/>
          <w:szCs w:val="18"/>
        </w:rPr>
      </w:pPr>
    </w:p>
    <w:p w:rsidRPr="003B1DAE" w:rsidR="00A25164" w:rsidP="003B14FA" w:rsidRDefault="00A25164" w14:paraId="5EBF80F5" w14:textId="77777777">
      <w:pPr>
        <w:rPr>
          <w:rFonts w:eastAsia="Verdana" w:cs="Verdana"/>
          <w:szCs w:val="18"/>
        </w:rPr>
      </w:pPr>
      <w:r w:rsidRPr="003B1DAE">
        <w:rPr>
          <w:rFonts w:eastAsia="Verdana" w:cs="Verdana"/>
          <w:szCs w:val="18"/>
        </w:rPr>
        <w:t>Een strategische gasopslag die Nederland aanlegt en zodra dat nodig is op de markt zet zal geen invloed hebben op de Europese en wereldwijde prijzen van gas. Het volume is daar simpelweg niet groot genoeg voor. Bovendien is ook bij eventuele Europese coördinatie van een reserve niet gezegd dat dit prijzen zal kunnen beïnvloeden.</w:t>
      </w:r>
    </w:p>
    <w:p w:rsidRPr="003B1DAE" w:rsidR="00A25164" w:rsidP="003B14FA" w:rsidRDefault="00A25164" w14:paraId="73C30FDE" w14:textId="77777777">
      <w:pPr>
        <w:rPr>
          <w:rFonts w:eastAsia="Verdana" w:cs="Verdana"/>
          <w:i/>
          <w:iCs/>
          <w:szCs w:val="18"/>
        </w:rPr>
      </w:pPr>
    </w:p>
    <w:p w:rsidRPr="003B1DAE" w:rsidR="00A25164" w:rsidP="003B14FA" w:rsidRDefault="00A25164" w14:paraId="1D44A1D3" w14:textId="77777777">
      <w:pPr>
        <w:rPr>
          <w:rFonts w:eastAsia="Verdana" w:cs="Verdana"/>
          <w:i/>
          <w:iCs/>
          <w:szCs w:val="18"/>
        </w:rPr>
      </w:pPr>
      <w:r w:rsidRPr="003B1DAE">
        <w:rPr>
          <w:rFonts w:eastAsia="Verdana" w:cs="Verdana"/>
          <w:i/>
          <w:iCs/>
          <w:szCs w:val="18"/>
        </w:rPr>
        <w:t>Ruimte voor strategische opslag</w:t>
      </w:r>
    </w:p>
    <w:p w:rsidRPr="003B1DAE" w:rsidR="00A25164" w:rsidP="003B14FA" w:rsidRDefault="00A25164" w14:paraId="6D00DDF6" w14:textId="57020F88">
      <w:pPr>
        <w:rPr>
          <w:rFonts w:eastAsia="Verdana" w:cs="Verdana"/>
        </w:rPr>
      </w:pPr>
      <w:r w:rsidRPr="003B1DAE">
        <w:rPr>
          <w:rFonts w:eastAsia="Verdana" w:cs="Verdana"/>
        </w:rPr>
        <w:t xml:space="preserve">Voor een strategische opslag moet voldoende opslagvolume beschikbaar zijn naast volume dat voor seizoensopslag nodig is. </w:t>
      </w:r>
      <w:r w:rsidRPr="003B1DAE" w:rsidR="00704383">
        <w:rPr>
          <w:rFonts w:eastAsia="Verdana" w:cs="Verdana"/>
        </w:rPr>
        <w:t>Het gas dat aanwezig is in gasopslagen kan gecategoriseerd worden als twee verschillende typen gas;</w:t>
      </w:r>
      <w:r w:rsidRPr="003B1DAE">
        <w:rPr>
          <w:rFonts w:eastAsia="Verdana" w:cs="Verdana"/>
        </w:rPr>
        <w:t xml:space="preserve"> werkgas </w:t>
      </w:r>
      <w:r w:rsidRPr="003B1DAE" w:rsidR="00704383">
        <w:rPr>
          <w:rFonts w:eastAsia="Verdana" w:cs="Verdana"/>
        </w:rPr>
        <w:t>en</w:t>
      </w:r>
      <w:r w:rsidRPr="003B1DAE">
        <w:rPr>
          <w:rFonts w:eastAsia="Verdana" w:cs="Verdana"/>
        </w:rPr>
        <w:t xml:space="preserve"> kussengas</w:t>
      </w:r>
      <w:r w:rsidRPr="003B1DAE" w:rsidR="00704383">
        <w:rPr>
          <w:rFonts w:eastAsia="Verdana" w:cs="Verdana"/>
        </w:rPr>
        <w:t>.</w:t>
      </w:r>
      <w:r w:rsidRPr="003B1DAE" w:rsidR="00DA0DE1">
        <w:rPr>
          <w:rFonts w:eastAsia="Verdana" w:cs="Verdana"/>
        </w:rPr>
        <w:t xml:space="preserve"> </w:t>
      </w:r>
      <w:r w:rsidRPr="003B1DAE" w:rsidR="00C310AF">
        <w:rPr>
          <w:rFonts w:eastAsia="Verdana" w:cs="Verdana"/>
        </w:rPr>
        <w:t>Werkgas kan vrij geïnjecteerd en onttrokken worden</w:t>
      </w:r>
      <w:r w:rsidRPr="003B1DAE" w:rsidR="002C4CE8">
        <w:rPr>
          <w:rFonts w:eastAsia="Verdana" w:cs="Verdana"/>
        </w:rPr>
        <w:t xml:space="preserve"> uit een gasopslag</w:t>
      </w:r>
      <w:r w:rsidRPr="003B1DAE" w:rsidR="00C310AF">
        <w:rPr>
          <w:rFonts w:eastAsia="Verdana" w:cs="Verdana"/>
        </w:rPr>
        <w:t>. Wanneer men spreekt over het vullen van gasopslagen heeft dit betrekking op het werkgas</w:t>
      </w:r>
      <w:r w:rsidRPr="003B1DAE" w:rsidR="002C4CE8">
        <w:rPr>
          <w:rFonts w:eastAsia="Verdana" w:cs="Verdana"/>
        </w:rPr>
        <w:t>.</w:t>
      </w:r>
      <w:r w:rsidRPr="003B1DAE" w:rsidR="00C310AF">
        <w:rPr>
          <w:rFonts w:eastAsia="Verdana" w:cs="Verdana"/>
        </w:rPr>
        <w:t xml:space="preserve"> Kussengas is gas dat </w:t>
      </w:r>
      <w:r w:rsidRPr="003B1DAE" w:rsidR="002C4CE8">
        <w:rPr>
          <w:rFonts w:eastAsia="Verdana" w:cs="Verdana"/>
        </w:rPr>
        <w:t>doorgaans</w:t>
      </w:r>
      <w:r w:rsidRPr="003B1DAE" w:rsidR="00C310AF">
        <w:rPr>
          <w:rFonts w:eastAsia="Verdana" w:cs="Verdana"/>
        </w:rPr>
        <w:t xml:space="preserve"> permanent in de gasopslagen zit om de opslag op druk te houden. Kussengas is nodig om het werkgas met voldoende snelheid uit de opslagen te kunnen produceren. </w:t>
      </w:r>
      <w:r w:rsidRPr="003B1DAE" w:rsidR="002B0CAB">
        <w:rPr>
          <w:rFonts w:eastAsia="Verdana" w:cs="Verdana"/>
        </w:rPr>
        <w:t>K</w:t>
      </w:r>
      <w:r w:rsidRPr="003B1DAE" w:rsidR="00C310AF">
        <w:rPr>
          <w:rFonts w:eastAsia="Verdana" w:cs="Verdana"/>
        </w:rPr>
        <w:t xml:space="preserve">ussengas kan een andere kwaliteit gas </w:t>
      </w:r>
      <w:r w:rsidRPr="003B1DAE" w:rsidR="002B0CAB">
        <w:rPr>
          <w:rFonts w:eastAsia="Verdana" w:cs="Verdana"/>
        </w:rPr>
        <w:t>(L-gas, H-gas of een mix)</w:t>
      </w:r>
      <w:r w:rsidRPr="003B1DAE" w:rsidR="00C310AF">
        <w:rPr>
          <w:rFonts w:eastAsia="Verdana" w:cs="Verdana"/>
        </w:rPr>
        <w:t xml:space="preserve"> zijn dan het werkgas</w:t>
      </w:r>
      <w:r w:rsidRPr="003B1DAE" w:rsidR="00BC12B3">
        <w:rPr>
          <w:rFonts w:eastAsia="Verdana" w:cs="Verdana"/>
        </w:rPr>
        <w:t xml:space="preserve"> (zie voor een </w:t>
      </w:r>
      <w:r w:rsidRPr="003B1DAE" w:rsidR="00E44097">
        <w:rPr>
          <w:rFonts w:eastAsia="Verdana" w:cs="Verdana"/>
          <w:u w:val="single"/>
        </w:rPr>
        <w:t>o</w:t>
      </w:r>
      <w:r w:rsidRPr="003B1DAE" w:rsidR="00BC12B3">
        <w:rPr>
          <w:rFonts w:eastAsia="Verdana" w:cs="Verdana"/>
          <w:u w:val="single"/>
        </w:rPr>
        <w:t xml:space="preserve">verzicht </w:t>
      </w:r>
      <w:r w:rsidRPr="003B1DAE" w:rsidR="00E44097">
        <w:rPr>
          <w:rFonts w:eastAsia="Verdana" w:cs="Verdana"/>
          <w:u w:val="single"/>
        </w:rPr>
        <w:t xml:space="preserve">van </w:t>
      </w:r>
      <w:r w:rsidRPr="003B1DAE" w:rsidR="00BC12B3">
        <w:rPr>
          <w:rFonts w:eastAsia="Verdana" w:cs="Verdana"/>
          <w:u w:val="single"/>
        </w:rPr>
        <w:t>werk- en kussengas per gasopslag in scope van deze brief</w:t>
      </w:r>
      <w:r w:rsidRPr="003B1DAE" w:rsidR="00E44097">
        <w:rPr>
          <w:rFonts w:eastAsia="Verdana" w:cs="Verdana"/>
          <w:u w:val="single"/>
        </w:rPr>
        <w:t xml:space="preserve"> b</w:t>
      </w:r>
      <w:r w:rsidRPr="003B1DAE" w:rsidR="00AA2952">
        <w:rPr>
          <w:rFonts w:eastAsia="Verdana" w:cs="Verdana"/>
          <w:u w:val="single"/>
        </w:rPr>
        <w:t>ijlage 2)</w:t>
      </w:r>
      <w:r w:rsidRPr="003B1DAE" w:rsidR="00C310AF">
        <w:rPr>
          <w:rFonts w:eastAsia="Verdana" w:cs="Verdana"/>
          <w:i/>
        </w:rPr>
        <w:t>.</w:t>
      </w:r>
      <w:r w:rsidRPr="003B1DAE">
        <w:rPr>
          <w:rFonts w:eastAsia="Verdana" w:cs="Verdana"/>
        </w:rPr>
        <w:t xml:space="preserve"> In deze brief wordt een inschatting gemaakt van het volume werkgas dat beschikbaar is om te weten hoeveel ruimte er nog is wat betreft werkgas en vanaf welk niveau mogelijk gekeken kan worden naar kussengas. </w:t>
      </w:r>
      <w:r w:rsidRPr="003B1DAE" w:rsidR="00D15E35">
        <w:rPr>
          <w:rFonts w:eastAsia="Verdana" w:cs="Verdana"/>
        </w:rPr>
        <w:t xml:space="preserve">Er loopt momenteel </w:t>
      </w:r>
      <w:r w:rsidRPr="003B1DAE" w:rsidR="005B7B52">
        <w:rPr>
          <w:rFonts w:eastAsia="Verdana" w:cs="Verdana"/>
        </w:rPr>
        <w:t>een besluitvormingsprocedure rondom eventuele toekomstige winning van het kussengas in Norg.</w:t>
      </w:r>
      <w:r w:rsidRPr="003B1DAE" w:rsidR="00D15E35">
        <w:rPr>
          <w:rFonts w:eastAsia="Verdana" w:cs="Verdana"/>
        </w:rPr>
        <w:t xml:space="preserve"> </w:t>
      </w:r>
      <w:r w:rsidRPr="0054295C">
        <w:rPr>
          <w:rFonts w:eastAsia="Verdana" w:cs="Verdana"/>
        </w:rPr>
        <w:t xml:space="preserve">Als </w:t>
      </w:r>
      <w:r w:rsidRPr="003B1DAE" w:rsidR="008779C2">
        <w:rPr>
          <w:rFonts w:eastAsia="Verdana" w:cs="Verdana"/>
        </w:rPr>
        <w:t xml:space="preserve">aan alle voorwaarden zou worden voldaan en </w:t>
      </w:r>
      <w:r w:rsidRPr="003B1DAE">
        <w:rPr>
          <w:rFonts w:eastAsia="Verdana" w:cs="Verdana"/>
        </w:rPr>
        <w:t xml:space="preserve">het winnen van Norg als een regulier veld </w:t>
      </w:r>
      <w:r w:rsidRPr="003B1DAE" w:rsidR="008779C2">
        <w:rPr>
          <w:rFonts w:eastAsia="Verdana" w:cs="Verdana"/>
        </w:rPr>
        <w:t xml:space="preserve">op enig moment zou worden </w:t>
      </w:r>
      <w:r w:rsidRPr="003B1DAE">
        <w:rPr>
          <w:rFonts w:eastAsia="Verdana" w:cs="Verdana"/>
        </w:rPr>
        <w:t xml:space="preserve">toegestaan onder de Mijnbouwwet, en de beëindiging van de opslagactiviteit de leveringszekerheid niet </w:t>
      </w:r>
      <w:r w:rsidRPr="003B1DAE" w:rsidR="008779C2">
        <w:rPr>
          <w:rFonts w:eastAsia="Verdana" w:cs="Verdana"/>
        </w:rPr>
        <w:t xml:space="preserve">zou </w:t>
      </w:r>
      <w:r w:rsidRPr="003B1DAE">
        <w:rPr>
          <w:rFonts w:eastAsia="Verdana" w:cs="Verdana"/>
        </w:rPr>
        <w:t>verminder</w:t>
      </w:r>
      <w:r w:rsidRPr="003B1DAE" w:rsidR="008779C2">
        <w:rPr>
          <w:rFonts w:eastAsia="Verdana" w:cs="Verdana"/>
        </w:rPr>
        <w:t>en</w:t>
      </w:r>
      <w:r w:rsidRPr="003B1DAE">
        <w:rPr>
          <w:rFonts w:eastAsia="Verdana" w:cs="Verdana"/>
        </w:rPr>
        <w:t xml:space="preserve"> als beoordeeld door ACM, </w:t>
      </w:r>
      <w:r w:rsidRPr="003B1DAE" w:rsidR="008779C2">
        <w:rPr>
          <w:rFonts w:eastAsia="Verdana" w:cs="Verdana"/>
        </w:rPr>
        <w:t xml:space="preserve">zou Nederland op termijn </w:t>
      </w:r>
      <w:r w:rsidRPr="003B1DAE">
        <w:rPr>
          <w:rFonts w:eastAsia="Verdana" w:cs="Verdana"/>
        </w:rPr>
        <w:t>nog over 85 TWh opslagvolume</w:t>
      </w:r>
      <w:r w:rsidRPr="003B1DAE" w:rsidR="008779C2">
        <w:rPr>
          <w:rFonts w:eastAsia="Verdana" w:cs="Verdana"/>
        </w:rPr>
        <w:t xml:space="preserve"> </w:t>
      </w:r>
      <w:r w:rsidRPr="003B1DAE" w:rsidR="00B115C9">
        <w:rPr>
          <w:rFonts w:eastAsia="Verdana" w:cs="Verdana"/>
        </w:rPr>
        <w:t xml:space="preserve">(werkgas) </w:t>
      </w:r>
      <w:r w:rsidRPr="003B1DAE" w:rsidR="008779C2">
        <w:rPr>
          <w:rFonts w:eastAsia="Verdana" w:cs="Verdana"/>
        </w:rPr>
        <w:t>beschikken</w:t>
      </w:r>
      <w:r w:rsidRPr="003B1DAE">
        <w:rPr>
          <w:rFonts w:eastAsia="Verdana" w:cs="Verdana"/>
        </w:rPr>
        <w:t>.</w:t>
      </w:r>
      <w:r w:rsidRPr="003B1DAE" w:rsidR="0019189E">
        <w:rPr>
          <w:rFonts w:eastAsia="Verdana" w:cs="Verdana"/>
        </w:rPr>
        <w:t xml:space="preserve"> </w:t>
      </w:r>
      <w:r w:rsidRPr="003B1DAE">
        <w:rPr>
          <w:rFonts w:eastAsia="Verdana" w:cs="Verdana"/>
        </w:rPr>
        <w:t>Omdat zoutcavernes voornamelijk passend zijn voor kortcyclische opslag</w:t>
      </w:r>
      <w:r w:rsidRPr="003B1DAE" w:rsidR="00D97081">
        <w:rPr>
          <w:rFonts w:eastAsia="Verdana" w:cs="Verdana"/>
        </w:rPr>
        <w:t xml:space="preserve"> zijn deze minder geschikt voor </w:t>
      </w:r>
      <w:r w:rsidRPr="003B1DAE" w:rsidR="007B5E37">
        <w:rPr>
          <w:rFonts w:eastAsia="Verdana" w:cs="Verdana"/>
        </w:rPr>
        <w:t>strategische gasopslagen. Om die reden</w:t>
      </w:r>
      <w:r w:rsidRPr="003B1DAE">
        <w:rPr>
          <w:rFonts w:eastAsia="Verdana" w:cs="Verdana"/>
        </w:rPr>
        <w:t xml:space="preserve"> zijn</w:t>
      </w:r>
      <w:r w:rsidRPr="003B1DAE" w:rsidR="00095AAE">
        <w:rPr>
          <w:rFonts w:eastAsia="Verdana" w:cs="Verdana"/>
        </w:rPr>
        <w:t xml:space="preserve"> alleen</w:t>
      </w:r>
      <w:r w:rsidRPr="003B1DAE">
        <w:rPr>
          <w:rFonts w:eastAsia="Verdana" w:cs="Verdana"/>
        </w:rPr>
        <w:t xml:space="preserve"> de gasopslagen</w:t>
      </w:r>
      <w:r w:rsidRPr="003B1DAE" w:rsidR="008B05AE">
        <w:rPr>
          <w:rFonts w:eastAsia="Verdana" w:cs="Verdana"/>
        </w:rPr>
        <w:t xml:space="preserve"> PGI</w:t>
      </w:r>
      <w:r w:rsidRPr="003B1DAE">
        <w:rPr>
          <w:rFonts w:eastAsia="Verdana" w:cs="Verdana"/>
        </w:rPr>
        <w:t xml:space="preserve"> Alkmaar, Bergermeer en Grijpskerk logische kandidaten voor zowel seizoensopslag als mogelijk strategische opslag. Tezamen hebben deze opslagen ruimte voor 79 TWh aan werkgas. Daarnaast beschikken deze opslagen samen over 162 TWh aan kussengasvolume.</w:t>
      </w:r>
    </w:p>
    <w:p w:rsidRPr="003B1DAE" w:rsidR="00A25164" w:rsidP="003B14FA" w:rsidRDefault="00A25164" w14:paraId="55501D0D" w14:textId="77777777">
      <w:pPr>
        <w:rPr>
          <w:rFonts w:eastAsia="Verdana" w:cs="Verdana"/>
          <w:szCs w:val="18"/>
        </w:rPr>
      </w:pPr>
    </w:p>
    <w:p w:rsidRPr="003B1DAE" w:rsidR="00A25164" w:rsidP="003B14FA" w:rsidRDefault="00C75A20" w14:paraId="7D777122" w14:textId="6EB1F4FE">
      <w:pPr>
        <w:rPr>
          <w:rFonts w:eastAsia="Verdana" w:cs="Verdana"/>
        </w:rPr>
      </w:pPr>
      <w:r w:rsidRPr="003B1DAE">
        <w:rPr>
          <w:rFonts w:eastAsia="Verdana" w:cs="Verdana"/>
        </w:rPr>
        <w:t xml:space="preserve">In een analyse van GTS </w:t>
      </w:r>
      <w:r w:rsidRPr="003B1DAE" w:rsidR="00DD4339">
        <w:rPr>
          <w:rFonts w:eastAsia="Verdana" w:cs="Verdana"/>
        </w:rPr>
        <w:t>naar</w:t>
      </w:r>
      <w:r w:rsidRPr="003B1DAE">
        <w:rPr>
          <w:rFonts w:eastAsia="Verdana" w:cs="Verdana"/>
        </w:rPr>
        <w:t xml:space="preserve"> de </w:t>
      </w:r>
      <w:r w:rsidRPr="003B1DAE" w:rsidR="00B5399F">
        <w:rPr>
          <w:rFonts w:eastAsia="Verdana" w:cs="Verdana"/>
        </w:rPr>
        <w:t xml:space="preserve">rol van </w:t>
      </w:r>
      <w:r w:rsidRPr="003B1DAE" w:rsidR="00DD4339">
        <w:rPr>
          <w:rFonts w:eastAsia="Verdana" w:cs="Verdana"/>
        </w:rPr>
        <w:t xml:space="preserve">Norg </w:t>
      </w:r>
      <w:r w:rsidRPr="003B1DAE" w:rsidR="00C63853">
        <w:rPr>
          <w:rFonts w:eastAsia="Verdana" w:cs="Verdana"/>
        </w:rPr>
        <w:t xml:space="preserve">in </w:t>
      </w:r>
      <w:r w:rsidRPr="003B1DAE" w:rsidR="00DD4339">
        <w:rPr>
          <w:rFonts w:eastAsia="Verdana" w:cs="Verdana"/>
        </w:rPr>
        <w:t>de totale behoefte aan seizoensopslagen</w:t>
      </w:r>
      <w:r w:rsidRPr="003B1DAE">
        <w:rPr>
          <w:rFonts w:eastAsia="Verdana" w:cs="Verdana"/>
        </w:rPr>
        <w:t xml:space="preserve"> </w:t>
      </w:r>
      <w:r w:rsidRPr="003B1DAE" w:rsidR="00A25164">
        <w:rPr>
          <w:rFonts w:eastAsia="Verdana" w:cs="Verdana"/>
        </w:rPr>
        <w:t xml:space="preserve">schat </w:t>
      </w:r>
      <w:r w:rsidRPr="003B1DAE" w:rsidR="00DD4339">
        <w:rPr>
          <w:rFonts w:eastAsia="Verdana" w:cs="Verdana"/>
        </w:rPr>
        <w:t>GTS</w:t>
      </w:r>
      <w:r w:rsidRPr="003B1DAE" w:rsidR="00A25164">
        <w:rPr>
          <w:rFonts w:eastAsia="Verdana" w:cs="Verdana"/>
        </w:rPr>
        <w:t xml:space="preserve"> in haar advies dat tijdens een periode van</w:t>
      </w:r>
      <w:r w:rsidRPr="003B1DAE" w:rsidR="007B5E37">
        <w:rPr>
          <w:rFonts w:eastAsia="Verdana" w:cs="Verdana"/>
        </w:rPr>
        <w:t xml:space="preserve"> 10 jaar</w:t>
      </w:r>
      <w:r w:rsidRPr="003B1DAE" w:rsidR="00A25164">
        <w:rPr>
          <w:rFonts w:eastAsia="Verdana" w:cs="Verdana"/>
        </w:rPr>
        <w:t xml:space="preserve"> van geprofileerde winning (wat betekent dat meer gas in de winter wordt gewonnen dan in de zomer), er nog 70 TWh aan seizoensopslag in de overige opslagen nodig is</w:t>
      </w:r>
      <w:r w:rsidRPr="003B1DAE" w:rsidR="004D4680">
        <w:rPr>
          <w:rFonts w:eastAsia="Verdana" w:cs="Verdana"/>
        </w:rPr>
        <w:t>.</w:t>
      </w:r>
      <w:r w:rsidRPr="003B1DAE" w:rsidR="007D5470">
        <w:rPr>
          <w:rStyle w:val="Voetnootmarkering"/>
          <w:rFonts w:eastAsia="Verdana" w:cs="Verdana"/>
        </w:rPr>
        <w:footnoteReference w:id="91"/>
      </w:r>
      <w:r w:rsidRPr="003B1DAE" w:rsidR="00A25164">
        <w:rPr>
          <w:rFonts w:eastAsia="Verdana" w:cs="Verdana"/>
        </w:rPr>
        <w:t xml:space="preserve"> </w:t>
      </w:r>
      <w:r w:rsidRPr="003B1DAE" w:rsidR="00345368">
        <w:rPr>
          <w:rFonts w:eastAsia="Verdana" w:cs="Verdana"/>
        </w:rPr>
        <w:t>Wanneer uitgegaan wordt van</w:t>
      </w:r>
      <w:r w:rsidRPr="003B1DAE" w:rsidR="00A25164">
        <w:rPr>
          <w:rFonts w:eastAsia="Verdana" w:cs="Verdana"/>
        </w:rPr>
        <w:t xml:space="preserve"> </w:t>
      </w:r>
      <w:r w:rsidRPr="003B1DAE" w:rsidR="002D4A2A">
        <w:rPr>
          <w:rFonts w:eastAsia="Verdana" w:cs="Verdana"/>
        </w:rPr>
        <w:t>70 TWh behoefte aan seizoensopslag</w:t>
      </w:r>
      <w:r w:rsidRPr="003B1DAE" w:rsidR="00A25164">
        <w:rPr>
          <w:rFonts w:eastAsia="Verdana" w:cs="Verdana"/>
        </w:rPr>
        <w:t xml:space="preserve"> </w:t>
      </w:r>
      <w:r w:rsidRPr="003B1DAE" w:rsidR="000037AD">
        <w:rPr>
          <w:rFonts w:eastAsia="Verdana" w:cs="Verdana"/>
        </w:rPr>
        <w:t>d</w:t>
      </w:r>
      <w:r w:rsidRPr="003B1DAE" w:rsidR="00A25164">
        <w:rPr>
          <w:rFonts w:eastAsia="Verdana" w:cs="Verdana"/>
        </w:rPr>
        <w:t>a</w:t>
      </w:r>
      <w:r w:rsidRPr="003B1DAE" w:rsidR="00DA1564">
        <w:rPr>
          <w:rFonts w:eastAsia="Verdana" w:cs="Verdana"/>
        </w:rPr>
        <w:t>n</w:t>
      </w:r>
      <w:r w:rsidRPr="003B1DAE" w:rsidR="00A25164">
        <w:rPr>
          <w:rFonts w:eastAsia="Verdana" w:cs="Verdana"/>
        </w:rPr>
        <w:t xml:space="preserve"> </w:t>
      </w:r>
      <w:r w:rsidRPr="003B1DAE" w:rsidR="000037AD">
        <w:rPr>
          <w:rFonts w:eastAsia="Verdana" w:cs="Verdana"/>
        </w:rPr>
        <w:t>is er</w:t>
      </w:r>
      <w:r w:rsidRPr="003B1DAE" w:rsidR="00A25164">
        <w:rPr>
          <w:rFonts w:eastAsia="Verdana" w:cs="Verdana"/>
        </w:rPr>
        <w:t xml:space="preserve"> nog 9 TWh in het werkgasvolume ‘over’ die mogelijk als strategische opslag kan worden aangemerkt. Hiervan wordt al 5 TWh </w:t>
      </w:r>
      <w:r w:rsidRPr="003B1DAE" w:rsidR="00EE4748">
        <w:rPr>
          <w:rFonts w:eastAsia="Verdana" w:cs="Verdana"/>
        </w:rPr>
        <w:t xml:space="preserve">opslagcapaciteit </w:t>
      </w:r>
      <w:r w:rsidRPr="003B1DAE" w:rsidR="00A25164">
        <w:rPr>
          <w:rFonts w:eastAsia="Verdana" w:cs="Verdana"/>
        </w:rPr>
        <w:t>in de PGI Alkmaar</w:t>
      </w:r>
      <w:r w:rsidRPr="003B1DAE" w:rsidR="00EE4748">
        <w:rPr>
          <w:rFonts w:eastAsia="Verdana" w:cs="Verdana"/>
        </w:rPr>
        <w:t xml:space="preserve"> aangemerkt als strategische opslag</w:t>
      </w:r>
      <w:r w:rsidRPr="003B1DAE" w:rsidR="00A25164">
        <w:rPr>
          <w:rFonts w:eastAsia="Verdana" w:cs="Verdana"/>
        </w:rPr>
        <w:t>.</w:t>
      </w:r>
    </w:p>
    <w:p w:rsidRPr="00F755AF" w:rsidR="00A25164" w:rsidP="003B14FA" w:rsidRDefault="00A25164" w14:paraId="6A3C1764" w14:textId="77777777">
      <w:pPr>
        <w:rPr>
          <w:rFonts w:eastAsia="Verdana" w:cs="Verdana"/>
          <w:szCs w:val="18"/>
        </w:rPr>
      </w:pPr>
    </w:p>
    <w:p w:rsidRPr="003B1DAE" w:rsidR="00A25164" w:rsidP="003B14FA" w:rsidRDefault="00A25164" w14:paraId="1E5A42DA" w14:textId="77777777">
      <w:pPr>
        <w:rPr>
          <w:rFonts w:eastAsia="Verdana" w:cs="Verdana"/>
          <w:i/>
          <w:iCs/>
          <w:szCs w:val="18"/>
        </w:rPr>
      </w:pPr>
      <w:r w:rsidRPr="003B1DAE">
        <w:rPr>
          <w:rFonts w:eastAsia="Verdana" w:cs="Verdana"/>
          <w:i/>
          <w:iCs/>
          <w:szCs w:val="18"/>
        </w:rPr>
        <w:t>Verwachte kosten strategische opslag</w:t>
      </w:r>
    </w:p>
    <w:p w:rsidRPr="0054295C" w:rsidR="00A25164" w:rsidP="003B14FA" w:rsidRDefault="00D66E56" w14:paraId="07C371C7" w14:textId="3E5EB6B5">
      <w:pPr>
        <w:rPr>
          <w:rFonts w:eastAsia="Verdana" w:cs="Verdana"/>
        </w:rPr>
      </w:pPr>
      <w:r w:rsidRPr="003B1DAE">
        <w:rPr>
          <w:rFonts w:eastAsia="Verdana" w:cs="Verdana"/>
        </w:rPr>
        <w:t xml:space="preserve">Bij de kosten van een strategische opslag wordt </w:t>
      </w:r>
      <w:r w:rsidRPr="003B1DAE" w:rsidR="6106E383">
        <w:rPr>
          <w:rFonts w:eastAsia="Verdana" w:cs="Verdana"/>
        </w:rPr>
        <w:t xml:space="preserve">ervan </w:t>
      </w:r>
      <w:r w:rsidRPr="003B1DAE" w:rsidR="00894321">
        <w:rPr>
          <w:rFonts w:eastAsia="Verdana" w:cs="Verdana"/>
        </w:rPr>
        <w:t>uitgegaan</w:t>
      </w:r>
      <w:r w:rsidRPr="003B1DAE">
        <w:rPr>
          <w:rFonts w:eastAsia="Verdana" w:cs="Verdana"/>
        </w:rPr>
        <w:t xml:space="preserve"> dat </w:t>
      </w:r>
      <w:r w:rsidRPr="003B1DAE" w:rsidR="00332D36">
        <w:rPr>
          <w:rFonts w:eastAsia="Verdana" w:cs="Verdana"/>
        </w:rPr>
        <w:t xml:space="preserve">het gas in </w:t>
      </w:r>
      <w:r w:rsidRPr="0054295C">
        <w:rPr>
          <w:rFonts w:eastAsia="Verdana" w:cs="Verdana"/>
        </w:rPr>
        <w:t xml:space="preserve">de strategische opslag ooit weer verkocht wordt (dan wel in een noodsituatie, dan wel als </w:t>
      </w:r>
      <w:r w:rsidRPr="003B1DAE" w:rsidR="00A7263D">
        <w:rPr>
          <w:rFonts w:eastAsia="Verdana" w:cs="Verdana"/>
        </w:rPr>
        <w:t xml:space="preserve">deze </w:t>
      </w:r>
      <w:r w:rsidRPr="003B1DAE">
        <w:rPr>
          <w:rFonts w:eastAsia="Verdana" w:cs="Verdana"/>
        </w:rPr>
        <w:t xml:space="preserve">niet langer nodig is bijvoorbeeld als het gasverbruik sterk is afgenomen). Als aanname voor verkoopprijs is de huidige ‘future prijs’ ver in de toekomst genomen als referentie. De </w:t>
      </w:r>
      <w:r w:rsidRPr="003B1DAE" w:rsidR="00BF7591">
        <w:rPr>
          <w:rFonts w:eastAsia="Verdana" w:cs="Verdana"/>
        </w:rPr>
        <w:t xml:space="preserve">daadwerkelijke </w:t>
      </w:r>
      <w:r w:rsidRPr="003B1DAE">
        <w:rPr>
          <w:rFonts w:eastAsia="Verdana" w:cs="Verdana"/>
        </w:rPr>
        <w:t>kosten kunnen echter ook een stuk hoger uitvallen bijvoorbeeld omdat de gasprijs op moment van aanleggen hoger is</w:t>
      </w:r>
      <w:r w:rsidRPr="003B1DAE">
        <w:rPr>
          <w:rStyle w:val="Voetnootmarkering"/>
          <w:rFonts w:eastAsia="Verdana" w:cs="Verdana"/>
        </w:rPr>
        <w:footnoteReference w:id="92"/>
      </w:r>
      <w:r w:rsidRPr="003B1DAE">
        <w:rPr>
          <w:rFonts w:eastAsia="Verdana" w:cs="Verdana"/>
        </w:rPr>
        <w:t xml:space="preserve">, of omdat een eigenaar van een gasopslag enkel het volledige volume van de opslag wil contracteren en niet alleen het benodigde volume voor de strategische opslag. </w:t>
      </w:r>
      <w:r w:rsidRPr="003B1DAE" w:rsidR="00A25164">
        <w:rPr>
          <w:rFonts w:eastAsia="Verdana" w:cs="Verdana"/>
        </w:rPr>
        <w:t>De kosten van het aanleggen van een voorraad zijn</w:t>
      </w:r>
      <w:r w:rsidRPr="003B1DAE" w:rsidR="00BF7591">
        <w:rPr>
          <w:rFonts w:eastAsia="Verdana" w:cs="Verdana"/>
        </w:rPr>
        <w:t xml:space="preserve"> daarnaast</w:t>
      </w:r>
      <w:r w:rsidRPr="003B1DAE" w:rsidR="00A25164">
        <w:rPr>
          <w:rFonts w:eastAsia="Verdana" w:cs="Verdana"/>
        </w:rPr>
        <w:t xml:space="preserve"> afhankelijk van de </w:t>
      </w:r>
      <w:r w:rsidRPr="003B1DAE" w:rsidR="003E6EBD">
        <w:rPr>
          <w:rFonts w:eastAsia="Verdana" w:cs="Verdana"/>
        </w:rPr>
        <w:t xml:space="preserve">gasopslagen </w:t>
      </w:r>
      <w:r w:rsidRPr="003B1DAE" w:rsidR="00A25164">
        <w:rPr>
          <w:rFonts w:eastAsia="Verdana" w:cs="Verdana"/>
        </w:rPr>
        <w:t>die gekozen worden om het gas in op te slaan en of het gaat om werkgas of kussengas, plus de gasprijs op het moment waarop de voorraad wordt aangelegd en op het moment dat het weer wordt verkocht. Op basis van de kosten van de huidige strategische opslag in PGI Alkmaar, kost het aanleggen van een strategische opslag zo’n 7 tot 13 miljoen euro per TWh per jaar</w:t>
      </w:r>
      <w:r w:rsidRPr="003B1DAE" w:rsidR="00B8348F">
        <w:rPr>
          <w:rFonts w:eastAsia="Verdana" w:cs="Verdana"/>
        </w:rPr>
        <w:t xml:space="preserve"> (incl.</w:t>
      </w:r>
      <w:r w:rsidRPr="003B1DAE" w:rsidR="00A25164">
        <w:rPr>
          <w:rFonts w:eastAsia="Verdana" w:cs="Verdana"/>
        </w:rPr>
        <w:t xml:space="preserve"> toekomstige inkomsten</w:t>
      </w:r>
      <w:r w:rsidRPr="003B1DAE" w:rsidR="00B8348F">
        <w:rPr>
          <w:rFonts w:eastAsia="Verdana" w:cs="Verdana"/>
        </w:rPr>
        <w:t xml:space="preserve">). Dat betekent dat de kosten voor de huidige strategische opslag </w:t>
      </w:r>
      <w:r w:rsidRPr="003B1DAE" w:rsidR="00343CD5">
        <w:rPr>
          <w:rFonts w:eastAsia="Verdana" w:cs="Verdana"/>
        </w:rPr>
        <w:t>met een omvang van 5 TWh</w:t>
      </w:r>
      <w:r w:rsidRPr="003B1DAE" w:rsidR="00B8348F">
        <w:rPr>
          <w:rFonts w:eastAsia="Verdana" w:cs="Verdana"/>
        </w:rPr>
        <w:t xml:space="preserve"> ongeveer 35</w:t>
      </w:r>
      <w:r w:rsidRPr="003B1DAE" w:rsidR="00343CD5">
        <w:rPr>
          <w:rFonts w:eastAsia="Verdana" w:cs="Verdana"/>
        </w:rPr>
        <w:t xml:space="preserve"> </w:t>
      </w:r>
      <w:r w:rsidRPr="003B1DAE" w:rsidR="00B8348F">
        <w:rPr>
          <w:rFonts w:eastAsia="Verdana" w:cs="Verdana"/>
        </w:rPr>
        <w:t>-</w:t>
      </w:r>
      <w:r w:rsidRPr="003B1DAE" w:rsidR="00343CD5">
        <w:rPr>
          <w:rFonts w:eastAsia="Verdana" w:cs="Verdana"/>
        </w:rPr>
        <w:t xml:space="preserve"> </w:t>
      </w:r>
      <w:r w:rsidRPr="003B1DAE" w:rsidR="00B8348F">
        <w:rPr>
          <w:rFonts w:eastAsia="Verdana" w:cs="Verdana"/>
        </w:rPr>
        <w:t>65</w:t>
      </w:r>
      <w:r w:rsidRPr="003B1DAE" w:rsidR="001D7A42">
        <w:rPr>
          <w:rFonts w:eastAsia="Verdana" w:cs="Verdana"/>
        </w:rPr>
        <w:t xml:space="preserve"> miljoen </w:t>
      </w:r>
      <w:r w:rsidRPr="003B1DAE" w:rsidR="00123D4F">
        <w:rPr>
          <w:rFonts w:eastAsia="Verdana" w:cs="Verdana"/>
        </w:rPr>
        <w:t>EUR</w:t>
      </w:r>
      <w:r w:rsidRPr="003B1DAE" w:rsidR="006241A9">
        <w:rPr>
          <w:rFonts w:eastAsia="Verdana" w:cs="Verdana"/>
        </w:rPr>
        <w:t xml:space="preserve"> per jaar</w:t>
      </w:r>
      <w:r w:rsidRPr="003B1DAE" w:rsidR="00671DD6">
        <w:rPr>
          <w:rFonts w:eastAsia="Verdana" w:cs="Verdana"/>
        </w:rPr>
        <w:t xml:space="preserve"> zijn</w:t>
      </w:r>
      <w:r w:rsidRPr="003B1DAE" w:rsidR="006241A9">
        <w:rPr>
          <w:rFonts w:eastAsia="Verdana" w:cs="Verdana"/>
        </w:rPr>
        <w:t>.</w:t>
      </w:r>
      <w:r w:rsidRPr="003B1DAE" w:rsidR="00A25164">
        <w:rPr>
          <w:rFonts w:eastAsia="Verdana" w:cs="Verdana"/>
        </w:rPr>
        <w:t xml:space="preserve"> </w:t>
      </w:r>
      <w:r w:rsidRPr="003B1DAE" w:rsidR="006241A9">
        <w:rPr>
          <w:rFonts w:eastAsia="Verdana" w:cs="Verdana"/>
        </w:rPr>
        <w:t xml:space="preserve">Deze kosten worden betaald via een opslag op de energierekening. </w:t>
      </w:r>
      <w:r w:rsidR="00ED02BB">
        <w:rPr>
          <w:rFonts w:eastAsia="Verdana" w:cs="Verdana"/>
        </w:rPr>
        <w:t xml:space="preserve">Uiteraard </w:t>
      </w:r>
      <w:r w:rsidR="00EB2CE2">
        <w:rPr>
          <w:rFonts w:eastAsia="Verdana" w:cs="Verdana"/>
        </w:rPr>
        <w:t xml:space="preserve">spant het kabinet zich in om de kosten van een strategische opslag per TWh zo laag mogelijk te houden en wordt doorlopend samen met EBN gekeken </w:t>
      </w:r>
      <w:r w:rsidR="00670D6E">
        <w:rPr>
          <w:rFonts w:eastAsia="Verdana" w:cs="Verdana"/>
        </w:rPr>
        <w:t xml:space="preserve">welke efficiëntieverbeteringen mogelijk zijn. </w:t>
      </w:r>
    </w:p>
    <w:p w:rsidRPr="003B1DAE" w:rsidR="00A25164" w:rsidP="003B14FA" w:rsidRDefault="00A25164" w14:paraId="6FF084D4" w14:textId="77777777">
      <w:pPr>
        <w:rPr>
          <w:rFonts w:eastAsia="Verdana" w:cs="Verdana"/>
          <w:i/>
          <w:iCs/>
          <w:szCs w:val="18"/>
        </w:rPr>
      </w:pPr>
    </w:p>
    <w:p w:rsidRPr="003B1DAE" w:rsidR="00A25164" w:rsidP="003B14FA" w:rsidRDefault="00A25164" w14:paraId="7924B94A" w14:textId="77777777">
      <w:pPr>
        <w:rPr>
          <w:rFonts w:eastAsia="Verdana" w:cs="Verdana"/>
          <w:i/>
          <w:iCs/>
          <w:szCs w:val="18"/>
        </w:rPr>
      </w:pPr>
      <w:r w:rsidRPr="003B1DAE">
        <w:rPr>
          <w:rFonts w:eastAsia="Verdana" w:cs="Verdana"/>
          <w:i/>
          <w:iCs/>
          <w:szCs w:val="18"/>
        </w:rPr>
        <w:t>Mogelijke omvang strategische opslag</w:t>
      </w:r>
    </w:p>
    <w:p w:rsidRPr="003B1DAE" w:rsidR="00A25164" w:rsidP="003B14FA" w:rsidRDefault="00A25164" w14:paraId="10E54AE4" w14:textId="23716FFF">
      <w:pPr>
        <w:rPr>
          <w:rFonts w:eastAsia="Verdana" w:cs="Verdana"/>
          <w:i/>
          <w:iCs/>
          <w:szCs w:val="18"/>
        </w:rPr>
      </w:pPr>
      <w:r w:rsidRPr="003B1DAE">
        <w:rPr>
          <w:rStyle w:val="normaltextrun"/>
          <w:rFonts w:eastAsia="Verdana" w:cs="Verdana"/>
          <w:szCs w:val="18"/>
        </w:rPr>
        <w:t>De</w:t>
      </w:r>
      <w:r w:rsidRPr="003B1DAE">
        <w:rPr>
          <w:rFonts w:eastAsia="Verdana" w:cs="Verdana"/>
          <w:szCs w:val="18"/>
        </w:rPr>
        <w:t xml:space="preserve"> omvang van </w:t>
      </w:r>
      <w:r w:rsidRPr="003B1DAE" w:rsidR="008779C2">
        <w:rPr>
          <w:rFonts w:eastAsia="Verdana" w:cs="Verdana"/>
          <w:szCs w:val="18"/>
        </w:rPr>
        <w:t>een strategische opslag</w:t>
      </w:r>
      <w:r w:rsidRPr="003B1DAE" w:rsidR="00106923">
        <w:rPr>
          <w:rFonts w:eastAsia="Verdana" w:cs="Verdana"/>
          <w:szCs w:val="18"/>
        </w:rPr>
        <w:t xml:space="preserve"> </w:t>
      </w:r>
      <w:r w:rsidRPr="003B1DAE">
        <w:rPr>
          <w:rFonts w:eastAsia="Verdana" w:cs="Verdana"/>
          <w:szCs w:val="18"/>
        </w:rPr>
        <w:t xml:space="preserve">in Nederland in de toekomst ligt nog niet vast en hangt af van het al dan niet voortzetten van de Europese vuldoelen. </w:t>
      </w:r>
      <w:r w:rsidRPr="003B1DAE">
        <w:rPr>
          <w:rStyle w:val="normaltextrun"/>
          <w:rFonts w:eastAsia="Verdana" w:cs="Verdana"/>
          <w:szCs w:val="18"/>
        </w:rPr>
        <w:t xml:space="preserve">In </w:t>
      </w:r>
      <w:r w:rsidRPr="003B1DAE" w:rsidR="008779C2">
        <w:rPr>
          <w:rStyle w:val="normaltextrun"/>
          <w:rFonts w:eastAsia="Verdana" w:cs="Verdana"/>
          <w:szCs w:val="18"/>
        </w:rPr>
        <w:t xml:space="preserve">het voorstel voor </w:t>
      </w:r>
      <w:r w:rsidRPr="003B1DAE">
        <w:rPr>
          <w:rFonts w:eastAsia="Verdana" w:cs="Verdana"/>
          <w:szCs w:val="18"/>
        </w:rPr>
        <w:t>de Wet bestrijden energieleveringscrisis (Wbe) wordt de wettelijke grondslag voor het aanhouden van een noodvoorraad via een aanpassing van de Mijnbouwwet opgenomen. Daarin staat opgenomen dat de Minister</w:t>
      </w:r>
      <w:r w:rsidRPr="003B1DAE" w:rsidR="008779C2">
        <w:rPr>
          <w:rFonts w:eastAsia="Verdana" w:cs="Verdana"/>
          <w:szCs w:val="18"/>
        </w:rPr>
        <w:t xml:space="preserve"> van Klimaat en Groene Groei</w:t>
      </w:r>
      <w:r w:rsidRPr="003B1DAE">
        <w:rPr>
          <w:rFonts w:eastAsia="Verdana" w:cs="Verdana"/>
          <w:szCs w:val="18"/>
        </w:rPr>
        <w:t xml:space="preserve"> jaarlijks de omvang van de noodvoorraad kan vaststellen.</w:t>
      </w:r>
    </w:p>
    <w:p w:rsidRPr="003B1DAE" w:rsidR="00A25164" w:rsidP="003B14FA" w:rsidRDefault="00A25164" w14:paraId="4776BBCF" w14:textId="77777777">
      <w:pPr>
        <w:rPr>
          <w:rFonts w:eastAsia="Verdana" w:cs="Verdana"/>
          <w:i/>
          <w:iCs/>
          <w:szCs w:val="18"/>
        </w:rPr>
      </w:pPr>
    </w:p>
    <w:p w:rsidRPr="003B1DAE" w:rsidR="00A25164" w:rsidP="003B14FA" w:rsidRDefault="00A25164" w14:paraId="310FC9C5" w14:textId="27821DB7">
      <w:pPr>
        <w:rPr>
          <w:rFonts w:eastAsia="Verdana" w:cs="Verdana"/>
          <w:szCs w:val="18"/>
        </w:rPr>
      </w:pPr>
      <w:r w:rsidRPr="003B1DAE">
        <w:rPr>
          <w:rFonts w:eastAsia="Verdana" w:cs="Verdana"/>
          <w:szCs w:val="18"/>
        </w:rPr>
        <w:t>In de analyses hieronder wordt een aantal opties in kaart gebracht t.a.v. de omvang van een strategische opslag. Hierbij wordt een conservatieve schatting gegeven van het aantal dagen dat een voorraad de volledige Nederlandse vraag kan afdekken, doordat de gemiddelde Nederlandse gasvraag per dag is gebruikt. Naar verwachting zal het gasverbruik tijdens een noodsituatie lager zijn waardoor de opslag een langere periode in de vraag kan voorzien. De tijd die het kost om het gas uit de opslag te halen hangt af van de uitzendcapaciteit van de gebruikte opslaglocaties. Het kan dus zijn dat de periode waarin een opslag</w:t>
      </w:r>
      <w:r w:rsidRPr="003B1DAE" w:rsidR="00387CF3">
        <w:rPr>
          <w:rFonts w:eastAsia="Verdana" w:cs="Verdana"/>
          <w:szCs w:val="18"/>
        </w:rPr>
        <w:t xml:space="preserve"> qua </w:t>
      </w:r>
      <w:r w:rsidRPr="003B1DAE" w:rsidR="004728BA">
        <w:rPr>
          <w:rFonts w:eastAsia="Verdana" w:cs="Verdana"/>
          <w:szCs w:val="18"/>
        </w:rPr>
        <w:t>beschikbaar</w:t>
      </w:r>
      <w:r w:rsidRPr="003B1DAE" w:rsidR="00387CF3">
        <w:rPr>
          <w:rFonts w:eastAsia="Verdana" w:cs="Verdana"/>
          <w:szCs w:val="18"/>
        </w:rPr>
        <w:t xml:space="preserve"> volume</w:t>
      </w:r>
      <w:r w:rsidRPr="003B1DAE">
        <w:rPr>
          <w:rFonts w:eastAsia="Verdana" w:cs="Verdana"/>
          <w:szCs w:val="18"/>
        </w:rPr>
        <w:t xml:space="preserve"> in de volumevraag kan voorzien niet overeenkomt met de </w:t>
      </w:r>
      <w:r w:rsidRPr="003B1DAE" w:rsidR="007F6C6D">
        <w:rPr>
          <w:rFonts w:eastAsia="Verdana" w:cs="Verdana"/>
          <w:szCs w:val="18"/>
        </w:rPr>
        <w:t>daadwerkelijke</w:t>
      </w:r>
      <w:r w:rsidRPr="003B1DAE" w:rsidR="001F4461">
        <w:rPr>
          <w:rFonts w:eastAsia="Verdana" w:cs="Verdana"/>
          <w:szCs w:val="18"/>
        </w:rPr>
        <w:t xml:space="preserve"> volumes die onttrokken kunnen worden door</w:t>
      </w:r>
      <w:r w:rsidRPr="003B1DAE">
        <w:rPr>
          <w:rFonts w:eastAsia="Verdana" w:cs="Verdana"/>
          <w:szCs w:val="18"/>
        </w:rPr>
        <w:t xml:space="preserve"> de tijd die het kost om het gas op het transportnet te krijgen. Over het algemeen geldt dat spreiding over meerdere plekken zorgt voor het sneller kunnen onttrekken van het gas en dat werkgas sneller kan worden onttrokken dan kussengas.</w:t>
      </w:r>
    </w:p>
    <w:p w:rsidRPr="003B1DAE" w:rsidR="00A25164" w:rsidP="003B14FA" w:rsidRDefault="00A25164" w14:paraId="45BC4EAD" w14:textId="77777777">
      <w:pPr>
        <w:rPr>
          <w:rFonts w:eastAsia="Verdana" w:cs="Verdana"/>
          <w:szCs w:val="18"/>
        </w:rPr>
      </w:pPr>
    </w:p>
    <w:p w:rsidRPr="003B1DAE" w:rsidR="00A25164" w:rsidP="003B14FA" w:rsidRDefault="00A25164" w14:paraId="642320F5" w14:textId="3D300837">
      <w:pPr>
        <w:rPr>
          <w:rFonts w:eastAsia="Verdana" w:cs="Verdana"/>
          <w:szCs w:val="18"/>
        </w:rPr>
      </w:pPr>
      <w:r w:rsidRPr="003B1DAE">
        <w:rPr>
          <w:rFonts w:eastAsia="Verdana" w:cs="Verdana"/>
          <w:szCs w:val="18"/>
        </w:rPr>
        <w:t xml:space="preserve">De onderzochte opties zijn gebaseerd op ervaringen uit het buitenland en uit de oliemarkt. Er zijn ook andere mogelijkheden denkbaar. Zo wordt door GTS geadviseerd om 55 tot 110 TWh </w:t>
      </w:r>
      <w:r w:rsidRPr="0054295C">
        <w:rPr>
          <w:rFonts w:eastAsia="Verdana" w:cs="Verdana"/>
          <w:szCs w:val="18"/>
        </w:rPr>
        <w:t xml:space="preserve">aan strategische opslag aan te leggen om voorbereid te zijn op een half jaar uitval van een grote bron. </w:t>
      </w:r>
      <w:r w:rsidRPr="003B1DAE" w:rsidR="006252DD">
        <w:rPr>
          <w:rFonts w:eastAsia="Verdana" w:cs="Verdana"/>
          <w:szCs w:val="18"/>
        </w:rPr>
        <w:t>Dit zou gepaard gaan met jaarlijkse kosten tussen zo’n 400 miljoen EUR en 1.</w:t>
      </w:r>
      <w:r w:rsidRPr="003B1DAE" w:rsidR="00550CFD">
        <w:rPr>
          <w:rFonts w:eastAsia="Verdana" w:cs="Verdana"/>
          <w:szCs w:val="18"/>
        </w:rPr>
        <w:t>500 miljoen EUR.</w:t>
      </w:r>
      <w:r w:rsidRPr="003B1DAE">
        <w:rPr>
          <w:rFonts w:eastAsia="Verdana" w:cs="Verdana"/>
          <w:szCs w:val="18"/>
        </w:rPr>
        <w:t xml:space="preserve"> Daarnaast bestond in tijden van</w:t>
      </w:r>
      <w:r w:rsidRPr="003B1DAE" w:rsidR="00D313B5">
        <w:rPr>
          <w:rFonts w:eastAsia="Verdana" w:cs="Verdana"/>
          <w:szCs w:val="18"/>
        </w:rPr>
        <w:t xml:space="preserve"> de afbouw</w:t>
      </w:r>
      <w:r w:rsidRPr="003B1DAE" w:rsidR="00D974F2">
        <w:rPr>
          <w:rFonts w:eastAsia="Verdana" w:cs="Verdana"/>
          <w:szCs w:val="18"/>
        </w:rPr>
        <w:t xml:space="preserve"> van de winning uit</w:t>
      </w:r>
      <w:r w:rsidRPr="003B1DAE">
        <w:rPr>
          <w:rFonts w:eastAsia="Verdana" w:cs="Verdana"/>
          <w:szCs w:val="18"/>
        </w:rPr>
        <w:t xml:space="preserve"> het Groningenveld een ‘back-up volume’ van ongeveer 15 TWh wat </w:t>
      </w:r>
      <w:r w:rsidRPr="003B1DAE" w:rsidR="00887512">
        <w:rPr>
          <w:rFonts w:eastAsia="Verdana" w:cs="Verdana"/>
          <w:szCs w:val="18"/>
        </w:rPr>
        <w:t xml:space="preserve">extra </w:t>
      </w:r>
      <w:r w:rsidRPr="003B1DAE">
        <w:rPr>
          <w:rFonts w:eastAsia="Verdana" w:cs="Verdana"/>
          <w:szCs w:val="18"/>
        </w:rPr>
        <w:t>geproduceerd mocht worden bij extreme omstandigheden. Deze extreme situaties waren beschreven als onbeschikbaarheid van de kwaliteitsconversie-installaties, transportbeperkingen en onvoorziene ontwikkeling in de samenstelling van het H-gas, en daarnaast feitelijke onbeschikbaarheid van gasopslagen Norg, Alkmaar en Grijpskerk en een noodsituatie als bedoeld in artikel 4.1.4.4 van de Transportcode gas TSB, ten gevolge waarvan GTS een instructie geeft betreffende entrypunten of exitpunten van het transmissiesysteem voor gas, voor zover het nodig was om een daardoor ontstane onbalans gedurende zeer korte tijd op te vangen.</w:t>
      </w:r>
    </w:p>
    <w:p w:rsidR="00A25164" w:rsidP="003B14FA" w:rsidRDefault="00A25164" w14:paraId="32B4363D" w14:textId="77777777">
      <w:pPr>
        <w:rPr>
          <w:rFonts w:eastAsia="Verdana" w:cs="Verdana"/>
          <w:szCs w:val="18"/>
        </w:rPr>
      </w:pPr>
    </w:p>
    <w:p w:rsidRPr="003B1DAE" w:rsidR="00F755AF" w:rsidP="003B14FA" w:rsidRDefault="00F755AF" w14:paraId="06A00464" w14:textId="77777777">
      <w:pPr>
        <w:rPr>
          <w:rFonts w:eastAsia="Verdana" w:cs="Verdana"/>
          <w:szCs w:val="18"/>
        </w:rPr>
      </w:pPr>
    </w:p>
    <w:p w:rsidRPr="003B1DAE" w:rsidR="00A25164" w:rsidP="003B14FA" w:rsidRDefault="00A25164" w14:paraId="469196D4" w14:textId="77777777">
      <w:pPr>
        <w:rPr>
          <w:rFonts w:eastAsia="Verdana" w:cs="Verdana"/>
          <w:i/>
          <w:iCs/>
          <w:szCs w:val="18"/>
        </w:rPr>
      </w:pPr>
      <w:r w:rsidRPr="003B1DAE">
        <w:rPr>
          <w:rFonts w:eastAsia="Verdana" w:cs="Verdana"/>
          <w:i/>
          <w:iCs/>
          <w:szCs w:val="18"/>
        </w:rPr>
        <w:t>Opties omvang strategische opslag</w:t>
      </w:r>
    </w:p>
    <w:p w:rsidRPr="003B1DAE" w:rsidR="00A25164" w:rsidP="003B14FA" w:rsidRDefault="00A25164" w14:paraId="5A542698" w14:textId="43741060">
      <w:pPr>
        <w:rPr>
          <w:rFonts w:eastAsia="Verdana" w:cs="Verdana"/>
          <w:szCs w:val="18"/>
          <w:u w:val="single"/>
        </w:rPr>
      </w:pPr>
      <w:r w:rsidRPr="003B1DAE">
        <w:rPr>
          <w:rFonts w:eastAsia="Verdana" w:cs="Verdana"/>
          <w:szCs w:val="18"/>
          <w:u w:val="single"/>
        </w:rPr>
        <w:t>A. Huidig</w:t>
      </w:r>
      <w:r w:rsidRPr="003B1DAE" w:rsidR="004578EB">
        <w:rPr>
          <w:rFonts w:eastAsia="Verdana" w:cs="Verdana"/>
          <w:szCs w:val="18"/>
          <w:u w:val="single"/>
        </w:rPr>
        <w:t>e situatie</w:t>
      </w:r>
      <w:r w:rsidRPr="003B1DAE">
        <w:rPr>
          <w:rFonts w:eastAsia="Verdana" w:cs="Verdana"/>
          <w:szCs w:val="18"/>
          <w:u w:val="single"/>
        </w:rPr>
        <w:t>: 5 TWh</w:t>
      </w:r>
    </w:p>
    <w:p w:rsidRPr="003B1DAE" w:rsidR="00A25164" w:rsidP="003B14FA" w:rsidRDefault="00A25164" w14:paraId="69597E6A" w14:textId="16D23AFE">
      <w:pPr>
        <w:rPr>
          <w:rFonts w:eastAsia="Verdana" w:cs="Verdana"/>
        </w:rPr>
      </w:pPr>
      <w:r w:rsidRPr="56D43442">
        <w:rPr>
          <w:rFonts w:eastAsia="Verdana" w:cs="Verdana"/>
        </w:rPr>
        <w:t xml:space="preserve">Momenteel </w:t>
      </w:r>
      <w:r w:rsidRPr="56D43442" w:rsidR="00025BC5">
        <w:rPr>
          <w:rFonts w:eastAsia="Verdana" w:cs="Verdana"/>
        </w:rPr>
        <w:t>start de overheid met</w:t>
      </w:r>
      <w:r w:rsidRPr="56D43442">
        <w:rPr>
          <w:rFonts w:eastAsia="Verdana" w:cs="Verdana"/>
        </w:rPr>
        <w:t xml:space="preserve"> 5 TWh, omdat een dergelijk volume twee weken tijd geeft om niet-beschermde gebruikers af te schakelen in een noodsituatie. Deze omvang is dus bedoeld om voor te bereiden op een noodsituatie, waarbij het resterende beschikbare volume kan worden gebruikt voor beschermde afnemers, en/of om in deze twee weken reparaties uit te voeren of alternatieven te zoeken voor het weggevallen aanbod. De kans dat een dergelijke situatie zich voordoet is klein en de kans dat in twee weken nieuw aanbod georganiseerd kan worden is aanzienlijk.</w:t>
      </w:r>
      <w:r w:rsidRPr="56D43442" w:rsidR="001453E4">
        <w:rPr>
          <w:rFonts w:eastAsia="Verdana" w:cs="Verdana"/>
        </w:rPr>
        <w:t xml:space="preserve"> De ervaringen uit de recente crises leren dat gasstromen zeer wendbaar zijn gebleken waardoor naar verwachting al snel alternatieve aanvoer tot stand kan worden gebracht.</w:t>
      </w:r>
      <w:r w:rsidRPr="56D43442">
        <w:rPr>
          <w:rFonts w:eastAsia="Verdana" w:cs="Verdana"/>
        </w:rPr>
        <w:t xml:space="preserve"> </w:t>
      </w:r>
      <w:r w:rsidRPr="56D43442" w:rsidR="00C86156">
        <w:rPr>
          <w:rFonts w:eastAsia="Verdana" w:cs="Verdana"/>
        </w:rPr>
        <w:t xml:space="preserve">Daarnaast </w:t>
      </w:r>
      <w:r w:rsidRPr="56D43442" w:rsidR="0081402A">
        <w:rPr>
          <w:rFonts w:eastAsia="Verdana" w:cs="Verdana"/>
        </w:rPr>
        <w:t xml:space="preserve">wordt </w:t>
      </w:r>
      <w:r w:rsidRPr="56D43442" w:rsidR="00076C5A">
        <w:rPr>
          <w:rFonts w:eastAsia="Verdana" w:cs="Verdana"/>
        </w:rPr>
        <w:t>in</w:t>
      </w:r>
      <w:r w:rsidRPr="56D43442" w:rsidR="0081402A">
        <w:rPr>
          <w:rFonts w:eastAsia="Verdana" w:cs="Verdana"/>
        </w:rPr>
        <w:t xml:space="preserve"> een deel van de </w:t>
      </w:r>
      <w:r w:rsidRPr="56D43442" w:rsidR="00076C5A">
        <w:rPr>
          <w:rFonts w:eastAsia="Verdana" w:cs="Verdana"/>
        </w:rPr>
        <w:t xml:space="preserve">gevolgen van </w:t>
      </w:r>
      <w:r w:rsidRPr="56D43442" w:rsidR="0081402A">
        <w:rPr>
          <w:rFonts w:eastAsia="Verdana" w:cs="Verdana"/>
        </w:rPr>
        <w:t>verstoringen al voorzien met</w:t>
      </w:r>
      <w:r w:rsidRPr="56D43442" w:rsidR="00C86156">
        <w:rPr>
          <w:rFonts w:eastAsia="Verdana" w:cs="Verdana"/>
        </w:rPr>
        <w:t xml:space="preserve"> </w:t>
      </w:r>
      <w:r w:rsidRPr="56D43442" w:rsidR="00DB40B6">
        <w:rPr>
          <w:rFonts w:eastAsia="Verdana" w:cs="Verdana"/>
        </w:rPr>
        <w:t>de Europese vuldoelen en de vulopdracht aan EBN</w:t>
      </w:r>
      <w:r w:rsidRPr="56D43442" w:rsidR="00116CE5">
        <w:rPr>
          <w:rFonts w:eastAsia="Verdana" w:cs="Verdana"/>
        </w:rPr>
        <w:t xml:space="preserve">. </w:t>
      </w:r>
      <w:r w:rsidRPr="56D43442" w:rsidR="00076C5A">
        <w:rPr>
          <w:rFonts w:eastAsia="Verdana" w:cs="Verdana"/>
        </w:rPr>
        <w:t>Om</w:t>
      </w:r>
      <w:r w:rsidRPr="56D43442">
        <w:rPr>
          <w:rFonts w:eastAsia="Verdana" w:cs="Verdana"/>
        </w:rPr>
        <w:t xml:space="preserve"> die reden acht het kabinet deze omvang voldoende voor een situatie waarin zich grotere verstoringen dan reeds gedekt met de Europese </w:t>
      </w:r>
      <w:r w:rsidRPr="56D43442" w:rsidR="00076C5A">
        <w:rPr>
          <w:rFonts w:eastAsia="Verdana" w:cs="Verdana"/>
        </w:rPr>
        <w:t xml:space="preserve">vuldoelen </w:t>
      </w:r>
      <w:r w:rsidRPr="56D43442">
        <w:rPr>
          <w:rFonts w:eastAsia="Verdana" w:cs="Verdana"/>
        </w:rPr>
        <w:t>voordoen</w:t>
      </w:r>
      <w:r w:rsidRPr="56D43442" w:rsidR="007F59AF">
        <w:rPr>
          <w:rFonts w:eastAsia="Verdana" w:cs="Verdana"/>
        </w:rPr>
        <w:t xml:space="preserve">. </w:t>
      </w:r>
    </w:p>
    <w:p w:rsidRPr="003B1DAE" w:rsidR="00640FD6" w:rsidP="003B14FA" w:rsidRDefault="00640FD6" w14:paraId="50D7F8AE" w14:textId="77777777">
      <w:pPr>
        <w:rPr>
          <w:rFonts w:eastAsia="Verdana" w:cs="Verdana"/>
          <w:szCs w:val="18"/>
        </w:rPr>
      </w:pPr>
    </w:p>
    <w:p w:rsidRPr="0054295C" w:rsidR="00640FD6" w:rsidP="003B14FA" w:rsidRDefault="00FD0DB6" w14:paraId="11E06CB7" w14:textId="36C38705">
      <w:pPr>
        <w:rPr>
          <w:rFonts w:eastAsia="Verdana" w:cs="Verdana"/>
        </w:rPr>
      </w:pPr>
      <w:r w:rsidRPr="56D43442">
        <w:rPr>
          <w:rFonts w:eastAsia="Verdana" w:cs="Verdana"/>
        </w:rPr>
        <w:t xml:space="preserve">Als de vuldoelen worden aangepast </w:t>
      </w:r>
      <w:r w:rsidRPr="56D43442" w:rsidR="00EB039D">
        <w:rPr>
          <w:rFonts w:eastAsia="Verdana" w:cs="Verdana"/>
        </w:rPr>
        <w:t xml:space="preserve">lijkt het wenselijk om de strategische opslag te vergroten. Daartoe heeft het kabinet een aantal andere opties onderzocht die hierna verder worden toegelicht. </w:t>
      </w:r>
    </w:p>
    <w:p w:rsidRPr="003B1DAE" w:rsidR="00A25164" w:rsidP="003B14FA" w:rsidRDefault="00A25164" w14:paraId="2953A99C" w14:textId="77777777">
      <w:pPr>
        <w:rPr>
          <w:rFonts w:eastAsia="Verdana" w:cs="Verdana"/>
          <w:szCs w:val="18"/>
        </w:rPr>
      </w:pPr>
    </w:p>
    <w:p w:rsidRPr="003B1DAE" w:rsidR="00A25164" w:rsidP="003B14FA" w:rsidRDefault="00A25164" w14:paraId="099E9E3E" w14:textId="77777777">
      <w:pPr>
        <w:rPr>
          <w:rFonts w:eastAsia="Verdana" w:cs="Verdana"/>
          <w:szCs w:val="18"/>
          <w:u w:val="single"/>
        </w:rPr>
      </w:pPr>
      <w:r w:rsidRPr="003B1DAE">
        <w:rPr>
          <w:rFonts w:eastAsia="Verdana" w:cs="Verdana"/>
          <w:szCs w:val="18"/>
          <w:u w:val="single"/>
        </w:rPr>
        <w:t xml:space="preserve">B1. Analogie met Duits voorstel o.b.v. 10% opslagcapaciteit: 9 TWh </w:t>
      </w:r>
    </w:p>
    <w:p w:rsidRPr="003B1DAE" w:rsidR="00A25164" w:rsidP="003B14FA" w:rsidRDefault="00A25164" w14:paraId="25295876" w14:textId="77777777">
      <w:pPr>
        <w:rPr>
          <w:rFonts w:eastAsia="Verdana" w:cs="Verdana"/>
          <w:szCs w:val="18"/>
        </w:rPr>
      </w:pPr>
      <w:r w:rsidRPr="003B1DAE">
        <w:rPr>
          <w:rFonts w:eastAsia="Verdana" w:cs="Verdana"/>
          <w:szCs w:val="18"/>
        </w:rPr>
        <w:t>Duitsland heeft op 13 juli 2026 aangekondigd in de komende twee tot drie jaar een strategische opslag van 24 TWh aan te zullen leggen. Dit komt overeen met het volume van uitval van hun grootste bron (de pijpleiding uit Noorwegen) voor 30 dagen en beslaat ongeveer 10% van hun totale opslagcapaciteit. Duitsland geeft aan dat deze voorraad bedoeld is om tijd te creëren voor het organiseren van alternatieve gasimporten of het herstellen van technische gebreken en zo aanzienlijke economische schade te voorkomen.</w:t>
      </w:r>
    </w:p>
    <w:p w:rsidRPr="003B1DAE" w:rsidR="00A25164" w:rsidP="003B14FA" w:rsidRDefault="00A25164" w14:paraId="3E337997" w14:textId="77777777">
      <w:pPr>
        <w:rPr>
          <w:rFonts w:eastAsia="Verdana" w:cs="Verdana"/>
          <w:szCs w:val="18"/>
        </w:rPr>
      </w:pPr>
    </w:p>
    <w:p w:rsidRPr="003B1DAE" w:rsidR="00A25164" w:rsidP="003B14FA" w:rsidRDefault="00A25164" w14:paraId="57CC5DB6" w14:textId="6AC73FEC">
      <w:pPr>
        <w:rPr>
          <w:rFonts w:eastAsia="Verdana" w:cs="Verdana"/>
          <w:szCs w:val="18"/>
        </w:rPr>
      </w:pPr>
      <w:r w:rsidRPr="003B1DAE">
        <w:rPr>
          <w:rFonts w:eastAsia="Verdana" w:cs="Verdana"/>
        </w:rPr>
        <w:t>Toepassing van deze methodologie op de Nederlandse situatie betekent 30 dagen uitval van de GATE terminal wat overeenkomt met een volume van 19 TWh</w:t>
      </w:r>
      <w:r w:rsidRPr="003B1DAE" w:rsidR="00B445EB">
        <w:rPr>
          <w:rFonts w:eastAsia="Verdana" w:cs="Verdana"/>
        </w:rPr>
        <w:t>.</w:t>
      </w:r>
      <w:r w:rsidRPr="003B1DAE">
        <w:rPr>
          <w:rStyle w:val="Voetnootmarkering"/>
          <w:rFonts w:eastAsia="Verdana" w:cs="Verdana"/>
        </w:rPr>
        <w:footnoteReference w:id="93"/>
      </w:r>
      <w:r w:rsidRPr="003B1DAE">
        <w:rPr>
          <w:rFonts w:eastAsia="Verdana" w:cs="Verdana"/>
        </w:rPr>
        <w:t xml:space="preserve"> 10% van de Nederlandse opslagcapaciteit zou (onder aanname dat de opslagfunctie in Norg op</w:t>
      </w:r>
      <w:r w:rsidRPr="003B1DAE" w:rsidR="008779C2">
        <w:rPr>
          <w:rFonts w:eastAsia="Verdana" w:cs="Verdana"/>
        </w:rPr>
        <w:t xml:space="preserve"> enig</w:t>
      </w:r>
      <w:r w:rsidRPr="003B1DAE">
        <w:rPr>
          <w:rFonts w:eastAsia="Verdana" w:cs="Verdana"/>
        </w:rPr>
        <w:t xml:space="preserve"> moment beëindigd zou worden, indien aan alle </w:t>
      </w:r>
      <w:r w:rsidRPr="003B1DAE" w:rsidR="008779C2">
        <w:rPr>
          <w:rFonts w:eastAsia="Verdana" w:cs="Verdana"/>
        </w:rPr>
        <w:t xml:space="preserve">daaraan </w:t>
      </w:r>
      <w:r w:rsidRPr="003B1DAE">
        <w:rPr>
          <w:rFonts w:eastAsia="Verdana" w:cs="Verdana"/>
        </w:rPr>
        <w:t>verbonden voorwaarden zou worden voldaan) 9 TWh inhouden. Het equivalent met Duitsland ligt dus ergens tussen 9 en 19 T</w:t>
      </w:r>
      <w:r w:rsidRPr="003B1DAE" w:rsidR="00B445EB">
        <w:rPr>
          <w:rFonts w:eastAsia="Verdana" w:cs="Verdana"/>
        </w:rPr>
        <w:t>W</w:t>
      </w:r>
      <w:r w:rsidRPr="003B1DAE">
        <w:rPr>
          <w:rFonts w:eastAsia="Verdana" w:cs="Verdana"/>
        </w:rPr>
        <w:t xml:space="preserve">h. </w:t>
      </w:r>
    </w:p>
    <w:p w:rsidRPr="003B1DAE" w:rsidR="00A25164" w:rsidP="003B14FA" w:rsidRDefault="00A25164" w14:paraId="5633F060" w14:textId="77777777">
      <w:pPr>
        <w:rPr>
          <w:rFonts w:eastAsia="Verdana" w:cs="Verdana"/>
          <w:szCs w:val="18"/>
        </w:rPr>
      </w:pPr>
    </w:p>
    <w:p w:rsidRPr="003B1DAE" w:rsidR="00A25164" w:rsidP="003B14FA" w:rsidRDefault="00A25164" w14:paraId="219963E0" w14:textId="6F849A4E">
      <w:pPr>
        <w:rPr>
          <w:rFonts w:eastAsia="Verdana" w:cs="Verdana"/>
          <w:szCs w:val="18"/>
        </w:rPr>
      </w:pPr>
      <w:r w:rsidRPr="003B1DAE">
        <w:rPr>
          <w:rFonts w:eastAsia="Verdana" w:cs="Verdana"/>
        </w:rPr>
        <w:t>Met 9 TWh is meer volume beschikbaar in een periode van ten minste 2 weken</w:t>
      </w:r>
      <w:r w:rsidRPr="003B1DAE" w:rsidR="005F2DB6">
        <w:rPr>
          <w:rFonts w:eastAsia="Verdana" w:cs="Verdana"/>
        </w:rPr>
        <w:t xml:space="preserve"> (tijd waarin het gas uit de opslagen kan worden gehaald)</w:t>
      </w:r>
      <w:r w:rsidRPr="003B1DAE">
        <w:rPr>
          <w:rFonts w:eastAsia="Verdana" w:cs="Verdana"/>
        </w:rPr>
        <w:t>. Hiermee kan bijvoorbeeld een groter weggevallen volume worden opgevangen of kan meer tijd worden verkregen om reparaties of alternatieve import te realiseren. Ook kan de levering aan beschermde afnemers, na het afschakelen van niet-beschermde afnemers, langer worden voortgezet.</w:t>
      </w:r>
      <w:r w:rsidRPr="003B1DAE" w:rsidR="00DD7549">
        <w:rPr>
          <w:rFonts w:eastAsia="Verdana" w:cs="Verdana"/>
        </w:rPr>
        <w:t xml:space="preserve"> Als uit wordt gegaan van bepaalde vraagreductie of slechts uitval van een deel van het aanbod</w:t>
      </w:r>
      <w:r w:rsidRPr="003B1DAE" w:rsidR="007E4920">
        <w:rPr>
          <w:rFonts w:eastAsia="Verdana" w:cs="Verdana"/>
        </w:rPr>
        <w:t xml:space="preserve"> vergelijkbaar met de </w:t>
      </w:r>
      <w:r w:rsidRPr="003B1DAE" w:rsidR="00CB78EF">
        <w:rPr>
          <w:rFonts w:eastAsia="Verdana" w:cs="Verdana"/>
        </w:rPr>
        <w:t>5 TWh</w:t>
      </w:r>
      <w:r w:rsidRPr="003B1DAE" w:rsidR="00DD7549">
        <w:rPr>
          <w:rFonts w:eastAsia="Verdana" w:cs="Verdana"/>
        </w:rPr>
        <w:t>, zou deze voorraad voldoende zijn voor zo’n 4 weken</w:t>
      </w:r>
      <w:r w:rsidRPr="003B1DAE" w:rsidR="00F06183">
        <w:rPr>
          <w:rStyle w:val="Voetnootmarkering"/>
          <w:rFonts w:eastAsia="Verdana" w:cs="Verdana"/>
        </w:rPr>
        <w:footnoteReference w:id="94"/>
      </w:r>
      <w:r w:rsidRPr="003B1DAE" w:rsidR="00DD7549">
        <w:rPr>
          <w:rFonts w:eastAsia="Verdana" w:cs="Verdana"/>
        </w:rPr>
        <w:t xml:space="preserve">. </w:t>
      </w:r>
    </w:p>
    <w:p w:rsidRPr="003B1DAE" w:rsidR="00A25164" w:rsidP="003B14FA" w:rsidRDefault="00A25164" w14:paraId="1499496A" w14:textId="77777777">
      <w:pPr>
        <w:rPr>
          <w:rFonts w:eastAsia="Verdana" w:cs="Verdana"/>
          <w:szCs w:val="18"/>
        </w:rPr>
      </w:pPr>
    </w:p>
    <w:p w:rsidRPr="003B1DAE" w:rsidR="00A25164" w:rsidP="003B14FA" w:rsidRDefault="00A25164" w14:paraId="57A23475" w14:textId="77777777">
      <w:pPr>
        <w:rPr>
          <w:rFonts w:eastAsia="Verdana" w:cs="Verdana"/>
          <w:szCs w:val="18"/>
          <w:u w:val="single"/>
        </w:rPr>
      </w:pPr>
      <w:r w:rsidRPr="003B1DAE">
        <w:rPr>
          <w:rFonts w:eastAsia="Verdana" w:cs="Verdana"/>
          <w:szCs w:val="18"/>
          <w:u w:val="single"/>
        </w:rPr>
        <w:t>B2. Analogie met Duits voorstel o.b.v. uitval grootste volumebron: 19 TWh</w:t>
      </w:r>
    </w:p>
    <w:p w:rsidRPr="003B1DAE" w:rsidR="00A25164" w:rsidP="003B14FA" w:rsidRDefault="00A25164" w14:paraId="04C35B40" w14:textId="78EC22F6">
      <w:pPr>
        <w:rPr>
          <w:rFonts w:eastAsia="Verdana" w:cs="Verdana"/>
          <w:szCs w:val="18"/>
        </w:rPr>
      </w:pPr>
      <w:r w:rsidRPr="003B1DAE">
        <w:rPr>
          <w:rFonts w:eastAsia="Verdana" w:cs="Verdana"/>
          <w:szCs w:val="18"/>
        </w:rPr>
        <w:t xml:space="preserve">Toepassing van </w:t>
      </w:r>
      <w:r w:rsidRPr="003B1DAE" w:rsidR="00076C5A">
        <w:rPr>
          <w:rFonts w:eastAsia="Verdana" w:cs="Verdana"/>
          <w:szCs w:val="18"/>
        </w:rPr>
        <w:t xml:space="preserve">de </w:t>
      </w:r>
      <w:r w:rsidRPr="003B1DAE">
        <w:rPr>
          <w:rFonts w:eastAsia="Verdana" w:cs="Verdana"/>
          <w:szCs w:val="18"/>
        </w:rPr>
        <w:t xml:space="preserve">methodologie </w:t>
      </w:r>
      <w:r w:rsidRPr="003B1DAE" w:rsidR="00076C5A">
        <w:rPr>
          <w:rFonts w:eastAsia="Verdana" w:cs="Verdana"/>
          <w:szCs w:val="18"/>
        </w:rPr>
        <w:t>van</w:t>
      </w:r>
      <w:r w:rsidRPr="003B1DAE">
        <w:rPr>
          <w:rFonts w:eastAsia="Verdana" w:cs="Verdana"/>
          <w:szCs w:val="18"/>
        </w:rPr>
        <w:t xml:space="preserve"> 30 dagen uitval op de Nederlandse situatie</w:t>
      </w:r>
      <w:r w:rsidRPr="003B1DAE" w:rsidR="00B445EB">
        <w:rPr>
          <w:rFonts w:eastAsia="Verdana" w:cs="Verdana"/>
          <w:szCs w:val="18"/>
        </w:rPr>
        <w:t xml:space="preserve"> </w:t>
      </w:r>
      <w:r w:rsidRPr="003B1DAE">
        <w:rPr>
          <w:rFonts w:eastAsia="Verdana" w:cs="Verdana"/>
          <w:szCs w:val="18"/>
        </w:rPr>
        <w:t xml:space="preserve">betekent 30 dagen uitval van de GATE terminal wat overeenkomt met een volume van 19 TWh. Hiermee kan dus in 30 dagen vraag worden voorzien als een deel van het aanbod wegvalt. Als het volledige aanbod wegvalt kan hiermee ongeveer 3,5 week worden overbrugd. </w:t>
      </w:r>
      <w:r w:rsidRPr="003B1DAE" w:rsidR="005F2DB6">
        <w:rPr>
          <w:rFonts w:eastAsia="Verdana" w:cs="Verdana"/>
          <w:szCs w:val="18"/>
        </w:rPr>
        <w:t xml:space="preserve">Als </w:t>
      </w:r>
      <w:r w:rsidRPr="003B1DAE" w:rsidR="001B4F3B">
        <w:rPr>
          <w:rFonts w:eastAsia="Verdana" w:cs="Verdana"/>
          <w:szCs w:val="18"/>
        </w:rPr>
        <w:t xml:space="preserve">er </w:t>
      </w:r>
      <w:r w:rsidRPr="003B1DAE" w:rsidR="005F2DB6">
        <w:rPr>
          <w:rFonts w:eastAsia="Verdana" w:cs="Verdana"/>
          <w:szCs w:val="18"/>
        </w:rPr>
        <w:t>weer</w:t>
      </w:r>
      <w:r w:rsidRPr="003B1DAE" w:rsidR="001B4F3B">
        <w:rPr>
          <w:rFonts w:eastAsia="Verdana" w:cs="Verdana"/>
          <w:szCs w:val="18"/>
        </w:rPr>
        <w:t xml:space="preserve"> van</w:t>
      </w:r>
      <w:r w:rsidRPr="003B1DAE" w:rsidR="005F2DB6">
        <w:rPr>
          <w:rFonts w:eastAsia="Verdana" w:cs="Verdana"/>
          <w:szCs w:val="18"/>
        </w:rPr>
        <w:t xml:space="preserve"> wordt uitgegaan </w:t>
      </w:r>
      <w:r w:rsidRPr="003B1DAE" w:rsidR="004A7756">
        <w:rPr>
          <w:rFonts w:eastAsia="Verdana" w:cs="Verdana"/>
          <w:szCs w:val="18"/>
        </w:rPr>
        <w:t>dat slechts een deel van het aanbod wegvalt of vraagreductie plaatsvindt is de periode die met dit volume overbrugd kan worden eerder rond</w:t>
      </w:r>
      <w:r w:rsidRPr="003B1DAE" w:rsidR="005F2DB6">
        <w:rPr>
          <w:rFonts w:eastAsia="Verdana" w:cs="Verdana"/>
          <w:szCs w:val="18"/>
        </w:rPr>
        <w:t xml:space="preserve"> </w:t>
      </w:r>
      <w:r w:rsidRPr="003B1DAE" w:rsidR="008B2449">
        <w:rPr>
          <w:rFonts w:eastAsia="Verdana" w:cs="Verdana"/>
          <w:szCs w:val="18"/>
        </w:rPr>
        <w:t>acht weken</w:t>
      </w:r>
      <w:r w:rsidRPr="003B1DAE" w:rsidR="00523FB3">
        <w:rPr>
          <w:rFonts w:eastAsia="Verdana" w:cs="Verdana"/>
          <w:szCs w:val="18"/>
        </w:rPr>
        <w:t>.</w:t>
      </w:r>
      <w:r w:rsidRPr="003B1DAE" w:rsidR="008B2449">
        <w:rPr>
          <w:rFonts w:eastAsia="Verdana" w:cs="Verdana"/>
          <w:szCs w:val="18"/>
        </w:rPr>
        <w:t xml:space="preserve"> </w:t>
      </w:r>
      <w:r w:rsidRPr="003B1DAE">
        <w:rPr>
          <w:rFonts w:eastAsia="Verdana" w:cs="Verdana"/>
          <w:szCs w:val="18"/>
        </w:rPr>
        <w:t>Dit additionele volume is alleen zinvol als wordt verondersteld dat zich fysieke tekorten kunnen voordoen waarbij volumeaanvoer langer dan twee weken gehinderd wordt</w:t>
      </w:r>
      <w:r w:rsidRPr="0054295C">
        <w:rPr>
          <w:rFonts w:eastAsia="Verdana" w:cs="Verdana"/>
          <w:szCs w:val="18"/>
        </w:rPr>
        <w:t xml:space="preserve">. </w:t>
      </w:r>
    </w:p>
    <w:p w:rsidRPr="003B1DAE" w:rsidR="00A25164" w:rsidP="003B14FA" w:rsidRDefault="00A25164" w14:paraId="55906B8F" w14:textId="77777777">
      <w:pPr>
        <w:rPr>
          <w:rFonts w:eastAsia="Verdana" w:cs="Verdana"/>
          <w:szCs w:val="18"/>
        </w:rPr>
      </w:pPr>
    </w:p>
    <w:p w:rsidRPr="003B1DAE" w:rsidR="00A25164" w:rsidP="003B14FA" w:rsidRDefault="00A25164" w14:paraId="207B2777" w14:textId="77777777">
      <w:pPr>
        <w:rPr>
          <w:rFonts w:eastAsia="Verdana" w:cs="Verdana"/>
          <w:szCs w:val="18"/>
          <w:u w:val="single"/>
        </w:rPr>
      </w:pPr>
      <w:r w:rsidRPr="003B1DAE">
        <w:rPr>
          <w:rFonts w:eastAsia="Verdana" w:cs="Verdana"/>
          <w:szCs w:val="18"/>
          <w:u w:val="single"/>
        </w:rPr>
        <w:t>C. Analogie met oliereserves: 72 TWh</w:t>
      </w:r>
    </w:p>
    <w:p w:rsidRPr="003B1DAE" w:rsidR="00A25164" w:rsidP="003B14FA" w:rsidRDefault="00A25164" w14:paraId="2FA5C3E4" w14:textId="21716CB9">
      <w:pPr>
        <w:rPr>
          <w:rFonts w:eastAsia="Verdana" w:cs="Verdana"/>
          <w:szCs w:val="18"/>
        </w:rPr>
      </w:pPr>
      <w:r w:rsidRPr="003B1DAE">
        <w:rPr>
          <w:rFonts w:eastAsia="Verdana" w:cs="Verdana"/>
        </w:rPr>
        <w:t>De oliereserves die lidstaten van het IEA aanhouden zijn goed om 90 dagen in de volledige vraag te kunnen voorzien. 90 dagen gasgebruik in Nederland betreft zo’n</w:t>
      </w:r>
      <w:r w:rsidR="003B14FA">
        <w:rPr>
          <w:rFonts w:eastAsia="Verdana" w:cs="Verdana"/>
        </w:rPr>
        <w:t> </w:t>
      </w:r>
      <w:r w:rsidRPr="003B1DAE">
        <w:rPr>
          <w:rFonts w:eastAsia="Verdana" w:cs="Verdana"/>
        </w:rPr>
        <w:t>72 TWh. Het is hierbij van belang op te merken dat de oliereserves</w:t>
      </w:r>
      <w:r w:rsidRPr="003B1DAE" w:rsidR="00996331">
        <w:rPr>
          <w:rFonts w:eastAsia="Verdana" w:cs="Verdana"/>
        </w:rPr>
        <w:t>, anders dan bij gas,</w:t>
      </w:r>
      <w:r w:rsidRPr="003B1DAE">
        <w:rPr>
          <w:rFonts w:eastAsia="Verdana" w:cs="Verdana"/>
        </w:rPr>
        <w:t xml:space="preserve"> al ingezet kunnen worden voordat fysieke tekorten optreden en internationaal gecoördineerd worden ingezet (coördinatie door het IEA)</w:t>
      </w:r>
      <w:r w:rsidRPr="003B1DAE" w:rsidR="00996331">
        <w:rPr>
          <w:rFonts w:eastAsia="Verdana" w:cs="Verdana"/>
        </w:rPr>
        <w:t>.</w:t>
      </w:r>
      <w:r w:rsidRPr="003B1DAE">
        <w:rPr>
          <w:rStyle w:val="Voetnootmarkering"/>
          <w:rFonts w:eastAsia="Verdana" w:cs="Verdana"/>
        </w:rPr>
        <w:footnoteReference w:id="95"/>
      </w:r>
      <w:r w:rsidRPr="003B1DAE">
        <w:rPr>
          <w:rFonts w:eastAsia="Verdana" w:cs="Verdana"/>
        </w:rPr>
        <w:t xml:space="preserve"> </w:t>
      </w:r>
      <w:r w:rsidRPr="003B1DAE" w:rsidR="008579BB">
        <w:rPr>
          <w:rFonts w:eastAsia="Verdana" w:cs="Verdana"/>
        </w:rPr>
        <w:t xml:space="preserve">Een deel van de voorraad wordt door leveranciers aangehouden. </w:t>
      </w:r>
      <w:r w:rsidRPr="003B1DAE">
        <w:rPr>
          <w:rFonts w:eastAsia="Verdana" w:cs="Verdana"/>
        </w:rPr>
        <w:t xml:space="preserve">Daarnaast is het opslaan van olie(producten) makkelijker dan het opslaan van gas doordat olie in vloeibare vorm in bovengrondse tanks kan worden opgeslagen, waardoor ieder land hier makkelijker in mee kan doen. Dit in tegenstelling tot gasopslag, waarbij ondergrondse opslag het meest geschikt is en niet ieder land over ondergrondse opslag beschikt. </w:t>
      </w:r>
    </w:p>
    <w:p w:rsidRPr="003B1DAE" w:rsidR="00A25164" w:rsidP="003B14FA" w:rsidRDefault="00A25164" w14:paraId="0558DC7F" w14:textId="77777777">
      <w:pPr>
        <w:rPr>
          <w:rFonts w:eastAsia="Verdana" w:cs="Verdana"/>
          <w:szCs w:val="18"/>
        </w:rPr>
      </w:pPr>
    </w:p>
    <w:p w:rsidRPr="003B1DAE" w:rsidR="00A25164" w:rsidP="003B14FA" w:rsidRDefault="00A25164" w14:paraId="3D0F9F5F" w14:textId="58981C9C">
      <w:pPr>
        <w:rPr>
          <w:rFonts w:eastAsia="Verdana" w:cs="Verdana"/>
          <w:szCs w:val="18"/>
        </w:rPr>
      </w:pPr>
      <w:r w:rsidRPr="003B1DAE">
        <w:rPr>
          <w:rFonts w:eastAsia="Verdana" w:cs="Verdana"/>
          <w:szCs w:val="18"/>
        </w:rPr>
        <w:t xml:space="preserve">Deze omvang van 72 TWh valt binnen de door GTS in haar visie weerbaarheid geadviseerde bandbreedte van 55 tot 110 TWh. GTS baseert deze bandbreedte op het wegvallen van </w:t>
      </w:r>
      <w:r w:rsidRPr="003B1DAE" w:rsidR="00AE4458">
        <w:rPr>
          <w:rFonts w:eastAsia="Verdana" w:cs="Verdana"/>
          <w:szCs w:val="18"/>
        </w:rPr>
        <w:t>LNG-import</w:t>
      </w:r>
      <w:r w:rsidRPr="003B1DAE">
        <w:rPr>
          <w:rFonts w:eastAsia="Verdana" w:cs="Verdana"/>
          <w:szCs w:val="18"/>
        </w:rPr>
        <w:t xml:space="preserve"> via de GATE terminal of het Noors pijpleidinggas voor een half jaar, waarbij er geen alternatieve stromen op gang komen. GTS gaat in haar analyse uit van Europese coördinatie en een bredere inzet van de reserve dan enkel bij fysieke tekorten, bijvoorbeeld </w:t>
      </w:r>
      <w:r w:rsidRPr="003B1DAE" w:rsidR="00A96160">
        <w:rPr>
          <w:rFonts w:eastAsia="Verdana" w:cs="Verdana"/>
          <w:szCs w:val="18"/>
        </w:rPr>
        <w:t>ook</w:t>
      </w:r>
      <w:r w:rsidRPr="003B1DAE">
        <w:rPr>
          <w:rFonts w:eastAsia="Verdana" w:cs="Verdana"/>
          <w:szCs w:val="18"/>
        </w:rPr>
        <w:t xml:space="preserve"> bij zeer hoge prijzen. Eerder is toegelicht dat het inzetten van strategische opslag voor prijsdemping niet effectief is en dat inmiddels is gebleken dat er geen draagvlak is voor Europese coördinatie van strategische opslagen. </w:t>
      </w:r>
      <w:r w:rsidRPr="003B1DAE" w:rsidR="00412E3C">
        <w:rPr>
          <w:rFonts w:eastAsia="Verdana" w:cs="Verdana"/>
          <w:szCs w:val="18"/>
        </w:rPr>
        <w:t xml:space="preserve">Een hoge opslag in Nederland betekent dat Nederland </w:t>
      </w:r>
      <w:r w:rsidRPr="003B1DAE" w:rsidR="00D03643">
        <w:rPr>
          <w:rFonts w:eastAsia="Verdana" w:cs="Verdana"/>
          <w:szCs w:val="18"/>
        </w:rPr>
        <w:t>een onevenredige bijdrage zal moeten leveren aan de Europese weerbaarheid, met navenante kosten.</w:t>
      </w:r>
    </w:p>
    <w:p w:rsidRPr="003B1DAE" w:rsidR="00A25164" w:rsidP="003B14FA" w:rsidRDefault="00A25164" w14:paraId="1B61D1EF" w14:textId="77777777">
      <w:pPr>
        <w:rPr>
          <w:rFonts w:eastAsia="Verdana" w:cs="Verdana"/>
          <w:szCs w:val="18"/>
        </w:rPr>
      </w:pPr>
    </w:p>
    <w:p w:rsidRPr="003B1DAE" w:rsidR="00A25164" w:rsidP="003B14FA" w:rsidRDefault="00A25164" w14:paraId="12BF902C" w14:textId="5261F8F1">
      <w:pPr>
        <w:rPr>
          <w:rFonts w:eastAsia="Verdana" w:cs="Verdana"/>
          <w:szCs w:val="18"/>
        </w:rPr>
      </w:pPr>
      <w:r w:rsidRPr="003B1DAE">
        <w:rPr>
          <w:rFonts w:eastAsia="Verdana" w:cs="Verdana"/>
        </w:rPr>
        <w:t>Een strategische opslag van 72</w:t>
      </w:r>
      <w:r w:rsidRPr="003B1DAE" w:rsidR="008779C2">
        <w:rPr>
          <w:rFonts w:eastAsia="Verdana" w:cs="Verdana"/>
        </w:rPr>
        <w:t xml:space="preserve"> </w:t>
      </w:r>
      <w:r w:rsidRPr="003B1DAE">
        <w:rPr>
          <w:rFonts w:eastAsia="Verdana" w:cs="Verdana"/>
        </w:rPr>
        <w:t>TWh komt met hoge kosten en de nodige uitdagingen, mede omdat in dat geval een groot deel van het kussengas aangemerkt moet worden als strategische opslag</w:t>
      </w:r>
      <w:r w:rsidRPr="003B1DAE" w:rsidR="00953B6C">
        <w:rPr>
          <w:rFonts w:eastAsia="Verdana" w:cs="Verdana"/>
        </w:rPr>
        <w:t>. Er is immers onvoldoende werkgasvolume om daarmee tot 72 TWh te komen</w:t>
      </w:r>
      <w:r w:rsidRPr="003B1DAE">
        <w:rPr>
          <w:rFonts w:eastAsia="Verdana" w:cs="Verdana"/>
        </w:rPr>
        <w:t>. Daarnaast zullen veel verstoringen in veel minder dan 90 dagen hebben geleid tot alternatieve aanvoer of herstel van verstoringen, waardoor het mogelijk onnodig is om een dergelijk grote voorraad aan te leggen</w:t>
      </w:r>
      <w:r w:rsidRPr="003B1DAE">
        <w:rPr>
          <w:rStyle w:val="Voetnootmarkering"/>
          <w:rFonts w:eastAsia="Verdana" w:cs="Verdana"/>
        </w:rPr>
        <w:footnoteReference w:id="96"/>
      </w:r>
      <w:r w:rsidRPr="003B1DAE">
        <w:rPr>
          <w:rFonts w:eastAsia="Verdana" w:cs="Verdana"/>
        </w:rPr>
        <w:t xml:space="preserve">. Zie ook sectie </w:t>
      </w:r>
      <w:r w:rsidRPr="003B1DAE" w:rsidR="0027590B">
        <w:rPr>
          <w:rFonts w:eastAsia="Verdana" w:cs="Verdana"/>
        </w:rPr>
        <w:t>C</w:t>
      </w:r>
      <w:r w:rsidRPr="003B1DAE" w:rsidR="00843F16">
        <w:rPr>
          <w:rFonts w:eastAsia="Verdana" w:cs="Verdana"/>
        </w:rPr>
        <w:t>.</w:t>
      </w:r>
      <w:r w:rsidRPr="003B1DAE" w:rsidR="0027590B">
        <w:rPr>
          <w:rFonts w:eastAsia="Verdana" w:cs="Verdana"/>
        </w:rPr>
        <w:t xml:space="preserve"> </w:t>
      </w:r>
      <w:r w:rsidRPr="003B1DAE">
        <w:rPr>
          <w:rFonts w:eastAsia="Verdana" w:cs="Verdana"/>
        </w:rPr>
        <w:t xml:space="preserve">waarin ervaringen uit eerdere crises zijn beschreven. </w:t>
      </w:r>
    </w:p>
    <w:p w:rsidRPr="003B1DAE" w:rsidR="00A25164" w:rsidP="003B14FA" w:rsidRDefault="00A25164" w14:paraId="5A0AB35C" w14:textId="77777777">
      <w:pPr>
        <w:rPr>
          <w:rFonts w:eastAsia="Verdana" w:cs="Verdana"/>
          <w:szCs w:val="18"/>
        </w:rPr>
      </w:pPr>
    </w:p>
    <w:p w:rsidRPr="003B1DAE" w:rsidR="00A25164" w:rsidP="003B14FA" w:rsidRDefault="00A25164" w14:paraId="678FC648" w14:textId="1F065203">
      <w:pPr>
        <w:rPr>
          <w:rFonts w:eastAsia="Verdana" w:cs="Verdana"/>
          <w:b/>
          <w:szCs w:val="18"/>
        </w:rPr>
      </w:pPr>
      <w:r w:rsidRPr="003B1DAE">
        <w:rPr>
          <w:rFonts w:eastAsia="Verdana" w:cs="Verdana"/>
          <w:b/>
          <w:bCs/>
          <w:szCs w:val="18"/>
        </w:rPr>
        <w:t>D.3</w:t>
      </w:r>
      <w:r w:rsidRPr="003B1DAE" w:rsidR="00447FAE">
        <w:rPr>
          <w:rFonts w:eastAsia="Verdana" w:cs="Verdana"/>
          <w:b/>
          <w:bCs/>
          <w:szCs w:val="18"/>
        </w:rPr>
        <w:t>.</w:t>
      </w:r>
      <w:r w:rsidRPr="003B1DAE">
        <w:rPr>
          <w:rFonts w:eastAsia="Verdana" w:cs="Verdana"/>
          <w:b/>
          <w:bCs/>
          <w:szCs w:val="18"/>
        </w:rPr>
        <w:t xml:space="preserve"> Kussengas</w:t>
      </w:r>
    </w:p>
    <w:p w:rsidRPr="003B1DAE" w:rsidR="00A25164" w:rsidP="003B14FA" w:rsidRDefault="00A25164" w14:paraId="11B6ADA6" w14:textId="77777777">
      <w:pPr>
        <w:rPr>
          <w:rFonts w:eastAsia="Verdana" w:cs="Verdana"/>
          <w:szCs w:val="18"/>
        </w:rPr>
      </w:pPr>
    </w:p>
    <w:p w:rsidRPr="003B1DAE" w:rsidR="00A25164" w:rsidP="003B14FA" w:rsidRDefault="00A25164" w14:paraId="28306597" w14:textId="568196EA">
      <w:pPr>
        <w:rPr>
          <w:rFonts w:eastAsia="Verdana" w:cs="Verdana"/>
          <w:szCs w:val="18"/>
        </w:rPr>
      </w:pPr>
      <w:r w:rsidRPr="003B1DAE">
        <w:rPr>
          <w:rFonts w:eastAsia="Verdana" w:cs="Verdana"/>
          <w:szCs w:val="18"/>
        </w:rPr>
        <w:t xml:space="preserve">De inzet van kussengas voor een grotere strategische voorraad zou betekenen dat buiten het werkgasvolume, kussengas ingezet zou moeten worden in een noodsituatie. Deze manier van inzet van kussengas is door meerdere adviezen van GTS en CE Delft aangekaart. Het is nog niet duidelijk of de inzet van kussengas mogelijk is omdat de inzet hiervan met meer uitdagingen gepaard gaat dan de inzet van werkgasvolume. Deze uitdagingen bevinden zich onder meer op technisch, operationeel, juridisch en financieel vlak. </w:t>
      </w:r>
    </w:p>
    <w:p w:rsidRPr="003B1DAE" w:rsidR="00A25164" w:rsidP="003B14FA" w:rsidRDefault="00A25164" w14:paraId="63B612BE" w14:textId="77777777">
      <w:pPr>
        <w:rPr>
          <w:rFonts w:eastAsia="Verdana" w:cs="Verdana"/>
          <w:szCs w:val="18"/>
        </w:rPr>
      </w:pPr>
    </w:p>
    <w:p w:rsidRPr="003B1DAE" w:rsidR="00A25164" w:rsidP="003B14FA" w:rsidRDefault="00A25164" w14:paraId="5AF9E866" w14:textId="77777777">
      <w:pPr>
        <w:rPr>
          <w:rFonts w:eastAsia="Verdana" w:cs="Verdana"/>
          <w:szCs w:val="18"/>
        </w:rPr>
      </w:pPr>
      <w:r w:rsidRPr="003B1DAE">
        <w:rPr>
          <w:rFonts w:eastAsia="Verdana" w:cs="Verdana"/>
          <w:szCs w:val="18"/>
        </w:rPr>
        <w:t xml:space="preserve">Kussengas is in de reguliere situatie permanent in de gasopslag aanwezig en heeft als doel om de gasopslag op voldoende druk te houden, zodat het werkgas kan worden geproduceerd. Het produceren van kussengas zelf heeft meerdere effecten waarop hierna wordt ingegaan. </w:t>
      </w:r>
    </w:p>
    <w:p w:rsidRPr="003B1DAE" w:rsidR="00A25164" w:rsidP="003B14FA" w:rsidRDefault="00A25164" w14:paraId="4055880B" w14:textId="77777777">
      <w:pPr>
        <w:rPr>
          <w:rFonts w:eastAsia="Verdana" w:cs="Verdana"/>
          <w:szCs w:val="18"/>
        </w:rPr>
      </w:pPr>
    </w:p>
    <w:p w:rsidRPr="003B1DAE" w:rsidR="00A25164" w:rsidP="003B14FA" w:rsidRDefault="00A25164" w14:paraId="2C50D28F" w14:textId="31A5294B">
      <w:pPr>
        <w:rPr>
          <w:rFonts w:eastAsia="Verdana" w:cs="Verdana"/>
          <w:szCs w:val="18"/>
        </w:rPr>
      </w:pPr>
      <w:r w:rsidRPr="003B1DAE">
        <w:rPr>
          <w:rFonts w:eastAsia="Verdana" w:cs="Verdana"/>
          <w:szCs w:val="18"/>
        </w:rPr>
        <w:t>Hoeveel van het kussengas daadwerkelijk ingezet kan worden als strategische opslag moet per opslaglocatie worden onderzocht en hangt mede af van het beschikbare volume, capaciteitsafname en de kwaliteit van het gas. Daarnaast zal geanalyseerd moeten worden of de capaciteit om het kussengas te produceren wel kan voldoen aan de capaciteitsvraag gedurende een noodsituatie en in hoeverre voor de installatie additionele compressoren nodig zijn. Ook de verwerkingscapaciteit van stikstofinstallaties is hier relevant. De noodzaak om vuil kussengas (mix van L-gas en H-gas) te behandelen vraagt extra inzet van deze installaties</w:t>
      </w:r>
      <w:r w:rsidRPr="003B1DAE" w:rsidR="00F36442">
        <w:rPr>
          <w:rStyle w:val="Voetnootmarkering"/>
          <w:rFonts w:eastAsia="Verdana" w:cs="Verdana"/>
          <w:szCs w:val="18"/>
        </w:rPr>
        <w:footnoteReference w:id="97"/>
      </w:r>
      <w:r w:rsidRPr="003B1DAE">
        <w:rPr>
          <w:rFonts w:eastAsia="Verdana" w:cs="Verdana"/>
          <w:szCs w:val="18"/>
        </w:rPr>
        <w:t>. Daarnaast kan het onttrekken van kussengas gedurende noodsituaties neveneffecten hebben op de reguliere functies van de opslag wat gevolgen heeft voor de capaciteitshouders van gasopslagen ten tijde van niet-noodsituaties.</w:t>
      </w:r>
    </w:p>
    <w:p w:rsidRPr="003B1DAE" w:rsidR="00A25164" w:rsidP="003B14FA" w:rsidRDefault="00A25164" w14:paraId="33AA7325" w14:textId="77777777">
      <w:pPr>
        <w:rPr>
          <w:rFonts w:eastAsia="Verdana" w:cs="Verdana"/>
          <w:szCs w:val="18"/>
        </w:rPr>
      </w:pPr>
    </w:p>
    <w:p w:rsidRPr="003B1DAE" w:rsidR="00A25164" w:rsidP="003B14FA" w:rsidRDefault="00A25164" w14:paraId="2D1018F3" w14:textId="1EF4C2C1">
      <w:pPr>
        <w:rPr>
          <w:rFonts w:eastAsia="Verdana" w:cs="Verdana"/>
          <w:szCs w:val="18"/>
        </w:rPr>
      </w:pPr>
      <w:r w:rsidRPr="003B1DAE">
        <w:rPr>
          <w:rFonts w:eastAsia="Verdana" w:cs="Verdana"/>
          <w:szCs w:val="18"/>
        </w:rPr>
        <w:t>Bij de productie van kussengas zal het drukniveau in de gasopslag afnemen. Bij lagere druk in gasopslagen neemt de kans op seismische activiteit toe, met name op breuklijnen die eerder bewogen hebben. Het is zonder verder onderzoek niet met zekerheid vast te stellen of kleine drukverlagingen wel of niet tot verhoogd</w:t>
      </w:r>
      <w:r w:rsidRPr="003B1DAE" w:rsidR="0073092C">
        <w:rPr>
          <w:rFonts w:eastAsia="Verdana" w:cs="Verdana"/>
          <w:szCs w:val="18"/>
        </w:rPr>
        <w:t>e</w:t>
      </w:r>
      <w:r w:rsidRPr="003B1DAE">
        <w:rPr>
          <w:rFonts w:eastAsia="Verdana" w:cs="Verdana"/>
          <w:szCs w:val="18"/>
        </w:rPr>
        <w:t xml:space="preserve"> seismische activiteit zal leiden. Bij de gasopslagen Alkmaar en Bergermeer hebben bijvoorbeeld in het verleden bevingen plaatsgevonden. Nader onderzoek is nog nodig ten aanzien van onder welke drukgrenzen dit gebeurde en hoe zich dit verhoudt tot eventuele aanpassing van drukgrenzen. </w:t>
      </w:r>
    </w:p>
    <w:p w:rsidRPr="003B1DAE" w:rsidR="00A25164" w:rsidP="003B14FA" w:rsidRDefault="00A25164" w14:paraId="5D99F931" w14:textId="77777777">
      <w:pPr>
        <w:rPr>
          <w:rFonts w:eastAsia="Verdana" w:cs="Verdana"/>
          <w:szCs w:val="18"/>
        </w:rPr>
      </w:pPr>
    </w:p>
    <w:p w:rsidRPr="003B1DAE" w:rsidR="00A25164" w:rsidP="003B14FA" w:rsidRDefault="00A25164" w14:paraId="76F9C19C" w14:textId="207CBCB0">
      <w:pPr>
        <w:rPr>
          <w:rFonts w:eastAsia="Verdana" w:cs="Verdana"/>
          <w:szCs w:val="18"/>
        </w:rPr>
      </w:pPr>
      <w:r w:rsidRPr="003B1DAE">
        <w:rPr>
          <w:rFonts w:eastAsia="Verdana" w:cs="Verdana"/>
          <w:szCs w:val="18"/>
        </w:rPr>
        <w:t xml:space="preserve">Om werkgas te kunnen produceren uit een opslag is op grond van de Mijnbouwwet een opslagvergunning nodig in combinatie met een opslagplan waarmee is ingestemd door de </w:t>
      </w:r>
      <w:r w:rsidR="003B14FA">
        <w:rPr>
          <w:rFonts w:eastAsia="Verdana" w:cs="Verdana"/>
          <w:szCs w:val="18"/>
        </w:rPr>
        <w:t>s</w:t>
      </w:r>
      <w:r w:rsidRPr="003B1DAE">
        <w:rPr>
          <w:rFonts w:eastAsia="Verdana" w:cs="Verdana"/>
          <w:szCs w:val="18"/>
        </w:rPr>
        <w:t xml:space="preserve">taatssecretaris van </w:t>
      </w:r>
      <w:r w:rsidRPr="003B1DAE" w:rsidR="008779C2">
        <w:rPr>
          <w:rFonts w:eastAsia="Verdana" w:cs="Verdana"/>
          <w:szCs w:val="18"/>
        </w:rPr>
        <w:t xml:space="preserve">Klimaat en Groene Groei </w:t>
      </w:r>
      <w:r w:rsidRPr="003B1DAE">
        <w:rPr>
          <w:rFonts w:eastAsia="Verdana" w:cs="Verdana"/>
          <w:szCs w:val="18"/>
        </w:rPr>
        <w:t xml:space="preserve">aan de hand van in de wet opgenomen criteria. Dit systeem is niet expliciet ingericht voor de inzet van kussengas als strategische opslag. Of inzet van kussengas past binnen dit systeem wordt nog nader onderzocht. Mocht dit passen, dan zou in ieder geval een aanpassing van de drukgrenzen in het opslagplan nodig zijn. Deze drukgrenzen hebben een veiligheidsdoeleinde zodat geen onaanvaardbare seismische risico’s optreden. Aanpassing van die drukgrenzen vraagt hernieuwde instemming met het gewijzigde opslagplan op grond van </w:t>
      </w:r>
      <w:r w:rsidRPr="003B1DAE" w:rsidR="00E3397A">
        <w:rPr>
          <w:rFonts w:eastAsia="Verdana" w:cs="Verdana"/>
          <w:szCs w:val="18"/>
        </w:rPr>
        <w:t>eerdergenoemde</w:t>
      </w:r>
      <w:r w:rsidRPr="003B1DAE">
        <w:rPr>
          <w:rFonts w:eastAsia="Verdana" w:cs="Verdana"/>
          <w:szCs w:val="18"/>
        </w:rPr>
        <w:t xml:space="preserve"> criteria uit de Mijnbouwwet. </w:t>
      </w:r>
    </w:p>
    <w:p w:rsidRPr="003B1DAE" w:rsidR="00A25164" w:rsidP="003B14FA" w:rsidRDefault="00A25164" w14:paraId="668584B1" w14:textId="77777777">
      <w:pPr>
        <w:rPr>
          <w:rFonts w:eastAsia="Verdana" w:cs="Verdana"/>
          <w:szCs w:val="18"/>
        </w:rPr>
      </w:pPr>
    </w:p>
    <w:p w:rsidRPr="003B1DAE" w:rsidR="00A25164" w:rsidP="003B14FA" w:rsidRDefault="00A25164" w14:paraId="2B40606E" w14:textId="77777777">
      <w:pPr>
        <w:rPr>
          <w:rFonts w:eastAsia="Verdana" w:cs="Verdana"/>
          <w:szCs w:val="18"/>
        </w:rPr>
      </w:pPr>
      <w:r w:rsidRPr="003B1DAE">
        <w:rPr>
          <w:rFonts w:eastAsia="Verdana" w:cs="Verdana"/>
          <w:szCs w:val="18"/>
        </w:rPr>
        <w:t xml:space="preserve">Naast dat er een aangepast opslagplan vereist is, is een instrument nodig om te borgen dat het kussengas in geval van nood ook daadwerkelijk geproduceerd wordt op het gevraagde moment en in de benodigde hoeveelheid. </w:t>
      </w:r>
    </w:p>
    <w:p w:rsidRPr="003B1DAE" w:rsidR="00A25164" w:rsidP="003B14FA" w:rsidRDefault="00A25164" w14:paraId="5FC0258A" w14:textId="77777777">
      <w:pPr>
        <w:rPr>
          <w:rFonts w:eastAsia="Verdana" w:cs="Verdana"/>
          <w:szCs w:val="18"/>
        </w:rPr>
      </w:pPr>
    </w:p>
    <w:p w:rsidRPr="003B1DAE" w:rsidR="00A25164" w:rsidP="003B14FA" w:rsidRDefault="00A25164" w14:paraId="696D0735" w14:textId="03951FD9">
      <w:pPr>
        <w:rPr>
          <w:rFonts w:eastAsia="Verdana" w:cs="Verdana"/>
          <w:szCs w:val="18"/>
        </w:rPr>
      </w:pPr>
      <w:r w:rsidRPr="003B1DAE">
        <w:rPr>
          <w:rFonts w:eastAsia="Verdana" w:cs="Verdana"/>
          <w:szCs w:val="18"/>
        </w:rPr>
        <w:t>Zoals hierboven beschreven is er een aantal open vraagstukken met betrekking tot het mogelijk aanmerken van kussengas als onderdeel van een grotere strategische voorraad en de daadwerkelijke onttrekking ervan ten tijde van noodsituaties dat verder onderzocht moet worden. Dit vervolgonderzoek en uitwerking van de verschillende aspecten kan worden opgepakt nadat een gesprek met uw Kamer heeft plaatsgevonden over algehele wenselijkheid van een grote</w:t>
      </w:r>
      <w:r w:rsidRPr="003B1DAE" w:rsidR="00E3397A">
        <w:rPr>
          <w:rFonts w:eastAsia="Verdana" w:cs="Verdana"/>
          <w:szCs w:val="18"/>
        </w:rPr>
        <w:t>re</w:t>
      </w:r>
      <w:r w:rsidRPr="003B1DAE">
        <w:rPr>
          <w:rFonts w:eastAsia="Verdana" w:cs="Verdana"/>
          <w:szCs w:val="18"/>
        </w:rPr>
        <w:t xml:space="preserve"> strategische opslag.</w:t>
      </w:r>
    </w:p>
    <w:p w:rsidRPr="003B1DAE" w:rsidR="00A25164" w:rsidP="003B14FA" w:rsidRDefault="00A25164" w14:paraId="16BA618F" w14:textId="77777777">
      <w:pPr>
        <w:rPr>
          <w:rFonts w:eastAsia="Verdana" w:cs="Verdana"/>
          <w:szCs w:val="18"/>
        </w:rPr>
      </w:pPr>
    </w:p>
    <w:p w:rsidRPr="003B1DAE" w:rsidR="00A25164" w:rsidP="003B14FA" w:rsidRDefault="00A25164" w14:paraId="073D749C" w14:textId="7D07BF53">
      <w:pPr>
        <w:rPr>
          <w:rFonts w:eastAsia="Verdana" w:cs="Verdana"/>
          <w:b/>
          <w:bCs/>
          <w:i/>
          <w:iCs/>
          <w:szCs w:val="18"/>
        </w:rPr>
      </w:pPr>
      <w:r w:rsidRPr="003B1DAE">
        <w:rPr>
          <w:rFonts w:eastAsia="Verdana" w:cs="Verdana"/>
          <w:b/>
          <w:bCs/>
          <w:szCs w:val="18"/>
        </w:rPr>
        <w:t>D.4</w:t>
      </w:r>
      <w:r w:rsidRPr="003B1DAE" w:rsidR="00447FAE">
        <w:rPr>
          <w:rFonts w:eastAsia="Verdana" w:cs="Verdana"/>
          <w:b/>
          <w:bCs/>
          <w:szCs w:val="18"/>
        </w:rPr>
        <w:t>.</w:t>
      </w:r>
      <w:r w:rsidRPr="003B1DAE">
        <w:rPr>
          <w:rFonts w:eastAsia="Verdana" w:cs="Verdana"/>
          <w:b/>
          <w:bCs/>
          <w:szCs w:val="18"/>
        </w:rPr>
        <w:t xml:space="preserve"> Beleid bij extreem hoge gasprijzen</w:t>
      </w:r>
    </w:p>
    <w:p w:rsidRPr="003B1DAE" w:rsidR="00A25164" w:rsidP="003B14FA" w:rsidRDefault="00A25164" w14:paraId="5BAF26FD" w14:textId="77777777">
      <w:pPr>
        <w:rPr>
          <w:rFonts w:eastAsia="Verdana" w:cs="Verdana"/>
          <w:szCs w:val="18"/>
        </w:rPr>
      </w:pPr>
    </w:p>
    <w:p w:rsidRPr="003B1DAE" w:rsidR="00A25164" w:rsidP="003B14FA" w:rsidRDefault="00A25164" w14:paraId="69779917" w14:textId="4BA09ED1">
      <w:pPr>
        <w:rPr>
          <w:rFonts w:eastAsia="Verdana" w:cs="Verdana"/>
          <w:szCs w:val="18"/>
        </w:rPr>
      </w:pPr>
      <w:r w:rsidRPr="003B1DAE">
        <w:rPr>
          <w:rFonts w:eastAsia="Verdana" w:cs="Verdana"/>
          <w:szCs w:val="18"/>
        </w:rPr>
        <w:t>Enkele ontvangen adviezen, zoals die van CE Delft/Energie Nederland adviseren om de strategische opslag te gebruiken in situaties van schaarste voor het dempen van prijzen wanneer deze zeer hoog zijn. Naast dat dit momenteel niet is toegestaan is het kabinet niet overtuigd van de effectiviteit hiervan. PWC stelt dat niet is aangetoond dat het aanhouden van een voorraad op de gasmarkt een prijs dempend effect heeft en geeft aan dat dit marktverstorend is. Daarnaast is inmiddels duidelijk dat het niet kansrijk is dat er Europese verplichtingen komen ten aanzien van het aanhouden van strategische opslag. Met enkel een nationale reserve is het gezien de omvang van de Europese gasmarkt uitgesloten dat een strategische opslag voor prijsdemping kan worden gebruikt. Het kabinet is daarom van mening is dat het raadzamer is om strategische opslagen alleen te gebruiken voor noodsituaties.</w:t>
      </w:r>
    </w:p>
    <w:p w:rsidRPr="003B1DAE" w:rsidR="00A25164" w:rsidP="003B14FA" w:rsidRDefault="00A25164" w14:paraId="2C38F7C0" w14:textId="77777777">
      <w:pPr>
        <w:rPr>
          <w:rFonts w:eastAsia="Verdana" w:cs="Verdana"/>
          <w:i/>
          <w:iCs/>
          <w:szCs w:val="18"/>
        </w:rPr>
      </w:pPr>
    </w:p>
    <w:p w:rsidRPr="003B1DAE" w:rsidR="00A25164" w:rsidP="003B14FA" w:rsidRDefault="00A25164" w14:paraId="208545E9" w14:textId="77777777">
      <w:pPr>
        <w:rPr>
          <w:rFonts w:eastAsia="Verdana" w:cs="Verdana"/>
          <w:i/>
          <w:iCs/>
          <w:color w:val="000000"/>
          <w:szCs w:val="18"/>
        </w:rPr>
      </w:pPr>
      <w:r w:rsidRPr="003B1DAE">
        <w:rPr>
          <w:rFonts w:eastAsia="Verdana" w:cs="Verdana"/>
          <w:szCs w:val="18"/>
        </w:rPr>
        <w:t xml:space="preserve">Er zijn andere maatregelen die wel passend kunnen zijn om het effect van hoge prijzen te mitigeren. Zo adviseert PWC om kwetsbare afnemers te ondersteunen in het geval van hoge prijzen. </w:t>
      </w:r>
      <w:r w:rsidRPr="003B1DAE">
        <w:rPr>
          <w:rFonts w:eastAsia="Verdana" w:cs="Verdana"/>
          <w:color w:val="000000" w:themeColor="text1"/>
          <w:szCs w:val="18"/>
        </w:rPr>
        <w:t>De onderzoekers stellen dat overheidsingrijpen gerechtvaardigd kan zijn wanneer prijsstijgingen een disproportionele impact hebben op kwetsbare afnemers die de financiële last daarvan niet kunnen dragen. Hierbij wordt gerichte inkomenssteun aangeraden omdat dit doelgerichter is, gepaard gaat met lagere kosten en minder marktverstorend effecten met zich meebrengt dan generieke prijsinstrumenten.</w:t>
      </w:r>
      <w:r w:rsidRPr="003B1DAE">
        <w:rPr>
          <w:rFonts w:eastAsia="Verdana" w:cs="Verdana"/>
          <w:szCs w:val="18"/>
        </w:rPr>
        <w:t xml:space="preserve"> PwC adviseert in dit kader om de doelgroepen en de mate van steun vooraf scherp te definiëren.</w:t>
      </w:r>
      <w:r w:rsidRPr="003B1DAE">
        <w:rPr>
          <w:rFonts w:eastAsia="Verdana" w:cs="Verdana"/>
          <w:color w:val="000000" w:themeColor="text1"/>
          <w:szCs w:val="18"/>
        </w:rPr>
        <w:t xml:space="preserve"> In het verlengde van deze aanbeveling adviseren de onderzoekers een crisisstrategie op te stellen om bij een onverwachte crisis snel gerichte steun te kunnen verlenen waar de structurele maatregelen nog onvoldoende effect hebben gehad.</w:t>
      </w:r>
    </w:p>
    <w:p w:rsidRPr="003B1DAE" w:rsidR="00A25164" w:rsidP="003B14FA" w:rsidRDefault="00A25164" w14:paraId="33D7C839" w14:textId="77777777">
      <w:pPr>
        <w:rPr>
          <w:rFonts w:eastAsia="Verdana" w:cs="Verdana"/>
          <w:szCs w:val="18"/>
          <w:highlight w:val="yellow"/>
        </w:rPr>
      </w:pPr>
    </w:p>
    <w:p w:rsidRPr="003B1DAE" w:rsidR="00A25164" w:rsidP="003B14FA" w:rsidRDefault="00A25164" w14:paraId="7828FE9B" w14:textId="22D07744">
      <w:pPr>
        <w:contextualSpacing/>
        <w:rPr>
          <w:rFonts w:eastAsia="Verdana" w:cs="Verdana"/>
          <w:color w:val="212121"/>
          <w:szCs w:val="18"/>
        </w:rPr>
      </w:pPr>
      <w:r w:rsidRPr="003B1DAE">
        <w:rPr>
          <w:rFonts w:eastAsia="Verdana" w:cs="Verdana"/>
          <w:color w:val="212121"/>
          <w:szCs w:val="18"/>
        </w:rPr>
        <w:t xml:space="preserve">Het kabinet onderkent dat </w:t>
      </w:r>
      <w:r w:rsidRPr="003B1DAE">
        <w:rPr>
          <w:rFonts w:eastAsia="Verdana" w:cs="Verdana"/>
          <w:color w:val="000000" w:themeColor="text1"/>
          <w:szCs w:val="18"/>
        </w:rPr>
        <w:t>overheidsingrijpen gerechtvaardigd kan zijn wanneer prijsstijgingen een disproportionele impact hebben op kwetsbare afnemers. Gerichte inkomenssteun heeft de voorkeur boven generieke prijssteun.</w:t>
      </w:r>
      <w:r w:rsidRPr="003B1DAE">
        <w:rPr>
          <w:rFonts w:eastAsia="Verdana" w:cs="Verdana"/>
          <w:color w:val="212121"/>
          <w:szCs w:val="18"/>
        </w:rPr>
        <w:t xml:space="preserve"> Het kabinet onderschrijft daarbij het belang van een tijdige afbakening van doelgroepen, maar acht een uniforme definitie van kwetsbare afnemers niet voor alle maatregelen passend. Dit hangt ook samen met de aard en intensiteit van een verstoring. Het is daarom wenselijk om enige beleidsmatige vrijheid te behouden om tot passende, doelgerichte en doelmatige maatregelen te komen. </w:t>
      </w:r>
      <w:r w:rsidRPr="003B1DAE" w:rsidR="00CF5734">
        <w:rPr>
          <w:rFonts w:eastAsia="Verdana" w:cs="Verdana"/>
          <w:color w:val="212121"/>
          <w:szCs w:val="18"/>
        </w:rPr>
        <w:t xml:space="preserve">De stijgende energieprijzen </w:t>
      </w:r>
      <w:r w:rsidRPr="003B1DAE" w:rsidR="007B5FF2">
        <w:rPr>
          <w:rFonts w:eastAsia="Verdana" w:cs="Verdana"/>
          <w:color w:val="212121"/>
          <w:szCs w:val="18"/>
        </w:rPr>
        <w:t>zijn daarnaast onderdeel van</w:t>
      </w:r>
      <w:r w:rsidRPr="003B1DAE" w:rsidR="00CF5734">
        <w:rPr>
          <w:rFonts w:eastAsia="Verdana" w:cs="Verdana"/>
          <w:color w:val="212121"/>
          <w:szCs w:val="18"/>
        </w:rPr>
        <w:t xml:space="preserve"> de jaarlijkse koopkrachtbeoordeling </w:t>
      </w:r>
      <w:r w:rsidRPr="003B1DAE" w:rsidR="0094770D">
        <w:rPr>
          <w:rFonts w:eastAsia="Verdana" w:cs="Verdana"/>
          <w:color w:val="212121"/>
          <w:szCs w:val="18"/>
        </w:rPr>
        <w:t>bij</w:t>
      </w:r>
      <w:r w:rsidRPr="003B1DAE" w:rsidR="00CF5734">
        <w:rPr>
          <w:rFonts w:eastAsia="Verdana" w:cs="Verdana"/>
          <w:color w:val="212121"/>
          <w:szCs w:val="18"/>
        </w:rPr>
        <w:t xml:space="preserve"> de Augustusbesluitvorming</w:t>
      </w:r>
      <w:r w:rsidRPr="003B1DAE" w:rsidR="004C4DC4">
        <w:rPr>
          <w:rFonts w:eastAsia="Verdana" w:cs="Verdana"/>
          <w:color w:val="212121"/>
          <w:szCs w:val="18"/>
        </w:rPr>
        <w:t>, e</w:t>
      </w:r>
      <w:r w:rsidRPr="003B1DAE" w:rsidR="00CF5734">
        <w:rPr>
          <w:rFonts w:eastAsia="Verdana" w:cs="Verdana"/>
          <w:color w:val="212121"/>
          <w:szCs w:val="18"/>
        </w:rPr>
        <w:t>ventuele mitigerende maatregelen worden in</w:t>
      </w:r>
      <w:r w:rsidRPr="003B1DAE" w:rsidR="004C4DC4">
        <w:rPr>
          <w:rFonts w:eastAsia="Verdana" w:cs="Verdana"/>
          <w:color w:val="212121"/>
          <w:szCs w:val="18"/>
        </w:rPr>
        <w:t xml:space="preserve"> dat kader genomen worden.</w:t>
      </w:r>
    </w:p>
    <w:p w:rsidRPr="003B1DAE" w:rsidR="00A25164" w:rsidP="003B14FA" w:rsidRDefault="00A25164" w14:paraId="57BC8096" w14:textId="77777777">
      <w:pPr>
        <w:contextualSpacing/>
        <w:rPr>
          <w:rFonts w:eastAsia="Verdana" w:cs="Verdana"/>
          <w:color w:val="000000"/>
          <w:szCs w:val="18"/>
        </w:rPr>
      </w:pPr>
    </w:p>
    <w:p w:rsidRPr="003B1DAE" w:rsidR="00A25164" w:rsidP="003B14FA" w:rsidRDefault="00A25164" w14:paraId="759DD321" w14:textId="77777777">
      <w:pPr>
        <w:rPr>
          <w:rFonts w:eastAsia="Verdana" w:cs="Verdana"/>
          <w:color w:val="000000"/>
          <w:szCs w:val="18"/>
        </w:rPr>
      </w:pPr>
      <w:r w:rsidRPr="003B1DAE">
        <w:rPr>
          <w:rFonts w:eastAsia="Verdana" w:cs="Verdana"/>
          <w:color w:val="000000"/>
        </w:rPr>
        <w:t>Ten aanzien van de aanbeveling voor het opstellen van een</w:t>
      </w:r>
      <w:r w:rsidRPr="003B1DAE">
        <w:rPr>
          <w:rFonts w:eastAsia="Verdana" w:cs="Verdana"/>
          <w:color w:val="000000" w:themeColor="text1"/>
        </w:rPr>
        <w:t xml:space="preserve"> </w:t>
      </w:r>
      <w:r w:rsidRPr="003B1DAE">
        <w:rPr>
          <w:rFonts w:eastAsia="Verdana" w:cs="Verdana"/>
          <w:color w:val="000000"/>
        </w:rPr>
        <w:t>crisisstrategie</w:t>
      </w:r>
      <w:r w:rsidRPr="003B1DAE">
        <w:rPr>
          <w:rFonts w:eastAsia="Verdana" w:cs="Verdana"/>
          <w:color w:val="000000" w:themeColor="text1"/>
        </w:rPr>
        <w:t xml:space="preserve"> voor gerichte inkomenssteun, geldt in lijn met bovenstaande dat het type, de duur en de omvang van de crisis uiteindelijk bepalen wat de meest passende inzet is</w:t>
      </w:r>
      <w:r w:rsidRPr="003B1DAE">
        <w:rPr>
          <w:rFonts w:eastAsia="Verdana" w:cs="Verdana"/>
          <w:i/>
          <w:color w:val="000000" w:themeColor="text1"/>
        </w:rPr>
        <w:t xml:space="preserve">. </w:t>
      </w:r>
      <w:r w:rsidRPr="003B1DAE">
        <w:rPr>
          <w:rFonts w:eastAsia="Verdana" w:cs="Verdana"/>
          <w:color w:val="000000" w:themeColor="text1"/>
        </w:rPr>
        <w:t>Zo heeft het kabinet in het kader van het conflict in het Midden-Oosten recent geschetst op welke scenario’s het kabinet zich voorbereidt, waarbij diverse maatregelen en de voor- en nadelen zijn onderzocht.</w:t>
      </w:r>
      <w:r w:rsidRPr="003B1DAE">
        <w:rPr>
          <w:rStyle w:val="Voetnootmarkering"/>
          <w:rFonts w:eastAsia="Verdana" w:cs="Verdana"/>
          <w:color w:val="000000" w:themeColor="text1"/>
        </w:rPr>
        <w:footnoteReference w:id="98"/>
      </w:r>
      <w:r w:rsidRPr="003B1DAE">
        <w:rPr>
          <w:rFonts w:eastAsia="Verdana" w:cs="Verdana"/>
          <w:color w:val="000000" w:themeColor="text1"/>
        </w:rPr>
        <w:t xml:space="preserve"> </w:t>
      </w:r>
    </w:p>
    <w:p w:rsidRPr="003B1DAE" w:rsidR="00A25164" w:rsidP="003B14FA" w:rsidRDefault="00A25164" w14:paraId="42B9949F" w14:textId="77777777">
      <w:pPr>
        <w:contextualSpacing/>
        <w:rPr>
          <w:rFonts w:eastAsia="Verdana" w:cs="Verdana"/>
          <w:color w:val="000000"/>
          <w:szCs w:val="18"/>
        </w:rPr>
      </w:pPr>
    </w:p>
    <w:p w:rsidRPr="003B1DAE" w:rsidR="00A25164" w:rsidP="003B14FA" w:rsidRDefault="00A25164" w14:paraId="64876682" w14:textId="079A53E2">
      <w:pPr>
        <w:pStyle w:val="p1"/>
        <w:spacing w:line="240" w:lineRule="atLeast"/>
        <w:rPr>
          <w:rFonts w:eastAsia="Verdana" w:cs="Verdana"/>
          <w:sz w:val="18"/>
          <w:szCs w:val="18"/>
        </w:rPr>
      </w:pPr>
      <w:r w:rsidRPr="003B1DAE">
        <w:rPr>
          <w:rFonts w:eastAsia="Verdana" w:cs="Verdana"/>
          <w:sz w:val="18"/>
          <w:szCs w:val="18"/>
        </w:rPr>
        <w:t>Daarnaast adviseert PwC een structurele strategie op te stellen voor de middellange termijn om de gasafhankelijkheid van kwetsbare </w:t>
      </w:r>
      <w:r w:rsidRPr="003B1DAE" w:rsidR="002F42D1">
        <w:rPr>
          <w:rFonts w:eastAsia="Verdana" w:cs="Verdana"/>
          <w:sz w:val="18"/>
          <w:szCs w:val="18"/>
        </w:rPr>
        <w:t xml:space="preserve">afnemers </w:t>
      </w:r>
      <w:r w:rsidRPr="003B1DAE">
        <w:rPr>
          <w:rFonts w:eastAsia="Verdana" w:cs="Verdana"/>
          <w:sz w:val="18"/>
          <w:szCs w:val="18"/>
        </w:rPr>
        <w:t xml:space="preserve">te verminderen, zodat er in crisistijden minder behoefte bestaat aan verstorende steun. Zoals ook in de brief over de opzet van het Noodfonds werd aangegeven, zijn de beste oplossingen voor hoge energierekeningen minder energie gebruiken en minder afhankelijk zijn van olie, gas en kolen door verduurzamingsmaatregelen. </w:t>
      </w:r>
    </w:p>
    <w:p w:rsidRPr="003B1DAE" w:rsidR="00104B21" w:rsidP="003B14FA" w:rsidRDefault="00104B21" w14:paraId="6E3B067A" w14:textId="77777777">
      <w:pPr>
        <w:contextualSpacing/>
        <w:rPr>
          <w:rFonts w:eastAsia="Verdana" w:cs="Verdana"/>
          <w:szCs w:val="18"/>
        </w:rPr>
      </w:pPr>
    </w:p>
    <w:p w:rsidRPr="003B1DAE" w:rsidR="00A25164" w:rsidP="003B14FA" w:rsidRDefault="00A25164" w14:paraId="397485C2" w14:textId="075F4DDF">
      <w:pPr>
        <w:contextualSpacing/>
        <w:rPr>
          <w:rFonts w:eastAsia="Verdana" w:cs="Verdana"/>
        </w:rPr>
      </w:pPr>
      <w:r w:rsidRPr="003B1DAE">
        <w:rPr>
          <w:rFonts w:eastAsia="Verdana" w:cs="Verdana"/>
        </w:rPr>
        <w:t>Om deze duurzame oplossingen te versnellen, zijn maatregelen aangekondigd in het coalitieakkoord, het in april gepresenteerde maatregelenpakket ‘Acties weerbaarheid energieschok’</w:t>
      </w:r>
      <w:r w:rsidRPr="003B1DAE">
        <w:rPr>
          <w:rStyle w:val="Voetnootmarkering"/>
          <w:rFonts w:eastAsia="Verdana" w:cs="Verdana"/>
        </w:rPr>
        <w:footnoteReference w:id="99"/>
      </w:r>
      <w:r w:rsidRPr="003B1DAE">
        <w:rPr>
          <w:rFonts w:eastAsia="Verdana" w:cs="Verdana"/>
        </w:rPr>
        <w:t xml:space="preserve"> en wordt een aanvraag voorbereid voor het Sociaal Klimaatplan. Met een Nationaal Isolatieoffensief wordt daarnaast ingezet op het versneld isoleren van woningen. Daarbij wordt gekeken naar wijken waar verduurzaming en isolatie het hardste nodig zijn. Ook worden in dit verband afspraken gemaakt met financiële instellingen en verhuurders.</w:t>
      </w:r>
    </w:p>
    <w:p w:rsidRPr="003B1DAE" w:rsidR="00A25164" w:rsidP="003B14FA" w:rsidRDefault="00A25164" w14:paraId="463C38F8" w14:textId="77777777">
      <w:pPr>
        <w:contextualSpacing/>
        <w:rPr>
          <w:rFonts w:eastAsia="Verdana" w:cs="Verdana"/>
          <w:szCs w:val="18"/>
        </w:rPr>
      </w:pPr>
    </w:p>
    <w:p w:rsidRPr="003B1DAE" w:rsidR="00A25164" w:rsidDel="00A66D60" w:rsidP="003B14FA" w:rsidRDefault="00A25164" w14:paraId="0F62659A" w14:textId="77777777">
      <w:pPr>
        <w:rPr>
          <w:rFonts w:eastAsia="Verdana" w:cs="Verdana"/>
          <w:szCs w:val="18"/>
        </w:rPr>
      </w:pPr>
      <w:r w:rsidRPr="003B1DAE" w:rsidDel="00A66D60">
        <w:rPr>
          <w:rFonts w:eastAsia="Verdana" w:cs="Verdana"/>
          <w:szCs w:val="18"/>
        </w:rPr>
        <w:br w:type="page"/>
      </w:r>
    </w:p>
    <w:p w:rsidRPr="003B1DAE" w:rsidR="00A25164" w:rsidP="003B14FA" w:rsidRDefault="00A25164" w14:paraId="4CE080D0" w14:textId="77777777">
      <w:pPr>
        <w:rPr>
          <w:rFonts w:eastAsia="Verdana" w:cs="Verdana"/>
          <w:b/>
          <w:bCs/>
          <w:szCs w:val="18"/>
        </w:rPr>
      </w:pPr>
      <w:r w:rsidRPr="003B1DAE">
        <w:rPr>
          <w:rFonts w:eastAsia="Verdana" w:cs="Verdana"/>
          <w:b/>
          <w:bCs/>
          <w:szCs w:val="18"/>
        </w:rPr>
        <w:t>Bijlage 1: Tabel met mogelijke omvang strategische opslag en kosten daarvan</w:t>
      </w:r>
    </w:p>
    <w:tbl>
      <w:tblPr>
        <w:tblW w:w="100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88"/>
        <w:gridCol w:w="1047"/>
        <w:gridCol w:w="1053"/>
        <w:gridCol w:w="1734"/>
        <w:gridCol w:w="912"/>
        <w:gridCol w:w="1849"/>
        <w:gridCol w:w="3072"/>
      </w:tblGrid>
      <w:tr w:rsidRPr="003B1DAE" w:rsidR="00A25164" w14:paraId="3894E3CC" w14:textId="77777777">
        <w:tc>
          <w:tcPr>
            <w:tcW w:w="342" w:type="dxa"/>
          </w:tcPr>
          <w:p w:rsidRPr="003B1DAE" w:rsidR="00A25164" w:rsidP="003B14FA" w:rsidRDefault="00A25164" w14:paraId="5BBA8A6C" w14:textId="77777777">
            <w:pPr>
              <w:tabs>
                <w:tab w:val="num" w:pos="720"/>
              </w:tabs>
              <w:rPr>
                <w:rFonts w:eastAsia="Verdana" w:cs="Verdana"/>
                <w:b/>
                <w:sz w:val="13"/>
                <w:szCs w:val="13"/>
              </w:rPr>
            </w:pPr>
          </w:p>
        </w:tc>
        <w:tc>
          <w:tcPr>
            <w:tcW w:w="1051" w:type="dxa"/>
          </w:tcPr>
          <w:p w:rsidRPr="00606ACC" w:rsidR="00A25164" w:rsidP="003B14FA" w:rsidRDefault="00A25164" w14:paraId="1E5D296D" w14:textId="77777777">
            <w:pPr>
              <w:tabs>
                <w:tab w:val="num" w:pos="720"/>
              </w:tabs>
              <w:rPr>
                <w:rFonts w:eastAsia="Verdana" w:cs="Verdana"/>
                <w:b/>
                <w:sz w:val="15"/>
                <w:szCs w:val="15"/>
              </w:rPr>
            </w:pPr>
            <w:r w:rsidRPr="00606ACC">
              <w:rPr>
                <w:rFonts w:eastAsia="Verdana" w:cs="Verdana"/>
                <w:b/>
                <w:sz w:val="15"/>
                <w:szCs w:val="15"/>
              </w:rPr>
              <w:t>Omvang</w:t>
            </w:r>
          </w:p>
        </w:tc>
        <w:tc>
          <w:tcPr>
            <w:tcW w:w="1053" w:type="dxa"/>
          </w:tcPr>
          <w:p w:rsidRPr="00606ACC" w:rsidR="00A25164" w:rsidP="003B14FA" w:rsidRDefault="00A25164" w14:paraId="770B0C6B" w14:textId="77777777">
            <w:pPr>
              <w:tabs>
                <w:tab w:val="num" w:pos="720"/>
              </w:tabs>
              <w:rPr>
                <w:rFonts w:eastAsia="Verdana" w:cs="Verdana"/>
                <w:b/>
                <w:sz w:val="15"/>
                <w:szCs w:val="15"/>
              </w:rPr>
            </w:pPr>
            <w:r w:rsidRPr="00606ACC">
              <w:rPr>
                <w:rFonts w:eastAsia="Verdana" w:cs="Verdana"/>
                <w:b/>
                <w:sz w:val="15"/>
                <w:szCs w:val="15"/>
              </w:rPr>
              <w:t>Periode, volume</w:t>
            </w:r>
            <w:r w:rsidRPr="00606ACC">
              <w:rPr>
                <w:rStyle w:val="Voetnootmarkering"/>
                <w:rFonts w:eastAsia="Verdana" w:cs="Verdana"/>
                <w:b/>
                <w:sz w:val="15"/>
                <w:szCs w:val="15"/>
              </w:rPr>
              <w:footnoteReference w:id="100"/>
            </w:r>
          </w:p>
        </w:tc>
        <w:tc>
          <w:tcPr>
            <w:tcW w:w="1742" w:type="dxa"/>
          </w:tcPr>
          <w:p w:rsidRPr="00606ACC" w:rsidR="00A25164" w:rsidP="003B14FA" w:rsidRDefault="00A25164" w14:paraId="7DE84C32" w14:textId="77777777">
            <w:pPr>
              <w:tabs>
                <w:tab w:val="num" w:pos="720"/>
              </w:tabs>
              <w:rPr>
                <w:rFonts w:eastAsia="Verdana" w:cs="Verdana"/>
                <w:b/>
                <w:sz w:val="15"/>
                <w:szCs w:val="15"/>
              </w:rPr>
            </w:pPr>
            <w:r w:rsidRPr="00606ACC">
              <w:rPr>
                <w:rFonts w:eastAsia="Verdana" w:cs="Verdana"/>
                <w:b/>
                <w:sz w:val="15"/>
                <w:szCs w:val="15"/>
              </w:rPr>
              <w:t>Periode, capaciteit</w:t>
            </w:r>
          </w:p>
        </w:tc>
        <w:tc>
          <w:tcPr>
            <w:tcW w:w="915" w:type="dxa"/>
          </w:tcPr>
          <w:p w:rsidRPr="00606ACC" w:rsidR="00A25164" w:rsidP="003B14FA" w:rsidRDefault="00A25164" w14:paraId="53C00696" w14:textId="77777777">
            <w:pPr>
              <w:tabs>
                <w:tab w:val="num" w:pos="720"/>
              </w:tabs>
              <w:rPr>
                <w:rFonts w:eastAsia="Verdana" w:cs="Verdana"/>
                <w:b/>
                <w:sz w:val="15"/>
                <w:szCs w:val="15"/>
              </w:rPr>
            </w:pPr>
            <w:r w:rsidRPr="00606ACC">
              <w:rPr>
                <w:rFonts w:eastAsia="Verdana" w:cs="Verdana"/>
                <w:b/>
                <w:sz w:val="15"/>
                <w:szCs w:val="15"/>
              </w:rPr>
              <w:t>Kosten per jaar</w:t>
            </w:r>
            <w:r w:rsidRPr="00606ACC">
              <w:rPr>
                <w:rStyle w:val="Voetnootmarkering"/>
                <w:rFonts w:eastAsia="Verdana" w:cs="Verdana"/>
                <w:b/>
                <w:sz w:val="15"/>
                <w:szCs w:val="15"/>
              </w:rPr>
              <w:footnoteReference w:id="101"/>
            </w:r>
          </w:p>
        </w:tc>
        <w:tc>
          <w:tcPr>
            <w:tcW w:w="1857" w:type="dxa"/>
          </w:tcPr>
          <w:p w:rsidRPr="00606ACC" w:rsidR="00A25164" w:rsidP="003B14FA" w:rsidRDefault="00A25164" w14:paraId="08C97C0A" w14:textId="77777777">
            <w:pPr>
              <w:tabs>
                <w:tab w:val="num" w:pos="720"/>
              </w:tabs>
              <w:rPr>
                <w:rFonts w:eastAsia="Verdana" w:cs="Verdana"/>
                <w:b/>
                <w:sz w:val="15"/>
                <w:szCs w:val="15"/>
              </w:rPr>
            </w:pPr>
            <w:r w:rsidRPr="00606ACC">
              <w:rPr>
                <w:rFonts w:eastAsia="Verdana" w:cs="Verdana"/>
                <w:b/>
                <w:sz w:val="15"/>
                <w:szCs w:val="15"/>
              </w:rPr>
              <w:t>Mogelijke locatie</w:t>
            </w:r>
          </w:p>
        </w:tc>
        <w:tc>
          <w:tcPr>
            <w:tcW w:w="3095" w:type="dxa"/>
          </w:tcPr>
          <w:p w:rsidRPr="00606ACC" w:rsidR="00A25164" w:rsidP="003B14FA" w:rsidRDefault="00A25164" w14:paraId="34A8536A" w14:textId="77777777">
            <w:pPr>
              <w:tabs>
                <w:tab w:val="num" w:pos="720"/>
              </w:tabs>
              <w:rPr>
                <w:rFonts w:eastAsia="Verdana" w:cs="Verdana"/>
                <w:b/>
                <w:sz w:val="15"/>
                <w:szCs w:val="15"/>
              </w:rPr>
            </w:pPr>
            <w:r w:rsidRPr="00606ACC">
              <w:rPr>
                <w:rFonts w:eastAsia="Verdana" w:cs="Verdana"/>
                <w:b/>
                <w:sz w:val="15"/>
                <w:szCs w:val="15"/>
              </w:rPr>
              <w:t xml:space="preserve">Aanvullende acties nodig: </w:t>
            </w:r>
          </w:p>
        </w:tc>
      </w:tr>
      <w:tr w:rsidRPr="003B1DAE" w:rsidR="00A25164" w14:paraId="069F3A30" w14:textId="77777777">
        <w:tc>
          <w:tcPr>
            <w:tcW w:w="342" w:type="dxa"/>
          </w:tcPr>
          <w:p w:rsidRPr="003B1DAE" w:rsidR="00A25164" w:rsidP="003B14FA" w:rsidRDefault="00A25164" w14:paraId="42F3DE3A" w14:textId="77777777">
            <w:pPr>
              <w:tabs>
                <w:tab w:val="num" w:pos="720"/>
              </w:tabs>
              <w:rPr>
                <w:rFonts w:eastAsia="Verdana" w:cs="Verdana"/>
                <w:sz w:val="13"/>
                <w:szCs w:val="13"/>
              </w:rPr>
            </w:pPr>
            <w:r w:rsidRPr="003B1DAE">
              <w:rPr>
                <w:rFonts w:eastAsia="Verdana" w:cs="Verdana"/>
                <w:sz w:val="13"/>
                <w:szCs w:val="13"/>
              </w:rPr>
              <w:t>A</w:t>
            </w:r>
          </w:p>
        </w:tc>
        <w:tc>
          <w:tcPr>
            <w:tcW w:w="1051" w:type="dxa"/>
          </w:tcPr>
          <w:p w:rsidRPr="00606ACC" w:rsidR="00A25164" w:rsidP="003B14FA" w:rsidRDefault="00A25164" w14:paraId="20A13E19" w14:textId="77777777">
            <w:pPr>
              <w:tabs>
                <w:tab w:val="num" w:pos="720"/>
              </w:tabs>
              <w:rPr>
                <w:rFonts w:eastAsia="Verdana" w:cs="Verdana"/>
                <w:sz w:val="15"/>
                <w:szCs w:val="15"/>
              </w:rPr>
            </w:pPr>
            <w:r w:rsidRPr="00606ACC">
              <w:rPr>
                <w:rFonts w:eastAsia="Verdana" w:cs="Verdana"/>
                <w:sz w:val="15"/>
                <w:szCs w:val="15"/>
              </w:rPr>
              <w:t>5 TWh</w:t>
            </w:r>
          </w:p>
        </w:tc>
        <w:tc>
          <w:tcPr>
            <w:tcW w:w="1053" w:type="dxa"/>
          </w:tcPr>
          <w:p w:rsidRPr="00606ACC" w:rsidR="00A25164" w:rsidP="003B14FA" w:rsidRDefault="00A25164" w14:paraId="64D8158E" w14:textId="77777777">
            <w:pPr>
              <w:tabs>
                <w:tab w:val="num" w:pos="720"/>
              </w:tabs>
              <w:rPr>
                <w:rFonts w:eastAsia="Verdana" w:cs="Verdana"/>
                <w:sz w:val="15"/>
                <w:szCs w:val="15"/>
              </w:rPr>
            </w:pPr>
            <w:r w:rsidRPr="00606ACC">
              <w:rPr>
                <w:rFonts w:eastAsia="Verdana" w:cs="Verdana"/>
                <w:sz w:val="15"/>
                <w:szCs w:val="15"/>
              </w:rPr>
              <w:t>1 week (6,25 dagen)</w:t>
            </w:r>
          </w:p>
        </w:tc>
        <w:tc>
          <w:tcPr>
            <w:tcW w:w="1742" w:type="dxa"/>
          </w:tcPr>
          <w:p w:rsidRPr="00606ACC" w:rsidR="00A25164" w:rsidP="003B14FA" w:rsidRDefault="00A25164" w14:paraId="50BFC592" w14:textId="77777777">
            <w:pPr>
              <w:tabs>
                <w:tab w:val="num" w:pos="720"/>
              </w:tabs>
              <w:rPr>
                <w:rFonts w:eastAsia="Verdana" w:cs="Verdana"/>
                <w:sz w:val="15"/>
                <w:szCs w:val="15"/>
              </w:rPr>
            </w:pPr>
            <w:r w:rsidRPr="00606ACC">
              <w:rPr>
                <w:rFonts w:eastAsia="Verdana" w:cs="Verdana"/>
                <w:sz w:val="15"/>
                <w:szCs w:val="15"/>
              </w:rPr>
              <w:t>2 weken</w:t>
            </w:r>
          </w:p>
        </w:tc>
        <w:tc>
          <w:tcPr>
            <w:tcW w:w="915" w:type="dxa"/>
          </w:tcPr>
          <w:p w:rsidRPr="00606ACC" w:rsidR="00A25164" w:rsidP="003B14FA" w:rsidRDefault="00A25164" w14:paraId="680B5BD6" w14:textId="77777777">
            <w:pPr>
              <w:tabs>
                <w:tab w:val="num" w:pos="720"/>
              </w:tabs>
              <w:rPr>
                <w:rFonts w:eastAsia="Verdana" w:cs="Verdana"/>
                <w:sz w:val="15"/>
                <w:szCs w:val="15"/>
              </w:rPr>
            </w:pPr>
            <w:r w:rsidRPr="00606ACC">
              <w:rPr>
                <w:rFonts w:eastAsia="Verdana" w:cs="Verdana"/>
                <w:sz w:val="15"/>
                <w:szCs w:val="15"/>
              </w:rPr>
              <w:t>€35 – 65 miljoen per jaar</w:t>
            </w:r>
          </w:p>
        </w:tc>
        <w:tc>
          <w:tcPr>
            <w:tcW w:w="1857" w:type="dxa"/>
          </w:tcPr>
          <w:p w:rsidRPr="00606ACC" w:rsidR="00A25164" w:rsidP="003B14FA" w:rsidRDefault="00A25164" w14:paraId="16CF0CDE" w14:textId="77777777">
            <w:pPr>
              <w:tabs>
                <w:tab w:val="num" w:pos="720"/>
              </w:tabs>
              <w:rPr>
                <w:rFonts w:eastAsia="Verdana" w:cs="Verdana"/>
                <w:sz w:val="15"/>
                <w:szCs w:val="15"/>
              </w:rPr>
            </w:pPr>
            <w:r w:rsidRPr="00606ACC">
              <w:rPr>
                <w:rFonts w:eastAsia="Verdana" w:cs="Verdana"/>
                <w:sz w:val="15"/>
                <w:szCs w:val="15"/>
              </w:rPr>
              <w:t>PGI Alkmaar</w:t>
            </w:r>
          </w:p>
        </w:tc>
        <w:tc>
          <w:tcPr>
            <w:tcW w:w="3095" w:type="dxa"/>
          </w:tcPr>
          <w:p w:rsidRPr="00606ACC" w:rsidR="00A25164" w:rsidP="003B14FA" w:rsidRDefault="00A25164" w14:paraId="202D583F" w14:textId="77777777">
            <w:pPr>
              <w:tabs>
                <w:tab w:val="num" w:pos="720"/>
              </w:tabs>
              <w:rPr>
                <w:rFonts w:eastAsia="Verdana" w:cs="Verdana"/>
                <w:sz w:val="15"/>
                <w:szCs w:val="15"/>
              </w:rPr>
            </w:pPr>
          </w:p>
        </w:tc>
      </w:tr>
      <w:tr w:rsidRPr="003B1DAE" w:rsidR="00A25164" w14:paraId="650E052F" w14:textId="77777777">
        <w:tc>
          <w:tcPr>
            <w:tcW w:w="342" w:type="dxa"/>
          </w:tcPr>
          <w:p w:rsidRPr="003B1DAE" w:rsidR="00A25164" w:rsidP="003B14FA" w:rsidRDefault="00A25164" w14:paraId="2587F9FD" w14:textId="77777777">
            <w:pPr>
              <w:tabs>
                <w:tab w:val="num" w:pos="720"/>
              </w:tabs>
              <w:rPr>
                <w:rFonts w:eastAsia="Verdana" w:cs="Verdana"/>
                <w:sz w:val="13"/>
                <w:szCs w:val="13"/>
              </w:rPr>
            </w:pPr>
            <w:r w:rsidRPr="003B1DAE">
              <w:rPr>
                <w:rFonts w:eastAsia="Verdana" w:cs="Verdana"/>
                <w:sz w:val="13"/>
                <w:szCs w:val="13"/>
              </w:rPr>
              <w:t>B1</w:t>
            </w:r>
          </w:p>
        </w:tc>
        <w:tc>
          <w:tcPr>
            <w:tcW w:w="1051" w:type="dxa"/>
          </w:tcPr>
          <w:p w:rsidRPr="00606ACC" w:rsidR="00A25164" w:rsidP="003B14FA" w:rsidRDefault="00A25164" w14:paraId="6C8E1B60" w14:textId="77777777">
            <w:pPr>
              <w:tabs>
                <w:tab w:val="num" w:pos="720"/>
              </w:tabs>
              <w:rPr>
                <w:rFonts w:eastAsia="Verdana" w:cs="Verdana"/>
                <w:sz w:val="15"/>
                <w:szCs w:val="15"/>
              </w:rPr>
            </w:pPr>
            <w:r w:rsidRPr="00606ACC">
              <w:rPr>
                <w:rFonts w:eastAsia="Verdana" w:cs="Verdana"/>
                <w:sz w:val="15"/>
                <w:szCs w:val="15"/>
              </w:rPr>
              <w:t>9 TWh</w:t>
            </w:r>
          </w:p>
        </w:tc>
        <w:tc>
          <w:tcPr>
            <w:tcW w:w="1053" w:type="dxa"/>
          </w:tcPr>
          <w:p w:rsidRPr="00606ACC" w:rsidR="00A25164" w:rsidP="003B14FA" w:rsidRDefault="00A25164" w14:paraId="22BD221F" w14:textId="77777777">
            <w:pPr>
              <w:tabs>
                <w:tab w:val="num" w:pos="720"/>
              </w:tabs>
              <w:rPr>
                <w:rFonts w:eastAsia="Verdana" w:cs="Verdana"/>
                <w:sz w:val="15"/>
                <w:szCs w:val="15"/>
              </w:rPr>
            </w:pPr>
            <w:r w:rsidRPr="00606ACC">
              <w:rPr>
                <w:rFonts w:eastAsia="Verdana" w:cs="Verdana"/>
                <w:sz w:val="15"/>
                <w:szCs w:val="15"/>
              </w:rPr>
              <w:t>11,25 dagen</w:t>
            </w:r>
          </w:p>
        </w:tc>
        <w:tc>
          <w:tcPr>
            <w:tcW w:w="1742" w:type="dxa"/>
          </w:tcPr>
          <w:p w:rsidRPr="00606ACC" w:rsidR="00A25164" w:rsidP="003B14FA" w:rsidRDefault="00A25164" w14:paraId="4CD2B6A2" w14:textId="77777777">
            <w:pPr>
              <w:tabs>
                <w:tab w:val="num" w:pos="720"/>
              </w:tabs>
              <w:rPr>
                <w:rFonts w:eastAsia="Verdana" w:cs="Verdana"/>
                <w:sz w:val="15"/>
                <w:szCs w:val="15"/>
              </w:rPr>
            </w:pPr>
            <w:r w:rsidRPr="00606ACC">
              <w:rPr>
                <w:rFonts w:eastAsia="Verdana" w:cs="Verdana"/>
                <w:sz w:val="15"/>
                <w:szCs w:val="15"/>
              </w:rPr>
              <w:t>2 weken (want uitzendcapaciteit PGI Alkmaar is de beperkende factor, de overige 4 TWh in het werkgasvolume van een andere opslag kan binnen 2 weken gewonnen worden)</w:t>
            </w:r>
          </w:p>
        </w:tc>
        <w:tc>
          <w:tcPr>
            <w:tcW w:w="915" w:type="dxa"/>
          </w:tcPr>
          <w:p w:rsidRPr="00606ACC" w:rsidR="00A25164" w:rsidP="003B14FA" w:rsidRDefault="00A25164" w14:paraId="4AB5479B" w14:textId="77777777">
            <w:pPr>
              <w:tabs>
                <w:tab w:val="num" w:pos="720"/>
              </w:tabs>
              <w:rPr>
                <w:rFonts w:eastAsia="Verdana" w:cs="Verdana"/>
                <w:sz w:val="15"/>
                <w:szCs w:val="15"/>
              </w:rPr>
            </w:pPr>
            <w:r w:rsidRPr="00606ACC">
              <w:rPr>
                <w:rFonts w:eastAsia="Verdana" w:cs="Verdana"/>
                <w:sz w:val="15"/>
                <w:szCs w:val="15"/>
              </w:rPr>
              <w:t>€63 - 117 miljoen per jaar</w:t>
            </w:r>
          </w:p>
        </w:tc>
        <w:tc>
          <w:tcPr>
            <w:tcW w:w="1857" w:type="dxa"/>
          </w:tcPr>
          <w:p w:rsidRPr="00606ACC" w:rsidR="00A25164" w:rsidP="003B14FA" w:rsidRDefault="00A25164" w14:paraId="2788EE96" w14:textId="77777777">
            <w:pPr>
              <w:tabs>
                <w:tab w:val="num" w:pos="720"/>
              </w:tabs>
              <w:rPr>
                <w:rFonts w:eastAsia="Verdana" w:cs="Verdana"/>
                <w:sz w:val="15"/>
                <w:szCs w:val="15"/>
              </w:rPr>
            </w:pPr>
            <w:r w:rsidRPr="00606ACC">
              <w:rPr>
                <w:rFonts w:eastAsia="Verdana" w:cs="Verdana"/>
                <w:sz w:val="15"/>
                <w:szCs w:val="15"/>
              </w:rPr>
              <w:t>PGI Alkmaar + 4 TWh in werkgasvolume van één of meerdere seizoensopslagen</w:t>
            </w:r>
          </w:p>
        </w:tc>
        <w:tc>
          <w:tcPr>
            <w:tcW w:w="3095" w:type="dxa"/>
          </w:tcPr>
          <w:p w:rsidRPr="00606ACC" w:rsidR="00A25164" w:rsidP="003B14FA" w:rsidRDefault="00A25164" w14:paraId="4B35ABD6" w14:textId="77777777">
            <w:pPr>
              <w:tabs>
                <w:tab w:val="num" w:pos="720"/>
              </w:tabs>
              <w:rPr>
                <w:rFonts w:eastAsia="Verdana" w:cs="Verdana"/>
                <w:sz w:val="15"/>
                <w:szCs w:val="15"/>
              </w:rPr>
            </w:pPr>
            <w:r w:rsidRPr="00606ACC">
              <w:rPr>
                <w:rFonts w:eastAsia="Verdana" w:cs="Verdana"/>
                <w:sz w:val="15"/>
                <w:szCs w:val="15"/>
              </w:rPr>
              <w:t>Contracteren capaciteit in tweede opslag naast PGI Alkmaar</w:t>
            </w:r>
          </w:p>
        </w:tc>
      </w:tr>
      <w:tr w:rsidRPr="003B1DAE" w:rsidR="00A25164" w14:paraId="47370A8D" w14:textId="77777777">
        <w:tc>
          <w:tcPr>
            <w:tcW w:w="342" w:type="dxa"/>
          </w:tcPr>
          <w:p w:rsidRPr="003B1DAE" w:rsidR="00A25164" w:rsidP="003B14FA" w:rsidRDefault="00A25164" w14:paraId="65E9D11C" w14:textId="77777777">
            <w:pPr>
              <w:tabs>
                <w:tab w:val="num" w:pos="720"/>
              </w:tabs>
              <w:rPr>
                <w:rFonts w:eastAsia="Verdana" w:cs="Verdana"/>
                <w:sz w:val="13"/>
                <w:szCs w:val="13"/>
              </w:rPr>
            </w:pPr>
            <w:r w:rsidRPr="003B1DAE">
              <w:rPr>
                <w:rFonts w:eastAsia="Verdana" w:cs="Verdana"/>
                <w:sz w:val="13"/>
                <w:szCs w:val="13"/>
              </w:rPr>
              <w:t>B2</w:t>
            </w:r>
          </w:p>
        </w:tc>
        <w:tc>
          <w:tcPr>
            <w:tcW w:w="1051" w:type="dxa"/>
          </w:tcPr>
          <w:p w:rsidRPr="00606ACC" w:rsidR="00A25164" w:rsidP="003B14FA" w:rsidRDefault="00A25164" w14:paraId="560814BC" w14:textId="77777777">
            <w:pPr>
              <w:tabs>
                <w:tab w:val="num" w:pos="720"/>
              </w:tabs>
              <w:rPr>
                <w:rFonts w:eastAsia="Verdana" w:cs="Verdana"/>
                <w:sz w:val="15"/>
                <w:szCs w:val="15"/>
              </w:rPr>
            </w:pPr>
            <w:r w:rsidRPr="00606ACC">
              <w:rPr>
                <w:rFonts w:eastAsia="Verdana" w:cs="Verdana"/>
                <w:sz w:val="15"/>
                <w:szCs w:val="15"/>
              </w:rPr>
              <w:t>19 TWh</w:t>
            </w:r>
          </w:p>
        </w:tc>
        <w:tc>
          <w:tcPr>
            <w:tcW w:w="1053" w:type="dxa"/>
          </w:tcPr>
          <w:p w:rsidRPr="00606ACC" w:rsidR="00A25164" w:rsidP="003B14FA" w:rsidRDefault="00A25164" w14:paraId="0F1049EA" w14:textId="77777777">
            <w:pPr>
              <w:tabs>
                <w:tab w:val="num" w:pos="720"/>
              </w:tabs>
              <w:rPr>
                <w:rFonts w:eastAsia="Verdana" w:cs="Verdana"/>
                <w:sz w:val="15"/>
                <w:szCs w:val="15"/>
              </w:rPr>
            </w:pPr>
            <w:r w:rsidRPr="00606ACC">
              <w:rPr>
                <w:rFonts w:eastAsia="Verdana" w:cs="Verdana"/>
                <w:sz w:val="15"/>
                <w:szCs w:val="15"/>
              </w:rPr>
              <w:t>3,5 weken (24 dagen)</w:t>
            </w:r>
          </w:p>
        </w:tc>
        <w:tc>
          <w:tcPr>
            <w:tcW w:w="1742" w:type="dxa"/>
          </w:tcPr>
          <w:p w:rsidRPr="00606ACC" w:rsidR="00A25164" w:rsidP="003B14FA" w:rsidRDefault="00A25164" w14:paraId="7EF052C5" w14:textId="77777777">
            <w:pPr>
              <w:tabs>
                <w:tab w:val="num" w:pos="720"/>
              </w:tabs>
              <w:rPr>
                <w:rFonts w:eastAsia="Verdana" w:cs="Verdana"/>
                <w:sz w:val="15"/>
                <w:szCs w:val="15"/>
              </w:rPr>
            </w:pPr>
            <w:r w:rsidRPr="00606ACC">
              <w:rPr>
                <w:rFonts w:eastAsia="Verdana" w:cs="Verdana"/>
                <w:sz w:val="15"/>
                <w:szCs w:val="15"/>
              </w:rPr>
              <w:t>Afhankelijk van waar het wordt opgeslagen. In vrijwel alle situaties kan het ook in 3,5 weken gewonnen worden.</w:t>
            </w:r>
          </w:p>
        </w:tc>
        <w:tc>
          <w:tcPr>
            <w:tcW w:w="915" w:type="dxa"/>
          </w:tcPr>
          <w:p w:rsidRPr="00606ACC" w:rsidR="00A25164" w:rsidP="003B14FA" w:rsidRDefault="00A25164" w14:paraId="64A45BAE" w14:textId="77777777">
            <w:pPr>
              <w:tabs>
                <w:tab w:val="num" w:pos="720"/>
              </w:tabs>
              <w:rPr>
                <w:rFonts w:eastAsia="Verdana" w:cs="Verdana"/>
                <w:sz w:val="15"/>
                <w:szCs w:val="15"/>
              </w:rPr>
            </w:pPr>
            <w:r w:rsidRPr="00606ACC">
              <w:rPr>
                <w:rFonts w:eastAsia="Verdana" w:cs="Verdana"/>
                <w:sz w:val="15"/>
                <w:szCs w:val="15"/>
              </w:rPr>
              <w:t>€133 – 247 miljoen per jaar</w:t>
            </w:r>
          </w:p>
        </w:tc>
        <w:tc>
          <w:tcPr>
            <w:tcW w:w="1857" w:type="dxa"/>
          </w:tcPr>
          <w:p w:rsidRPr="00606ACC" w:rsidR="00A25164" w:rsidP="003B14FA" w:rsidRDefault="00A25164" w14:paraId="105E15D4" w14:textId="77777777">
            <w:pPr>
              <w:tabs>
                <w:tab w:val="num" w:pos="720"/>
              </w:tabs>
              <w:rPr>
                <w:rFonts w:eastAsia="Verdana" w:cs="Verdana"/>
                <w:sz w:val="15"/>
                <w:szCs w:val="15"/>
              </w:rPr>
            </w:pPr>
            <w:r w:rsidRPr="00606ACC">
              <w:rPr>
                <w:rFonts w:eastAsia="Verdana" w:cs="Verdana"/>
                <w:sz w:val="15"/>
                <w:szCs w:val="15"/>
              </w:rPr>
              <w:t xml:space="preserve">5 TWh in de PGI Alkmaar en 14 TWh in één of meerdere van de andere seizoensopslagen, waarvan nog 4 TWh in werkgas kan en 10 TWh in kussengas. </w:t>
            </w:r>
          </w:p>
        </w:tc>
        <w:tc>
          <w:tcPr>
            <w:tcW w:w="3095" w:type="dxa"/>
          </w:tcPr>
          <w:p w:rsidRPr="00606ACC" w:rsidR="00A25164" w:rsidP="003B14FA" w:rsidRDefault="00A25164" w14:paraId="047823E9" w14:textId="77777777">
            <w:pPr>
              <w:tabs>
                <w:tab w:val="num" w:pos="720"/>
              </w:tabs>
              <w:rPr>
                <w:rFonts w:eastAsia="Verdana" w:cs="Verdana"/>
                <w:sz w:val="15"/>
                <w:szCs w:val="15"/>
              </w:rPr>
            </w:pPr>
            <w:r w:rsidRPr="00606ACC">
              <w:rPr>
                <w:rFonts w:eastAsia="Verdana" w:cs="Verdana"/>
                <w:sz w:val="15"/>
                <w:szCs w:val="15"/>
              </w:rPr>
              <w:t>Werkgas: Contracteren capaciteit in tweede opslag naast PGI Alkmaar</w:t>
            </w:r>
          </w:p>
          <w:p w:rsidRPr="00606ACC" w:rsidR="00A25164" w:rsidP="003B14FA" w:rsidRDefault="00A25164" w14:paraId="10065679" w14:textId="77777777">
            <w:pPr>
              <w:tabs>
                <w:tab w:val="num" w:pos="720"/>
              </w:tabs>
              <w:rPr>
                <w:rFonts w:eastAsia="Verdana" w:cs="Verdana"/>
                <w:sz w:val="15"/>
                <w:szCs w:val="15"/>
              </w:rPr>
            </w:pPr>
          </w:p>
          <w:p w:rsidRPr="00606ACC" w:rsidR="00A25164" w:rsidP="003B14FA" w:rsidRDefault="00A25164" w14:paraId="5E30159B" w14:textId="77777777">
            <w:pPr>
              <w:tabs>
                <w:tab w:val="num" w:pos="720"/>
              </w:tabs>
              <w:rPr>
                <w:rFonts w:eastAsia="Verdana" w:cs="Verdana"/>
                <w:sz w:val="15"/>
                <w:szCs w:val="15"/>
              </w:rPr>
            </w:pPr>
            <w:r w:rsidRPr="00606ACC">
              <w:rPr>
                <w:rFonts w:eastAsia="Verdana" w:cs="Verdana"/>
                <w:sz w:val="15"/>
                <w:szCs w:val="15"/>
              </w:rPr>
              <w:t>Kussengas:</w:t>
            </w:r>
          </w:p>
          <w:p w:rsidRPr="00606ACC" w:rsidR="00A25164" w:rsidP="003B14FA" w:rsidRDefault="00A25164" w14:paraId="75B9B73E" w14:textId="77777777">
            <w:pPr>
              <w:tabs>
                <w:tab w:val="num" w:pos="720"/>
              </w:tabs>
              <w:rPr>
                <w:rFonts w:eastAsia="Verdana" w:cs="Verdana"/>
                <w:sz w:val="15"/>
                <w:szCs w:val="15"/>
              </w:rPr>
            </w:pPr>
            <w:r w:rsidRPr="00606ACC">
              <w:rPr>
                <w:rFonts w:eastAsia="Verdana" w:cs="Verdana"/>
                <w:sz w:val="15"/>
                <w:szCs w:val="15"/>
              </w:rPr>
              <w:t>Verder onderzoeken van:</w:t>
            </w:r>
          </w:p>
          <w:p w:rsidRPr="00606ACC" w:rsidR="00A25164" w:rsidP="003B14FA" w:rsidRDefault="00A25164" w14:paraId="70B7C0DA"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Seismische risico’s bij drukvermindering gasopslagen</w:t>
            </w:r>
          </w:p>
          <w:p w:rsidRPr="00606ACC" w:rsidR="00A25164" w:rsidP="003B14FA" w:rsidRDefault="00A25164" w14:paraId="546E6ACC"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Capaciteitsafname</w:t>
            </w:r>
          </w:p>
          <w:p w:rsidRPr="00606ACC" w:rsidR="00A25164" w:rsidP="003B14FA" w:rsidRDefault="00A25164" w14:paraId="2B03FAD6"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Capaciteitsanalyse infrastructuur om “vuil” kussengas te kunnen afwaarderen</w:t>
            </w:r>
          </w:p>
          <w:p w:rsidRPr="00606ACC" w:rsidR="00A25164" w:rsidP="003B14FA" w:rsidRDefault="00A25164" w14:paraId="52BABEB4"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Impact kussengaswinning op functies gasopslag gedurende niet-noodsituaties</w:t>
            </w:r>
          </w:p>
          <w:p w:rsidRPr="00606ACC" w:rsidR="00A25164" w:rsidP="003B14FA" w:rsidRDefault="00A25164" w14:paraId="6132ECDC"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Instrument om kussengaswinning mogelijk te maken gedurende noodsituaties</w:t>
            </w:r>
          </w:p>
          <w:p w:rsidRPr="00606ACC" w:rsidR="00A25164" w:rsidP="003B14FA" w:rsidRDefault="00A25164" w14:paraId="79B59C38" w14:textId="77777777">
            <w:pPr>
              <w:pStyle w:val="Lijstalinea"/>
              <w:numPr>
                <w:ilvl w:val="0"/>
                <w:numId w:val="24"/>
              </w:numPr>
              <w:tabs>
                <w:tab w:val="num" w:pos="720"/>
              </w:tabs>
              <w:spacing w:line="240" w:lineRule="atLeast"/>
              <w:rPr>
                <w:rFonts w:ascii="Verdana" w:hAnsi="Verdana" w:eastAsia="Verdana" w:cs="Verdana"/>
                <w:sz w:val="15"/>
                <w:szCs w:val="15"/>
              </w:rPr>
            </w:pPr>
            <w:r w:rsidRPr="00606ACC">
              <w:rPr>
                <w:rFonts w:ascii="Verdana" w:hAnsi="Verdana" w:eastAsia="Verdana" w:cs="Verdana"/>
                <w:sz w:val="15"/>
                <w:szCs w:val="15"/>
              </w:rPr>
              <w:t xml:space="preserve">Juridische randvoorwaarden </w:t>
            </w:r>
          </w:p>
        </w:tc>
      </w:tr>
      <w:tr w:rsidRPr="003B1DAE" w:rsidR="00A25164" w14:paraId="105BE950" w14:textId="77777777">
        <w:tc>
          <w:tcPr>
            <w:tcW w:w="342" w:type="dxa"/>
          </w:tcPr>
          <w:p w:rsidRPr="003B1DAE" w:rsidR="00A25164" w:rsidP="003B14FA" w:rsidRDefault="00A25164" w14:paraId="259CA6F4" w14:textId="77777777">
            <w:pPr>
              <w:tabs>
                <w:tab w:val="num" w:pos="720"/>
              </w:tabs>
              <w:rPr>
                <w:rFonts w:eastAsia="Verdana" w:cs="Verdana"/>
                <w:sz w:val="13"/>
                <w:szCs w:val="13"/>
              </w:rPr>
            </w:pPr>
            <w:r w:rsidRPr="003B1DAE">
              <w:rPr>
                <w:rFonts w:eastAsia="Verdana" w:cs="Verdana"/>
                <w:sz w:val="13"/>
                <w:szCs w:val="13"/>
              </w:rPr>
              <w:t>C</w:t>
            </w:r>
          </w:p>
        </w:tc>
        <w:tc>
          <w:tcPr>
            <w:tcW w:w="1051" w:type="dxa"/>
          </w:tcPr>
          <w:p w:rsidRPr="00606ACC" w:rsidR="00A25164" w:rsidP="003B14FA" w:rsidRDefault="00A25164" w14:paraId="05BDAF6B" w14:textId="77777777">
            <w:pPr>
              <w:tabs>
                <w:tab w:val="num" w:pos="720"/>
              </w:tabs>
              <w:rPr>
                <w:rFonts w:eastAsia="Verdana" w:cs="Verdana"/>
                <w:sz w:val="15"/>
                <w:szCs w:val="15"/>
              </w:rPr>
            </w:pPr>
            <w:r w:rsidRPr="00606ACC">
              <w:rPr>
                <w:rFonts w:eastAsia="Verdana" w:cs="Verdana"/>
                <w:sz w:val="15"/>
                <w:szCs w:val="15"/>
              </w:rPr>
              <w:t>72 TWh</w:t>
            </w:r>
          </w:p>
        </w:tc>
        <w:tc>
          <w:tcPr>
            <w:tcW w:w="1053" w:type="dxa"/>
          </w:tcPr>
          <w:p w:rsidRPr="00606ACC" w:rsidR="00A25164" w:rsidP="003B14FA" w:rsidRDefault="00A25164" w14:paraId="58FF4801" w14:textId="77777777">
            <w:pPr>
              <w:tabs>
                <w:tab w:val="num" w:pos="720"/>
              </w:tabs>
              <w:rPr>
                <w:rFonts w:eastAsia="Verdana" w:cs="Verdana"/>
                <w:sz w:val="15"/>
                <w:szCs w:val="15"/>
              </w:rPr>
            </w:pPr>
            <w:r w:rsidRPr="00606ACC">
              <w:rPr>
                <w:rFonts w:eastAsia="Verdana" w:cs="Verdana"/>
                <w:sz w:val="15"/>
                <w:szCs w:val="15"/>
              </w:rPr>
              <w:t>90 dagen</w:t>
            </w:r>
          </w:p>
        </w:tc>
        <w:tc>
          <w:tcPr>
            <w:tcW w:w="1742" w:type="dxa"/>
          </w:tcPr>
          <w:p w:rsidRPr="00606ACC" w:rsidR="00A25164" w:rsidP="003B14FA" w:rsidRDefault="00A25164" w14:paraId="547A27AD" w14:textId="77777777">
            <w:pPr>
              <w:tabs>
                <w:tab w:val="num" w:pos="720"/>
              </w:tabs>
              <w:rPr>
                <w:rFonts w:eastAsia="Verdana" w:cs="Verdana"/>
                <w:sz w:val="15"/>
                <w:szCs w:val="15"/>
              </w:rPr>
            </w:pPr>
            <w:r w:rsidRPr="00606ACC">
              <w:rPr>
                <w:rFonts w:eastAsia="Verdana" w:cs="Verdana"/>
                <w:sz w:val="15"/>
                <w:szCs w:val="15"/>
              </w:rPr>
              <w:t>Afhankelijk van de uitzendcapaciteit bij het gebruik van kussengas. Nader onderzoek nodig.</w:t>
            </w:r>
          </w:p>
        </w:tc>
        <w:tc>
          <w:tcPr>
            <w:tcW w:w="915" w:type="dxa"/>
          </w:tcPr>
          <w:p w:rsidRPr="00606ACC" w:rsidR="00A25164" w:rsidP="003B14FA" w:rsidRDefault="00A25164" w14:paraId="6D510577" w14:textId="77777777">
            <w:pPr>
              <w:tabs>
                <w:tab w:val="num" w:pos="720"/>
              </w:tabs>
              <w:rPr>
                <w:rFonts w:eastAsia="Verdana" w:cs="Verdana"/>
                <w:sz w:val="15"/>
                <w:szCs w:val="15"/>
              </w:rPr>
            </w:pPr>
            <w:r w:rsidRPr="00606ACC">
              <w:rPr>
                <w:rFonts w:eastAsia="Verdana" w:cs="Verdana"/>
                <w:sz w:val="15"/>
                <w:szCs w:val="15"/>
              </w:rPr>
              <w:t>€504 – 936 miljoen per jaar</w:t>
            </w:r>
          </w:p>
        </w:tc>
        <w:tc>
          <w:tcPr>
            <w:tcW w:w="1857" w:type="dxa"/>
          </w:tcPr>
          <w:p w:rsidRPr="00606ACC" w:rsidR="00A25164" w:rsidP="003B14FA" w:rsidRDefault="00A25164" w14:paraId="584B9C77" w14:textId="77777777">
            <w:pPr>
              <w:tabs>
                <w:tab w:val="num" w:pos="720"/>
              </w:tabs>
              <w:rPr>
                <w:rFonts w:eastAsia="Verdana" w:cs="Verdana"/>
                <w:sz w:val="15"/>
                <w:szCs w:val="15"/>
              </w:rPr>
            </w:pPr>
            <w:r w:rsidRPr="00606ACC">
              <w:rPr>
                <w:rFonts w:eastAsia="Verdana" w:cs="Verdana"/>
                <w:sz w:val="15"/>
                <w:szCs w:val="15"/>
              </w:rPr>
              <w:t xml:space="preserve">5 TWh in de PGI Alkmaar, en 67 TWh in naar verwachting meerdere andere opslagen. Daarvan kan nog 4 TWh in werkgas en de resterende 63 TWh in kussengas. </w:t>
            </w:r>
          </w:p>
        </w:tc>
        <w:tc>
          <w:tcPr>
            <w:tcW w:w="3095" w:type="dxa"/>
          </w:tcPr>
          <w:p w:rsidRPr="00606ACC" w:rsidR="00A25164" w:rsidP="003B14FA" w:rsidRDefault="00A25164" w14:paraId="67BE7358" w14:textId="77777777">
            <w:pPr>
              <w:tabs>
                <w:tab w:val="num" w:pos="720"/>
              </w:tabs>
              <w:rPr>
                <w:rFonts w:eastAsia="Verdana" w:cs="Verdana"/>
                <w:sz w:val="15"/>
                <w:szCs w:val="15"/>
              </w:rPr>
            </w:pPr>
            <w:r w:rsidRPr="00606ACC">
              <w:rPr>
                <w:rFonts w:eastAsia="Verdana" w:cs="Verdana"/>
                <w:sz w:val="15"/>
                <w:szCs w:val="15"/>
              </w:rPr>
              <w:t>Idem met bovenstaande acties</w:t>
            </w:r>
          </w:p>
        </w:tc>
      </w:tr>
    </w:tbl>
    <w:p w:rsidRPr="003B1DAE" w:rsidR="00A25164" w:rsidP="003B14FA" w:rsidRDefault="00A25164" w14:paraId="31125C95" w14:textId="77777777">
      <w:pPr>
        <w:tabs>
          <w:tab w:val="num" w:pos="720"/>
        </w:tabs>
        <w:rPr>
          <w:szCs w:val="18"/>
        </w:rPr>
      </w:pPr>
    </w:p>
    <w:p w:rsidRPr="003B1DAE" w:rsidR="00A25164" w:rsidP="003B14FA" w:rsidRDefault="00A25164" w14:paraId="287694A6" w14:textId="77777777">
      <w:pPr>
        <w:tabs>
          <w:tab w:val="num" w:pos="720"/>
        </w:tabs>
        <w:rPr>
          <w:szCs w:val="18"/>
        </w:rPr>
      </w:pPr>
    </w:p>
    <w:p w:rsidRPr="003B1DAE" w:rsidR="00A25164" w:rsidP="003B14FA" w:rsidRDefault="00A25164" w14:paraId="683179F2" w14:textId="77777777">
      <w:pPr>
        <w:rPr>
          <w:b/>
          <w:bCs/>
          <w:szCs w:val="18"/>
        </w:rPr>
      </w:pPr>
    </w:p>
    <w:p w:rsidRPr="003B1DAE" w:rsidR="00A25164" w:rsidP="003B14FA" w:rsidRDefault="00A25164" w14:paraId="6605BF0C" w14:textId="77777777">
      <w:pPr>
        <w:rPr>
          <w:b/>
          <w:bCs/>
          <w:kern w:val="2"/>
          <w:szCs w:val="18"/>
          <w14:ligatures w14:val="standardContextual"/>
        </w:rPr>
      </w:pPr>
      <w:r w:rsidRPr="003B1DAE">
        <w:rPr>
          <w:b/>
          <w:bCs/>
          <w:szCs w:val="18"/>
        </w:rPr>
        <w:t xml:space="preserve">Bijlage </w:t>
      </w:r>
      <w:r w:rsidRPr="0054295C">
        <w:rPr>
          <w:b/>
          <w:bCs/>
          <w:szCs w:val="18"/>
        </w:rPr>
        <w:t xml:space="preserve">2: </w:t>
      </w:r>
      <w:r w:rsidRPr="003B1DAE">
        <w:rPr>
          <w:b/>
          <w:bCs/>
          <w:kern w:val="2"/>
          <w:szCs w:val="18"/>
          <w14:ligatures w14:val="standardContextual"/>
        </w:rPr>
        <w:t>Overzicht werk- en kussengas per gasopslag in scope van deze brief</w:t>
      </w:r>
    </w:p>
    <w:p w:rsidRPr="003B1DAE" w:rsidR="00A46B55" w:rsidP="003B14FA" w:rsidRDefault="00A46B55" w14:paraId="2F13FC8A" w14:textId="77777777">
      <w:pPr>
        <w:rPr>
          <w:b/>
          <w:bCs/>
          <w:szCs w:val="18"/>
        </w:rPr>
      </w:pPr>
    </w:p>
    <w:tbl>
      <w:tblPr>
        <w:tblStyle w:val="Tabelraster"/>
        <w:tblW w:w="0" w:type="auto"/>
        <w:tblLook w:val="04A0" w:firstRow="1" w:lastRow="0" w:firstColumn="1" w:lastColumn="0" w:noHBand="0" w:noVBand="1"/>
      </w:tblPr>
      <w:tblGrid>
        <w:gridCol w:w="1287"/>
        <w:gridCol w:w="1179"/>
        <w:gridCol w:w="1121"/>
        <w:gridCol w:w="1343"/>
        <w:gridCol w:w="1329"/>
        <w:gridCol w:w="1260"/>
      </w:tblGrid>
      <w:tr w:rsidRPr="003B1DAE" w:rsidR="00A25164" w:rsidTr="00D001CE" w14:paraId="5250346A" w14:textId="77777777">
        <w:tc>
          <w:tcPr>
            <w:tcW w:w="1287" w:type="dxa"/>
          </w:tcPr>
          <w:p w:rsidRPr="003B1DAE" w:rsidR="00A25164" w:rsidP="003B14FA" w:rsidRDefault="00A25164" w14:paraId="057F0EF9" w14:textId="77777777">
            <w:pPr>
              <w:rPr>
                <w:b/>
                <w:sz w:val="15"/>
                <w:szCs w:val="15"/>
              </w:rPr>
            </w:pPr>
            <w:r w:rsidRPr="003B1DAE">
              <w:rPr>
                <w:b/>
                <w:sz w:val="15"/>
                <w:szCs w:val="15"/>
              </w:rPr>
              <w:t>Opslag</w:t>
            </w:r>
          </w:p>
        </w:tc>
        <w:tc>
          <w:tcPr>
            <w:tcW w:w="1179" w:type="dxa"/>
          </w:tcPr>
          <w:p w:rsidRPr="003B1DAE" w:rsidR="00A25164" w:rsidP="003B14FA" w:rsidRDefault="00A25164" w14:paraId="766E113D" w14:textId="77777777">
            <w:pPr>
              <w:rPr>
                <w:b/>
                <w:sz w:val="15"/>
                <w:szCs w:val="15"/>
              </w:rPr>
            </w:pPr>
            <w:r w:rsidRPr="003B1DAE">
              <w:rPr>
                <w:b/>
                <w:sz w:val="15"/>
                <w:szCs w:val="15"/>
              </w:rPr>
              <w:t>Type gas</w:t>
            </w:r>
          </w:p>
        </w:tc>
        <w:tc>
          <w:tcPr>
            <w:tcW w:w="1121" w:type="dxa"/>
          </w:tcPr>
          <w:p w:rsidRPr="003B1DAE" w:rsidR="00A25164" w:rsidP="003B14FA" w:rsidRDefault="00A25164" w14:paraId="7798467F" w14:textId="77777777">
            <w:pPr>
              <w:rPr>
                <w:b/>
                <w:sz w:val="15"/>
                <w:szCs w:val="15"/>
              </w:rPr>
            </w:pPr>
            <w:r w:rsidRPr="003B1DAE">
              <w:rPr>
                <w:b/>
                <w:sz w:val="15"/>
                <w:szCs w:val="15"/>
              </w:rPr>
              <w:t>Kwaliteit gas</w:t>
            </w:r>
          </w:p>
        </w:tc>
        <w:tc>
          <w:tcPr>
            <w:tcW w:w="1343" w:type="dxa"/>
          </w:tcPr>
          <w:p w:rsidRPr="003B1DAE" w:rsidR="00A25164" w:rsidP="003B14FA" w:rsidRDefault="00A25164" w14:paraId="27D5615C" w14:textId="77777777">
            <w:pPr>
              <w:rPr>
                <w:b/>
                <w:sz w:val="15"/>
                <w:szCs w:val="15"/>
              </w:rPr>
            </w:pPr>
            <w:r w:rsidRPr="003B1DAE">
              <w:rPr>
                <w:b/>
                <w:sz w:val="15"/>
                <w:szCs w:val="15"/>
              </w:rPr>
              <w:t>Technische capaciteit</w:t>
            </w:r>
          </w:p>
        </w:tc>
        <w:tc>
          <w:tcPr>
            <w:tcW w:w="1329" w:type="dxa"/>
          </w:tcPr>
          <w:p w:rsidRPr="003B1DAE" w:rsidR="00A25164" w:rsidP="003B14FA" w:rsidRDefault="00A25164" w14:paraId="4004DD90" w14:textId="4690CBAF">
            <w:pPr>
              <w:rPr>
                <w:b/>
                <w:sz w:val="15"/>
                <w:szCs w:val="15"/>
              </w:rPr>
            </w:pPr>
            <w:r w:rsidRPr="003B1DAE">
              <w:rPr>
                <w:b/>
                <w:sz w:val="15"/>
                <w:szCs w:val="15"/>
              </w:rPr>
              <w:t xml:space="preserve">Uitzend-capaciteit </w:t>
            </w:r>
            <w:r w:rsidRPr="003B1DAE">
              <w:rPr>
                <w:sz w:val="15"/>
                <w:szCs w:val="15"/>
              </w:rPr>
              <w:t>(neemt af naarmate er meer uit is)</w:t>
            </w:r>
          </w:p>
        </w:tc>
        <w:tc>
          <w:tcPr>
            <w:tcW w:w="1260" w:type="dxa"/>
          </w:tcPr>
          <w:p w:rsidRPr="003B1DAE" w:rsidR="00A25164" w:rsidP="003B14FA" w:rsidRDefault="00A25164" w14:paraId="15B4C0AC" w14:textId="77777777">
            <w:pPr>
              <w:rPr>
                <w:b/>
                <w:sz w:val="15"/>
                <w:szCs w:val="15"/>
              </w:rPr>
            </w:pPr>
            <w:r w:rsidRPr="003B1DAE">
              <w:rPr>
                <w:b/>
                <w:sz w:val="15"/>
                <w:szCs w:val="15"/>
              </w:rPr>
              <w:t>Relevante partijen</w:t>
            </w:r>
          </w:p>
        </w:tc>
      </w:tr>
      <w:tr w:rsidRPr="003B1DAE" w:rsidR="00140D00" w:rsidTr="00D001CE" w14:paraId="168BEF28" w14:textId="77777777">
        <w:tc>
          <w:tcPr>
            <w:tcW w:w="1287" w:type="dxa"/>
          </w:tcPr>
          <w:p w:rsidRPr="003B1DAE" w:rsidR="00140D00" w:rsidP="003B14FA" w:rsidRDefault="00140D00" w14:paraId="769598C8" w14:textId="29C35B7F">
            <w:pPr>
              <w:rPr>
                <w:sz w:val="15"/>
                <w:szCs w:val="15"/>
              </w:rPr>
            </w:pPr>
            <w:r w:rsidRPr="003B1DAE">
              <w:rPr>
                <w:sz w:val="15"/>
                <w:szCs w:val="15"/>
              </w:rPr>
              <w:t>Norg</w:t>
            </w:r>
          </w:p>
        </w:tc>
        <w:tc>
          <w:tcPr>
            <w:tcW w:w="1179" w:type="dxa"/>
          </w:tcPr>
          <w:p w:rsidRPr="003B1DAE" w:rsidR="00140D00" w:rsidP="003B14FA" w:rsidRDefault="00140D00" w14:paraId="6413313B" w14:textId="3D11E941">
            <w:pPr>
              <w:rPr>
                <w:sz w:val="15"/>
                <w:szCs w:val="15"/>
              </w:rPr>
            </w:pPr>
            <w:r w:rsidRPr="003B1DAE">
              <w:rPr>
                <w:sz w:val="15"/>
                <w:szCs w:val="15"/>
              </w:rPr>
              <w:t>Werkgas</w:t>
            </w:r>
          </w:p>
        </w:tc>
        <w:tc>
          <w:tcPr>
            <w:tcW w:w="1121" w:type="dxa"/>
          </w:tcPr>
          <w:p w:rsidRPr="003B1DAE" w:rsidR="00140D00" w:rsidP="003B14FA" w:rsidRDefault="00140D00" w14:paraId="4F5498F2" w14:textId="1B40B931">
            <w:pPr>
              <w:rPr>
                <w:sz w:val="15"/>
                <w:szCs w:val="15"/>
              </w:rPr>
            </w:pPr>
            <w:r w:rsidRPr="003B1DAE">
              <w:rPr>
                <w:sz w:val="15"/>
                <w:szCs w:val="15"/>
              </w:rPr>
              <w:t>L-gas</w:t>
            </w:r>
          </w:p>
        </w:tc>
        <w:tc>
          <w:tcPr>
            <w:tcW w:w="1343" w:type="dxa"/>
          </w:tcPr>
          <w:p w:rsidRPr="003B1DAE" w:rsidR="00140D00" w:rsidP="003B14FA" w:rsidRDefault="00140D00" w14:paraId="7B7C670F" w14:textId="56FF70A6">
            <w:pPr>
              <w:rPr>
                <w:sz w:val="15"/>
                <w:szCs w:val="15"/>
              </w:rPr>
            </w:pPr>
            <w:r w:rsidRPr="003B1DAE">
              <w:rPr>
                <w:sz w:val="15"/>
                <w:szCs w:val="15"/>
              </w:rPr>
              <w:t>59,3 TWh</w:t>
            </w:r>
          </w:p>
        </w:tc>
        <w:tc>
          <w:tcPr>
            <w:tcW w:w="1329" w:type="dxa"/>
          </w:tcPr>
          <w:p w:rsidRPr="003B1DAE" w:rsidR="00140D00" w:rsidP="003B14FA" w:rsidRDefault="00140D00" w14:paraId="6E8AA0E9" w14:textId="055BC1C0">
            <w:pPr>
              <w:rPr>
                <w:sz w:val="15"/>
                <w:szCs w:val="15"/>
              </w:rPr>
            </w:pPr>
            <w:r w:rsidRPr="003B1DAE">
              <w:rPr>
                <w:sz w:val="15"/>
                <w:szCs w:val="15"/>
              </w:rPr>
              <w:t>744 GWh/d</w:t>
            </w:r>
          </w:p>
        </w:tc>
        <w:tc>
          <w:tcPr>
            <w:tcW w:w="1260" w:type="dxa"/>
          </w:tcPr>
          <w:p w:rsidRPr="003B1DAE" w:rsidR="00140D00" w:rsidP="003B14FA" w:rsidRDefault="00140D00" w14:paraId="574BEB3A" w14:textId="50586764">
            <w:pPr>
              <w:rPr>
                <w:sz w:val="15"/>
                <w:szCs w:val="15"/>
              </w:rPr>
            </w:pPr>
            <w:r w:rsidRPr="003B1DAE">
              <w:rPr>
                <w:sz w:val="15"/>
                <w:szCs w:val="15"/>
              </w:rPr>
              <w:t>NAM</w:t>
            </w:r>
          </w:p>
        </w:tc>
      </w:tr>
      <w:tr w:rsidRPr="003B1DAE" w:rsidR="00140D00" w:rsidTr="00D001CE" w14:paraId="058B737C" w14:textId="77777777">
        <w:tc>
          <w:tcPr>
            <w:tcW w:w="1287" w:type="dxa"/>
          </w:tcPr>
          <w:p w:rsidRPr="003B1DAE" w:rsidR="00140D00" w:rsidP="003B14FA" w:rsidRDefault="00140D00" w14:paraId="3ED12122" w14:textId="77777777">
            <w:pPr>
              <w:rPr>
                <w:sz w:val="15"/>
                <w:szCs w:val="15"/>
              </w:rPr>
            </w:pPr>
          </w:p>
        </w:tc>
        <w:tc>
          <w:tcPr>
            <w:tcW w:w="1179" w:type="dxa"/>
          </w:tcPr>
          <w:p w:rsidRPr="003B1DAE" w:rsidR="00140D00" w:rsidP="003B14FA" w:rsidRDefault="00140D00" w14:paraId="77F0FD6D" w14:textId="6F8A4CF1">
            <w:pPr>
              <w:rPr>
                <w:sz w:val="15"/>
                <w:szCs w:val="15"/>
              </w:rPr>
            </w:pPr>
            <w:r w:rsidRPr="003B1DAE">
              <w:rPr>
                <w:sz w:val="15"/>
                <w:szCs w:val="15"/>
              </w:rPr>
              <w:t>Kussengas</w:t>
            </w:r>
          </w:p>
        </w:tc>
        <w:tc>
          <w:tcPr>
            <w:tcW w:w="1121" w:type="dxa"/>
          </w:tcPr>
          <w:p w:rsidRPr="003B1DAE" w:rsidR="00140D00" w:rsidP="003B14FA" w:rsidRDefault="00140D00" w14:paraId="733723E6" w14:textId="0B620FDC">
            <w:pPr>
              <w:rPr>
                <w:sz w:val="15"/>
                <w:szCs w:val="15"/>
              </w:rPr>
            </w:pPr>
            <w:r w:rsidRPr="003B1DAE">
              <w:rPr>
                <w:sz w:val="15"/>
                <w:szCs w:val="15"/>
              </w:rPr>
              <w:t>Vuil gas</w:t>
            </w:r>
          </w:p>
        </w:tc>
        <w:tc>
          <w:tcPr>
            <w:tcW w:w="1343" w:type="dxa"/>
          </w:tcPr>
          <w:p w:rsidRPr="003B1DAE" w:rsidR="00140D00" w:rsidP="003B14FA" w:rsidRDefault="00140D00" w14:paraId="25691E93" w14:textId="10374A0D">
            <w:pPr>
              <w:rPr>
                <w:sz w:val="15"/>
                <w:szCs w:val="15"/>
              </w:rPr>
            </w:pPr>
            <w:r w:rsidRPr="003B1DAE">
              <w:rPr>
                <w:sz w:val="15"/>
                <w:szCs w:val="15"/>
              </w:rPr>
              <w:t>197,7 TWh</w:t>
            </w:r>
          </w:p>
        </w:tc>
        <w:tc>
          <w:tcPr>
            <w:tcW w:w="1329" w:type="dxa"/>
          </w:tcPr>
          <w:p w:rsidRPr="003B1DAE" w:rsidR="00140D00" w:rsidP="003B14FA" w:rsidRDefault="00140D00" w14:paraId="4CC6B628" w14:textId="26987CED">
            <w:pPr>
              <w:rPr>
                <w:sz w:val="15"/>
                <w:szCs w:val="15"/>
              </w:rPr>
            </w:pPr>
            <w:r w:rsidRPr="003B1DAE">
              <w:rPr>
                <w:sz w:val="15"/>
                <w:szCs w:val="15"/>
              </w:rPr>
              <w:t>NTB</w:t>
            </w:r>
          </w:p>
        </w:tc>
        <w:tc>
          <w:tcPr>
            <w:tcW w:w="1260" w:type="dxa"/>
          </w:tcPr>
          <w:p w:rsidRPr="003B1DAE" w:rsidR="00140D00" w:rsidP="003B14FA" w:rsidRDefault="00140D00" w14:paraId="7E4704AE" w14:textId="03E11665">
            <w:pPr>
              <w:rPr>
                <w:sz w:val="15"/>
                <w:szCs w:val="15"/>
              </w:rPr>
            </w:pPr>
            <w:r w:rsidRPr="003B1DAE">
              <w:rPr>
                <w:sz w:val="15"/>
                <w:szCs w:val="15"/>
              </w:rPr>
              <w:t>NAM</w:t>
            </w:r>
          </w:p>
        </w:tc>
      </w:tr>
      <w:tr w:rsidRPr="003B1DAE" w:rsidR="00A25164" w:rsidTr="00D001CE" w14:paraId="79292609" w14:textId="77777777">
        <w:tc>
          <w:tcPr>
            <w:tcW w:w="1287" w:type="dxa"/>
          </w:tcPr>
          <w:p w:rsidRPr="003B1DAE" w:rsidR="00A25164" w:rsidP="003B14FA" w:rsidRDefault="00A25164" w14:paraId="69F7AD9B" w14:textId="77777777">
            <w:pPr>
              <w:rPr>
                <w:sz w:val="15"/>
                <w:szCs w:val="15"/>
              </w:rPr>
            </w:pPr>
            <w:r w:rsidRPr="003B1DAE">
              <w:rPr>
                <w:sz w:val="15"/>
                <w:szCs w:val="15"/>
              </w:rPr>
              <w:t>Grijpskerk</w:t>
            </w:r>
          </w:p>
        </w:tc>
        <w:tc>
          <w:tcPr>
            <w:tcW w:w="1179" w:type="dxa"/>
          </w:tcPr>
          <w:p w:rsidRPr="003B1DAE" w:rsidR="00A25164" w:rsidP="003B14FA" w:rsidRDefault="00A25164" w14:paraId="5DCC111D" w14:textId="77777777">
            <w:pPr>
              <w:rPr>
                <w:sz w:val="15"/>
                <w:szCs w:val="15"/>
              </w:rPr>
            </w:pPr>
            <w:r w:rsidRPr="003B1DAE">
              <w:rPr>
                <w:sz w:val="15"/>
                <w:szCs w:val="15"/>
              </w:rPr>
              <w:t>Werkgas</w:t>
            </w:r>
          </w:p>
        </w:tc>
        <w:tc>
          <w:tcPr>
            <w:tcW w:w="1121" w:type="dxa"/>
          </w:tcPr>
          <w:p w:rsidRPr="003B1DAE" w:rsidR="00A25164" w:rsidP="003B14FA" w:rsidRDefault="00A25164" w14:paraId="78B95E66" w14:textId="77777777">
            <w:pPr>
              <w:rPr>
                <w:sz w:val="15"/>
                <w:szCs w:val="15"/>
              </w:rPr>
            </w:pPr>
            <w:r w:rsidRPr="003B1DAE">
              <w:rPr>
                <w:sz w:val="15"/>
                <w:szCs w:val="15"/>
              </w:rPr>
              <w:t>L-gas</w:t>
            </w:r>
          </w:p>
        </w:tc>
        <w:tc>
          <w:tcPr>
            <w:tcW w:w="1343" w:type="dxa"/>
          </w:tcPr>
          <w:p w:rsidRPr="003B1DAE" w:rsidR="00A25164" w:rsidP="003B14FA" w:rsidRDefault="00A25164" w14:paraId="7A67593A" w14:textId="77777777">
            <w:pPr>
              <w:rPr>
                <w:sz w:val="15"/>
                <w:szCs w:val="15"/>
              </w:rPr>
            </w:pPr>
            <w:r w:rsidRPr="003B1DAE">
              <w:rPr>
                <w:sz w:val="15"/>
                <w:szCs w:val="15"/>
              </w:rPr>
              <w:t>23,9 TWh</w:t>
            </w:r>
          </w:p>
        </w:tc>
        <w:tc>
          <w:tcPr>
            <w:tcW w:w="1329" w:type="dxa"/>
          </w:tcPr>
          <w:p w:rsidRPr="003B1DAE" w:rsidR="00A25164" w:rsidP="003B14FA" w:rsidRDefault="00A25164" w14:paraId="69D6EEBE" w14:textId="77777777">
            <w:pPr>
              <w:rPr>
                <w:sz w:val="15"/>
                <w:szCs w:val="15"/>
              </w:rPr>
            </w:pPr>
            <w:r w:rsidRPr="003B1DAE">
              <w:rPr>
                <w:sz w:val="15"/>
                <w:szCs w:val="15"/>
              </w:rPr>
              <w:t>620 GWh/d</w:t>
            </w:r>
          </w:p>
        </w:tc>
        <w:tc>
          <w:tcPr>
            <w:tcW w:w="1260" w:type="dxa"/>
          </w:tcPr>
          <w:p w:rsidRPr="003B1DAE" w:rsidR="00A25164" w:rsidP="003B14FA" w:rsidRDefault="00A25164" w14:paraId="7591E5C8" w14:textId="77777777">
            <w:pPr>
              <w:rPr>
                <w:sz w:val="15"/>
                <w:szCs w:val="15"/>
              </w:rPr>
            </w:pPr>
            <w:r w:rsidRPr="003B1DAE">
              <w:rPr>
                <w:sz w:val="15"/>
                <w:szCs w:val="15"/>
              </w:rPr>
              <w:t>NAM</w:t>
            </w:r>
          </w:p>
        </w:tc>
      </w:tr>
      <w:tr w:rsidRPr="003B1DAE" w:rsidR="00A25164" w:rsidTr="00D001CE" w14:paraId="7C825BC7" w14:textId="77777777">
        <w:tc>
          <w:tcPr>
            <w:tcW w:w="1287" w:type="dxa"/>
          </w:tcPr>
          <w:p w:rsidRPr="003B1DAE" w:rsidR="00A25164" w:rsidP="003B14FA" w:rsidRDefault="00A25164" w14:paraId="3AA51531" w14:textId="77777777">
            <w:pPr>
              <w:rPr>
                <w:sz w:val="15"/>
                <w:szCs w:val="15"/>
              </w:rPr>
            </w:pPr>
          </w:p>
        </w:tc>
        <w:tc>
          <w:tcPr>
            <w:tcW w:w="1179" w:type="dxa"/>
          </w:tcPr>
          <w:p w:rsidRPr="003B1DAE" w:rsidR="00A25164" w:rsidP="003B14FA" w:rsidRDefault="00A25164" w14:paraId="6A2ABE42" w14:textId="77777777">
            <w:pPr>
              <w:rPr>
                <w:sz w:val="15"/>
                <w:szCs w:val="15"/>
              </w:rPr>
            </w:pPr>
            <w:r w:rsidRPr="003B1DAE">
              <w:rPr>
                <w:sz w:val="15"/>
                <w:szCs w:val="15"/>
              </w:rPr>
              <w:t>Kussengas</w:t>
            </w:r>
          </w:p>
        </w:tc>
        <w:tc>
          <w:tcPr>
            <w:tcW w:w="1121" w:type="dxa"/>
          </w:tcPr>
          <w:p w:rsidRPr="003B1DAE" w:rsidR="00A25164" w:rsidP="003B14FA" w:rsidRDefault="00A25164" w14:paraId="04D1D26E" w14:textId="77777777">
            <w:pPr>
              <w:rPr>
                <w:sz w:val="15"/>
                <w:szCs w:val="15"/>
              </w:rPr>
            </w:pPr>
            <w:r w:rsidRPr="003B1DAE">
              <w:rPr>
                <w:sz w:val="15"/>
                <w:szCs w:val="15"/>
              </w:rPr>
              <w:t>Vuil gas</w:t>
            </w:r>
          </w:p>
        </w:tc>
        <w:tc>
          <w:tcPr>
            <w:tcW w:w="1343" w:type="dxa"/>
          </w:tcPr>
          <w:p w:rsidRPr="003B1DAE" w:rsidR="00A25164" w:rsidP="003B14FA" w:rsidRDefault="00A25164" w14:paraId="00828162" w14:textId="77777777">
            <w:pPr>
              <w:rPr>
                <w:sz w:val="15"/>
                <w:szCs w:val="15"/>
              </w:rPr>
            </w:pPr>
            <w:r w:rsidRPr="003B1DAE">
              <w:rPr>
                <w:sz w:val="15"/>
                <w:szCs w:val="15"/>
              </w:rPr>
              <w:t>82,0 TWh</w:t>
            </w:r>
          </w:p>
        </w:tc>
        <w:tc>
          <w:tcPr>
            <w:tcW w:w="1329" w:type="dxa"/>
          </w:tcPr>
          <w:p w:rsidRPr="003B1DAE" w:rsidR="00A25164" w:rsidP="003B14FA" w:rsidRDefault="00A25164" w14:paraId="29AA41A7" w14:textId="77777777">
            <w:pPr>
              <w:rPr>
                <w:sz w:val="15"/>
                <w:szCs w:val="15"/>
              </w:rPr>
            </w:pPr>
            <w:r w:rsidRPr="003B1DAE">
              <w:rPr>
                <w:sz w:val="15"/>
                <w:szCs w:val="15"/>
              </w:rPr>
              <w:t>NTB</w:t>
            </w:r>
          </w:p>
        </w:tc>
        <w:tc>
          <w:tcPr>
            <w:tcW w:w="1260" w:type="dxa"/>
          </w:tcPr>
          <w:p w:rsidRPr="003B1DAE" w:rsidR="00A25164" w:rsidP="003B14FA" w:rsidRDefault="00A25164" w14:paraId="03A56E3A" w14:textId="77777777">
            <w:pPr>
              <w:rPr>
                <w:sz w:val="15"/>
                <w:szCs w:val="15"/>
              </w:rPr>
            </w:pPr>
            <w:r w:rsidRPr="003B1DAE">
              <w:rPr>
                <w:sz w:val="15"/>
                <w:szCs w:val="15"/>
              </w:rPr>
              <w:t xml:space="preserve">Operator: NAM </w:t>
            </w:r>
            <w:r w:rsidRPr="003B1DAE">
              <w:rPr>
                <w:sz w:val="15"/>
                <w:szCs w:val="15"/>
              </w:rPr>
              <w:br/>
              <w:t>Kussengas: NAM</w:t>
            </w:r>
          </w:p>
        </w:tc>
      </w:tr>
      <w:tr w:rsidRPr="003B1DAE" w:rsidR="00A25164" w:rsidTr="00D001CE" w14:paraId="7FAED87A" w14:textId="77777777">
        <w:tc>
          <w:tcPr>
            <w:tcW w:w="1287" w:type="dxa"/>
          </w:tcPr>
          <w:p w:rsidRPr="003B1DAE" w:rsidR="00A25164" w:rsidP="003B14FA" w:rsidRDefault="00A25164" w14:paraId="3007EC66" w14:textId="77777777">
            <w:pPr>
              <w:rPr>
                <w:sz w:val="15"/>
                <w:szCs w:val="15"/>
              </w:rPr>
            </w:pPr>
            <w:r w:rsidRPr="003B1DAE">
              <w:rPr>
                <w:sz w:val="15"/>
                <w:szCs w:val="15"/>
              </w:rPr>
              <w:t>Bergermeer</w:t>
            </w:r>
          </w:p>
        </w:tc>
        <w:tc>
          <w:tcPr>
            <w:tcW w:w="1179" w:type="dxa"/>
          </w:tcPr>
          <w:p w:rsidRPr="003B1DAE" w:rsidR="00A25164" w:rsidP="003B14FA" w:rsidRDefault="00A25164" w14:paraId="3B04D41B" w14:textId="77777777">
            <w:pPr>
              <w:rPr>
                <w:sz w:val="15"/>
                <w:szCs w:val="15"/>
              </w:rPr>
            </w:pPr>
            <w:r w:rsidRPr="003B1DAE">
              <w:rPr>
                <w:sz w:val="15"/>
                <w:szCs w:val="15"/>
              </w:rPr>
              <w:t>Werkgas</w:t>
            </w:r>
          </w:p>
        </w:tc>
        <w:tc>
          <w:tcPr>
            <w:tcW w:w="1121" w:type="dxa"/>
          </w:tcPr>
          <w:p w:rsidRPr="003B1DAE" w:rsidR="00A25164" w:rsidP="003B14FA" w:rsidRDefault="00A25164" w14:paraId="4349DB7C" w14:textId="77777777">
            <w:pPr>
              <w:rPr>
                <w:sz w:val="15"/>
                <w:szCs w:val="15"/>
              </w:rPr>
            </w:pPr>
            <w:r w:rsidRPr="003B1DAE">
              <w:rPr>
                <w:sz w:val="15"/>
                <w:szCs w:val="15"/>
              </w:rPr>
              <w:t>H-gas</w:t>
            </w:r>
          </w:p>
        </w:tc>
        <w:tc>
          <w:tcPr>
            <w:tcW w:w="1343" w:type="dxa"/>
          </w:tcPr>
          <w:p w:rsidRPr="003B1DAE" w:rsidR="00A25164" w:rsidP="003B14FA" w:rsidRDefault="00A25164" w14:paraId="03760F6C" w14:textId="77777777">
            <w:pPr>
              <w:rPr>
                <w:sz w:val="15"/>
                <w:szCs w:val="15"/>
              </w:rPr>
            </w:pPr>
            <w:r w:rsidRPr="003B1DAE">
              <w:rPr>
                <w:sz w:val="15"/>
                <w:szCs w:val="15"/>
              </w:rPr>
              <w:t>49,7 TWh</w:t>
            </w:r>
          </w:p>
        </w:tc>
        <w:tc>
          <w:tcPr>
            <w:tcW w:w="1329" w:type="dxa"/>
          </w:tcPr>
          <w:p w:rsidRPr="003B1DAE" w:rsidR="00A25164" w:rsidP="003B14FA" w:rsidRDefault="00A25164" w14:paraId="633A60DF" w14:textId="77777777">
            <w:pPr>
              <w:rPr>
                <w:sz w:val="15"/>
                <w:szCs w:val="15"/>
              </w:rPr>
            </w:pPr>
            <w:r w:rsidRPr="003B1DAE">
              <w:rPr>
                <w:sz w:val="15"/>
                <w:szCs w:val="15"/>
              </w:rPr>
              <w:t>397 GWh/d</w:t>
            </w:r>
          </w:p>
        </w:tc>
        <w:tc>
          <w:tcPr>
            <w:tcW w:w="1260" w:type="dxa"/>
          </w:tcPr>
          <w:p w:rsidRPr="003B1DAE" w:rsidR="00A25164" w:rsidP="003B14FA" w:rsidRDefault="00A25164" w14:paraId="51A34585" w14:textId="77777777">
            <w:pPr>
              <w:rPr>
                <w:sz w:val="15"/>
                <w:szCs w:val="15"/>
              </w:rPr>
            </w:pPr>
            <w:r w:rsidRPr="003B1DAE">
              <w:rPr>
                <w:sz w:val="15"/>
                <w:szCs w:val="15"/>
              </w:rPr>
              <w:t>Taqa/EBN</w:t>
            </w:r>
          </w:p>
        </w:tc>
      </w:tr>
      <w:tr w:rsidRPr="003B1DAE" w:rsidR="00A25164" w:rsidTr="00D001CE" w14:paraId="015A0577" w14:textId="77777777">
        <w:tc>
          <w:tcPr>
            <w:tcW w:w="1287" w:type="dxa"/>
          </w:tcPr>
          <w:p w:rsidRPr="003B1DAE" w:rsidR="00A25164" w:rsidP="003B14FA" w:rsidRDefault="00A25164" w14:paraId="71B3C65D" w14:textId="77777777">
            <w:pPr>
              <w:rPr>
                <w:sz w:val="15"/>
                <w:szCs w:val="15"/>
              </w:rPr>
            </w:pPr>
          </w:p>
        </w:tc>
        <w:tc>
          <w:tcPr>
            <w:tcW w:w="1179" w:type="dxa"/>
          </w:tcPr>
          <w:p w:rsidRPr="003B1DAE" w:rsidR="00A25164" w:rsidP="003B14FA" w:rsidRDefault="00A25164" w14:paraId="18CDDC57" w14:textId="77777777">
            <w:pPr>
              <w:rPr>
                <w:sz w:val="15"/>
                <w:szCs w:val="15"/>
              </w:rPr>
            </w:pPr>
            <w:r w:rsidRPr="003B1DAE">
              <w:rPr>
                <w:sz w:val="15"/>
                <w:szCs w:val="15"/>
              </w:rPr>
              <w:t>Kussengas</w:t>
            </w:r>
          </w:p>
        </w:tc>
        <w:tc>
          <w:tcPr>
            <w:tcW w:w="1121" w:type="dxa"/>
          </w:tcPr>
          <w:p w:rsidRPr="003B1DAE" w:rsidR="00A25164" w:rsidP="003B14FA" w:rsidRDefault="00A25164" w14:paraId="2C8AC781" w14:textId="77777777">
            <w:pPr>
              <w:rPr>
                <w:sz w:val="15"/>
                <w:szCs w:val="15"/>
              </w:rPr>
            </w:pPr>
            <w:r w:rsidRPr="003B1DAE">
              <w:rPr>
                <w:sz w:val="15"/>
                <w:szCs w:val="15"/>
              </w:rPr>
              <w:t>H-gas</w:t>
            </w:r>
          </w:p>
        </w:tc>
        <w:tc>
          <w:tcPr>
            <w:tcW w:w="1343" w:type="dxa"/>
          </w:tcPr>
          <w:p w:rsidRPr="003B1DAE" w:rsidR="00A25164" w:rsidP="003B14FA" w:rsidRDefault="00A25164" w14:paraId="631467CB" w14:textId="77777777">
            <w:pPr>
              <w:rPr>
                <w:sz w:val="15"/>
                <w:szCs w:val="15"/>
              </w:rPr>
            </w:pPr>
            <w:r w:rsidRPr="003B1DAE">
              <w:rPr>
                <w:sz w:val="15"/>
                <w:szCs w:val="15"/>
              </w:rPr>
              <w:t>49,4 TWh</w:t>
            </w:r>
          </w:p>
        </w:tc>
        <w:tc>
          <w:tcPr>
            <w:tcW w:w="1329" w:type="dxa"/>
          </w:tcPr>
          <w:p w:rsidRPr="003B1DAE" w:rsidR="00A25164" w:rsidP="003B14FA" w:rsidRDefault="00A25164" w14:paraId="20DEBEF9" w14:textId="77777777">
            <w:pPr>
              <w:rPr>
                <w:sz w:val="15"/>
                <w:szCs w:val="15"/>
              </w:rPr>
            </w:pPr>
            <w:r w:rsidRPr="003B1DAE">
              <w:rPr>
                <w:sz w:val="15"/>
                <w:szCs w:val="15"/>
              </w:rPr>
              <w:t>NTB</w:t>
            </w:r>
          </w:p>
        </w:tc>
        <w:tc>
          <w:tcPr>
            <w:tcW w:w="1260" w:type="dxa"/>
          </w:tcPr>
          <w:p w:rsidRPr="003B1DAE" w:rsidR="00A25164" w:rsidP="003B14FA" w:rsidRDefault="00A25164" w14:paraId="1C512356" w14:textId="77777777">
            <w:pPr>
              <w:rPr>
                <w:sz w:val="15"/>
                <w:szCs w:val="15"/>
              </w:rPr>
            </w:pPr>
            <w:r w:rsidRPr="003B1DAE">
              <w:rPr>
                <w:sz w:val="15"/>
                <w:szCs w:val="15"/>
              </w:rPr>
              <w:t>Operator: Taqa</w:t>
            </w:r>
          </w:p>
          <w:p w:rsidRPr="003B1DAE" w:rsidR="00A25164" w:rsidP="003B14FA" w:rsidRDefault="00A25164" w14:paraId="6FC55BA7" w14:textId="77777777">
            <w:pPr>
              <w:rPr>
                <w:sz w:val="15"/>
                <w:szCs w:val="15"/>
              </w:rPr>
            </w:pPr>
            <w:r w:rsidRPr="003B1DAE">
              <w:rPr>
                <w:sz w:val="15"/>
                <w:szCs w:val="15"/>
              </w:rPr>
              <w:t>Kussengas: Gazprom</w:t>
            </w:r>
          </w:p>
        </w:tc>
      </w:tr>
      <w:tr w:rsidRPr="003B1DAE" w:rsidR="00A25164" w:rsidTr="00D001CE" w14:paraId="1BB9578A" w14:textId="77777777">
        <w:tc>
          <w:tcPr>
            <w:tcW w:w="1287" w:type="dxa"/>
          </w:tcPr>
          <w:p w:rsidRPr="003B1DAE" w:rsidR="00A25164" w:rsidP="003B14FA" w:rsidRDefault="00A25164" w14:paraId="75905A01" w14:textId="77777777">
            <w:pPr>
              <w:rPr>
                <w:sz w:val="15"/>
                <w:szCs w:val="15"/>
              </w:rPr>
            </w:pPr>
            <w:r w:rsidRPr="003B1DAE">
              <w:rPr>
                <w:sz w:val="15"/>
                <w:szCs w:val="15"/>
              </w:rPr>
              <w:t>Alkmaar</w:t>
            </w:r>
          </w:p>
        </w:tc>
        <w:tc>
          <w:tcPr>
            <w:tcW w:w="1179" w:type="dxa"/>
          </w:tcPr>
          <w:p w:rsidRPr="003B1DAE" w:rsidR="00A25164" w:rsidP="003B14FA" w:rsidRDefault="00A25164" w14:paraId="3DD9C5E9" w14:textId="77777777">
            <w:pPr>
              <w:rPr>
                <w:sz w:val="15"/>
                <w:szCs w:val="15"/>
              </w:rPr>
            </w:pPr>
            <w:r w:rsidRPr="003B1DAE">
              <w:rPr>
                <w:sz w:val="15"/>
                <w:szCs w:val="15"/>
              </w:rPr>
              <w:t>Werkgas</w:t>
            </w:r>
          </w:p>
        </w:tc>
        <w:tc>
          <w:tcPr>
            <w:tcW w:w="1121" w:type="dxa"/>
          </w:tcPr>
          <w:p w:rsidRPr="003B1DAE" w:rsidR="00A25164" w:rsidP="003B14FA" w:rsidRDefault="00A25164" w14:paraId="668A5016" w14:textId="77777777">
            <w:pPr>
              <w:rPr>
                <w:sz w:val="15"/>
                <w:szCs w:val="15"/>
              </w:rPr>
            </w:pPr>
            <w:r w:rsidRPr="003B1DAE">
              <w:rPr>
                <w:sz w:val="15"/>
                <w:szCs w:val="15"/>
              </w:rPr>
              <w:t>L-gas</w:t>
            </w:r>
          </w:p>
        </w:tc>
        <w:tc>
          <w:tcPr>
            <w:tcW w:w="1343" w:type="dxa"/>
          </w:tcPr>
          <w:p w:rsidRPr="003B1DAE" w:rsidR="00A25164" w:rsidP="003B14FA" w:rsidRDefault="00A25164" w14:paraId="632F5107" w14:textId="77777777">
            <w:pPr>
              <w:rPr>
                <w:sz w:val="15"/>
                <w:szCs w:val="15"/>
              </w:rPr>
            </w:pPr>
            <w:r w:rsidRPr="003B1DAE">
              <w:rPr>
                <w:sz w:val="15"/>
                <w:szCs w:val="15"/>
              </w:rPr>
              <w:t>4,9 TWh</w:t>
            </w:r>
          </w:p>
        </w:tc>
        <w:tc>
          <w:tcPr>
            <w:tcW w:w="1329" w:type="dxa"/>
          </w:tcPr>
          <w:p w:rsidRPr="003B1DAE" w:rsidR="00A25164" w:rsidP="003B14FA" w:rsidRDefault="00A25164" w14:paraId="29446F1B" w14:textId="77777777">
            <w:pPr>
              <w:rPr>
                <w:sz w:val="15"/>
                <w:szCs w:val="15"/>
              </w:rPr>
            </w:pPr>
            <w:r w:rsidRPr="003B1DAE">
              <w:rPr>
                <w:sz w:val="15"/>
                <w:szCs w:val="15"/>
              </w:rPr>
              <w:t>360 GWh/d</w:t>
            </w:r>
          </w:p>
        </w:tc>
        <w:tc>
          <w:tcPr>
            <w:tcW w:w="1260" w:type="dxa"/>
          </w:tcPr>
          <w:p w:rsidRPr="003B1DAE" w:rsidR="00A25164" w:rsidP="003B14FA" w:rsidRDefault="00A25164" w14:paraId="4167386C" w14:textId="77777777">
            <w:pPr>
              <w:rPr>
                <w:sz w:val="15"/>
                <w:szCs w:val="15"/>
              </w:rPr>
            </w:pPr>
            <w:r w:rsidRPr="003B1DAE">
              <w:rPr>
                <w:sz w:val="15"/>
                <w:szCs w:val="15"/>
              </w:rPr>
              <w:t>Opslag: Alkmaar partners</w:t>
            </w:r>
          </w:p>
          <w:p w:rsidRPr="003B1DAE" w:rsidR="00A25164" w:rsidP="003B14FA" w:rsidRDefault="00A25164" w14:paraId="2FEC6A5E" w14:textId="77777777">
            <w:pPr>
              <w:rPr>
                <w:sz w:val="15"/>
                <w:szCs w:val="15"/>
              </w:rPr>
            </w:pPr>
            <w:r w:rsidRPr="003B1DAE">
              <w:rPr>
                <w:sz w:val="15"/>
                <w:szCs w:val="15"/>
              </w:rPr>
              <w:t>Gas: EBN</w:t>
            </w:r>
          </w:p>
        </w:tc>
      </w:tr>
      <w:tr w:rsidRPr="003B1DAE" w:rsidR="00A25164" w:rsidTr="00D001CE" w14:paraId="6249844C" w14:textId="77777777">
        <w:tc>
          <w:tcPr>
            <w:tcW w:w="1287" w:type="dxa"/>
          </w:tcPr>
          <w:p w:rsidRPr="003B1DAE" w:rsidR="00A25164" w:rsidP="003B14FA" w:rsidRDefault="00A25164" w14:paraId="3060163C" w14:textId="77777777">
            <w:pPr>
              <w:rPr>
                <w:sz w:val="15"/>
                <w:szCs w:val="15"/>
              </w:rPr>
            </w:pPr>
          </w:p>
        </w:tc>
        <w:tc>
          <w:tcPr>
            <w:tcW w:w="1179" w:type="dxa"/>
          </w:tcPr>
          <w:p w:rsidRPr="003B1DAE" w:rsidR="00A25164" w:rsidP="003B14FA" w:rsidRDefault="00A25164" w14:paraId="7141D21D" w14:textId="77777777">
            <w:pPr>
              <w:rPr>
                <w:sz w:val="15"/>
                <w:szCs w:val="15"/>
              </w:rPr>
            </w:pPr>
            <w:r w:rsidRPr="003B1DAE">
              <w:rPr>
                <w:sz w:val="15"/>
                <w:szCs w:val="15"/>
              </w:rPr>
              <w:t>Kussengas</w:t>
            </w:r>
          </w:p>
        </w:tc>
        <w:tc>
          <w:tcPr>
            <w:tcW w:w="1121" w:type="dxa"/>
          </w:tcPr>
          <w:p w:rsidRPr="003B1DAE" w:rsidR="00A25164" w:rsidP="003B14FA" w:rsidRDefault="00A25164" w14:paraId="052685F8" w14:textId="77777777">
            <w:pPr>
              <w:rPr>
                <w:sz w:val="15"/>
                <w:szCs w:val="15"/>
              </w:rPr>
            </w:pPr>
            <w:r w:rsidRPr="003B1DAE">
              <w:rPr>
                <w:sz w:val="15"/>
                <w:szCs w:val="15"/>
              </w:rPr>
              <w:t>L-gas</w:t>
            </w:r>
          </w:p>
        </w:tc>
        <w:tc>
          <w:tcPr>
            <w:tcW w:w="1343" w:type="dxa"/>
          </w:tcPr>
          <w:p w:rsidRPr="003B1DAE" w:rsidR="00A25164" w:rsidP="003B14FA" w:rsidRDefault="00A25164" w14:paraId="31EE3012" w14:textId="77777777">
            <w:pPr>
              <w:rPr>
                <w:sz w:val="15"/>
                <w:szCs w:val="15"/>
              </w:rPr>
            </w:pPr>
            <w:r w:rsidRPr="003B1DAE">
              <w:rPr>
                <w:sz w:val="15"/>
                <w:szCs w:val="15"/>
              </w:rPr>
              <w:t>30,6 TWh</w:t>
            </w:r>
          </w:p>
        </w:tc>
        <w:tc>
          <w:tcPr>
            <w:tcW w:w="1329" w:type="dxa"/>
          </w:tcPr>
          <w:p w:rsidRPr="003B1DAE" w:rsidR="00A25164" w:rsidP="003B14FA" w:rsidRDefault="00A25164" w14:paraId="19B6E621" w14:textId="77777777">
            <w:pPr>
              <w:rPr>
                <w:sz w:val="15"/>
                <w:szCs w:val="15"/>
              </w:rPr>
            </w:pPr>
            <w:r w:rsidRPr="003B1DAE">
              <w:rPr>
                <w:sz w:val="15"/>
                <w:szCs w:val="15"/>
              </w:rPr>
              <w:t>NTB</w:t>
            </w:r>
          </w:p>
        </w:tc>
        <w:tc>
          <w:tcPr>
            <w:tcW w:w="1260" w:type="dxa"/>
          </w:tcPr>
          <w:p w:rsidRPr="003B1DAE" w:rsidR="00A25164" w:rsidP="003B14FA" w:rsidRDefault="00A25164" w14:paraId="18A72D53" w14:textId="77777777">
            <w:pPr>
              <w:rPr>
                <w:sz w:val="15"/>
                <w:szCs w:val="15"/>
              </w:rPr>
            </w:pPr>
            <w:r w:rsidRPr="003B1DAE">
              <w:rPr>
                <w:sz w:val="15"/>
                <w:szCs w:val="15"/>
              </w:rPr>
              <w:t>Opslag: Alkmaar partners</w:t>
            </w:r>
          </w:p>
          <w:p w:rsidRPr="003B1DAE" w:rsidR="00A25164" w:rsidP="003B14FA" w:rsidRDefault="00A25164" w14:paraId="60827881" w14:textId="77777777">
            <w:pPr>
              <w:rPr>
                <w:sz w:val="15"/>
                <w:szCs w:val="15"/>
              </w:rPr>
            </w:pPr>
            <w:r w:rsidRPr="003B1DAE">
              <w:rPr>
                <w:sz w:val="15"/>
                <w:szCs w:val="15"/>
              </w:rPr>
              <w:t>Operator: Taqa</w:t>
            </w:r>
          </w:p>
          <w:p w:rsidRPr="003B1DAE" w:rsidR="00A25164" w:rsidP="003B14FA" w:rsidRDefault="00A25164" w14:paraId="0855E547" w14:textId="77777777">
            <w:pPr>
              <w:rPr>
                <w:sz w:val="15"/>
                <w:szCs w:val="15"/>
              </w:rPr>
            </w:pPr>
            <w:r w:rsidRPr="003B1DAE">
              <w:rPr>
                <w:sz w:val="15"/>
                <w:szCs w:val="15"/>
              </w:rPr>
              <w:t>Kussengas: EBN</w:t>
            </w:r>
          </w:p>
        </w:tc>
      </w:tr>
    </w:tbl>
    <w:p w:rsidRPr="003B1DAE" w:rsidR="00A25164" w:rsidP="003B14FA" w:rsidRDefault="00A25164" w14:paraId="39653798" w14:textId="77777777">
      <w:pPr>
        <w:rPr>
          <w:szCs w:val="18"/>
        </w:rPr>
      </w:pPr>
    </w:p>
    <w:p w:rsidRPr="003B1DAE" w:rsidR="00A25164" w:rsidP="003B14FA" w:rsidRDefault="00A25164" w14:paraId="7B128FD7" w14:textId="77777777">
      <w:pPr>
        <w:rPr>
          <w:b/>
          <w:bCs/>
          <w:szCs w:val="18"/>
        </w:rPr>
      </w:pPr>
    </w:p>
    <w:p w:rsidRPr="003B1DAE" w:rsidR="00A25164" w:rsidP="003B14FA" w:rsidRDefault="00A25164" w14:paraId="12253234" w14:textId="77777777">
      <w:pPr>
        <w:rPr>
          <w:b/>
          <w:bCs/>
          <w:szCs w:val="18"/>
        </w:rPr>
      </w:pPr>
    </w:p>
    <w:p w:rsidRPr="003B1DAE" w:rsidR="00A25164" w:rsidP="003B14FA" w:rsidRDefault="00A25164" w14:paraId="3803BB8C" w14:textId="77777777">
      <w:pPr>
        <w:rPr>
          <w:b/>
          <w:bCs/>
          <w:szCs w:val="18"/>
        </w:rPr>
      </w:pPr>
    </w:p>
    <w:p w:rsidRPr="003B1DAE" w:rsidR="00A25164" w:rsidP="003B14FA" w:rsidRDefault="00A25164" w14:paraId="023ECEB8" w14:textId="77777777">
      <w:pPr>
        <w:rPr>
          <w:b/>
          <w:bCs/>
          <w:szCs w:val="18"/>
        </w:rPr>
      </w:pPr>
    </w:p>
    <w:p w:rsidR="00A25164" w:rsidP="003B14FA" w:rsidRDefault="00A25164" w14:paraId="3E8D08B0" w14:textId="77777777">
      <w:pPr>
        <w:rPr>
          <w:b/>
          <w:bCs/>
          <w:szCs w:val="18"/>
        </w:rPr>
      </w:pPr>
    </w:p>
    <w:p w:rsidR="00606ACC" w:rsidP="003B14FA" w:rsidRDefault="00606ACC" w14:paraId="6F013D06" w14:textId="77777777">
      <w:pPr>
        <w:rPr>
          <w:b/>
          <w:bCs/>
          <w:szCs w:val="18"/>
        </w:rPr>
      </w:pPr>
    </w:p>
    <w:p w:rsidR="00606ACC" w:rsidP="003B14FA" w:rsidRDefault="00606ACC" w14:paraId="489D74BD" w14:textId="77777777">
      <w:pPr>
        <w:rPr>
          <w:b/>
          <w:bCs/>
          <w:szCs w:val="18"/>
        </w:rPr>
      </w:pPr>
    </w:p>
    <w:p w:rsidR="00606ACC" w:rsidP="003B14FA" w:rsidRDefault="00606ACC" w14:paraId="5058BC77" w14:textId="77777777">
      <w:pPr>
        <w:rPr>
          <w:b/>
          <w:bCs/>
          <w:szCs w:val="18"/>
        </w:rPr>
      </w:pPr>
    </w:p>
    <w:p w:rsidR="00606ACC" w:rsidP="003B14FA" w:rsidRDefault="00606ACC" w14:paraId="79798C52" w14:textId="77777777">
      <w:pPr>
        <w:rPr>
          <w:b/>
          <w:bCs/>
          <w:szCs w:val="18"/>
        </w:rPr>
      </w:pPr>
    </w:p>
    <w:p w:rsidR="00606ACC" w:rsidP="003B14FA" w:rsidRDefault="00606ACC" w14:paraId="09BF77DC" w14:textId="77777777">
      <w:pPr>
        <w:rPr>
          <w:b/>
          <w:bCs/>
          <w:szCs w:val="18"/>
        </w:rPr>
      </w:pPr>
    </w:p>
    <w:p w:rsidR="00606ACC" w:rsidP="003B14FA" w:rsidRDefault="00606ACC" w14:paraId="5644E17C" w14:textId="77777777">
      <w:pPr>
        <w:rPr>
          <w:b/>
          <w:bCs/>
          <w:szCs w:val="18"/>
        </w:rPr>
      </w:pPr>
    </w:p>
    <w:p w:rsidR="00606ACC" w:rsidP="003B14FA" w:rsidRDefault="00606ACC" w14:paraId="760B4BA1" w14:textId="77777777">
      <w:pPr>
        <w:rPr>
          <w:b/>
          <w:bCs/>
          <w:szCs w:val="18"/>
        </w:rPr>
      </w:pPr>
    </w:p>
    <w:p w:rsidRPr="003B1DAE" w:rsidR="00606ACC" w:rsidP="003B14FA" w:rsidRDefault="00606ACC" w14:paraId="5BD6E827" w14:textId="77777777">
      <w:pPr>
        <w:rPr>
          <w:b/>
          <w:bCs/>
          <w:szCs w:val="18"/>
        </w:rPr>
      </w:pPr>
    </w:p>
    <w:p w:rsidRPr="003B1DAE" w:rsidR="00A25164" w:rsidP="003B14FA" w:rsidRDefault="00A25164" w14:paraId="43932959" w14:textId="77777777">
      <w:pPr>
        <w:rPr>
          <w:b/>
          <w:bCs/>
          <w:szCs w:val="18"/>
        </w:rPr>
      </w:pPr>
    </w:p>
    <w:p w:rsidRPr="003B1DAE" w:rsidR="00A25164" w:rsidP="003B14FA" w:rsidRDefault="00A25164" w14:paraId="7FA60AE7" w14:textId="77777777">
      <w:pPr>
        <w:rPr>
          <w:b/>
          <w:bCs/>
          <w:szCs w:val="18"/>
        </w:rPr>
      </w:pPr>
    </w:p>
    <w:p w:rsidR="00A25164" w:rsidP="003B14FA" w:rsidRDefault="00A25164" w14:paraId="562460C2" w14:textId="1E42F730">
      <w:pPr>
        <w:rPr>
          <w:b/>
          <w:bCs/>
          <w:szCs w:val="18"/>
        </w:rPr>
      </w:pPr>
    </w:p>
    <w:p w:rsidRPr="003B1DAE" w:rsidR="00630546" w:rsidP="003B14FA" w:rsidRDefault="00630546" w14:paraId="0FF6AB47" w14:textId="77777777">
      <w:pPr>
        <w:rPr>
          <w:szCs w:val="18"/>
        </w:rPr>
      </w:pPr>
    </w:p>
    <w:p w:rsidRPr="003B1DAE" w:rsidR="00A25164" w:rsidP="003B14FA" w:rsidRDefault="00A25164" w14:paraId="521B3675" w14:textId="3F2416D4">
      <w:pPr>
        <w:rPr>
          <w:b/>
          <w:bCs/>
          <w:szCs w:val="18"/>
        </w:rPr>
      </w:pPr>
      <w:r w:rsidRPr="003B1DAE">
        <w:rPr>
          <w:b/>
          <w:bCs/>
          <w:szCs w:val="18"/>
        </w:rPr>
        <w:t>Bijlage 3: uitvoeringstabel moties</w:t>
      </w:r>
    </w:p>
    <w:tbl>
      <w:tblPr>
        <w:tblStyle w:val="Tabelraster"/>
        <w:tblW w:w="8796" w:type="dxa"/>
        <w:tblLayout w:type="fixed"/>
        <w:tblLook w:val="04A0" w:firstRow="1" w:lastRow="0" w:firstColumn="1" w:lastColumn="0" w:noHBand="0" w:noVBand="1"/>
      </w:tblPr>
      <w:tblGrid>
        <w:gridCol w:w="1410"/>
        <w:gridCol w:w="1365"/>
        <w:gridCol w:w="1770"/>
        <w:gridCol w:w="1757"/>
        <w:gridCol w:w="2494"/>
      </w:tblGrid>
      <w:tr w:rsidRPr="003B1DAE" w:rsidR="00A25164" w:rsidTr="00D001CE" w14:paraId="50E3CC9E" w14:textId="77777777">
        <w:trPr>
          <w:trHeight w:val="337"/>
        </w:trPr>
        <w:tc>
          <w:tcPr>
            <w:tcW w:w="1410" w:type="dxa"/>
          </w:tcPr>
          <w:p w:rsidRPr="003B1DAE" w:rsidR="00A25164" w:rsidP="003B14FA" w:rsidRDefault="00A25164" w14:paraId="7904FAF2" w14:textId="77777777">
            <w:pPr>
              <w:rPr>
                <w:b/>
                <w:sz w:val="15"/>
                <w:szCs w:val="15"/>
              </w:rPr>
            </w:pPr>
            <w:r w:rsidRPr="003B1DAE">
              <w:rPr>
                <w:b/>
                <w:sz w:val="15"/>
                <w:szCs w:val="15"/>
              </w:rPr>
              <w:t>Indiener(s)</w:t>
            </w:r>
          </w:p>
        </w:tc>
        <w:tc>
          <w:tcPr>
            <w:tcW w:w="1365" w:type="dxa"/>
          </w:tcPr>
          <w:p w:rsidRPr="003B1DAE" w:rsidR="00A25164" w:rsidP="003B14FA" w:rsidRDefault="00A25164" w14:paraId="4F1C0AF4" w14:textId="77777777">
            <w:pPr>
              <w:rPr>
                <w:b/>
                <w:sz w:val="15"/>
                <w:szCs w:val="15"/>
              </w:rPr>
            </w:pPr>
            <w:r w:rsidRPr="003B1DAE">
              <w:rPr>
                <w:b/>
                <w:sz w:val="15"/>
                <w:szCs w:val="15"/>
              </w:rPr>
              <w:t>Kamerstuk</w:t>
            </w:r>
          </w:p>
        </w:tc>
        <w:tc>
          <w:tcPr>
            <w:tcW w:w="1770" w:type="dxa"/>
          </w:tcPr>
          <w:p w:rsidRPr="003B1DAE" w:rsidR="00A25164" w:rsidP="003B14FA" w:rsidRDefault="00A25164" w14:paraId="01DD01FE" w14:textId="77777777">
            <w:pPr>
              <w:rPr>
                <w:b/>
                <w:sz w:val="15"/>
                <w:szCs w:val="15"/>
              </w:rPr>
            </w:pPr>
            <w:r w:rsidRPr="003B1DAE">
              <w:rPr>
                <w:b/>
                <w:sz w:val="15"/>
                <w:szCs w:val="15"/>
              </w:rPr>
              <w:t>Kern motie</w:t>
            </w:r>
          </w:p>
        </w:tc>
        <w:tc>
          <w:tcPr>
            <w:tcW w:w="1757" w:type="dxa"/>
          </w:tcPr>
          <w:p w:rsidRPr="003B1DAE" w:rsidR="00A25164" w:rsidP="003B14FA" w:rsidRDefault="00A25164" w14:paraId="16A22E77" w14:textId="77777777">
            <w:pPr>
              <w:rPr>
                <w:b/>
                <w:sz w:val="15"/>
                <w:szCs w:val="15"/>
              </w:rPr>
            </w:pPr>
            <w:r w:rsidRPr="003B1DAE">
              <w:rPr>
                <w:b/>
                <w:sz w:val="15"/>
                <w:szCs w:val="15"/>
              </w:rPr>
              <w:t>Status</w:t>
            </w:r>
          </w:p>
        </w:tc>
        <w:tc>
          <w:tcPr>
            <w:tcW w:w="2494" w:type="dxa"/>
          </w:tcPr>
          <w:p w:rsidRPr="003B1DAE" w:rsidR="00A25164" w:rsidP="003B14FA" w:rsidRDefault="55F7A091" w14:paraId="66DD3FC1" w14:textId="7E0BA57D">
            <w:pPr>
              <w:rPr>
                <w:b/>
                <w:sz w:val="15"/>
                <w:szCs w:val="15"/>
              </w:rPr>
            </w:pPr>
            <w:r w:rsidRPr="003B1DAE">
              <w:rPr>
                <w:b/>
                <w:sz w:val="15"/>
                <w:szCs w:val="15"/>
              </w:rPr>
              <w:t>Verwachte</w:t>
            </w:r>
            <w:r w:rsidRPr="003B1DAE" w:rsidR="00A25164">
              <w:rPr>
                <w:b/>
                <w:sz w:val="15"/>
                <w:szCs w:val="15"/>
              </w:rPr>
              <w:t xml:space="preserve"> weerstand/ steun van lidstaten</w:t>
            </w:r>
          </w:p>
        </w:tc>
      </w:tr>
      <w:tr w:rsidRPr="003B1DAE" w:rsidR="00A25164" w:rsidTr="00D001CE" w14:paraId="1CAE1199" w14:textId="77777777">
        <w:trPr>
          <w:trHeight w:val="337"/>
        </w:trPr>
        <w:tc>
          <w:tcPr>
            <w:tcW w:w="1410" w:type="dxa"/>
          </w:tcPr>
          <w:p w:rsidRPr="003B1DAE" w:rsidR="00A25164" w:rsidP="003B14FA" w:rsidRDefault="00A25164" w14:paraId="4E2DACC1" w14:textId="77777777">
            <w:pPr>
              <w:rPr>
                <w:sz w:val="15"/>
                <w:szCs w:val="15"/>
              </w:rPr>
            </w:pPr>
            <w:r w:rsidRPr="003B1DAE">
              <w:rPr>
                <w:sz w:val="15"/>
                <w:szCs w:val="15"/>
              </w:rPr>
              <w:t>Van den Berg en Boomsma (JA21)</w:t>
            </w:r>
          </w:p>
        </w:tc>
        <w:tc>
          <w:tcPr>
            <w:tcW w:w="1365" w:type="dxa"/>
          </w:tcPr>
          <w:p w:rsidRPr="003B1DAE" w:rsidR="00A25164" w:rsidP="003B14FA" w:rsidRDefault="000B168C" w14:paraId="49493C68" w14:textId="5DBD7162">
            <w:pPr>
              <w:rPr>
                <w:sz w:val="15"/>
                <w:szCs w:val="15"/>
              </w:rPr>
            </w:pPr>
            <w:r w:rsidRPr="003B1DAE">
              <w:rPr>
                <w:color w:val="000000" w:themeColor="text1"/>
                <w:sz w:val="15"/>
                <w:szCs w:val="15"/>
              </w:rPr>
              <w:t>21 501-33, nr. 1207</w:t>
            </w:r>
          </w:p>
        </w:tc>
        <w:tc>
          <w:tcPr>
            <w:tcW w:w="1770" w:type="dxa"/>
          </w:tcPr>
          <w:p w:rsidRPr="003B1DAE" w:rsidR="00A25164" w:rsidP="003B14FA" w:rsidRDefault="00A25164" w14:paraId="199F48E3" w14:textId="77777777">
            <w:pPr>
              <w:rPr>
                <w:sz w:val="15"/>
                <w:szCs w:val="15"/>
              </w:rPr>
            </w:pPr>
            <w:bookmarkStart w:name="OLE_LINK2" w:id="6"/>
            <w:r w:rsidRPr="003B1DAE">
              <w:rPr>
                <w:color w:val="000000"/>
                <w:sz w:val="15"/>
                <w:szCs w:val="15"/>
              </w:rPr>
              <w:t>Uitvoeringstabel toevoegen aan Kamerbrief Strategisch Gasbeleid</w:t>
            </w:r>
            <w:r w:rsidRPr="003B1DAE">
              <w:rPr>
                <w:color w:val="000000" w:themeColor="text1"/>
                <w:sz w:val="15"/>
                <w:szCs w:val="15"/>
              </w:rPr>
              <w:t>.</w:t>
            </w:r>
            <w:bookmarkEnd w:id="6"/>
          </w:p>
        </w:tc>
        <w:tc>
          <w:tcPr>
            <w:tcW w:w="1757" w:type="dxa"/>
          </w:tcPr>
          <w:p w:rsidRPr="003B1DAE" w:rsidR="00A25164" w:rsidP="003B14FA" w:rsidRDefault="00A25164" w14:paraId="0EBBDD8C" w14:textId="77777777">
            <w:pPr>
              <w:rPr>
                <w:sz w:val="15"/>
                <w:szCs w:val="15"/>
                <w:highlight w:val="yellow"/>
              </w:rPr>
            </w:pPr>
            <w:r w:rsidRPr="003B1DAE">
              <w:rPr>
                <w:sz w:val="15"/>
                <w:szCs w:val="15"/>
              </w:rPr>
              <w:t>Uitgevoerd door middel van dit overzicht.</w:t>
            </w:r>
          </w:p>
        </w:tc>
        <w:tc>
          <w:tcPr>
            <w:tcW w:w="2494" w:type="dxa"/>
          </w:tcPr>
          <w:p w:rsidRPr="003B1DAE" w:rsidR="00A25164" w:rsidP="003B14FA" w:rsidRDefault="00A25164" w14:paraId="582EF65C" w14:textId="77777777">
            <w:pPr>
              <w:rPr>
                <w:sz w:val="15"/>
                <w:szCs w:val="15"/>
              </w:rPr>
            </w:pPr>
            <w:r w:rsidRPr="003B1DAE">
              <w:rPr>
                <w:sz w:val="15"/>
                <w:szCs w:val="15"/>
              </w:rPr>
              <w:t>n.v.t.</w:t>
            </w:r>
          </w:p>
        </w:tc>
      </w:tr>
      <w:tr w:rsidRPr="003B1DAE" w:rsidR="00A25164" w:rsidTr="00D001CE" w14:paraId="350BD68C" w14:textId="77777777">
        <w:trPr>
          <w:trHeight w:val="337"/>
        </w:trPr>
        <w:tc>
          <w:tcPr>
            <w:tcW w:w="1410" w:type="dxa"/>
          </w:tcPr>
          <w:p w:rsidRPr="003B1DAE" w:rsidR="00A25164" w:rsidP="003B14FA" w:rsidRDefault="00A25164" w14:paraId="5CE5DCD1" w14:textId="77777777">
            <w:pPr>
              <w:rPr>
                <w:sz w:val="15"/>
                <w:szCs w:val="15"/>
              </w:rPr>
            </w:pPr>
            <w:r w:rsidRPr="003B1DAE">
              <w:rPr>
                <w:sz w:val="15"/>
                <w:szCs w:val="15"/>
              </w:rPr>
              <w:t xml:space="preserve">Grinwis </w:t>
            </w:r>
          </w:p>
          <w:p w:rsidRPr="003B1DAE" w:rsidR="00A25164" w:rsidP="003B14FA" w:rsidRDefault="00A25164" w14:paraId="79552DA4" w14:textId="77777777">
            <w:pPr>
              <w:rPr>
                <w:sz w:val="15"/>
                <w:szCs w:val="15"/>
              </w:rPr>
            </w:pPr>
            <w:r w:rsidRPr="003B1DAE">
              <w:rPr>
                <w:sz w:val="15"/>
                <w:szCs w:val="15"/>
              </w:rPr>
              <w:t>(CU), De Groot (VVD) en Rooderkerk (D66)</w:t>
            </w:r>
          </w:p>
        </w:tc>
        <w:tc>
          <w:tcPr>
            <w:tcW w:w="1365" w:type="dxa"/>
          </w:tcPr>
          <w:p w:rsidRPr="003B1DAE" w:rsidR="00A25164" w:rsidP="003B14FA" w:rsidRDefault="00A25164" w14:paraId="53C4E61C" w14:textId="77777777">
            <w:pPr>
              <w:rPr>
                <w:color w:val="000000"/>
                <w:sz w:val="15"/>
                <w:szCs w:val="15"/>
              </w:rPr>
            </w:pPr>
            <w:r w:rsidRPr="003B1DAE">
              <w:rPr>
                <w:color w:val="000000" w:themeColor="text1"/>
                <w:sz w:val="15"/>
                <w:szCs w:val="15"/>
              </w:rPr>
              <w:t>29 023, nr. 574</w:t>
            </w:r>
          </w:p>
        </w:tc>
        <w:tc>
          <w:tcPr>
            <w:tcW w:w="1770" w:type="dxa"/>
          </w:tcPr>
          <w:p w:rsidRPr="003B1DAE" w:rsidR="00A25164" w:rsidP="003B14FA" w:rsidRDefault="00A25164" w14:paraId="43BCB1FD" w14:textId="77777777">
            <w:pPr>
              <w:rPr>
                <w:sz w:val="15"/>
                <w:szCs w:val="15"/>
              </w:rPr>
            </w:pPr>
            <w:r w:rsidRPr="003B1DAE">
              <w:rPr>
                <w:sz w:val="15"/>
                <w:szCs w:val="15"/>
              </w:rPr>
              <w:t>Binnen een jaar met strategisch gasbeleid te komen. </w:t>
            </w:r>
          </w:p>
        </w:tc>
        <w:tc>
          <w:tcPr>
            <w:tcW w:w="1757" w:type="dxa"/>
          </w:tcPr>
          <w:p w:rsidRPr="003B1DAE" w:rsidR="00A25164" w:rsidP="003B14FA" w:rsidRDefault="00A25164" w14:paraId="39050D61" w14:textId="77777777">
            <w:pPr>
              <w:rPr>
                <w:sz w:val="15"/>
                <w:szCs w:val="15"/>
                <w:highlight w:val="yellow"/>
              </w:rPr>
            </w:pPr>
            <w:r w:rsidRPr="003B1DAE">
              <w:rPr>
                <w:sz w:val="15"/>
                <w:szCs w:val="15"/>
              </w:rPr>
              <w:t>Uitgevoerd door middel van deze Kamerbrief.</w:t>
            </w:r>
          </w:p>
        </w:tc>
        <w:tc>
          <w:tcPr>
            <w:tcW w:w="2494" w:type="dxa"/>
          </w:tcPr>
          <w:p w:rsidRPr="003B1DAE" w:rsidR="00A25164" w:rsidP="003B14FA" w:rsidRDefault="00A25164" w14:paraId="11DF0D3F" w14:textId="77777777">
            <w:pPr>
              <w:rPr>
                <w:sz w:val="15"/>
                <w:szCs w:val="15"/>
              </w:rPr>
            </w:pPr>
            <w:r w:rsidRPr="003B1DAE">
              <w:rPr>
                <w:sz w:val="15"/>
                <w:szCs w:val="15"/>
              </w:rPr>
              <w:t>n.v.t.</w:t>
            </w:r>
          </w:p>
        </w:tc>
      </w:tr>
      <w:tr w:rsidRPr="003B1DAE" w:rsidR="00A25164" w:rsidTr="00D001CE" w14:paraId="5AC7E858" w14:textId="77777777">
        <w:trPr>
          <w:trHeight w:val="232"/>
        </w:trPr>
        <w:tc>
          <w:tcPr>
            <w:tcW w:w="1410" w:type="dxa"/>
          </w:tcPr>
          <w:p w:rsidRPr="003B1DAE" w:rsidR="00A25164" w:rsidP="003B14FA" w:rsidRDefault="00A25164" w14:paraId="2232763A" w14:textId="77777777">
            <w:pPr>
              <w:rPr>
                <w:sz w:val="15"/>
                <w:szCs w:val="15"/>
              </w:rPr>
            </w:pPr>
            <w:r w:rsidRPr="003B1DAE">
              <w:rPr>
                <w:sz w:val="15"/>
                <w:szCs w:val="15"/>
              </w:rPr>
              <w:t>Postma (NSC)</w:t>
            </w:r>
          </w:p>
        </w:tc>
        <w:tc>
          <w:tcPr>
            <w:tcW w:w="1365" w:type="dxa"/>
          </w:tcPr>
          <w:p w:rsidRPr="003B1DAE" w:rsidR="00A25164" w:rsidP="003B14FA" w:rsidRDefault="00A25164" w14:paraId="04EE5FD9" w14:textId="77777777">
            <w:pPr>
              <w:rPr>
                <w:color w:val="000000" w:themeColor="text1"/>
                <w:sz w:val="15"/>
                <w:szCs w:val="15"/>
              </w:rPr>
            </w:pPr>
            <w:r w:rsidRPr="003B1DAE">
              <w:rPr>
                <w:color w:val="000000" w:themeColor="text1"/>
                <w:sz w:val="15"/>
                <w:szCs w:val="15"/>
              </w:rPr>
              <w:t>29 023, nr. 575</w:t>
            </w:r>
          </w:p>
        </w:tc>
        <w:tc>
          <w:tcPr>
            <w:tcW w:w="1770" w:type="dxa"/>
          </w:tcPr>
          <w:p w:rsidRPr="003B1DAE" w:rsidR="00A25164" w:rsidP="003B14FA" w:rsidRDefault="00A25164" w14:paraId="47DFB3F7" w14:textId="105862EB">
            <w:pPr>
              <w:rPr>
                <w:sz w:val="15"/>
                <w:szCs w:val="15"/>
              </w:rPr>
            </w:pPr>
            <w:r w:rsidRPr="003B1DAE">
              <w:rPr>
                <w:sz w:val="15"/>
                <w:szCs w:val="15"/>
              </w:rPr>
              <w:t>Onderzoek doen naar omvang noodvoorraad voor beschermde afnemers (zie brief van juli 2025 inzake gasopslag</w:t>
            </w:r>
            <w:r w:rsidRPr="003B1DAE" w:rsidR="00D2721B">
              <w:rPr>
                <w:rStyle w:val="Voetnootmarkering"/>
                <w:sz w:val="15"/>
                <w:szCs w:val="15"/>
              </w:rPr>
              <w:footnoteReference w:id="102"/>
            </w:r>
            <w:r w:rsidRPr="003B1DAE" w:rsidR="00C01F00">
              <w:rPr>
                <w:sz w:val="15"/>
                <w:szCs w:val="15"/>
              </w:rPr>
              <w:t>)</w:t>
            </w:r>
            <w:r w:rsidRPr="003B1DAE" w:rsidR="00D2721B">
              <w:rPr>
                <w:sz w:val="15"/>
                <w:szCs w:val="15"/>
              </w:rPr>
              <w:t>.</w:t>
            </w:r>
          </w:p>
        </w:tc>
        <w:tc>
          <w:tcPr>
            <w:tcW w:w="1757" w:type="dxa"/>
          </w:tcPr>
          <w:p w:rsidRPr="003B1DAE" w:rsidR="00A25164" w:rsidP="003B14FA" w:rsidRDefault="00A25164" w14:paraId="6C07E40B" w14:textId="77777777">
            <w:pPr>
              <w:rPr>
                <w:sz w:val="15"/>
                <w:szCs w:val="15"/>
              </w:rPr>
            </w:pPr>
            <w:r w:rsidRPr="003B1DAE">
              <w:rPr>
                <w:sz w:val="15"/>
                <w:szCs w:val="15"/>
              </w:rPr>
              <w:t>In onderdeel D van deze brief is toegelicht hoe het kabinet aan deze motie uitvoering heeft gegeven.</w:t>
            </w:r>
          </w:p>
        </w:tc>
        <w:tc>
          <w:tcPr>
            <w:tcW w:w="2494" w:type="dxa"/>
          </w:tcPr>
          <w:p w:rsidRPr="003B1DAE" w:rsidR="00A25164" w:rsidP="003B14FA" w:rsidRDefault="00A25164" w14:paraId="05C4679F" w14:textId="77777777">
            <w:pPr>
              <w:rPr>
                <w:sz w:val="15"/>
                <w:szCs w:val="15"/>
              </w:rPr>
            </w:pPr>
            <w:r w:rsidRPr="003B1DAE">
              <w:rPr>
                <w:sz w:val="15"/>
                <w:szCs w:val="15"/>
              </w:rPr>
              <w:t>n.v.t.</w:t>
            </w:r>
          </w:p>
        </w:tc>
      </w:tr>
      <w:tr w:rsidRPr="003B1DAE" w:rsidR="00A25164" w:rsidTr="00D001CE" w14:paraId="7D292BD0" w14:textId="77777777">
        <w:trPr>
          <w:trHeight w:val="687"/>
        </w:trPr>
        <w:tc>
          <w:tcPr>
            <w:tcW w:w="1410" w:type="dxa"/>
          </w:tcPr>
          <w:p w:rsidRPr="003B1DAE" w:rsidR="00A25164" w:rsidP="003B14FA" w:rsidRDefault="00A25164" w14:paraId="422970E7" w14:textId="77777777">
            <w:pPr>
              <w:rPr>
                <w:sz w:val="15"/>
                <w:szCs w:val="15"/>
              </w:rPr>
            </w:pPr>
            <w:r w:rsidRPr="003B1DAE">
              <w:rPr>
                <w:sz w:val="15"/>
                <w:szCs w:val="15"/>
              </w:rPr>
              <w:t>Van den Berg (JA21)</w:t>
            </w:r>
          </w:p>
        </w:tc>
        <w:tc>
          <w:tcPr>
            <w:tcW w:w="1365" w:type="dxa"/>
          </w:tcPr>
          <w:p w:rsidRPr="003B1DAE" w:rsidR="00A25164" w:rsidP="003B14FA" w:rsidRDefault="00A25164" w14:paraId="4ADD2E33" w14:textId="77777777">
            <w:pPr>
              <w:rPr>
                <w:color w:val="000000" w:themeColor="text1"/>
                <w:sz w:val="15"/>
                <w:szCs w:val="15"/>
              </w:rPr>
            </w:pPr>
            <w:r w:rsidRPr="003B1DAE">
              <w:rPr>
                <w:color w:val="000000" w:themeColor="text1"/>
                <w:sz w:val="15"/>
                <w:szCs w:val="15"/>
              </w:rPr>
              <w:t>29 023, nr. 632</w:t>
            </w:r>
          </w:p>
        </w:tc>
        <w:tc>
          <w:tcPr>
            <w:tcW w:w="1770" w:type="dxa"/>
          </w:tcPr>
          <w:p w:rsidRPr="003B1DAE" w:rsidR="00A25164" w:rsidP="003B14FA" w:rsidRDefault="00A25164" w14:paraId="22424407" w14:textId="45E4E418">
            <w:pPr>
              <w:rPr>
                <w:sz w:val="15"/>
                <w:szCs w:val="15"/>
              </w:rPr>
            </w:pPr>
            <w:r w:rsidRPr="003B1DAE">
              <w:rPr>
                <w:sz w:val="15"/>
                <w:szCs w:val="15"/>
              </w:rPr>
              <w:t>Onderzoek doen naar het vergroten de LNG-importcapaciteit en de voordelen hiervan.</w:t>
            </w:r>
          </w:p>
        </w:tc>
        <w:tc>
          <w:tcPr>
            <w:tcW w:w="1757" w:type="dxa"/>
          </w:tcPr>
          <w:p w:rsidRPr="003B1DAE" w:rsidR="00A25164" w:rsidP="003B14FA" w:rsidRDefault="00A25164" w14:paraId="633890CA" w14:textId="77777777">
            <w:pPr>
              <w:rPr>
                <w:sz w:val="15"/>
                <w:szCs w:val="15"/>
                <w:highlight w:val="yellow"/>
              </w:rPr>
            </w:pPr>
            <w:r w:rsidRPr="003B1DAE">
              <w:rPr>
                <w:sz w:val="15"/>
                <w:szCs w:val="15"/>
              </w:rPr>
              <w:t xml:space="preserve">In onderdeel B.2. van deze brief is toegelicht hoe het kabinet aan deze motie uitvoering heeft gegeven. </w:t>
            </w:r>
          </w:p>
        </w:tc>
        <w:tc>
          <w:tcPr>
            <w:tcW w:w="2494" w:type="dxa"/>
          </w:tcPr>
          <w:p w:rsidRPr="003B1DAE" w:rsidR="00A25164" w:rsidP="003B14FA" w:rsidRDefault="00A25164" w14:paraId="0C1783D5" w14:textId="77777777">
            <w:pPr>
              <w:rPr>
                <w:sz w:val="15"/>
                <w:szCs w:val="15"/>
              </w:rPr>
            </w:pPr>
            <w:r w:rsidRPr="003B1DAE">
              <w:rPr>
                <w:sz w:val="15"/>
                <w:szCs w:val="15"/>
              </w:rPr>
              <w:t>n.v.t.</w:t>
            </w:r>
          </w:p>
        </w:tc>
      </w:tr>
      <w:tr w:rsidRPr="003B1DAE" w:rsidR="00A25164" w:rsidTr="00D001CE" w14:paraId="67E92265" w14:textId="77777777">
        <w:trPr>
          <w:trHeight w:val="2204"/>
        </w:trPr>
        <w:tc>
          <w:tcPr>
            <w:tcW w:w="1410" w:type="dxa"/>
          </w:tcPr>
          <w:p w:rsidRPr="003B1DAE" w:rsidR="00A25164" w:rsidP="003B14FA" w:rsidRDefault="00A25164" w14:paraId="2F82B590" w14:textId="77777777">
            <w:pPr>
              <w:rPr>
                <w:sz w:val="15"/>
                <w:szCs w:val="15"/>
              </w:rPr>
            </w:pPr>
            <w:r w:rsidRPr="003B1DAE">
              <w:rPr>
                <w:sz w:val="15"/>
                <w:szCs w:val="15"/>
              </w:rPr>
              <w:t>Van den Berg (JA21)</w:t>
            </w:r>
          </w:p>
        </w:tc>
        <w:tc>
          <w:tcPr>
            <w:tcW w:w="1365" w:type="dxa"/>
          </w:tcPr>
          <w:p w:rsidRPr="003B1DAE" w:rsidR="00A25164" w:rsidP="003B14FA" w:rsidRDefault="00A25164" w14:paraId="447C1779" w14:textId="77777777">
            <w:pPr>
              <w:rPr>
                <w:sz w:val="15"/>
                <w:szCs w:val="15"/>
              </w:rPr>
            </w:pPr>
            <w:r w:rsidRPr="003B1DAE">
              <w:rPr>
                <w:color w:val="000000" w:themeColor="text1"/>
                <w:sz w:val="15"/>
                <w:szCs w:val="15"/>
              </w:rPr>
              <w:t>29 023, nr. 633</w:t>
            </w:r>
          </w:p>
        </w:tc>
        <w:tc>
          <w:tcPr>
            <w:tcW w:w="1770" w:type="dxa"/>
          </w:tcPr>
          <w:p w:rsidRPr="003B1DAE" w:rsidR="00A25164" w:rsidP="003B14FA" w:rsidRDefault="00A25164" w14:paraId="679D65B4" w14:textId="77777777">
            <w:pPr>
              <w:rPr>
                <w:sz w:val="15"/>
                <w:szCs w:val="15"/>
              </w:rPr>
            </w:pPr>
            <w:r w:rsidRPr="003B1DAE">
              <w:rPr>
                <w:sz w:val="15"/>
                <w:szCs w:val="15"/>
              </w:rPr>
              <w:t>Koppelen van financiering van kussengasreserves en leveringszekerheidsmaatregelen aan consumptie of import van gas per lidstaat. </w:t>
            </w:r>
          </w:p>
          <w:p w:rsidRPr="003B1DAE" w:rsidR="00A25164" w:rsidP="003B14FA" w:rsidRDefault="00A25164" w14:paraId="1C53A80C" w14:textId="77777777">
            <w:pPr>
              <w:rPr>
                <w:sz w:val="15"/>
                <w:szCs w:val="15"/>
              </w:rPr>
            </w:pPr>
          </w:p>
        </w:tc>
        <w:tc>
          <w:tcPr>
            <w:tcW w:w="1757" w:type="dxa"/>
          </w:tcPr>
          <w:p w:rsidRPr="003B1DAE" w:rsidR="00A25164" w:rsidP="003B14FA" w:rsidRDefault="00A25164" w14:paraId="50629F49" w14:textId="77777777">
            <w:pPr>
              <w:rPr>
                <w:sz w:val="15"/>
                <w:szCs w:val="15"/>
              </w:rPr>
            </w:pPr>
            <w:r w:rsidRPr="003B1DAE">
              <w:rPr>
                <w:sz w:val="15"/>
                <w:szCs w:val="15"/>
              </w:rPr>
              <w:t xml:space="preserve">In sectie D.1 is toegelicht dat het kabinet zich in EU verband heeft ingezet voor meer coördinatie ten aanzien van maatregelen voor het verbeteren van weerbaarheid, waaronder strategische opslag. </w:t>
            </w:r>
          </w:p>
          <w:p w:rsidRPr="003B1DAE" w:rsidR="00A25164" w:rsidP="003B14FA" w:rsidRDefault="00A25164" w14:paraId="7285A5EF" w14:textId="77777777">
            <w:pPr>
              <w:rPr>
                <w:sz w:val="15"/>
                <w:szCs w:val="15"/>
              </w:rPr>
            </w:pPr>
          </w:p>
        </w:tc>
        <w:tc>
          <w:tcPr>
            <w:tcW w:w="2494" w:type="dxa"/>
          </w:tcPr>
          <w:p w:rsidRPr="003B1DAE" w:rsidR="00A25164" w:rsidP="003B14FA" w:rsidRDefault="00A25164" w14:paraId="0C3BA9AE" w14:textId="77777777">
            <w:pPr>
              <w:rPr>
                <w:sz w:val="15"/>
                <w:szCs w:val="15"/>
              </w:rPr>
            </w:pPr>
            <w:r w:rsidRPr="003B1DAE">
              <w:rPr>
                <w:sz w:val="15"/>
                <w:szCs w:val="15"/>
              </w:rPr>
              <w:t xml:space="preserve">Vooralsnog blijkt er geen draagvlak voor Europese coördinatie. Wel nemen individuele lidstaten maatregelen, waaronder het aanleggen van strategische opslag. Er zijn geen voorbeelden van lidstaten die belangstelling hebben getoond in het gebruik van kussengas voor dit doel. </w:t>
            </w:r>
          </w:p>
        </w:tc>
      </w:tr>
      <w:tr w:rsidRPr="003B1DAE" w:rsidR="00A25164" w:rsidTr="00D001CE" w14:paraId="079527C0" w14:textId="77777777">
        <w:trPr>
          <w:trHeight w:val="1690"/>
        </w:trPr>
        <w:tc>
          <w:tcPr>
            <w:tcW w:w="1410" w:type="dxa"/>
          </w:tcPr>
          <w:p w:rsidRPr="003B1DAE" w:rsidR="00A25164" w:rsidP="003B14FA" w:rsidRDefault="00A25164" w14:paraId="75D960A5" w14:textId="77777777">
            <w:pPr>
              <w:rPr>
                <w:sz w:val="15"/>
                <w:szCs w:val="15"/>
              </w:rPr>
            </w:pPr>
            <w:r w:rsidRPr="003B1DAE">
              <w:rPr>
                <w:sz w:val="15"/>
                <w:szCs w:val="15"/>
              </w:rPr>
              <w:t>Van den Berg (JA21)</w:t>
            </w:r>
          </w:p>
        </w:tc>
        <w:tc>
          <w:tcPr>
            <w:tcW w:w="1365" w:type="dxa"/>
          </w:tcPr>
          <w:p w:rsidRPr="003B1DAE" w:rsidR="00A25164" w:rsidP="003B14FA" w:rsidRDefault="00A25164" w14:paraId="2F5D7F9F" w14:textId="77777777">
            <w:pPr>
              <w:rPr>
                <w:color w:val="000000"/>
                <w:sz w:val="15"/>
                <w:szCs w:val="15"/>
              </w:rPr>
            </w:pPr>
            <w:r w:rsidRPr="003B1DAE">
              <w:rPr>
                <w:color w:val="000000" w:themeColor="text1"/>
                <w:sz w:val="15"/>
                <w:szCs w:val="15"/>
              </w:rPr>
              <w:t>29 023, nr. 634</w:t>
            </w:r>
          </w:p>
        </w:tc>
        <w:tc>
          <w:tcPr>
            <w:tcW w:w="1770" w:type="dxa"/>
          </w:tcPr>
          <w:p w:rsidRPr="003B1DAE" w:rsidR="00A25164" w:rsidP="003B14FA" w:rsidRDefault="00A25164" w14:paraId="30F5BCF9" w14:textId="77777777">
            <w:pPr>
              <w:rPr>
                <w:sz w:val="15"/>
                <w:szCs w:val="15"/>
              </w:rPr>
            </w:pPr>
            <w:r w:rsidRPr="003B1DAE">
              <w:rPr>
                <w:sz w:val="15"/>
                <w:szCs w:val="15"/>
              </w:rPr>
              <w:t>Opstellen van het noodwinningsplan voor het in noodsituaties beschikbaar stellen van kussengas uit gasopslag Norg. </w:t>
            </w:r>
          </w:p>
        </w:tc>
        <w:tc>
          <w:tcPr>
            <w:tcW w:w="1757" w:type="dxa"/>
          </w:tcPr>
          <w:p w:rsidRPr="003B1DAE" w:rsidR="00506B05" w:rsidP="003B14FA" w:rsidRDefault="00A477C6" w14:paraId="536A1909" w14:textId="77777777">
            <w:pPr>
              <w:rPr>
                <w:sz w:val="15"/>
                <w:szCs w:val="15"/>
              </w:rPr>
            </w:pPr>
            <w:r w:rsidRPr="003B1DAE">
              <w:rPr>
                <w:sz w:val="15"/>
                <w:szCs w:val="15"/>
              </w:rPr>
              <w:t>Het winningsplan</w:t>
            </w:r>
          </w:p>
          <w:p w:rsidRPr="003B1DAE" w:rsidR="00A25164" w:rsidP="003B14FA" w:rsidRDefault="00A477C6" w14:paraId="0AACA870" w14:textId="29D7794F">
            <w:pPr>
              <w:rPr>
                <w:sz w:val="15"/>
                <w:szCs w:val="15"/>
              </w:rPr>
            </w:pPr>
            <w:r w:rsidRPr="003B1DAE">
              <w:rPr>
                <w:sz w:val="15"/>
                <w:szCs w:val="15"/>
              </w:rPr>
              <w:t xml:space="preserve"> Norg is behandeling bij EZK. De Kamer wordt over besluitvorming bij aparte brief geïnformeerd.</w:t>
            </w:r>
            <w:r w:rsidRPr="003B1DAE" w:rsidR="00A25164">
              <w:rPr>
                <w:sz w:val="15"/>
                <w:szCs w:val="15"/>
              </w:rPr>
              <w:t xml:space="preserve"> Dit winningsplan ziet niet specifiek op noodsituaties. </w:t>
            </w:r>
          </w:p>
        </w:tc>
        <w:tc>
          <w:tcPr>
            <w:tcW w:w="2494" w:type="dxa"/>
          </w:tcPr>
          <w:p w:rsidRPr="003B1DAE" w:rsidR="00A25164" w:rsidP="003B14FA" w:rsidRDefault="00A25164" w14:paraId="1CC6897C" w14:textId="77777777">
            <w:pPr>
              <w:rPr>
                <w:sz w:val="15"/>
                <w:szCs w:val="15"/>
              </w:rPr>
            </w:pPr>
            <w:r w:rsidRPr="003B1DAE">
              <w:rPr>
                <w:sz w:val="15"/>
                <w:szCs w:val="15"/>
              </w:rPr>
              <w:t xml:space="preserve">n.v.t. </w:t>
            </w:r>
          </w:p>
        </w:tc>
      </w:tr>
      <w:tr w:rsidRPr="003B1DAE" w:rsidR="00A25164" w:rsidTr="00D001CE" w14:paraId="2DEFD69B" w14:textId="77777777">
        <w:trPr>
          <w:trHeight w:val="849"/>
        </w:trPr>
        <w:tc>
          <w:tcPr>
            <w:tcW w:w="1410" w:type="dxa"/>
            <w:vMerge w:val="restart"/>
          </w:tcPr>
          <w:p w:rsidRPr="003B1DAE" w:rsidR="00A25164" w:rsidP="003B14FA" w:rsidRDefault="00A25164" w14:paraId="0022B217" w14:textId="77777777">
            <w:pPr>
              <w:rPr>
                <w:sz w:val="15"/>
                <w:szCs w:val="15"/>
              </w:rPr>
            </w:pPr>
            <w:r w:rsidRPr="003B1DAE">
              <w:rPr>
                <w:sz w:val="15"/>
                <w:szCs w:val="15"/>
              </w:rPr>
              <w:t>Van den Berg (JA21)</w:t>
            </w:r>
          </w:p>
          <w:p w:rsidRPr="003B1DAE" w:rsidR="00A25164" w:rsidP="003B14FA" w:rsidRDefault="00A25164" w14:paraId="4E16DED1" w14:textId="77777777">
            <w:pPr>
              <w:rPr>
                <w:sz w:val="15"/>
                <w:szCs w:val="15"/>
              </w:rPr>
            </w:pPr>
          </w:p>
        </w:tc>
        <w:tc>
          <w:tcPr>
            <w:tcW w:w="1365" w:type="dxa"/>
            <w:vMerge w:val="restart"/>
          </w:tcPr>
          <w:p w:rsidRPr="003B1DAE" w:rsidR="00A25164" w:rsidP="003B14FA" w:rsidRDefault="00A25164" w14:paraId="5E6ED62F" w14:textId="4F0CFADA">
            <w:pPr>
              <w:rPr>
                <w:color w:val="000000"/>
                <w:sz w:val="15"/>
                <w:szCs w:val="15"/>
              </w:rPr>
            </w:pPr>
            <w:r w:rsidRPr="003B1DAE">
              <w:rPr>
                <w:color w:val="000000" w:themeColor="text1"/>
                <w:sz w:val="15"/>
                <w:szCs w:val="15"/>
              </w:rPr>
              <w:t>36 800</w:t>
            </w:r>
            <w:r w:rsidRPr="003B1DAE" w:rsidR="003C46E0">
              <w:rPr>
                <w:color w:val="000000" w:themeColor="text1"/>
                <w:sz w:val="15"/>
                <w:szCs w:val="15"/>
              </w:rPr>
              <w:t xml:space="preserve"> XXIII</w:t>
            </w:r>
            <w:r w:rsidRPr="003B1DAE">
              <w:rPr>
                <w:color w:val="000000" w:themeColor="text1"/>
                <w:sz w:val="15"/>
                <w:szCs w:val="15"/>
              </w:rPr>
              <w:t>, nr. 41</w:t>
            </w:r>
          </w:p>
        </w:tc>
        <w:tc>
          <w:tcPr>
            <w:tcW w:w="1770" w:type="dxa"/>
          </w:tcPr>
          <w:p w:rsidRPr="003B1DAE" w:rsidR="00A25164" w:rsidP="003B14FA" w:rsidRDefault="00A25164" w14:paraId="5D1BC4A1" w14:textId="77777777">
            <w:pPr>
              <w:rPr>
                <w:rFonts w:cs="Calibri"/>
                <w:color w:val="000000" w:themeColor="text1"/>
                <w:sz w:val="15"/>
                <w:szCs w:val="15"/>
              </w:rPr>
            </w:pPr>
            <w:r w:rsidRPr="003B1DAE">
              <w:rPr>
                <w:sz w:val="15"/>
                <w:szCs w:val="15"/>
              </w:rPr>
              <w:t xml:space="preserve">Deel 1: </w:t>
            </w:r>
            <w:r w:rsidRPr="003B1DAE">
              <w:rPr>
                <w:rFonts w:cs="Calibri"/>
                <w:color w:val="000000" w:themeColor="text1"/>
                <w:sz w:val="15"/>
                <w:szCs w:val="15"/>
              </w:rPr>
              <w:t>In EU-verband inzetten voor aanpassing van de EU-verordening over vulgraden, zodat lidstaten meer flexibiliteit krijgen en aantoonbare alternatieven</w:t>
            </w:r>
            <w:r w:rsidRPr="003B1DAE">
              <w:rPr>
                <w:sz w:val="15"/>
                <w:szCs w:val="15"/>
              </w:rPr>
              <w:t xml:space="preserve"> </w:t>
            </w:r>
            <w:r w:rsidRPr="003B1DAE">
              <w:rPr>
                <w:rFonts w:cs="Calibri"/>
                <w:color w:val="000000" w:themeColor="text1"/>
                <w:sz w:val="15"/>
                <w:szCs w:val="15"/>
              </w:rPr>
              <w:t>voor leveringszekerheid kunnen meewegen;</w:t>
            </w:r>
          </w:p>
        </w:tc>
        <w:tc>
          <w:tcPr>
            <w:tcW w:w="1757" w:type="dxa"/>
          </w:tcPr>
          <w:p w:rsidRPr="003B1DAE" w:rsidR="00A25164" w:rsidP="003B14FA" w:rsidRDefault="00A25164" w14:paraId="0D53427D" w14:textId="1FFE38A7">
            <w:pPr>
              <w:rPr>
                <w:sz w:val="15"/>
                <w:szCs w:val="15"/>
              </w:rPr>
            </w:pPr>
            <w:r w:rsidRPr="003B1DAE">
              <w:rPr>
                <w:sz w:val="15"/>
                <w:szCs w:val="15"/>
              </w:rPr>
              <w:t>Dit deel van de motie is reeds afgedaan met de paper die het vorige kabinet, samen met Duitsland en Oostenrijk bij de EC heeft ingediend</w:t>
            </w:r>
            <w:r w:rsidRPr="003B1DAE">
              <w:rPr>
                <w:rStyle w:val="Voetnootmarkering"/>
                <w:sz w:val="15"/>
                <w:szCs w:val="15"/>
              </w:rPr>
              <w:footnoteReference w:id="103"/>
            </w:r>
            <w:r w:rsidRPr="003B1DAE">
              <w:rPr>
                <w:sz w:val="15"/>
                <w:szCs w:val="15"/>
              </w:rPr>
              <w:t xml:space="preserve">. Daarnaast zal het kabinet dit standpunt blijven uitdragen t.a.v. de herziening van de Verordening </w:t>
            </w:r>
            <w:r w:rsidRPr="003B1DAE" w:rsidR="00A477C6">
              <w:rPr>
                <w:sz w:val="15"/>
                <w:szCs w:val="15"/>
              </w:rPr>
              <w:t>gas</w:t>
            </w:r>
            <w:r w:rsidRPr="003B1DAE">
              <w:rPr>
                <w:sz w:val="15"/>
                <w:szCs w:val="15"/>
              </w:rPr>
              <w:t xml:space="preserve">leveringszekerheid. Zie </w:t>
            </w:r>
            <w:r w:rsidRPr="003B1DAE" w:rsidR="00750706">
              <w:rPr>
                <w:sz w:val="15"/>
                <w:szCs w:val="15"/>
              </w:rPr>
              <w:t xml:space="preserve">o.a. </w:t>
            </w:r>
            <w:r w:rsidRPr="003B1DAE">
              <w:rPr>
                <w:sz w:val="15"/>
                <w:szCs w:val="15"/>
              </w:rPr>
              <w:t>sectie C.2</w:t>
            </w:r>
            <w:r w:rsidRPr="003B1DAE" w:rsidR="00750706">
              <w:rPr>
                <w:sz w:val="15"/>
                <w:szCs w:val="15"/>
              </w:rPr>
              <w:t>.</w:t>
            </w:r>
          </w:p>
          <w:p w:rsidRPr="003B1DAE" w:rsidR="00A25164" w:rsidP="003B14FA" w:rsidRDefault="00A25164" w14:paraId="4E2A5B66" w14:textId="77777777">
            <w:pPr>
              <w:rPr>
                <w:sz w:val="15"/>
                <w:szCs w:val="15"/>
              </w:rPr>
            </w:pPr>
          </w:p>
          <w:p w:rsidRPr="003B1DAE" w:rsidR="00A25164" w:rsidP="003B14FA" w:rsidRDefault="00A25164" w14:paraId="4A01356A" w14:textId="77777777">
            <w:pPr>
              <w:rPr>
                <w:sz w:val="15"/>
                <w:szCs w:val="15"/>
                <w:highlight w:val="yellow"/>
              </w:rPr>
            </w:pPr>
          </w:p>
        </w:tc>
        <w:tc>
          <w:tcPr>
            <w:tcW w:w="2494" w:type="dxa"/>
          </w:tcPr>
          <w:p w:rsidRPr="003B1DAE" w:rsidR="00A25164" w:rsidP="003B14FA" w:rsidRDefault="00A25164" w14:paraId="2B6B09C9" w14:textId="77777777">
            <w:pPr>
              <w:rPr>
                <w:sz w:val="15"/>
                <w:szCs w:val="15"/>
              </w:rPr>
            </w:pPr>
            <w:r w:rsidRPr="003B1DAE">
              <w:rPr>
                <w:sz w:val="15"/>
                <w:szCs w:val="15"/>
              </w:rPr>
              <w:t>Duitsland en Oostenrijk delen het Nederlandse standpunt.</w:t>
            </w:r>
          </w:p>
          <w:p w:rsidRPr="003B1DAE" w:rsidR="00A25164" w:rsidP="003B14FA" w:rsidRDefault="00A25164" w14:paraId="44633B89" w14:textId="77777777">
            <w:pPr>
              <w:rPr>
                <w:sz w:val="15"/>
                <w:szCs w:val="15"/>
              </w:rPr>
            </w:pPr>
            <w:r w:rsidRPr="003B1DAE">
              <w:rPr>
                <w:sz w:val="15"/>
                <w:szCs w:val="15"/>
              </w:rPr>
              <w:t xml:space="preserve"> </w:t>
            </w:r>
          </w:p>
        </w:tc>
      </w:tr>
      <w:tr w:rsidRPr="003B1DAE" w:rsidR="00A25164" w:rsidTr="00D001CE" w14:paraId="5EE2780D" w14:textId="77777777">
        <w:trPr>
          <w:trHeight w:val="232"/>
        </w:trPr>
        <w:tc>
          <w:tcPr>
            <w:tcW w:w="1410" w:type="dxa"/>
            <w:vMerge/>
          </w:tcPr>
          <w:p w:rsidRPr="003B1DAE" w:rsidR="00A25164" w:rsidP="003B14FA" w:rsidRDefault="00A25164" w14:paraId="6508B7FF" w14:textId="77777777">
            <w:pPr>
              <w:rPr>
                <w:sz w:val="15"/>
                <w:szCs w:val="15"/>
              </w:rPr>
            </w:pPr>
          </w:p>
        </w:tc>
        <w:tc>
          <w:tcPr>
            <w:tcW w:w="1365" w:type="dxa"/>
            <w:vMerge/>
          </w:tcPr>
          <w:p w:rsidRPr="003B1DAE" w:rsidR="00A25164" w:rsidP="003B14FA" w:rsidRDefault="00A25164" w14:paraId="1A879A9D" w14:textId="77777777">
            <w:pPr>
              <w:rPr>
                <w:sz w:val="15"/>
                <w:szCs w:val="15"/>
              </w:rPr>
            </w:pPr>
          </w:p>
        </w:tc>
        <w:tc>
          <w:tcPr>
            <w:tcW w:w="1770" w:type="dxa"/>
          </w:tcPr>
          <w:p w:rsidRPr="003B1DAE" w:rsidR="00A25164" w:rsidP="003B14FA" w:rsidRDefault="00A25164" w14:paraId="5F433EDE" w14:textId="77777777">
            <w:pPr>
              <w:rPr>
                <w:sz w:val="15"/>
                <w:szCs w:val="15"/>
              </w:rPr>
            </w:pPr>
            <w:r w:rsidRPr="003B1DAE">
              <w:rPr>
                <w:sz w:val="15"/>
                <w:szCs w:val="15"/>
              </w:rPr>
              <w:t xml:space="preserve">Deel 2: </w:t>
            </w:r>
            <w:r w:rsidRPr="003B1DAE">
              <w:rPr>
                <w:rFonts w:eastAsia="Verdana" w:cs="Verdana"/>
                <w:sz w:val="15"/>
                <w:szCs w:val="15"/>
              </w:rPr>
              <w:t>Onderzoek doen naar een kussengasreserve en LNG-capaciteit als (gedeeltelijk) alternatief voor strikte vulgraadverplichtingen;</w:t>
            </w:r>
          </w:p>
        </w:tc>
        <w:tc>
          <w:tcPr>
            <w:tcW w:w="1757" w:type="dxa"/>
          </w:tcPr>
          <w:p w:rsidRPr="003B1DAE" w:rsidR="00A25164" w:rsidP="003B14FA" w:rsidRDefault="00A25164" w14:paraId="31CFAF94" w14:textId="2DF1DCD6">
            <w:pPr>
              <w:rPr>
                <w:sz w:val="15"/>
                <w:szCs w:val="15"/>
              </w:rPr>
            </w:pPr>
            <w:r w:rsidRPr="003B1DAE">
              <w:rPr>
                <w:rFonts w:eastAsia="Verdana" w:cs="Verdana"/>
                <w:sz w:val="15"/>
                <w:szCs w:val="15"/>
              </w:rPr>
              <w:t>In sectie D.3 zijn de resultaten van het eerste onderzoek naar een kussengasreserve toegelicht. In sectie C.2</w:t>
            </w:r>
            <w:r w:rsidRPr="003B1DAE" w:rsidR="006E025F">
              <w:rPr>
                <w:rFonts w:eastAsia="Verdana" w:cs="Verdana"/>
                <w:sz w:val="15"/>
                <w:szCs w:val="15"/>
              </w:rPr>
              <w:t>.</w:t>
            </w:r>
            <w:r w:rsidRPr="003B1DAE">
              <w:rPr>
                <w:rFonts w:eastAsia="Verdana" w:cs="Verdana"/>
                <w:sz w:val="15"/>
                <w:szCs w:val="15"/>
              </w:rPr>
              <w:t xml:space="preserve"> is verder ingegaan op het kabinetsstandpunt ten aanzien van strikte vulgraadverplichtingen. </w:t>
            </w:r>
          </w:p>
          <w:p w:rsidRPr="003B1DAE" w:rsidR="00A25164" w:rsidP="003B14FA" w:rsidRDefault="00A25164" w14:paraId="078F8DF2" w14:textId="77777777">
            <w:pPr>
              <w:rPr>
                <w:sz w:val="15"/>
                <w:szCs w:val="15"/>
              </w:rPr>
            </w:pPr>
          </w:p>
        </w:tc>
        <w:tc>
          <w:tcPr>
            <w:tcW w:w="2494" w:type="dxa"/>
          </w:tcPr>
          <w:p w:rsidRPr="003B1DAE" w:rsidR="00A25164" w:rsidP="003B14FA" w:rsidRDefault="00A25164" w14:paraId="294533D7" w14:textId="361F1C9D">
            <w:pPr>
              <w:rPr>
                <w:rFonts w:eastAsia="Verdana" w:cs="Verdana"/>
                <w:color w:val="000000" w:themeColor="text1"/>
                <w:sz w:val="15"/>
                <w:szCs w:val="15"/>
              </w:rPr>
            </w:pPr>
            <w:r w:rsidRPr="003B1DAE">
              <w:rPr>
                <w:rFonts w:eastAsia="Verdana" w:cs="Verdana"/>
                <w:color w:val="000000" w:themeColor="text1"/>
                <w:sz w:val="15"/>
                <w:szCs w:val="15"/>
              </w:rPr>
              <w:t xml:space="preserve">In verschillende </w:t>
            </w:r>
            <w:r w:rsidRPr="003B1DAE" w:rsidR="00850D68">
              <w:rPr>
                <w:rFonts w:eastAsia="Verdana" w:cs="Verdana"/>
                <w:color w:val="000000" w:themeColor="text1"/>
                <w:sz w:val="15"/>
                <w:szCs w:val="15"/>
              </w:rPr>
              <w:t xml:space="preserve">gremia </w:t>
            </w:r>
            <w:r w:rsidRPr="003B1DAE">
              <w:rPr>
                <w:rFonts w:eastAsia="Verdana" w:cs="Verdana"/>
                <w:color w:val="000000" w:themeColor="text1"/>
                <w:sz w:val="15"/>
                <w:szCs w:val="15"/>
              </w:rPr>
              <w:t xml:space="preserve">zijn </w:t>
            </w:r>
            <w:r w:rsidRPr="003B1DAE" w:rsidR="00FD67F2">
              <w:rPr>
                <w:rFonts w:eastAsia="Verdana" w:cs="Verdana"/>
                <w:color w:val="000000" w:themeColor="text1"/>
                <w:sz w:val="15"/>
                <w:szCs w:val="15"/>
              </w:rPr>
              <w:t xml:space="preserve">in Europees verband </w:t>
            </w:r>
            <w:r w:rsidRPr="003B1DAE">
              <w:rPr>
                <w:rFonts w:eastAsia="Verdana" w:cs="Verdana"/>
                <w:color w:val="000000" w:themeColor="text1"/>
                <w:sz w:val="15"/>
                <w:szCs w:val="15"/>
              </w:rPr>
              <w:t xml:space="preserve">ook gesprekken over het vormen van een strategische opslag (in kussengas) gevoerd maar dat </w:t>
            </w:r>
            <w:r w:rsidRPr="003B1DAE" w:rsidR="006B39F7">
              <w:rPr>
                <w:rFonts w:eastAsia="Verdana" w:cs="Verdana"/>
                <w:color w:val="000000" w:themeColor="text1"/>
                <w:sz w:val="15"/>
                <w:szCs w:val="15"/>
              </w:rPr>
              <w:t xml:space="preserve">heeft </w:t>
            </w:r>
            <w:r w:rsidRPr="003B1DAE">
              <w:rPr>
                <w:rFonts w:eastAsia="Verdana" w:cs="Verdana"/>
                <w:color w:val="000000" w:themeColor="text1"/>
                <w:sz w:val="15"/>
                <w:szCs w:val="15"/>
              </w:rPr>
              <w:t>(nog) niet geleid tot Europees gedragen standpunten voor het vormen van een verplichte strategische opslag op Europees niveau. Zie sectie D.1.</w:t>
            </w:r>
          </w:p>
        </w:tc>
      </w:tr>
      <w:tr w:rsidRPr="003B1DAE" w:rsidR="00A25164" w:rsidTr="00D001CE" w14:paraId="495D1412" w14:textId="77777777">
        <w:trPr>
          <w:trHeight w:val="232"/>
        </w:trPr>
        <w:tc>
          <w:tcPr>
            <w:tcW w:w="1410" w:type="dxa"/>
            <w:vMerge/>
          </w:tcPr>
          <w:p w:rsidRPr="003B1DAE" w:rsidR="00A25164" w:rsidP="003B14FA" w:rsidRDefault="00A25164" w14:paraId="3124665C" w14:textId="77777777">
            <w:pPr>
              <w:rPr>
                <w:sz w:val="15"/>
                <w:szCs w:val="15"/>
              </w:rPr>
            </w:pPr>
          </w:p>
        </w:tc>
        <w:tc>
          <w:tcPr>
            <w:tcW w:w="1365" w:type="dxa"/>
            <w:vMerge/>
          </w:tcPr>
          <w:p w:rsidRPr="003B1DAE" w:rsidR="00A25164" w:rsidP="003B14FA" w:rsidRDefault="00A25164" w14:paraId="5C77B6E1" w14:textId="77777777">
            <w:pPr>
              <w:rPr>
                <w:color w:val="000000" w:themeColor="text1"/>
                <w:sz w:val="15"/>
                <w:szCs w:val="15"/>
              </w:rPr>
            </w:pPr>
          </w:p>
        </w:tc>
        <w:tc>
          <w:tcPr>
            <w:tcW w:w="1770" w:type="dxa"/>
          </w:tcPr>
          <w:p w:rsidRPr="003B1DAE" w:rsidR="00A25164" w:rsidP="003B14FA" w:rsidRDefault="00A25164" w14:paraId="77AFBF4F" w14:textId="77777777">
            <w:pPr>
              <w:rPr>
                <w:rFonts w:eastAsia="Verdana" w:cs="Verdana"/>
                <w:sz w:val="15"/>
                <w:szCs w:val="15"/>
              </w:rPr>
            </w:pPr>
            <w:r w:rsidRPr="003B1DAE">
              <w:rPr>
                <w:sz w:val="15"/>
                <w:szCs w:val="15"/>
              </w:rPr>
              <w:t xml:space="preserve">Deel 3: </w:t>
            </w:r>
            <w:r w:rsidRPr="003B1DAE">
              <w:rPr>
                <w:rFonts w:eastAsia="Verdana" w:cs="Verdana"/>
                <w:sz w:val="15"/>
                <w:szCs w:val="15"/>
              </w:rPr>
              <w:t>verzoekt de regering de potentiële impact van een heffing op de energierekening in</w:t>
            </w:r>
            <w:r w:rsidRPr="003B1DAE">
              <w:rPr>
                <w:sz w:val="15"/>
                <w:szCs w:val="15"/>
              </w:rPr>
              <w:br/>
            </w:r>
            <w:r w:rsidRPr="003B1DAE">
              <w:rPr>
                <w:rFonts w:eastAsia="Verdana" w:cs="Verdana"/>
                <w:sz w:val="15"/>
                <w:szCs w:val="15"/>
              </w:rPr>
              <w:t>kaart te brengen en dit element mee te nemen in de uitwerking van de lagere regelgeving</w:t>
            </w:r>
            <w:r w:rsidRPr="003B1DAE">
              <w:rPr>
                <w:sz w:val="15"/>
                <w:szCs w:val="15"/>
              </w:rPr>
              <w:br/>
            </w:r>
            <w:r w:rsidRPr="003B1DAE">
              <w:rPr>
                <w:rFonts w:eastAsia="Verdana" w:cs="Verdana"/>
                <w:sz w:val="15"/>
                <w:szCs w:val="15"/>
              </w:rPr>
              <w:t>op grond van het voorstel voor de Wet bestrijden energieleveringscrisis.</w:t>
            </w:r>
          </w:p>
        </w:tc>
        <w:tc>
          <w:tcPr>
            <w:tcW w:w="1757" w:type="dxa"/>
          </w:tcPr>
          <w:p w:rsidRPr="003B1DAE" w:rsidR="00A25164" w:rsidP="003B14FA" w:rsidRDefault="00A25164" w14:paraId="2C4B3748" w14:textId="77777777">
            <w:pPr>
              <w:rPr>
                <w:sz w:val="15"/>
                <w:szCs w:val="15"/>
              </w:rPr>
            </w:pPr>
            <w:r w:rsidRPr="003B1DAE">
              <w:rPr>
                <w:rFonts w:eastAsia="Verdana" w:cs="Verdana"/>
                <w:sz w:val="15"/>
                <w:szCs w:val="15"/>
              </w:rPr>
              <w:t>Dit onderdeel van de motie zal in een ander stuk worden afgedaan.</w:t>
            </w:r>
          </w:p>
        </w:tc>
        <w:tc>
          <w:tcPr>
            <w:tcW w:w="2494" w:type="dxa"/>
          </w:tcPr>
          <w:p w:rsidRPr="003B1DAE" w:rsidR="00A25164" w:rsidP="003B14FA" w:rsidRDefault="00A25164" w14:paraId="5C94891D" w14:textId="77777777">
            <w:pPr>
              <w:rPr>
                <w:sz w:val="15"/>
                <w:szCs w:val="15"/>
              </w:rPr>
            </w:pPr>
            <w:r w:rsidRPr="003B1DAE">
              <w:rPr>
                <w:rFonts w:eastAsia="Verdana" w:cs="Verdana"/>
                <w:color w:val="000000" w:themeColor="text1"/>
                <w:sz w:val="15"/>
                <w:szCs w:val="15"/>
              </w:rPr>
              <w:t>n.v.t.</w:t>
            </w:r>
          </w:p>
        </w:tc>
      </w:tr>
      <w:tr w:rsidRPr="003B1DAE" w:rsidR="00A25164" w:rsidTr="00D001CE" w14:paraId="6EACDDC5" w14:textId="77777777">
        <w:trPr>
          <w:trHeight w:val="111"/>
        </w:trPr>
        <w:tc>
          <w:tcPr>
            <w:tcW w:w="1410" w:type="dxa"/>
          </w:tcPr>
          <w:p w:rsidRPr="003B1DAE" w:rsidR="00A25164" w:rsidP="003B14FA" w:rsidRDefault="00A25164" w14:paraId="12D7DE05" w14:textId="77777777">
            <w:pPr>
              <w:rPr>
                <w:sz w:val="15"/>
                <w:szCs w:val="15"/>
              </w:rPr>
            </w:pPr>
            <w:r w:rsidRPr="003B1DAE">
              <w:rPr>
                <w:sz w:val="15"/>
                <w:szCs w:val="15"/>
              </w:rPr>
              <w:t>Van den Berg (JA21) en Grinwis (CU)</w:t>
            </w:r>
          </w:p>
        </w:tc>
        <w:tc>
          <w:tcPr>
            <w:tcW w:w="1365" w:type="dxa"/>
          </w:tcPr>
          <w:p w:rsidRPr="003B1DAE" w:rsidR="00A25164" w:rsidP="003B14FA" w:rsidRDefault="00A25164" w14:paraId="7E6D135F" w14:textId="77777777">
            <w:pPr>
              <w:rPr>
                <w:rFonts w:eastAsia="Verdana" w:cs="Verdana"/>
                <w:sz w:val="15"/>
                <w:szCs w:val="15"/>
              </w:rPr>
            </w:pPr>
            <w:r w:rsidRPr="003B1DAE">
              <w:rPr>
                <w:rFonts w:eastAsia="Verdana" w:cs="Verdana"/>
                <w:sz w:val="15"/>
                <w:szCs w:val="15"/>
              </w:rPr>
              <w:t>29 023, nr. 706</w:t>
            </w:r>
          </w:p>
        </w:tc>
        <w:tc>
          <w:tcPr>
            <w:tcW w:w="1770" w:type="dxa"/>
          </w:tcPr>
          <w:p w:rsidRPr="003B1DAE" w:rsidR="00A25164" w:rsidP="003B14FA" w:rsidRDefault="00A25164" w14:paraId="398D0E23" w14:textId="77777777">
            <w:pPr>
              <w:rPr>
                <w:sz w:val="15"/>
                <w:szCs w:val="15"/>
              </w:rPr>
            </w:pPr>
            <w:r w:rsidRPr="003B1DAE">
              <w:rPr>
                <w:sz w:val="15"/>
                <w:szCs w:val="15"/>
              </w:rPr>
              <w:t>Bepalen hoe fysieke langetermijnimportcontracten kunnen bijdragen aan de Nederlandse gasleveringszekerheid</w:t>
            </w:r>
          </w:p>
          <w:p w:rsidRPr="003B1DAE" w:rsidR="00A25164" w:rsidP="003B14FA" w:rsidRDefault="00A25164" w14:paraId="73641A78" w14:textId="77777777">
            <w:pPr>
              <w:rPr>
                <w:sz w:val="15"/>
                <w:szCs w:val="15"/>
              </w:rPr>
            </w:pPr>
          </w:p>
        </w:tc>
        <w:tc>
          <w:tcPr>
            <w:tcW w:w="1757" w:type="dxa"/>
          </w:tcPr>
          <w:p w:rsidRPr="003B1DAE" w:rsidR="00A25164" w:rsidP="003B14FA" w:rsidRDefault="00A25164" w14:paraId="625871EA" w14:textId="77777777">
            <w:pPr>
              <w:rPr>
                <w:rFonts w:eastAsia="Verdana" w:cs="Verdana"/>
                <w:sz w:val="15"/>
                <w:szCs w:val="15"/>
              </w:rPr>
            </w:pPr>
            <w:r w:rsidRPr="003B1DAE">
              <w:rPr>
                <w:sz w:val="15"/>
                <w:szCs w:val="15"/>
              </w:rPr>
              <w:t xml:space="preserve">In onderdeel B.2. van deze brief is toegelicht hoe het kabinet aan deze motie uitvoering heeft gegeven. </w:t>
            </w:r>
          </w:p>
        </w:tc>
        <w:tc>
          <w:tcPr>
            <w:tcW w:w="2494" w:type="dxa"/>
          </w:tcPr>
          <w:p w:rsidRPr="003B1DAE" w:rsidR="00A25164" w:rsidP="003B14FA" w:rsidRDefault="00A25164" w14:paraId="761715D1" w14:textId="77777777">
            <w:pPr>
              <w:rPr>
                <w:sz w:val="15"/>
                <w:szCs w:val="15"/>
              </w:rPr>
            </w:pPr>
            <w:r w:rsidRPr="003B1DAE">
              <w:rPr>
                <w:sz w:val="15"/>
                <w:szCs w:val="15"/>
              </w:rPr>
              <w:t>n.v.t.</w:t>
            </w:r>
          </w:p>
        </w:tc>
      </w:tr>
      <w:tr w:rsidRPr="003B1DAE" w:rsidR="00A25164" w:rsidTr="00D001CE" w14:paraId="5B64659D" w14:textId="77777777">
        <w:trPr>
          <w:trHeight w:val="111"/>
        </w:trPr>
        <w:tc>
          <w:tcPr>
            <w:tcW w:w="1410" w:type="dxa"/>
          </w:tcPr>
          <w:p w:rsidRPr="003B1DAE" w:rsidR="00A25164" w:rsidP="003B14FA" w:rsidRDefault="00A25164" w14:paraId="78C4CFAA" w14:textId="77777777">
            <w:pPr>
              <w:rPr>
                <w:sz w:val="15"/>
                <w:szCs w:val="15"/>
                <w:lang w:val="de-DE"/>
              </w:rPr>
            </w:pPr>
            <w:r w:rsidRPr="003B1DAE">
              <w:rPr>
                <w:sz w:val="15"/>
                <w:szCs w:val="15"/>
                <w:lang w:val="de-DE"/>
              </w:rPr>
              <w:t>Van den Berg (JA21), Köse (D66) en Müller (VVD)</w:t>
            </w:r>
          </w:p>
        </w:tc>
        <w:tc>
          <w:tcPr>
            <w:tcW w:w="1365" w:type="dxa"/>
          </w:tcPr>
          <w:p w:rsidRPr="003B1DAE" w:rsidR="00A25164" w:rsidP="003B14FA" w:rsidRDefault="00A25164" w14:paraId="315FABC3" w14:textId="77777777">
            <w:pPr>
              <w:rPr>
                <w:color w:val="000000"/>
                <w:sz w:val="15"/>
                <w:szCs w:val="15"/>
              </w:rPr>
            </w:pPr>
            <w:r w:rsidRPr="003B1DAE">
              <w:rPr>
                <w:color w:val="000000" w:themeColor="text1"/>
                <w:sz w:val="15"/>
                <w:szCs w:val="15"/>
              </w:rPr>
              <w:t>29 023, nr. 708</w:t>
            </w:r>
          </w:p>
        </w:tc>
        <w:tc>
          <w:tcPr>
            <w:tcW w:w="1770" w:type="dxa"/>
          </w:tcPr>
          <w:p w:rsidRPr="003B1DAE" w:rsidR="00A25164" w:rsidP="003B14FA" w:rsidRDefault="00A25164" w14:paraId="3E4D2D2F" w14:textId="77777777">
            <w:pPr>
              <w:rPr>
                <w:sz w:val="15"/>
                <w:szCs w:val="15"/>
              </w:rPr>
            </w:pPr>
            <w:r w:rsidRPr="003B1DAE">
              <w:rPr>
                <w:sz w:val="15"/>
                <w:szCs w:val="15"/>
              </w:rPr>
              <w:t>Ondersteuning van initiatieven zoals de aansluiting van de A6-F3 leiding op Europipe I</w:t>
            </w:r>
          </w:p>
          <w:p w:rsidRPr="003B1DAE" w:rsidR="00A25164" w:rsidP="003B14FA" w:rsidRDefault="00A25164" w14:paraId="31CB39A5" w14:textId="77777777">
            <w:pPr>
              <w:rPr>
                <w:sz w:val="15"/>
                <w:szCs w:val="15"/>
              </w:rPr>
            </w:pPr>
          </w:p>
        </w:tc>
        <w:tc>
          <w:tcPr>
            <w:tcW w:w="1757" w:type="dxa"/>
          </w:tcPr>
          <w:p w:rsidRPr="003B1DAE" w:rsidR="00A25164" w:rsidP="003B14FA" w:rsidRDefault="00A25164" w14:paraId="5C6F330D" w14:textId="77777777">
            <w:pPr>
              <w:rPr>
                <w:rFonts w:eastAsia="Verdana" w:cs="Verdana"/>
                <w:sz w:val="15"/>
                <w:szCs w:val="15"/>
              </w:rPr>
            </w:pPr>
            <w:r w:rsidRPr="003B1DAE">
              <w:rPr>
                <w:sz w:val="15"/>
                <w:szCs w:val="15"/>
              </w:rPr>
              <w:t xml:space="preserve">In onderdeel B.1. van deze brief is toegelicht hoe het kabinet aan deze motie uitvoering heeft gegeven. </w:t>
            </w:r>
          </w:p>
        </w:tc>
        <w:tc>
          <w:tcPr>
            <w:tcW w:w="2494" w:type="dxa"/>
          </w:tcPr>
          <w:p w:rsidRPr="003B1DAE" w:rsidR="00A25164" w:rsidP="003B14FA" w:rsidRDefault="00A25164" w14:paraId="310657D5" w14:textId="77777777">
            <w:pPr>
              <w:rPr>
                <w:sz w:val="15"/>
                <w:szCs w:val="15"/>
              </w:rPr>
            </w:pPr>
            <w:r w:rsidRPr="003B1DAE">
              <w:rPr>
                <w:sz w:val="15"/>
                <w:szCs w:val="15"/>
              </w:rPr>
              <w:t>Het kabinet is in gesprek met de betrokken stakeholders, waaronder Duitsland.</w:t>
            </w:r>
          </w:p>
        </w:tc>
      </w:tr>
    </w:tbl>
    <w:p w:rsidRPr="003B1DAE" w:rsidR="00A25164" w:rsidP="003B14FA" w:rsidRDefault="00A25164" w14:paraId="184338F9" w14:textId="77777777">
      <w:pPr>
        <w:rPr>
          <w:b/>
          <w:bCs/>
          <w:szCs w:val="18"/>
        </w:rPr>
      </w:pPr>
    </w:p>
    <w:p w:rsidRPr="003B1DAE" w:rsidR="00A25164" w:rsidP="003B14FA" w:rsidRDefault="00A25164" w14:paraId="65ED6B4B" w14:textId="77777777">
      <w:pPr>
        <w:rPr>
          <w:b/>
          <w:bCs/>
          <w:szCs w:val="18"/>
        </w:rPr>
      </w:pPr>
      <w:r w:rsidRPr="003B1DAE">
        <w:rPr>
          <w:b/>
          <w:bCs/>
          <w:szCs w:val="18"/>
        </w:rPr>
        <w:t>Toezeggingen</w:t>
      </w:r>
    </w:p>
    <w:p w:rsidRPr="003B1DAE" w:rsidR="00A25164" w:rsidP="003B14FA" w:rsidRDefault="00A25164" w14:paraId="6039F6FC" w14:textId="77777777">
      <w:pPr>
        <w:rPr>
          <w:b/>
          <w:bCs/>
          <w:szCs w:val="18"/>
        </w:rPr>
      </w:pPr>
    </w:p>
    <w:tbl>
      <w:tblPr>
        <w:tblStyle w:val="Tabelraster"/>
        <w:tblW w:w="8642" w:type="dxa"/>
        <w:tblLayout w:type="fixed"/>
        <w:tblLook w:val="04A0" w:firstRow="1" w:lastRow="0" w:firstColumn="1" w:lastColumn="0" w:noHBand="0" w:noVBand="1"/>
      </w:tblPr>
      <w:tblGrid>
        <w:gridCol w:w="1271"/>
        <w:gridCol w:w="1515"/>
        <w:gridCol w:w="3119"/>
        <w:gridCol w:w="2721"/>
        <w:gridCol w:w="16"/>
      </w:tblGrid>
      <w:tr w:rsidRPr="003B1DAE" w:rsidR="00A25164" w:rsidTr="00D001CE" w14:paraId="417C1240" w14:textId="77777777">
        <w:trPr>
          <w:trHeight w:val="284"/>
        </w:trPr>
        <w:tc>
          <w:tcPr>
            <w:tcW w:w="1271" w:type="dxa"/>
          </w:tcPr>
          <w:p w:rsidRPr="003B1DAE" w:rsidR="00A25164" w:rsidP="003B14FA" w:rsidRDefault="00A25164" w14:paraId="2AC4FA1D" w14:textId="77777777">
            <w:pPr>
              <w:rPr>
                <w:b/>
                <w:sz w:val="15"/>
                <w:szCs w:val="15"/>
              </w:rPr>
            </w:pPr>
            <w:r w:rsidRPr="003B1DAE">
              <w:rPr>
                <w:b/>
                <w:sz w:val="15"/>
                <w:szCs w:val="15"/>
              </w:rPr>
              <w:t>Indiener(s)</w:t>
            </w:r>
          </w:p>
        </w:tc>
        <w:tc>
          <w:tcPr>
            <w:tcW w:w="1515" w:type="dxa"/>
          </w:tcPr>
          <w:p w:rsidRPr="003B1DAE" w:rsidR="00A25164" w:rsidP="003B14FA" w:rsidRDefault="00A25164" w14:paraId="61BBF8D5" w14:textId="77777777">
            <w:pPr>
              <w:rPr>
                <w:b/>
                <w:sz w:val="15"/>
                <w:szCs w:val="15"/>
              </w:rPr>
            </w:pPr>
            <w:r w:rsidRPr="003B1DAE">
              <w:rPr>
                <w:b/>
                <w:sz w:val="15"/>
                <w:szCs w:val="15"/>
              </w:rPr>
              <w:t>Debat (Toezegging nummer)</w:t>
            </w:r>
          </w:p>
        </w:tc>
        <w:tc>
          <w:tcPr>
            <w:tcW w:w="3119" w:type="dxa"/>
          </w:tcPr>
          <w:p w:rsidRPr="003B1DAE" w:rsidR="00A25164" w:rsidP="003B14FA" w:rsidRDefault="00A25164" w14:paraId="0345FC78" w14:textId="77777777">
            <w:pPr>
              <w:rPr>
                <w:b/>
                <w:sz w:val="15"/>
                <w:szCs w:val="15"/>
              </w:rPr>
            </w:pPr>
            <w:r w:rsidRPr="003B1DAE">
              <w:rPr>
                <w:b/>
                <w:sz w:val="15"/>
                <w:szCs w:val="15"/>
              </w:rPr>
              <w:t>Kern toezegging</w:t>
            </w:r>
          </w:p>
        </w:tc>
        <w:tc>
          <w:tcPr>
            <w:tcW w:w="2737" w:type="dxa"/>
            <w:gridSpan w:val="2"/>
          </w:tcPr>
          <w:p w:rsidRPr="003B1DAE" w:rsidR="00A25164" w:rsidP="003B14FA" w:rsidRDefault="00A25164" w14:paraId="2EF32917" w14:textId="77777777">
            <w:pPr>
              <w:rPr>
                <w:b/>
                <w:sz w:val="15"/>
                <w:szCs w:val="15"/>
              </w:rPr>
            </w:pPr>
            <w:r w:rsidRPr="003B1DAE">
              <w:rPr>
                <w:b/>
                <w:sz w:val="15"/>
                <w:szCs w:val="15"/>
              </w:rPr>
              <w:t>Status</w:t>
            </w:r>
          </w:p>
        </w:tc>
      </w:tr>
      <w:tr w:rsidRPr="003B1DAE" w:rsidR="00A25164" w:rsidTr="00D001CE" w14:paraId="2211927D" w14:textId="77777777">
        <w:trPr>
          <w:trHeight w:val="284"/>
        </w:trPr>
        <w:tc>
          <w:tcPr>
            <w:tcW w:w="1271" w:type="dxa"/>
          </w:tcPr>
          <w:p w:rsidRPr="003B1DAE" w:rsidR="00A25164" w:rsidP="003B14FA" w:rsidRDefault="00A25164" w14:paraId="4FD50940" w14:textId="77777777">
            <w:pPr>
              <w:rPr>
                <w:sz w:val="15"/>
                <w:szCs w:val="15"/>
              </w:rPr>
            </w:pPr>
            <w:r w:rsidRPr="003B1DAE">
              <w:rPr>
                <w:sz w:val="15"/>
                <w:szCs w:val="15"/>
              </w:rPr>
              <w:t>Bontenbal (CDA)</w:t>
            </w:r>
          </w:p>
        </w:tc>
        <w:tc>
          <w:tcPr>
            <w:tcW w:w="1515" w:type="dxa"/>
          </w:tcPr>
          <w:p w:rsidRPr="003B1DAE" w:rsidR="00A25164" w:rsidP="003B14FA" w:rsidRDefault="00A25164" w14:paraId="3AD0BA96" w14:textId="77777777">
            <w:pPr>
              <w:rPr>
                <w:sz w:val="15"/>
                <w:szCs w:val="15"/>
              </w:rPr>
            </w:pPr>
            <w:r w:rsidRPr="003B1DAE">
              <w:rPr>
                <w:sz w:val="15"/>
                <w:szCs w:val="15"/>
              </w:rPr>
              <w:t>PD Economische gevolgen van de oorlog in het Midden-Oosten voor Nederland (n.v.t.)</w:t>
            </w:r>
          </w:p>
        </w:tc>
        <w:tc>
          <w:tcPr>
            <w:tcW w:w="3119" w:type="dxa"/>
          </w:tcPr>
          <w:p w:rsidRPr="003B1DAE" w:rsidR="00A25164" w:rsidP="003B14FA" w:rsidRDefault="00A25164" w14:paraId="7492DA44" w14:textId="77777777">
            <w:pPr>
              <w:rPr>
                <w:rFonts w:cs="Calibri"/>
                <w:color w:val="000000"/>
                <w:sz w:val="15"/>
                <w:szCs w:val="15"/>
              </w:rPr>
            </w:pPr>
            <w:r w:rsidRPr="003B1DAE">
              <w:rPr>
                <w:rFonts w:cs="Calibri"/>
                <w:color w:val="000000" w:themeColor="text1"/>
                <w:sz w:val="15"/>
                <w:szCs w:val="15"/>
              </w:rPr>
              <w:t>De vraag beantwoorden of het verstandig is om commerciële bergingen in publiek bezit te brengen, wegens zorgen om leveringszekerheid.</w:t>
            </w:r>
          </w:p>
          <w:p w:rsidRPr="003B1DAE" w:rsidR="00A25164" w:rsidP="003B14FA" w:rsidRDefault="00A25164" w14:paraId="40CC515F" w14:textId="77777777">
            <w:pPr>
              <w:rPr>
                <w:b/>
                <w:sz w:val="15"/>
                <w:szCs w:val="15"/>
              </w:rPr>
            </w:pPr>
          </w:p>
        </w:tc>
        <w:tc>
          <w:tcPr>
            <w:tcW w:w="2737" w:type="dxa"/>
            <w:gridSpan w:val="2"/>
          </w:tcPr>
          <w:p w:rsidRPr="003B1DAE" w:rsidR="00A25164" w:rsidP="003B14FA" w:rsidRDefault="00A25164" w14:paraId="795A8E49" w14:textId="77777777">
            <w:pPr>
              <w:rPr>
                <w:sz w:val="15"/>
                <w:szCs w:val="15"/>
              </w:rPr>
            </w:pPr>
            <w:r w:rsidRPr="003B1DAE">
              <w:rPr>
                <w:sz w:val="15"/>
                <w:szCs w:val="15"/>
              </w:rPr>
              <w:t>Deze vraag is beantwoord in onderdeel C.1.</w:t>
            </w:r>
          </w:p>
        </w:tc>
      </w:tr>
      <w:tr w:rsidRPr="003B1DAE" w:rsidR="00A25164" w:rsidTr="00D001CE" w14:paraId="22D65890" w14:textId="77777777">
        <w:trPr>
          <w:gridAfter w:val="1"/>
          <w:wAfter w:w="16" w:type="dxa"/>
          <w:trHeight w:val="284"/>
        </w:trPr>
        <w:tc>
          <w:tcPr>
            <w:tcW w:w="1271" w:type="dxa"/>
          </w:tcPr>
          <w:p w:rsidRPr="003B1DAE" w:rsidR="00A25164" w:rsidP="003B14FA" w:rsidRDefault="00A25164" w14:paraId="172D8494" w14:textId="77777777">
            <w:pPr>
              <w:rPr>
                <w:sz w:val="15"/>
                <w:szCs w:val="15"/>
              </w:rPr>
            </w:pPr>
          </w:p>
        </w:tc>
        <w:tc>
          <w:tcPr>
            <w:tcW w:w="1515" w:type="dxa"/>
          </w:tcPr>
          <w:p w:rsidRPr="003B1DAE" w:rsidR="00A25164" w:rsidP="003B14FA" w:rsidRDefault="00A25164" w14:paraId="4843D9F6" w14:textId="77777777">
            <w:pPr>
              <w:rPr>
                <w:b/>
                <w:sz w:val="15"/>
                <w:szCs w:val="15"/>
              </w:rPr>
            </w:pPr>
            <w:r w:rsidRPr="003B1DAE">
              <w:rPr>
                <w:rFonts w:cs="Calibri"/>
                <w:color w:val="000000" w:themeColor="text1"/>
                <w:sz w:val="15"/>
                <w:szCs w:val="15"/>
              </w:rPr>
              <w:t>CD Gasmarkt en leveringszekerheid (TZ202601-026)</w:t>
            </w:r>
          </w:p>
        </w:tc>
        <w:tc>
          <w:tcPr>
            <w:tcW w:w="3119" w:type="dxa"/>
          </w:tcPr>
          <w:p w:rsidRPr="003B1DAE" w:rsidR="00A25164" w:rsidP="003B14FA" w:rsidRDefault="00A25164" w14:paraId="6E0D950C" w14:textId="6FF38CFE">
            <w:pPr>
              <w:rPr>
                <w:rFonts w:cs="Calibri"/>
                <w:color w:val="000000"/>
                <w:sz w:val="15"/>
                <w:szCs w:val="15"/>
              </w:rPr>
            </w:pPr>
            <w:r w:rsidRPr="003B1DAE">
              <w:rPr>
                <w:rFonts w:cs="Calibri"/>
                <w:color w:val="000000"/>
                <w:sz w:val="15"/>
                <w:szCs w:val="15"/>
              </w:rPr>
              <w:t>Voor de zomer stuurt de minister naar aanleiding van de motie</w:t>
            </w:r>
            <w:r w:rsidR="003B14FA">
              <w:rPr>
                <w:rFonts w:cs="Calibri"/>
                <w:color w:val="000000"/>
                <w:sz w:val="15"/>
                <w:szCs w:val="15"/>
              </w:rPr>
              <w:t>-</w:t>
            </w:r>
            <w:r w:rsidRPr="003B1DAE">
              <w:rPr>
                <w:rFonts w:cs="Calibri"/>
                <w:color w:val="000000"/>
                <w:sz w:val="15"/>
                <w:szCs w:val="15"/>
              </w:rPr>
              <w:t>Grinwis c.s. (Kamerstuk 29023-574) een brief over het strategische beleidskader voor gas, waarin zij ingaat op strategische kussengasreserves en de mogelijkheden voor nationaal gebruik van de nationale noodvoorraad in tijden van crisis.</w:t>
            </w:r>
          </w:p>
          <w:p w:rsidRPr="003B1DAE" w:rsidR="00A25164" w:rsidP="003B14FA" w:rsidRDefault="00A25164" w14:paraId="1A1BCFAB" w14:textId="77777777">
            <w:pPr>
              <w:rPr>
                <w:rFonts w:cs="Calibri"/>
                <w:color w:val="000000"/>
                <w:sz w:val="15"/>
                <w:szCs w:val="15"/>
              </w:rPr>
            </w:pPr>
          </w:p>
        </w:tc>
        <w:tc>
          <w:tcPr>
            <w:tcW w:w="2721" w:type="dxa"/>
          </w:tcPr>
          <w:p w:rsidRPr="003B1DAE" w:rsidR="00A25164" w:rsidP="003B14FA" w:rsidRDefault="00A25164" w14:paraId="37FA9296" w14:textId="77777777">
            <w:pPr>
              <w:rPr>
                <w:sz w:val="15"/>
                <w:szCs w:val="15"/>
              </w:rPr>
            </w:pPr>
            <w:r w:rsidRPr="003B1DAE">
              <w:rPr>
                <w:sz w:val="15"/>
                <w:szCs w:val="15"/>
              </w:rPr>
              <w:t>Uitgevoerd door middel van verzending van deze kamerbrief.</w:t>
            </w:r>
          </w:p>
        </w:tc>
      </w:tr>
      <w:tr w:rsidRPr="003B1DAE" w:rsidR="00A25164" w:rsidTr="00D001CE" w14:paraId="771B95E6" w14:textId="77777777">
        <w:trPr>
          <w:gridAfter w:val="1"/>
          <w:wAfter w:w="16" w:type="dxa"/>
          <w:trHeight w:val="284"/>
        </w:trPr>
        <w:tc>
          <w:tcPr>
            <w:tcW w:w="1271" w:type="dxa"/>
          </w:tcPr>
          <w:p w:rsidRPr="003B1DAE" w:rsidR="00A25164" w:rsidP="003B14FA" w:rsidRDefault="00A25164" w14:paraId="14105E83" w14:textId="77777777">
            <w:pPr>
              <w:rPr>
                <w:sz w:val="15"/>
                <w:szCs w:val="15"/>
              </w:rPr>
            </w:pPr>
            <w:r w:rsidRPr="003B1DAE">
              <w:rPr>
                <w:sz w:val="15"/>
                <w:szCs w:val="15"/>
              </w:rPr>
              <w:t>Jumelet (CDA)</w:t>
            </w:r>
          </w:p>
        </w:tc>
        <w:tc>
          <w:tcPr>
            <w:tcW w:w="1515" w:type="dxa"/>
          </w:tcPr>
          <w:p w:rsidRPr="003B1DAE" w:rsidR="00A25164" w:rsidP="003B14FA" w:rsidRDefault="00A25164" w14:paraId="53068508" w14:textId="77777777">
            <w:pPr>
              <w:rPr>
                <w:rFonts w:cs="Calibri"/>
                <w:color w:val="000000"/>
                <w:sz w:val="15"/>
                <w:szCs w:val="15"/>
              </w:rPr>
            </w:pPr>
            <w:r w:rsidRPr="003B1DAE">
              <w:rPr>
                <w:rFonts w:cs="Calibri"/>
                <w:color w:val="000000" w:themeColor="text1"/>
                <w:sz w:val="15"/>
                <w:szCs w:val="15"/>
              </w:rPr>
              <w:t>TMD Gasmarkt en leveringszekerheid (n.v.t.)</w:t>
            </w:r>
          </w:p>
        </w:tc>
        <w:tc>
          <w:tcPr>
            <w:tcW w:w="3119" w:type="dxa"/>
          </w:tcPr>
          <w:p w:rsidRPr="003B1DAE" w:rsidR="00A25164" w:rsidP="003B14FA" w:rsidRDefault="00A25164" w14:paraId="3C2A5BA6" w14:textId="77777777">
            <w:pPr>
              <w:rPr>
                <w:rFonts w:cs="Calibri"/>
                <w:color w:val="000000"/>
                <w:sz w:val="15"/>
                <w:szCs w:val="15"/>
              </w:rPr>
            </w:pPr>
            <w:r w:rsidRPr="003B1DAE">
              <w:rPr>
                <w:rFonts w:cs="Calibri"/>
                <w:color w:val="000000" w:themeColor="text1"/>
                <w:sz w:val="15"/>
                <w:szCs w:val="15"/>
              </w:rPr>
              <w:t>Onderdeel van het strategisch gasbeleid wordt een onderzoek wat de definitieve omvang van de noodvoorraad moet zijn.</w:t>
            </w:r>
          </w:p>
        </w:tc>
        <w:tc>
          <w:tcPr>
            <w:tcW w:w="2721" w:type="dxa"/>
          </w:tcPr>
          <w:p w:rsidRPr="003B1DAE" w:rsidR="00A25164" w:rsidP="003B14FA" w:rsidRDefault="00A25164" w14:paraId="400ABDAE" w14:textId="1569FC7B">
            <w:pPr>
              <w:rPr>
                <w:sz w:val="15"/>
                <w:szCs w:val="15"/>
              </w:rPr>
            </w:pPr>
            <w:r w:rsidRPr="003B1DAE">
              <w:rPr>
                <w:sz w:val="15"/>
                <w:szCs w:val="15"/>
              </w:rPr>
              <w:t xml:space="preserve">In onderdeel D.2 zijn een aantal opties voor de omvang van strategische opslag uitgewerkt en staat toegelicht dat de omvang jaarlijks bepaald kan worden door de </w:t>
            </w:r>
            <w:r w:rsidR="003B14FA">
              <w:rPr>
                <w:sz w:val="15"/>
                <w:szCs w:val="15"/>
              </w:rPr>
              <w:t>m</w:t>
            </w:r>
            <w:r w:rsidRPr="003B1DAE">
              <w:rPr>
                <w:sz w:val="15"/>
                <w:szCs w:val="15"/>
              </w:rPr>
              <w:t>inister, zoals vastgelegd in de WBE.</w:t>
            </w:r>
          </w:p>
        </w:tc>
      </w:tr>
    </w:tbl>
    <w:p w:rsidRPr="003B1DAE" w:rsidR="00A25164" w:rsidP="003B14FA" w:rsidRDefault="00A25164" w14:paraId="6A1A3B71" w14:textId="393D4623">
      <w:pPr>
        <w:rPr>
          <w:b/>
          <w:szCs w:val="18"/>
          <w:lang w:val="de-DE"/>
        </w:rPr>
      </w:pPr>
      <w:r w:rsidRPr="003B1DAE">
        <w:rPr>
          <w:b/>
          <w:szCs w:val="18"/>
          <w:lang w:val="de-DE"/>
        </w:rPr>
        <w:br w:type="page"/>
        <w:t xml:space="preserve">Bijlage 4: strategische reserves in andere EU lidstaten </w:t>
      </w:r>
    </w:p>
    <w:p w:rsidRPr="003B1DAE" w:rsidR="00BA5ACB" w:rsidP="003B14FA" w:rsidRDefault="00BA5ACB" w14:paraId="2D39F1CA" w14:textId="77777777">
      <w:pPr>
        <w:rPr>
          <w:b/>
          <w:szCs w:val="18"/>
          <w:lang w:val="de-DE"/>
        </w:rPr>
      </w:pPr>
    </w:p>
    <w:p w:rsidRPr="003B1DAE" w:rsidR="00A25164" w:rsidP="003B14FA" w:rsidRDefault="00A25164" w14:paraId="0B674F45" w14:textId="629E5EAC">
      <w:pPr>
        <w:rPr>
          <w:b/>
          <w:szCs w:val="18"/>
          <w:lang w:val="de-DE"/>
        </w:rPr>
      </w:pPr>
    </w:p>
    <w:tbl>
      <w:tblPr>
        <w:tblStyle w:val="Tabelraster"/>
        <w:tblW w:w="8983" w:type="dxa"/>
        <w:tblLayout w:type="fixed"/>
        <w:tblLook w:val="04A0" w:firstRow="1" w:lastRow="0" w:firstColumn="1" w:lastColumn="0" w:noHBand="0" w:noVBand="1"/>
      </w:tblPr>
      <w:tblGrid>
        <w:gridCol w:w="1336"/>
        <w:gridCol w:w="2166"/>
        <w:gridCol w:w="2484"/>
        <w:gridCol w:w="1832"/>
        <w:gridCol w:w="1165"/>
      </w:tblGrid>
      <w:tr w:rsidRPr="00606ACC" w:rsidR="00A25164" w:rsidTr="00D001CE" w14:paraId="6111CD92" w14:textId="77777777">
        <w:trPr>
          <w:trHeight w:val="481"/>
        </w:trPr>
        <w:tc>
          <w:tcPr>
            <w:tcW w:w="1336" w:type="dxa"/>
            <w:hideMark/>
          </w:tcPr>
          <w:p w:rsidRPr="00606ACC" w:rsidR="00A25164" w:rsidP="003B14FA" w:rsidRDefault="00A25164" w14:paraId="1558CF27" w14:textId="77777777">
            <w:pPr>
              <w:tabs>
                <w:tab w:val="left" w:pos="840"/>
              </w:tabs>
              <w:rPr>
                <w:b/>
                <w:bCs/>
                <w:sz w:val="16"/>
                <w:szCs w:val="16"/>
              </w:rPr>
            </w:pPr>
            <w:r w:rsidRPr="00606ACC">
              <w:rPr>
                <w:b/>
                <w:bCs/>
                <w:sz w:val="16"/>
                <w:szCs w:val="16"/>
              </w:rPr>
              <w:t>Lidstaat</w:t>
            </w:r>
          </w:p>
        </w:tc>
        <w:tc>
          <w:tcPr>
            <w:tcW w:w="2166" w:type="dxa"/>
            <w:hideMark/>
          </w:tcPr>
          <w:p w:rsidRPr="00606ACC" w:rsidR="00A25164" w:rsidP="003B14FA" w:rsidRDefault="00A25164" w14:paraId="0B0FD0C8" w14:textId="77777777">
            <w:pPr>
              <w:tabs>
                <w:tab w:val="left" w:pos="840"/>
              </w:tabs>
              <w:rPr>
                <w:b/>
                <w:bCs/>
                <w:sz w:val="16"/>
                <w:szCs w:val="16"/>
              </w:rPr>
            </w:pPr>
            <w:r w:rsidRPr="00606ACC">
              <w:rPr>
                <w:b/>
                <w:bCs/>
                <w:sz w:val="16"/>
                <w:szCs w:val="16"/>
              </w:rPr>
              <w:t>Wie houdt de strategische opslag aan</w:t>
            </w:r>
          </w:p>
        </w:tc>
        <w:tc>
          <w:tcPr>
            <w:tcW w:w="2484" w:type="dxa"/>
            <w:hideMark/>
          </w:tcPr>
          <w:p w:rsidRPr="00606ACC" w:rsidR="00A25164" w:rsidP="003B14FA" w:rsidRDefault="00A25164" w14:paraId="78C93250" w14:textId="77777777">
            <w:pPr>
              <w:tabs>
                <w:tab w:val="left" w:pos="840"/>
              </w:tabs>
              <w:rPr>
                <w:b/>
                <w:bCs/>
                <w:sz w:val="16"/>
                <w:szCs w:val="16"/>
              </w:rPr>
            </w:pPr>
            <w:r w:rsidRPr="00606ACC">
              <w:rPr>
                <w:b/>
                <w:bCs/>
                <w:sz w:val="16"/>
                <w:szCs w:val="16"/>
              </w:rPr>
              <w:t>Grootte strategische opslag</w:t>
            </w:r>
          </w:p>
        </w:tc>
        <w:tc>
          <w:tcPr>
            <w:tcW w:w="1832" w:type="dxa"/>
            <w:hideMark/>
          </w:tcPr>
          <w:p w:rsidRPr="00606ACC" w:rsidR="00A25164" w:rsidP="003B14FA" w:rsidRDefault="00A25164" w14:paraId="599C26F7" w14:textId="77777777">
            <w:pPr>
              <w:tabs>
                <w:tab w:val="left" w:pos="840"/>
              </w:tabs>
              <w:rPr>
                <w:b/>
                <w:bCs/>
                <w:sz w:val="16"/>
                <w:szCs w:val="16"/>
              </w:rPr>
            </w:pPr>
            <w:r w:rsidRPr="00606ACC">
              <w:rPr>
                <w:b/>
                <w:bCs/>
                <w:sz w:val="16"/>
                <w:szCs w:val="16"/>
              </w:rPr>
              <w:t>Doorberekening kosten</w:t>
            </w:r>
          </w:p>
        </w:tc>
        <w:tc>
          <w:tcPr>
            <w:tcW w:w="1165" w:type="dxa"/>
          </w:tcPr>
          <w:p w:rsidRPr="00606ACC" w:rsidR="00A25164" w:rsidDel="00CC31C2" w:rsidP="003B14FA" w:rsidRDefault="00A25164" w14:paraId="568FADF7" w14:textId="065C0E45">
            <w:pPr>
              <w:tabs>
                <w:tab w:val="left" w:pos="840"/>
              </w:tabs>
              <w:rPr>
                <w:b/>
                <w:bCs/>
                <w:sz w:val="16"/>
                <w:szCs w:val="16"/>
              </w:rPr>
            </w:pPr>
            <w:r w:rsidRPr="00606ACC">
              <w:rPr>
                <w:b/>
                <w:bCs/>
                <w:sz w:val="16"/>
                <w:szCs w:val="16"/>
              </w:rPr>
              <w:t>Jaarlijkse gasvraag</w:t>
            </w:r>
            <w:r w:rsidRPr="00606ACC" w:rsidR="00145C97">
              <w:rPr>
                <w:b/>
                <w:bCs/>
                <w:sz w:val="16"/>
                <w:szCs w:val="16"/>
              </w:rPr>
              <w:t xml:space="preserve"> (2025)</w:t>
            </w:r>
            <w:r w:rsidRPr="00606ACC">
              <w:rPr>
                <w:rStyle w:val="Voetnootmarkering"/>
                <w:b/>
                <w:bCs/>
                <w:sz w:val="16"/>
                <w:szCs w:val="16"/>
              </w:rPr>
              <w:footnoteReference w:id="104"/>
            </w:r>
          </w:p>
        </w:tc>
      </w:tr>
      <w:tr w:rsidRPr="00606ACC" w:rsidR="00A25164" w:rsidTr="00D001CE" w14:paraId="1511E85C" w14:textId="77777777">
        <w:trPr>
          <w:trHeight w:val="729"/>
        </w:trPr>
        <w:tc>
          <w:tcPr>
            <w:tcW w:w="1336" w:type="dxa"/>
          </w:tcPr>
          <w:p w:rsidRPr="00606ACC" w:rsidR="00A25164" w:rsidP="003B14FA" w:rsidRDefault="00A25164" w14:paraId="03084903" w14:textId="77777777">
            <w:pPr>
              <w:tabs>
                <w:tab w:val="left" w:pos="840"/>
              </w:tabs>
              <w:rPr>
                <w:sz w:val="16"/>
                <w:szCs w:val="16"/>
              </w:rPr>
            </w:pPr>
            <w:r w:rsidRPr="00606ACC">
              <w:rPr>
                <w:sz w:val="16"/>
                <w:szCs w:val="16"/>
              </w:rPr>
              <w:t>Denemarken</w:t>
            </w:r>
            <w:r w:rsidRPr="00606ACC">
              <w:rPr>
                <w:rStyle w:val="Voetnootmarkering"/>
                <w:sz w:val="16"/>
                <w:szCs w:val="16"/>
              </w:rPr>
              <w:footnoteReference w:id="105"/>
            </w:r>
          </w:p>
        </w:tc>
        <w:tc>
          <w:tcPr>
            <w:tcW w:w="2166" w:type="dxa"/>
          </w:tcPr>
          <w:p w:rsidRPr="00606ACC" w:rsidR="00A25164" w:rsidP="003B14FA" w:rsidRDefault="00A25164" w14:paraId="6FE5ABF0" w14:textId="77777777">
            <w:pPr>
              <w:tabs>
                <w:tab w:val="left" w:pos="840"/>
              </w:tabs>
              <w:rPr>
                <w:sz w:val="16"/>
                <w:szCs w:val="16"/>
              </w:rPr>
            </w:pPr>
            <w:r w:rsidRPr="00606ACC">
              <w:rPr>
                <w:sz w:val="16"/>
                <w:szCs w:val="16"/>
              </w:rPr>
              <w:t>Energinet (transmissiesysteem-beheerder)</w:t>
            </w:r>
          </w:p>
        </w:tc>
        <w:tc>
          <w:tcPr>
            <w:tcW w:w="2484" w:type="dxa"/>
          </w:tcPr>
          <w:p w:rsidRPr="00606ACC" w:rsidR="00A25164" w:rsidP="003B14FA" w:rsidRDefault="00A25164" w14:paraId="59020AB4" w14:textId="77777777">
            <w:pPr>
              <w:tabs>
                <w:tab w:val="left" w:pos="840"/>
              </w:tabs>
              <w:rPr>
                <w:sz w:val="16"/>
                <w:szCs w:val="16"/>
              </w:rPr>
            </w:pPr>
            <w:r w:rsidRPr="00606ACC">
              <w:rPr>
                <w:sz w:val="16"/>
                <w:szCs w:val="16"/>
              </w:rPr>
              <w:t>Momenteel 1,7 TWh</w:t>
            </w:r>
          </w:p>
        </w:tc>
        <w:tc>
          <w:tcPr>
            <w:tcW w:w="1832" w:type="dxa"/>
          </w:tcPr>
          <w:p w:rsidRPr="00606ACC" w:rsidR="00A25164" w:rsidP="003B14FA" w:rsidRDefault="00A25164" w14:paraId="3E61772E" w14:textId="77777777">
            <w:pPr>
              <w:tabs>
                <w:tab w:val="left" w:pos="840"/>
              </w:tabs>
              <w:rPr>
                <w:sz w:val="16"/>
                <w:szCs w:val="16"/>
              </w:rPr>
            </w:pPr>
            <w:r w:rsidRPr="00606ACC">
              <w:rPr>
                <w:sz w:val="16"/>
                <w:szCs w:val="16"/>
              </w:rPr>
              <w:t>Tarieven van de transmissie-systeembeheerder</w:t>
            </w:r>
          </w:p>
        </w:tc>
        <w:tc>
          <w:tcPr>
            <w:tcW w:w="1165" w:type="dxa"/>
          </w:tcPr>
          <w:p w:rsidRPr="00606ACC" w:rsidR="00A25164" w:rsidP="003B14FA" w:rsidRDefault="00BB6B2F" w14:paraId="3C25E6BE" w14:textId="62998408">
            <w:pPr>
              <w:tabs>
                <w:tab w:val="left" w:pos="840"/>
              </w:tabs>
              <w:rPr>
                <w:sz w:val="16"/>
                <w:szCs w:val="16"/>
              </w:rPr>
            </w:pPr>
            <w:r w:rsidRPr="00606ACC">
              <w:rPr>
                <w:sz w:val="16"/>
                <w:szCs w:val="16"/>
              </w:rPr>
              <w:t>25,8</w:t>
            </w:r>
            <w:r w:rsidRPr="00606ACC" w:rsidR="00A25164">
              <w:rPr>
                <w:sz w:val="16"/>
                <w:szCs w:val="16"/>
              </w:rPr>
              <w:t xml:space="preserve"> TWh</w:t>
            </w:r>
          </w:p>
        </w:tc>
      </w:tr>
      <w:tr w:rsidRPr="00606ACC" w:rsidR="00A25164" w:rsidTr="00D001CE" w14:paraId="477DED7A" w14:textId="77777777">
        <w:trPr>
          <w:trHeight w:val="729"/>
        </w:trPr>
        <w:tc>
          <w:tcPr>
            <w:tcW w:w="1336" w:type="dxa"/>
            <w:hideMark/>
          </w:tcPr>
          <w:p w:rsidRPr="00606ACC" w:rsidR="00A25164" w:rsidP="003B14FA" w:rsidRDefault="00A25164" w14:paraId="6B0BC306" w14:textId="77777777">
            <w:pPr>
              <w:tabs>
                <w:tab w:val="left" w:pos="840"/>
              </w:tabs>
              <w:rPr>
                <w:sz w:val="16"/>
                <w:szCs w:val="16"/>
              </w:rPr>
            </w:pPr>
            <w:r w:rsidRPr="00606ACC">
              <w:rPr>
                <w:sz w:val="16"/>
                <w:szCs w:val="16"/>
              </w:rPr>
              <w:t>Estland</w:t>
            </w:r>
            <w:r w:rsidRPr="00606ACC">
              <w:rPr>
                <w:sz w:val="16"/>
                <w:szCs w:val="16"/>
                <w:vertAlign w:val="superscript"/>
              </w:rPr>
              <w:footnoteReference w:id="106"/>
            </w:r>
          </w:p>
        </w:tc>
        <w:tc>
          <w:tcPr>
            <w:tcW w:w="2166" w:type="dxa"/>
            <w:hideMark/>
          </w:tcPr>
          <w:p w:rsidRPr="00606ACC" w:rsidR="00A25164" w:rsidP="003B14FA" w:rsidRDefault="00A25164" w14:paraId="3D45A076" w14:textId="77777777">
            <w:pPr>
              <w:tabs>
                <w:tab w:val="left" w:pos="840"/>
              </w:tabs>
              <w:rPr>
                <w:sz w:val="16"/>
                <w:szCs w:val="16"/>
              </w:rPr>
            </w:pPr>
            <w:r w:rsidRPr="00606ACC">
              <w:rPr>
                <w:sz w:val="16"/>
                <w:szCs w:val="16"/>
              </w:rPr>
              <w:t>Estonian Stockpiling Agency</w:t>
            </w:r>
          </w:p>
        </w:tc>
        <w:tc>
          <w:tcPr>
            <w:tcW w:w="2484" w:type="dxa"/>
            <w:hideMark/>
          </w:tcPr>
          <w:p w:rsidRPr="00606ACC" w:rsidR="00A25164" w:rsidP="003B14FA" w:rsidRDefault="00A25164" w14:paraId="33299C45" w14:textId="77777777">
            <w:pPr>
              <w:tabs>
                <w:tab w:val="left" w:pos="840"/>
              </w:tabs>
              <w:rPr>
                <w:sz w:val="16"/>
                <w:szCs w:val="16"/>
              </w:rPr>
            </w:pPr>
            <w:r w:rsidRPr="00606ACC">
              <w:rPr>
                <w:sz w:val="16"/>
                <w:szCs w:val="16"/>
              </w:rPr>
              <w:t xml:space="preserve">1 TWh </w:t>
            </w:r>
          </w:p>
        </w:tc>
        <w:tc>
          <w:tcPr>
            <w:tcW w:w="1832" w:type="dxa"/>
            <w:hideMark/>
          </w:tcPr>
          <w:p w:rsidRPr="00606ACC" w:rsidR="00A25164" w:rsidP="003B14FA" w:rsidRDefault="00A25164" w14:paraId="5E5CCEE4" w14:textId="77777777">
            <w:pPr>
              <w:tabs>
                <w:tab w:val="left" w:pos="840"/>
              </w:tabs>
              <w:rPr>
                <w:sz w:val="16"/>
                <w:szCs w:val="16"/>
              </w:rPr>
            </w:pPr>
            <w:r w:rsidRPr="00606ACC">
              <w:rPr>
                <w:sz w:val="16"/>
                <w:szCs w:val="16"/>
              </w:rPr>
              <w:t>(Uiteindelijk) wordt het doorberekend aan eindafnemers</w:t>
            </w:r>
          </w:p>
        </w:tc>
        <w:tc>
          <w:tcPr>
            <w:tcW w:w="1165" w:type="dxa"/>
          </w:tcPr>
          <w:p w:rsidRPr="00606ACC" w:rsidR="00A25164" w:rsidP="003B14FA" w:rsidRDefault="00A25164" w14:paraId="2979FA24" w14:textId="77777777">
            <w:pPr>
              <w:tabs>
                <w:tab w:val="left" w:pos="840"/>
              </w:tabs>
              <w:rPr>
                <w:sz w:val="16"/>
                <w:szCs w:val="16"/>
              </w:rPr>
            </w:pPr>
            <w:r w:rsidRPr="00606ACC">
              <w:rPr>
                <w:sz w:val="16"/>
                <w:szCs w:val="16"/>
              </w:rPr>
              <w:t>3,4 TWh</w:t>
            </w:r>
          </w:p>
        </w:tc>
      </w:tr>
      <w:tr w:rsidRPr="00606ACC" w:rsidR="00A25164" w:rsidTr="00D001CE" w14:paraId="3B5AD249" w14:textId="77777777">
        <w:trPr>
          <w:trHeight w:val="729"/>
        </w:trPr>
        <w:tc>
          <w:tcPr>
            <w:tcW w:w="1336" w:type="dxa"/>
            <w:hideMark/>
          </w:tcPr>
          <w:p w:rsidRPr="00606ACC" w:rsidR="00A25164" w:rsidP="003B14FA" w:rsidRDefault="00A25164" w14:paraId="450C3637" w14:textId="77777777">
            <w:pPr>
              <w:tabs>
                <w:tab w:val="left" w:pos="840"/>
              </w:tabs>
              <w:rPr>
                <w:sz w:val="16"/>
                <w:szCs w:val="16"/>
              </w:rPr>
            </w:pPr>
            <w:r w:rsidRPr="00606ACC">
              <w:rPr>
                <w:sz w:val="16"/>
                <w:szCs w:val="16"/>
              </w:rPr>
              <w:t>Hongarije</w:t>
            </w:r>
            <w:r w:rsidRPr="00606ACC">
              <w:rPr>
                <w:sz w:val="16"/>
                <w:szCs w:val="16"/>
                <w:vertAlign w:val="superscript"/>
              </w:rPr>
              <w:footnoteReference w:id="107"/>
            </w:r>
          </w:p>
        </w:tc>
        <w:tc>
          <w:tcPr>
            <w:tcW w:w="2166" w:type="dxa"/>
            <w:hideMark/>
          </w:tcPr>
          <w:p w:rsidRPr="00606ACC" w:rsidR="00A25164" w:rsidP="003B14FA" w:rsidRDefault="00A25164" w14:paraId="0088AE1B" w14:textId="77777777">
            <w:pPr>
              <w:tabs>
                <w:tab w:val="left" w:pos="840"/>
              </w:tabs>
              <w:rPr>
                <w:sz w:val="16"/>
                <w:szCs w:val="16"/>
                <w:lang w:val="en-US"/>
              </w:rPr>
            </w:pPr>
            <w:r w:rsidRPr="00606ACC">
              <w:rPr>
                <w:sz w:val="16"/>
                <w:szCs w:val="16"/>
                <w:lang w:val="en-US"/>
              </w:rPr>
              <w:t>Hungarian Hydrocarbon Stockpiling Association (HUSA)</w:t>
            </w:r>
          </w:p>
        </w:tc>
        <w:tc>
          <w:tcPr>
            <w:tcW w:w="2484" w:type="dxa"/>
            <w:hideMark/>
          </w:tcPr>
          <w:p w:rsidRPr="00606ACC" w:rsidR="00A25164" w:rsidP="003B14FA" w:rsidRDefault="00A25164" w14:paraId="168BF849" w14:textId="77777777">
            <w:pPr>
              <w:tabs>
                <w:tab w:val="left" w:pos="840"/>
              </w:tabs>
              <w:rPr>
                <w:sz w:val="16"/>
                <w:szCs w:val="16"/>
              </w:rPr>
            </w:pPr>
            <w:r w:rsidRPr="00606ACC">
              <w:rPr>
                <w:sz w:val="16"/>
                <w:szCs w:val="16"/>
              </w:rPr>
              <w:t>Ca. 12 TWh (1200 Mm</w:t>
            </w:r>
            <w:r w:rsidRPr="00606ACC">
              <w:rPr>
                <w:sz w:val="16"/>
                <w:szCs w:val="16"/>
                <w:vertAlign w:val="superscript"/>
              </w:rPr>
              <w:t>3</w:t>
            </w:r>
            <w:r w:rsidRPr="00606ACC">
              <w:rPr>
                <w:sz w:val="16"/>
                <w:szCs w:val="16"/>
              </w:rPr>
              <w:t>)</w:t>
            </w:r>
          </w:p>
        </w:tc>
        <w:tc>
          <w:tcPr>
            <w:tcW w:w="1832" w:type="dxa"/>
            <w:hideMark/>
          </w:tcPr>
          <w:p w:rsidRPr="00606ACC" w:rsidR="00A25164" w:rsidP="003B14FA" w:rsidRDefault="00A25164" w14:paraId="12C0BE06" w14:textId="77777777">
            <w:pPr>
              <w:tabs>
                <w:tab w:val="left" w:pos="840"/>
              </w:tabs>
              <w:rPr>
                <w:sz w:val="16"/>
                <w:szCs w:val="16"/>
              </w:rPr>
            </w:pPr>
            <w:r w:rsidRPr="00606ACC">
              <w:rPr>
                <w:sz w:val="16"/>
                <w:szCs w:val="16"/>
              </w:rPr>
              <w:t>Aardgasbedrijven staan een contributiebijdrage af aan HUSA</w:t>
            </w:r>
          </w:p>
        </w:tc>
        <w:tc>
          <w:tcPr>
            <w:tcW w:w="1165" w:type="dxa"/>
          </w:tcPr>
          <w:p w:rsidRPr="00606ACC" w:rsidR="00A25164" w:rsidP="003B14FA" w:rsidRDefault="00A25164" w14:paraId="07469F52" w14:textId="4410B9A7">
            <w:pPr>
              <w:tabs>
                <w:tab w:val="left" w:pos="840"/>
              </w:tabs>
              <w:rPr>
                <w:sz w:val="16"/>
                <w:szCs w:val="16"/>
              </w:rPr>
            </w:pPr>
            <w:r w:rsidRPr="00606ACC">
              <w:rPr>
                <w:sz w:val="16"/>
                <w:szCs w:val="16"/>
              </w:rPr>
              <w:t>9</w:t>
            </w:r>
            <w:r w:rsidRPr="00606ACC" w:rsidR="00A22360">
              <w:rPr>
                <w:sz w:val="16"/>
                <w:szCs w:val="16"/>
              </w:rPr>
              <w:t>5,7</w:t>
            </w:r>
            <w:r w:rsidRPr="00606ACC">
              <w:rPr>
                <w:sz w:val="16"/>
                <w:szCs w:val="16"/>
              </w:rPr>
              <w:t xml:space="preserve"> TWh</w:t>
            </w:r>
          </w:p>
        </w:tc>
      </w:tr>
      <w:tr w:rsidRPr="00606ACC" w:rsidR="00A25164" w:rsidTr="00D001CE" w14:paraId="6B89FFB7" w14:textId="77777777">
        <w:trPr>
          <w:trHeight w:val="234"/>
        </w:trPr>
        <w:tc>
          <w:tcPr>
            <w:tcW w:w="1336" w:type="dxa"/>
            <w:hideMark/>
          </w:tcPr>
          <w:p w:rsidRPr="00606ACC" w:rsidR="00A25164" w:rsidP="003B14FA" w:rsidRDefault="00A25164" w14:paraId="26421346" w14:textId="77777777">
            <w:pPr>
              <w:tabs>
                <w:tab w:val="left" w:pos="840"/>
              </w:tabs>
              <w:rPr>
                <w:sz w:val="16"/>
                <w:szCs w:val="16"/>
              </w:rPr>
            </w:pPr>
            <w:r w:rsidRPr="00606ACC">
              <w:rPr>
                <w:sz w:val="16"/>
                <w:szCs w:val="16"/>
              </w:rPr>
              <w:t>Italië</w:t>
            </w:r>
            <w:r w:rsidRPr="00606ACC">
              <w:rPr>
                <w:rStyle w:val="Voetnootmarkering"/>
                <w:sz w:val="16"/>
                <w:szCs w:val="16"/>
              </w:rPr>
              <w:footnoteReference w:id="108"/>
            </w:r>
          </w:p>
        </w:tc>
        <w:tc>
          <w:tcPr>
            <w:tcW w:w="2166" w:type="dxa"/>
            <w:hideMark/>
          </w:tcPr>
          <w:p w:rsidRPr="00606ACC" w:rsidR="00A25164" w:rsidP="003B14FA" w:rsidRDefault="00A25164" w14:paraId="4FEA3101" w14:textId="77777777">
            <w:pPr>
              <w:tabs>
                <w:tab w:val="left" w:pos="840"/>
              </w:tabs>
              <w:rPr>
                <w:sz w:val="16"/>
                <w:szCs w:val="16"/>
              </w:rPr>
            </w:pPr>
            <w:r w:rsidRPr="00606ACC">
              <w:rPr>
                <w:sz w:val="16"/>
                <w:szCs w:val="16"/>
              </w:rPr>
              <w:t>Stogit (opslagsysteem-beheerder en in eigendom van SNAM)</w:t>
            </w:r>
          </w:p>
        </w:tc>
        <w:tc>
          <w:tcPr>
            <w:tcW w:w="2484" w:type="dxa"/>
            <w:hideMark/>
          </w:tcPr>
          <w:p w:rsidRPr="00606ACC" w:rsidR="00A25164" w:rsidP="003B14FA" w:rsidRDefault="00A25164" w14:paraId="6666E5A0" w14:textId="77777777">
            <w:pPr>
              <w:tabs>
                <w:tab w:val="left" w:pos="840"/>
              </w:tabs>
              <w:rPr>
                <w:sz w:val="16"/>
                <w:szCs w:val="16"/>
              </w:rPr>
            </w:pPr>
            <w:r w:rsidRPr="00606ACC">
              <w:rPr>
                <w:sz w:val="16"/>
                <w:szCs w:val="16"/>
              </w:rPr>
              <w:t>Ca. 51 TWh</w:t>
            </w:r>
          </w:p>
        </w:tc>
        <w:tc>
          <w:tcPr>
            <w:tcW w:w="1832" w:type="dxa"/>
            <w:hideMark/>
          </w:tcPr>
          <w:p w:rsidRPr="00606ACC" w:rsidR="00A25164" w:rsidP="003B14FA" w:rsidRDefault="00A25164" w14:paraId="14842B68" w14:textId="77777777">
            <w:pPr>
              <w:tabs>
                <w:tab w:val="left" w:pos="840"/>
              </w:tabs>
              <w:rPr>
                <w:sz w:val="16"/>
                <w:szCs w:val="16"/>
              </w:rPr>
            </w:pPr>
            <w:r w:rsidRPr="00606ACC">
              <w:rPr>
                <w:sz w:val="16"/>
                <w:szCs w:val="16"/>
              </w:rPr>
              <w:t>Via de gereguleerde tarieven van Stogit</w:t>
            </w:r>
          </w:p>
        </w:tc>
        <w:tc>
          <w:tcPr>
            <w:tcW w:w="1165" w:type="dxa"/>
          </w:tcPr>
          <w:p w:rsidRPr="00606ACC" w:rsidR="00A25164" w:rsidP="003B14FA" w:rsidRDefault="00A25164" w14:paraId="2D81E70F" w14:textId="653B2C08">
            <w:pPr>
              <w:tabs>
                <w:tab w:val="left" w:pos="840"/>
              </w:tabs>
              <w:rPr>
                <w:sz w:val="16"/>
                <w:szCs w:val="16"/>
              </w:rPr>
            </w:pPr>
            <w:r w:rsidRPr="00606ACC">
              <w:rPr>
                <w:sz w:val="16"/>
                <w:szCs w:val="16"/>
              </w:rPr>
              <w:t>6</w:t>
            </w:r>
            <w:r w:rsidRPr="00606ACC" w:rsidR="00857744">
              <w:rPr>
                <w:sz w:val="16"/>
                <w:szCs w:val="16"/>
              </w:rPr>
              <w:t>6</w:t>
            </w:r>
            <w:r w:rsidRPr="00606ACC" w:rsidR="00F37EA0">
              <w:rPr>
                <w:sz w:val="16"/>
                <w:szCs w:val="16"/>
              </w:rPr>
              <w:t>8</w:t>
            </w:r>
            <w:r w:rsidRPr="00606ACC">
              <w:rPr>
                <w:sz w:val="16"/>
                <w:szCs w:val="16"/>
              </w:rPr>
              <w:t xml:space="preserve"> TWh</w:t>
            </w:r>
          </w:p>
        </w:tc>
      </w:tr>
      <w:tr w:rsidRPr="00606ACC" w:rsidR="00A25164" w:rsidTr="00D001CE" w14:paraId="34ED815E" w14:textId="77777777">
        <w:trPr>
          <w:trHeight w:val="1459"/>
        </w:trPr>
        <w:tc>
          <w:tcPr>
            <w:tcW w:w="1336" w:type="dxa"/>
            <w:hideMark/>
          </w:tcPr>
          <w:p w:rsidRPr="00606ACC" w:rsidR="00A25164" w:rsidP="003B14FA" w:rsidRDefault="00A25164" w14:paraId="28240472" w14:textId="77777777">
            <w:pPr>
              <w:tabs>
                <w:tab w:val="left" w:pos="840"/>
              </w:tabs>
              <w:rPr>
                <w:sz w:val="16"/>
                <w:szCs w:val="16"/>
              </w:rPr>
            </w:pPr>
            <w:r w:rsidRPr="00606ACC">
              <w:rPr>
                <w:sz w:val="16"/>
                <w:szCs w:val="16"/>
              </w:rPr>
              <w:t>Letland</w:t>
            </w:r>
            <w:r w:rsidRPr="00606ACC">
              <w:rPr>
                <w:sz w:val="16"/>
                <w:szCs w:val="16"/>
                <w:vertAlign w:val="superscript"/>
              </w:rPr>
              <w:footnoteReference w:id="109"/>
            </w:r>
          </w:p>
        </w:tc>
        <w:tc>
          <w:tcPr>
            <w:tcW w:w="2166" w:type="dxa"/>
            <w:hideMark/>
          </w:tcPr>
          <w:p w:rsidRPr="00606ACC" w:rsidR="00A25164" w:rsidP="003B14FA" w:rsidRDefault="00A25164" w14:paraId="08CB51B9" w14:textId="456EEBFB">
            <w:pPr>
              <w:tabs>
                <w:tab w:val="left" w:pos="840"/>
              </w:tabs>
              <w:rPr>
                <w:sz w:val="16"/>
                <w:szCs w:val="16"/>
              </w:rPr>
            </w:pPr>
            <w:r w:rsidRPr="00606ACC">
              <w:rPr>
                <w:sz w:val="16"/>
                <w:szCs w:val="16"/>
              </w:rPr>
              <w:t xml:space="preserve">In eigendom van de </w:t>
            </w:r>
            <w:r w:rsidRPr="00606ACC" w:rsidR="00F30EF1">
              <w:rPr>
                <w:sz w:val="16"/>
                <w:szCs w:val="16"/>
              </w:rPr>
              <w:t xml:space="preserve">Letse </w:t>
            </w:r>
            <w:r w:rsidRPr="00606ACC">
              <w:rPr>
                <w:sz w:val="16"/>
                <w:szCs w:val="16"/>
              </w:rPr>
              <w:t>Staat</w:t>
            </w:r>
          </w:p>
        </w:tc>
        <w:tc>
          <w:tcPr>
            <w:tcW w:w="2484" w:type="dxa"/>
            <w:hideMark/>
          </w:tcPr>
          <w:p w:rsidRPr="00606ACC" w:rsidR="00A25164" w:rsidP="003B14FA" w:rsidRDefault="00A25164" w14:paraId="7B0AE48B" w14:textId="77777777">
            <w:pPr>
              <w:tabs>
                <w:tab w:val="left" w:pos="840"/>
              </w:tabs>
              <w:rPr>
                <w:sz w:val="16"/>
                <w:szCs w:val="16"/>
              </w:rPr>
            </w:pPr>
            <w:r w:rsidRPr="00606ACC">
              <w:rPr>
                <w:sz w:val="16"/>
                <w:szCs w:val="16"/>
              </w:rPr>
              <w:t>1,8 TWh</w:t>
            </w:r>
          </w:p>
        </w:tc>
        <w:tc>
          <w:tcPr>
            <w:tcW w:w="1832" w:type="dxa"/>
            <w:hideMark/>
          </w:tcPr>
          <w:p w:rsidRPr="00606ACC" w:rsidR="00A25164" w:rsidP="003B14FA" w:rsidRDefault="00A25164" w14:paraId="6BEEAD7E" w14:textId="77777777">
            <w:pPr>
              <w:tabs>
                <w:tab w:val="left" w:pos="840"/>
              </w:tabs>
              <w:rPr>
                <w:sz w:val="16"/>
                <w:szCs w:val="16"/>
              </w:rPr>
            </w:pPr>
            <w:r w:rsidRPr="00606ACC">
              <w:rPr>
                <w:sz w:val="16"/>
                <w:szCs w:val="16"/>
              </w:rPr>
              <w:t>Via de algemene middelen</w:t>
            </w:r>
          </w:p>
        </w:tc>
        <w:tc>
          <w:tcPr>
            <w:tcW w:w="1165" w:type="dxa"/>
          </w:tcPr>
          <w:p w:rsidRPr="00606ACC" w:rsidR="00A25164" w:rsidP="003B14FA" w:rsidRDefault="00F37EA0" w14:paraId="3E82A47F" w14:textId="2A15096C">
            <w:pPr>
              <w:tabs>
                <w:tab w:val="left" w:pos="840"/>
              </w:tabs>
              <w:rPr>
                <w:sz w:val="16"/>
                <w:szCs w:val="16"/>
              </w:rPr>
            </w:pPr>
            <w:r w:rsidRPr="00606ACC">
              <w:rPr>
                <w:sz w:val="16"/>
                <w:szCs w:val="16"/>
              </w:rPr>
              <w:t>8,6</w:t>
            </w:r>
            <w:r w:rsidRPr="00606ACC" w:rsidR="00A25164">
              <w:rPr>
                <w:sz w:val="16"/>
                <w:szCs w:val="16"/>
              </w:rPr>
              <w:t xml:space="preserve"> TWh</w:t>
            </w:r>
          </w:p>
        </w:tc>
      </w:tr>
      <w:tr w:rsidRPr="00606ACC" w:rsidR="00A25164" w:rsidTr="00D001CE" w14:paraId="5E12C549" w14:textId="77777777">
        <w:trPr>
          <w:trHeight w:val="1459"/>
        </w:trPr>
        <w:tc>
          <w:tcPr>
            <w:tcW w:w="1336" w:type="dxa"/>
            <w:hideMark/>
          </w:tcPr>
          <w:p w:rsidRPr="00606ACC" w:rsidR="00A25164" w:rsidP="003B14FA" w:rsidRDefault="00A25164" w14:paraId="1688B5D6" w14:textId="77777777">
            <w:pPr>
              <w:tabs>
                <w:tab w:val="left" w:pos="840"/>
              </w:tabs>
              <w:rPr>
                <w:sz w:val="16"/>
                <w:szCs w:val="16"/>
              </w:rPr>
            </w:pPr>
            <w:r w:rsidRPr="00606ACC">
              <w:rPr>
                <w:sz w:val="16"/>
                <w:szCs w:val="16"/>
              </w:rPr>
              <w:t>Nederland</w:t>
            </w:r>
          </w:p>
        </w:tc>
        <w:tc>
          <w:tcPr>
            <w:tcW w:w="2166" w:type="dxa"/>
            <w:hideMark/>
          </w:tcPr>
          <w:p w:rsidRPr="00606ACC" w:rsidR="00A25164" w:rsidP="003B14FA" w:rsidRDefault="00A25164" w14:paraId="15B49F8C" w14:textId="77777777">
            <w:pPr>
              <w:tabs>
                <w:tab w:val="left" w:pos="840"/>
              </w:tabs>
              <w:rPr>
                <w:sz w:val="16"/>
                <w:szCs w:val="16"/>
              </w:rPr>
            </w:pPr>
            <w:r w:rsidRPr="00606ACC">
              <w:rPr>
                <w:sz w:val="16"/>
                <w:szCs w:val="16"/>
              </w:rPr>
              <w:t>EBN (in eigendom van de Nederlandse Staat)</w:t>
            </w:r>
          </w:p>
        </w:tc>
        <w:tc>
          <w:tcPr>
            <w:tcW w:w="2484" w:type="dxa"/>
            <w:hideMark/>
          </w:tcPr>
          <w:p w:rsidRPr="00606ACC" w:rsidR="00A25164" w:rsidP="003B14FA" w:rsidRDefault="00A25164" w14:paraId="4D59784E" w14:textId="77777777">
            <w:pPr>
              <w:tabs>
                <w:tab w:val="left" w:pos="840"/>
              </w:tabs>
              <w:rPr>
                <w:sz w:val="16"/>
                <w:szCs w:val="16"/>
              </w:rPr>
            </w:pPr>
            <w:r w:rsidRPr="00606ACC">
              <w:rPr>
                <w:sz w:val="16"/>
                <w:szCs w:val="16"/>
              </w:rPr>
              <w:t>5 TWh</w:t>
            </w:r>
          </w:p>
        </w:tc>
        <w:tc>
          <w:tcPr>
            <w:tcW w:w="1832" w:type="dxa"/>
            <w:hideMark/>
          </w:tcPr>
          <w:p w:rsidRPr="00606ACC" w:rsidR="00A25164" w:rsidP="003B14FA" w:rsidRDefault="00A25164" w14:paraId="7C6915E2" w14:textId="77777777">
            <w:pPr>
              <w:tabs>
                <w:tab w:val="left" w:pos="840"/>
              </w:tabs>
              <w:rPr>
                <w:sz w:val="16"/>
                <w:szCs w:val="16"/>
              </w:rPr>
            </w:pPr>
            <w:r w:rsidRPr="00606ACC">
              <w:rPr>
                <w:sz w:val="16"/>
                <w:szCs w:val="16"/>
              </w:rPr>
              <w:t>Wordt via de heffing gasleverings-zekerheid doorberekend aan de netgebruikers, die dit weer doorberekenen aan hun eindafnemers</w:t>
            </w:r>
          </w:p>
        </w:tc>
        <w:tc>
          <w:tcPr>
            <w:tcW w:w="1165" w:type="dxa"/>
          </w:tcPr>
          <w:p w:rsidRPr="00606ACC" w:rsidR="00A25164" w:rsidP="003B14FA" w:rsidRDefault="001B51AC" w14:paraId="66797F3A" w14:textId="041737E6">
            <w:pPr>
              <w:tabs>
                <w:tab w:val="left" w:pos="840"/>
              </w:tabs>
              <w:rPr>
                <w:sz w:val="16"/>
                <w:szCs w:val="16"/>
              </w:rPr>
            </w:pPr>
            <w:r w:rsidRPr="00606ACC">
              <w:rPr>
                <w:sz w:val="16"/>
                <w:szCs w:val="16"/>
              </w:rPr>
              <w:t>293,4</w:t>
            </w:r>
            <w:r w:rsidRPr="00606ACC" w:rsidR="00A25164">
              <w:rPr>
                <w:sz w:val="16"/>
                <w:szCs w:val="16"/>
              </w:rPr>
              <w:t xml:space="preserve"> TWh</w:t>
            </w:r>
          </w:p>
        </w:tc>
      </w:tr>
      <w:tr w:rsidRPr="00606ACC" w:rsidR="00A25164" w:rsidTr="00D001CE" w14:paraId="104A8431" w14:textId="77777777">
        <w:trPr>
          <w:trHeight w:val="1459"/>
        </w:trPr>
        <w:tc>
          <w:tcPr>
            <w:tcW w:w="1336" w:type="dxa"/>
            <w:hideMark/>
          </w:tcPr>
          <w:p w:rsidRPr="00606ACC" w:rsidR="00A25164" w:rsidP="003B14FA" w:rsidRDefault="00A25164" w14:paraId="11276CF8" w14:textId="77777777">
            <w:pPr>
              <w:tabs>
                <w:tab w:val="left" w:pos="840"/>
              </w:tabs>
              <w:rPr>
                <w:sz w:val="16"/>
                <w:szCs w:val="16"/>
              </w:rPr>
            </w:pPr>
            <w:r w:rsidRPr="00606ACC">
              <w:rPr>
                <w:sz w:val="16"/>
                <w:szCs w:val="16"/>
              </w:rPr>
              <w:t>Oostenrijk</w:t>
            </w:r>
            <w:r w:rsidRPr="00606ACC">
              <w:rPr>
                <w:sz w:val="16"/>
                <w:szCs w:val="16"/>
                <w:vertAlign w:val="superscript"/>
              </w:rPr>
              <w:footnoteReference w:id="110"/>
            </w:r>
            <w:r w:rsidRPr="00606ACC">
              <w:rPr>
                <w:sz w:val="16"/>
                <w:szCs w:val="16"/>
              </w:rPr>
              <w:t xml:space="preserve"> (tijdelijk tot 1 april 2029)</w:t>
            </w:r>
          </w:p>
        </w:tc>
        <w:tc>
          <w:tcPr>
            <w:tcW w:w="2166" w:type="dxa"/>
            <w:hideMark/>
          </w:tcPr>
          <w:p w:rsidRPr="00606ACC" w:rsidR="00A25164" w:rsidP="003B14FA" w:rsidRDefault="00A25164" w14:paraId="308C2BB4" w14:textId="77777777">
            <w:pPr>
              <w:tabs>
                <w:tab w:val="left" w:pos="840"/>
              </w:tabs>
              <w:rPr>
                <w:sz w:val="16"/>
                <w:szCs w:val="16"/>
                <w:lang w:val="en-US"/>
              </w:rPr>
            </w:pPr>
            <w:r w:rsidRPr="00606ACC">
              <w:rPr>
                <w:sz w:val="16"/>
                <w:szCs w:val="16"/>
                <w:lang w:val="en-US"/>
              </w:rPr>
              <w:t>Austrian Strategic Gas Storage Management GmbH (ASGM)</w:t>
            </w:r>
          </w:p>
        </w:tc>
        <w:tc>
          <w:tcPr>
            <w:tcW w:w="2484" w:type="dxa"/>
            <w:hideMark/>
          </w:tcPr>
          <w:p w:rsidRPr="00606ACC" w:rsidR="00A25164" w:rsidP="003B14FA" w:rsidRDefault="00A25164" w14:paraId="0C75686B" w14:textId="77777777">
            <w:pPr>
              <w:tabs>
                <w:tab w:val="left" w:pos="840"/>
              </w:tabs>
              <w:rPr>
                <w:sz w:val="16"/>
                <w:szCs w:val="16"/>
              </w:rPr>
            </w:pPr>
            <w:r w:rsidRPr="00606ACC">
              <w:rPr>
                <w:sz w:val="16"/>
                <w:szCs w:val="16"/>
              </w:rPr>
              <w:t>20 TWh</w:t>
            </w:r>
          </w:p>
        </w:tc>
        <w:tc>
          <w:tcPr>
            <w:tcW w:w="1832" w:type="dxa"/>
            <w:hideMark/>
          </w:tcPr>
          <w:p w:rsidRPr="00606ACC" w:rsidR="00A25164" w:rsidP="003B14FA" w:rsidRDefault="00A25164" w14:paraId="0F33840D" w14:textId="77777777">
            <w:pPr>
              <w:tabs>
                <w:tab w:val="left" w:pos="840"/>
              </w:tabs>
              <w:rPr>
                <w:sz w:val="16"/>
                <w:szCs w:val="16"/>
              </w:rPr>
            </w:pPr>
            <w:r w:rsidRPr="00606ACC">
              <w:rPr>
                <w:sz w:val="16"/>
                <w:szCs w:val="16"/>
              </w:rPr>
              <w:t>Algemene middelen, maar bij vrijgave is de prijs gelijk aan de aankoopprijs of beursprijs (afhankelijk van wat hoger is)</w:t>
            </w:r>
          </w:p>
        </w:tc>
        <w:tc>
          <w:tcPr>
            <w:tcW w:w="1165" w:type="dxa"/>
          </w:tcPr>
          <w:p w:rsidRPr="00606ACC" w:rsidR="00A25164" w:rsidP="003B14FA" w:rsidRDefault="00A33C78" w14:paraId="465D9C85" w14:textId="09C826DC">
            <w:pPr>
              <w:tabs>
                <w:tab w:val="left" w:pos="840"/>
              </w:tabs>
              <w:rPr>
                <w:sz w:val="16"/>
                <w:szCs w:val="16"/>
              </w:rPr>
            </w:pPr>
            <w:r w:rsidRPr="00606ACC">
              <w:rPr>
                <w:sz w:val="16"/>
                <w:szCs w:val="16"/>
              </w:rPr>
              <w:t>83,1</w:t>
            </w:r>
            <w:r w:rsidRPr="00606ACC" w:rsidR="00A25164">
              <w:rPr>
                <w:sz w:val="16"/>
                <w:szCs w:val="16"/>
              </w:rPr>
              <w:t xml:space="preserve"> TWh</w:t>
            </w:r>
          </w:p>
        </w:tc>
      </w:tr>
      <w:tr w:rsidRPr="00606ACC" w:rsidR="00A25164" w:rsidTr="00D001CE" w14:paraId="5D998134" w14:textId="77777777">
        <w:trPr>
          <w:trHeight w:val="1459"/>
        </w:trPr>
        <w:tc>
          <w:tcPr>
            <w:tcW w:w="1336" w:type="dxa"/>
          </w:tcPr>
          <w:p w:rsidRPr="00606ACC" w:rsidR="00A25164" w:rsidP="003B14FA" w:rsidRDefault="00A25164" w14:paraId="15BE1888" w14:textId="68A62B73">
            <w:pPr>
              <w:tabs>
                <w:tab w:val="left" w:pos="840"/>
              </w:tabs>
              <w:rPr>
                <w:sz w:val="16"/>
                <w:szCs w:val="16"/>
              </w:rPr>
            </w:pPr>
            <w:r w:rsidRPr="00606ACC">
              <w:rPr>
                <w:sz w:val="16"/>
                <w:szCs w:val="16"/>
              </w:rPr>
              <w:t>Polen</w:t>
            </w:r>
            <w:r w:rsidRPr="00606ACC">
              <w:rPr>
                <w:rStyle w:val="Voetnootmarkering"/>
                <w:sz w:val="16"/>
                <w:szCs w:val="16"/>
              </w:rPr>
              <w:footnoteReference w:id="111"/>
            </w:r>
            <w:r w:rsidRPr="00606ACC" w:rsidR="00385CCE">
              <w:rPr>
                <w:sz w:val="16"/>
                <w:szCs w:val="16"/>
              </w:rPr>
              <w:t xml:space="preserve"> (dit systeem wordt gewijzigd)</w:t>
            </w:r>
          </w:p>
        </w:tc>
        <w:tc>
          <w:tcPr>
            <w:tcW w:w="2166" w:type="dxa"/>
          </w:tcPr>
          <w:p w:rsidRPr="00606ACC" w:rsidR="00A25164" w:rsidP="003B14FA" w:rsidRDefault="00A25164" w14:paraId="38BFCCE2" w14:textId="77777777">
            <w:pPr>
              <w:tabs>
                <w:tab w:val="left" w:pos="840"/>
              </w:tabs>
              <w:rPr>
                <w:sz w:val="16"/>
                <w:szCs w:val="16"/>
              </w:rPr>
            </w:pPr>
            <w:r w:rsidRPr="00606ACC">
              <w:rPr>
                <w:sz w:val="16"/>
                <w:szCs w:val="16"/>
              </w:rPr>
              <w:t xml:space="preserve">Leveranciers en eindafnemers </w:t>
            </w:r>
          </w:p>
        </w:tc>
        <w:tc>
          <w:tcPr>
            <w:tcW w:w="2484" w:type="dxa"/>
          </w:tcPr>
          <w:p w:rsidRPr="00606ACC" w:rsidR="00A25164" w:rsidP="003B14FA" w:rsidRDefault="00A25164" w14:paraId="3123CBC6" w14:textId="77777777">
            <w:pPr>
              <w:tabs>
                <w:tab w:val="left" w:pos="840"/>
              </w:tabs>
              <w:rPr>
                <w:sz w:val="16"/>
                <w:szCs w:val="16"/>
              </w:rPr>
            </w:pPr>
            <w:r w:rsidRPr="00606ACC">
              <w:rPr>
                <w:sz w:val="16"/>
                <w:szCs w:val="16"/>
              </w:rPr>
              <w:t>Staat gelijk aan 30 dagen aan gasimport. Deze voorraden moeten binnen 40 dagen geleverd worden aan het Poolse transmissiesysteem.</w:t>
            </w:r>
          </w:p>
        </w:tc>
        <w:tc>
          <w:tcPr>
            <w:tcW w:w="1832" w:type="dxa"/>
          </w:tcPr>
          <w:p w:rsidRPr="00606ACC" w:rsidR="00A25164" w:rsidP="003B14FA" w:rsidRDefault="00A25164" w14:paraId="454D4452" w14:textId="77777777">
            <w:pPr>
              <w:tabs>
                <w:tab w:val="left" w:pos="840"/>
              </w:tabs>
              <w:rPr>
                <w:sz w:val="16"/>
                <w:szCs w:val="16"/>
              </w:rPr>
            </w:pPr>
          </w:p>
        </w:tc>
        <w:tc>
          <w:tcPr>
            <w:tcW w:w="1165" w:type="dxa"/>
          </w:tcPr>
          <w:p w:rsidRPr="00606ACC" w:rsidR="00A25164" w:rsidP="003B14FA" w:rsidRDefault="00A25164" w14:paraId="4042CC04" w14:textId="0D0CDDF5">
            <w:pPr>
              <w:tabs>
                <w:tab w:val="left" w:pos="840"/>
              </w:tabs>
              <w:rPr>
                <w:sz w:val="16"/>
                <w:szCs w:val="16"/>
              </w:rPr>
            </w:pPr>
            <w:r w:rsidRPr="00606ACC">
              <w:rPr>
                <w:sz w:val="16"/>
                <w:szCs w:val="16"/>
              </w:rPr>
              <w:t>2</w:t>
            </w:r>
            <w:r w:rsidRPr="00606ACC" w:rsidR="001A1983">
              <w:rPr>
                <w:sz w:val="16"/>
                <w:szCs w:val="16"/>
              </w:rPr>
              <w:t>33,8</w:t>
            </w:r>
            <w:r w:rsidRPr="00606ACC">
              <w:rPr>
                <w:sz w:val="16"/>
                <w:szCs w:val="16"/>
              </w:rPr>
              <w:t xml:space="preserve"> TWh</w:t>
            </w:r>
          </w:p>
        </w:tc>
      </w:tr>
      <w:tr w:rsidRPr="00606ACC" w:rsidR="00A25164" w:rsidTr="00D001CE" w14:paraId="66F8D988" w14:textId="77777777">
        <w:trPr>
          <w:trHeight w:val="1459"/>
        </w:trPr>
        <w:tc>
          <w:tcPr>
            <w:tcW w:w="1336" w:type="dxa"/>
            <w:hideMark/>
          </w:tcPr>
          <w:p w:rsidRPr="00606ACC" w:rsidR="00A25164" w:rsidP="003B14FA" w:rsidRDefault="00A25164" w14:paraId="64FE9A3B" w14:textId="77777777">
            <w:pPr>
              <w:tabs>
                <w:tab w:val="left" w:pos="840"/>
              </w:tabs>
              <w:rPr>
                <w:sz w:val="16"/>
                <w:szCs w:val="16"/>
              </w:rPr>
            </w:pPr>
            <w:r w:rsidRPr="00606ACC">
              <w:rPr>
                <w:sz w:val="16"/>
                <w:szCs w:val="16"/>
              </w:rPr>
              <w:t>Spanje</w:t>
            </w:r>
            <w:r w:rsidRPr="00606ACC">
              <w:rPr>
                <w:sz w:val="16"/>
                <w:szCs w:val="16"/>
                <w:vertAlign w:val="superscript"/>
              </w:rPr>
              <w:footnoteReference w:id="112"/>
            </w:r>
          </w:p>
        </w:tc>
        <w:tc>
          <w:tcPr>
            <w:tcW w:w="2166" w:type="dxa"/>
            <w:hideMark/>
          </w:tcPr>
          <w:p w:rsidRPr="00606ACC" w:rsidR="00A25164" w:rsidP="003B14FA" w:rsidRDefault="00A25164" w14:paraId="166FAA52" w14:textId="77777777">
            <w:pPr>
              <w:tabs>
                <w:tab w:val="left" w:pos="840"/>
              </w:tabs>
              <w:rPr>
                <w:sz w:val="16"/>
                <w:szCs w:val="16"/>
              </w:rPr>
            </w:pPr>
            <w:r w:rsidRPr="00606ACC">
              <w:rPr>
                <w:sz w:val="16"/>
                <w:szCs w:val="16"/>
              </w:rPr>
              <w:t xml:space="preserve">Leveranciers van aardgas en afnemers die niet beleverd worden middels een leverancier maar zelf gas inkopen </w:t>
            </w:r>
          </w:p>
        </w:tc>
        <w:tc>
          <w:tcPr>
            <w:tcW w:w="2484" w:type="dxa"/>
            <w:hideMark/>
          </w:tcPr>
          <w:p w:rsidRPr="00606ACC" w:rsidR="00A25164" w:rsidP="003B14FA" w:rsidRDefault="00A25164" w14:paraId="54E5B9F2" w14:textId="77777777">
            <w:pPr>
              <w:tabs>
                <w:tab w:val="left" w:pos="840"/>
              </w:tabs>
              <w:rPr>
                <w:sz w:val="16"/>
                <w:szCs w:val="16"/>
              </w:rPr>
            </w:pPr>
            <w:r w:rsidRPr="00606ACC">
              <w:rPr>
                <w:sz w:val="16"/>
                <w:szCs w:val="16"/>
              </w:rPr>
              <w:t>10 dagen van verkoop/verbruik van aardgas.</w:t>
            </w:r>
          </w:p>
        </w:tc>
        <w:tc>
          <w:tcPr>
            <w:tcW w:w="1832" w:type="dxa"/>
            <w:hideMark/>
          </w:tcPr>
          <w:p w:rsidRPr="00606ACC" w:rsidR="00A25164" w:rsidP="003B14FA" w:rsidRDefault="00A25164" w14:paraId="0C1B4E90" w14:textId="77777777">
            <w:pPr>
              <w:tabs>
                <w:tab w:val="left" w:pos="840"/>
              </w:tabs>
              <w:rPr>
                <w:sz w:val="16"/>
                <w:szCs w:val="16"/>
              </w:rPr>
            </w:pPr>
            <w:r w:rsidRPr="00606ACC">
              <w:rPr>
                <w:sz w:val="16"/>
                <w:szCs w:val="16"/>
              </w:rPr>
              <w:t xml:space="preserve">Bedrijven rekenen dit door aan hun eindafnemers. </w:t>
            </w:r>
          </w:p>
        </w:tc>
        <w:tc>
          <w:tcPr>
            <w:tcW w:w="1165" w:type="dxa"/>
          </w:tcPr>
          <w:p w:rsidRPr="00606ACC" w:rsidR="00A25164" w:rsidP="003B14FA" w:rsidRDefault="00A25164" w14:paraId="0EA18F08" w14:textId="71F1D449">
            <w:pPr>
              <w:tabs>
                <w:tab w:val="left" w:pos="840"/>
              </w:tabs>
              <w:rPr>
                <w:sz w:val="16"/>
                <w:szCs w:val="16"/>
              </w:rPr>
            </w:pPr>
            <w:r w:rsidRPr="00606ACC">
              <w:rPr>
                <w:sz w:val="16"/>
                <w:szCs w:val="16"/>
              </w:rPr>
              <w:t>3</w:t>
            </w:r>
            <w:r w:rsidRPr="00606ACC" w:rsidR="00863DD4">
              <w:rPr>
                <w:sz w:val="16"/>
                <w:szCs w:val="16"/>
              </w:rPr>
              <w:t>30,8</w:t>
            </w:r>
            <w:r w:rsidRPr="00606ACC">
              <w:rPr>
                <w:sz w:val="16"/>
                <w:szCs w:val="16"/>
              </w:rPr>
              <w:t xml:space="preserve"> TWh</w:t>
            </w:r>
          </w:p>
        </w:tc>
      </w:tr>
      <w:tr w:rsidRPr="00606ACC" w:rsidR="00A25164" w:rsidTr="00D001CE" w14:paraId="6C1FB366" w14:textId="77777777">
        <w:trPr>
          <w:trHeight w:val="1459"/>
        </w:trPr>
        <w:tc>
          <w:tcPr>
            <w:tcW w:w="1336" w:type="dxa"/>
            <w:hideMark/>
          </w:tcPr>
          <w:p w:rsidRPr="00606ACC" w:rsidR="00A25164" w:rsidP="003B14FA" w:rsidRDefault="00A25164" w14:paraId="73BE1603" w14:textId="77777777">
            <w:pPr>
              <w:tabs>
                <w:tab w:val="left" w:pos="840"/>
              </w:tabs>
              <w:rPr>
                <w:sz w:val="16"/>
                <w:szCs w:val="16"/>
              </w:rPr>
            </w:pPr>
            <w:r w:rsidRPr="00606ACC">
              <w:rPr>
                <w:sz w:val="16"/>
                <w:szCs w:val="16"/>
              </w:rPr>
              <w:t>Tsjechië</w:t>
            </w:r>
            <w:r w:rsidRPr="00606ACC">
              <w:rPr>
                <w:sz w:val="16"/>
                <w:szCs w:val="16"/>
                <w:vertAlign w:val="superscript"/>
              </w:rPr>
              <w:footnoteReference w:id="113"/>
            </w:r>
            <w:r w:rsidRPr="00606ACC">
              <w:rPr>
                <w:sz w:val="16"/>
                <w:szCs w:val="16"/>
              </w:rPr>
              <w:t xml:space="preserve"> (tijdelijk)</w:t>
            </w:r>
          </w:p>
        </w:tc>
        <w:tc>
          <w:tcPr>
            <w:tcW w:w="2166" w:type="dxa"/>
            <w:hideMark/>
          </w:tcPr>
          <w:p w:rsidRPr="00606ACC" w:rsidR="00A25164" w:rsidP="003B14FA" w:rsidRDefault="00A25164" w14:paraId="5E5F6899" w14:textId="77777777">
            <w:pPr>
              <w:tabs>
                <w:tab w:val="left" w:pos="840"/>
              </w:tabs>
              <w:rPr>
                <w:sz w:val="16"/>
                <w:szCs w:val="16"/>
                <w:lang w:val="en-US"/>
              </w:rPr>
            </w:pPr>
            <w:r w:rsidRPr="00606ACC">
              <w:rPr>
                <w:sz w:val="16"/>
                <w:szCs w:val="16"/>
                <w:lang w:val="en-US"/>
              </w:rPr>
              <w:t>Administration of State Material Reserves</w:t>
            </w:r>
          </w:p>
        </w:tc>
        <w:tc>
          <w:tcPr>
            <w:tcW w:w="2484" w:type="dxa"/>
            <w:hideMark/>
          </w:tcPr>
          <w:p w:rsidRPr="00606ACC" w:rsidR="00A25164" w:rsidP="003B14FA" w:rsidRDefault="00A25164" w14:paraId="0D3CAB00" w14:textId="77777777">
            <w:pPr>
              <w:tabs>
                <w:tab w:val="left" w:pos="840"/>
              </w:tabs>
              <w:rPr>
                <w:sz w:val="16"/>
                <w:szCs w:val="16"/>
              </w:rPr>
            </w:pPr>
            <w:r w:rsidRPr="00606ACC">
              <w:rPr>
                <w:sz w:val="16"/>
                <w:szCs w:val="16"/>
              </w:rPr>
              <w:t>ca. 2,5 TWh (240 mcm)</w:t>
            </w:r>
          </w:p>
        </w:tc>
        <w:tc>
          <w:tcPr>
            <w:tcW w:w="1832" w:type="dxa"/>
            <w:hideMark/>
          </w:tcPr>
          <w:p w:rsidRPr="00606ACC" w:rsidR="00A25164" w:rsidP="003B14FA" w:rsidRDefault="00A25164" w14:paraId="6B78C450" w14:textId="77777777">
            <w:pPr>
              <w:tabs>
                <w:tab w:val="left" w:pos="840"/>
              </w:tabs>
              <w:rPr>
                <w:sz w:val="16"/>
                <w:szCs w:val="16"/>
              </w:rPr>
            </w:pPr>
            <w:r w:rsidRPr="00606ACC">
              <w:rPr>
                <w:sz w:val="16"/>
                <w:szCs w:val="16"/>
              </w:rPr>
              <w:t>Algemene middelen</w:t>
            </w:r>
          </w:p>
        </w:tc>
        <w:tc>
          <w:tcPr>
            <w:tcW w:w="1165" w:type="dxa"/>
          </w:tcPr>
          <w:p w:rsidRPr="00606ACC" w:rsidR="00A25164" w:rsidP="003B14FA" w:rsidRDefault="00A25164" w14:paraId="13101C70" w14:textId="6569EA61">
            <w:pPr>
              <w:tabs>
                <w:tab w:val="left" w:pos="840"/>
              </w:tabs>
              <w:rPr>
                <w:sz w:val="16"/>
                <w:szCs w:val="16"/>
              </w:rPr>
            </w:pPr>
            <w:r w:rsidRPr="00606ACC">
              <w:rPr>
                <w:sz w:val="16"/>
                <w:szCs w:val="16"/>
              </w:rPr>
              <w:t>7</w:t>
            </w:r>
            <w:r w:rsidRPr="00606ACC" w:rsidR="00863DD4">
              <w:rPr>
                <w:sz w:val="16"/>
                <w:szCs w:val="16"/>
              </w:rPr>
              <w:t>9,4</w:t>
            </w:r>
            <w:r w:rsidRPr="00606ACC">
              <w:rPr>
                <w:sz w:val="16"/>
                <w:szCs w:val="16"/>
              </w:rPr>
              <w:t xml:space="preserve"> TWh</w:t>
            </w:r>
          </w:p>
        </w:tc>
      </w:tr>
    </w:tbl>
    <w:p w:rsidRPr="003B1DAE" w:rsidR="00A25164" w:rsidP="003B14FA" w:rsidRDefault="00A25164" w14:paraId="17325189" w14:textId="77777777">
      <w:pPr>
        <w:tabs>
          <w:tab w:val="left" w:pos="840"/>
        </w:tabs>
        <w:rPr>
          <w:szCs w:val="18"/>
        </w:rPr>
      </w:pPr>
    </w:p>
    <w:p w:rsidRPr="003B1DAE" w:rsidR="00A25164" w:rsidP="003B14FA" w:rsidRDefault="00A25164" w14:paraId="006EA374" w14:textId="77777777">
      <w:pPr>
        <w:rPr>
          <w:szCs w:val="18"/>
        </w:rPr>
      </w:pPr>
    </w:p>
    <w:p w:rsidRPr="003B1DAE" w:rsidR="00A25164" w:rsidP="003B14FA" w:rsidRDefault="00A25164" w14:paraId="2F8152D6" w14:textId="77777777">
      <w:pPr>
        <w:rPr>
          <w:szCs w:val="18"/>
        </w:rPr>
      </w:pPr>
    </w:p>
    <w:p w:rsidRPr="003B1DAE" w:rsidR="00A25164" w:rsidP="003B14FA" w:rsidRDefault="00A25164" w14:paraId="0F53B057" w14:textId="77777777">
      <w:pPr>
        <w:rPr>
          <w:szCs w:val="18"/>
        </w:rPr>
      </w:pPr>
    </w:p>
    <w:p w:rsidRPr="003B1DAE" w:rsidR="00A25164" w:rsidP="003B14FA" w:rsidRDefault="00A25164" w14:paraId="18A0BB5C" w14:textId="77777777">
      <w:pPr>
        <w:rPr>
          <w:szCs w:val="18"/>
        </w:rPr>
      </w:pPr>
    </w:p>
    <w:p w:rsidRPr="003B1DAE" w:rsidR="00A25164" w:rsidP="003B14FA" w:rsidRDefault="00A25164" w14:paraId="694067A9" w14:textId="77777777">
      <w:pPr>
        <w:rPr>
          <w:szCs w:val="18"/>
        </w:rPr>
      </w:pPr>
    </w:p>
    <w:p w:rsidRPr="003B1DAE" w:rsidR="00A25164" w:rsidP="003B14FA" w:rsidRDefault="00A25164" w14:paraId="66D5BF88" w14:textId="77777777">
      <w:pPr>
        <w:rPr>
          <w:szCs w:val="18"/>
        </w:rPr>
      </w:pPr>
    </w:p>
    <w:p w:rsidRPr="003B1DAE" w:rsidR="00A25164" w:rsidP="003B14FA" w:rsidRDefault="00A25164" w14:paraId="3121B39A" w14:textId="77777777">
      <w:pPr>
        <w:rPr>
          <w:szCs w:val="18"/>
        </w:rPr>
      </w:pPr>
    </w:p>
    <w:p w:rsidRPr="003B1DAE" w:rsidR="00A25164" w:rsidP="003B14FA" w:rsidRDefault="00A25164" w14:paraId="74F3E3B3" w14:textId="77777777">
      <w:pPr>
        <w:rPr>
          <w:szCs w:val="18"/>
        </w:rPr>
      </w:pPr>
    </w:p>
    <w:p w:rsidRPr="003B1DAE" w:rsidR="00A25164" w:rsidP="003B14FA" w:rsidRDefault="00A25164" w14:paraId="4B73322D" w14:textId="77777777">
      <w:pPr>
        <w:rPr>
          <w:b/>
          <w:bCs/>
          <w:szCs w:val="18"/>
        </w:rPr>
      </w:pPr>
      <w:r w:rsidRPr="003B1DAE">
        <w:rPr>
          <w:b/>
          <w:bCs/>
          <w:szCs w:val="18"/>
        </w:rPr>
        <w:br w:type="page"/>
      </w:r>
    </w:p>
    <w:p w:rsidRPr="003B1DAE" w:rsidR="00A25164" w:rsidP="003B14FA" w:rsidRDefault="00A25164" w14:paraId="1D58D4C5" w14:textId="77777777">
      <w:pPr>
        <w:rPr>
          <w:szCs w:val="18"/>
        </w:rPr>
      </w:pPr>
      <w:r w:rsidRPr="003B1DAE">
        <w:rPr>
          <w:b/>
          <w:bCs/>
          <w:szCs w:val="18"/>
        </w:rPr>
        <w:t>Bijlage 5</w:t>
      </w:r>
      <w:r w:rsidRPr="003B1DAE">
        <w:rPr>
          <w:szCs w:val="18"/>
        </w:rPr>
        <w:t xml:space="preserve"> – appreciaties van ontvangen adviezen</w:t>
      </w:r>
    </w:p>
    <w:p w:rsidRPr="003B1DAE" w:rsidR="00A25164" w:rsidP="003B14FA" w:rsidRDefault="00A25164" w14:paraId="73E75D09" w14:textId="77777777">
      <w:pPr>
        <w:rPr>
          <w:szCs w:val="18"/>
        </w:rPr>
      </w:pPr>
    </w:p>
    <w:p w:rsidRPr="003B1DAE" w:rsidR="00A25164" w:rsidP="003B14FA" w:rsidRDefault="00A25164" w14:paraId="0DE90973" w14:textId="77777777">
      <w:pPr>
        <w:rPr>
          <w:szCs w:val="18"/>
        </w:rPr>
      </w:pPr>
      <w:r w:rsidRPr="003B1DAE">
        <w:rPr>
          <w:szCs w:val="18"/>
        </w:rPr>
        <w:t xml:space="preserve">Op de relevante plekken in deze brief is aangegeven hoe het kabinet kijkt naar de ontvangen adviezen ten aanzien van het betreffende onderwerp. In deze bijlage wordt per ontvangen onderzoek nog kort samengevat wat de belangrijkste adviezen zijn en hoe het kabinet deze apprecieert. </w:t>
      </w:r>
    </w:p>
    <w:p w:rsidRPr="003B1DAE" w:rsidR="00A25164" w:rsidP="003B14FA" w:rsidRDefault="00A25164" w14:paraId="401C38E6" w14:textId="77777777">
      <w:pPr>
        <w:rPr>
          <w:szCs w:val="18"/>
        </w:rPr>
      </w:pPr>
    </w:p>
    <w:p w:rsidRPr="003B1DAE" w:rsidR="00A25164" w:rsidP="003B14FA" w:rsidRDefault="00A25164" w14:paraId="15BFAB45" w14:textId="1405F725">
      <w:pPr>
        <w:rPr>
          <w:b/>
          <w:szCs w:val="18"/>
        </w:rPr>
      </w:pPr>
      <w:r w:rsidRPr="003B1DAE">
        <w:rPr>
          <w:b/>
          <w:szCs w:val="18"/>
        </w:rPr>
        <w:t xml:space="preserve">Bijlage </w:t>
      </w:r>
      <w:r w:rsidRPr="003B1DAE">
        <w:rPr>
          <w:b/>
          <w:bCs/>
          <w:szCs w:val="18"/>
        </w:rPr>
        <w:t>5a</w:t>
      </w:r>
      <w:r w:rsidRPr="003B1DAE">
        <w:rPr>
          <w:b/>
          <w:szCs w:val="18"/>
        </w:rPr>
        <w:t xml:space="preserve"> – </w:t>
      </w:r>
      <w:r w:rsidRPr="003B1DAE">
        <w:rPr>
          <w:szCs w:val="18"/>
        </w:rPr>
        <w:t>Appreciatie rapport GTS:</w:t>
      </w:r>
      <w:r w:rsidRPr="003B1DAE">
        <w:rPr>
          <w:b/>
          <w:szCs w:val="18"/>
        </w:rPr>
        <w:t xml:space="preserve"> </w:t>
      </w:r>
      <w:r w:rsidRPr="003B1DAE">
        <w:rPr>
          <w:i/>
          <w:szCs w:val="18"/>
        </w:rPr>
        <w:t>Een robuuste Europese Aardgasvoorziening</w:t>
      </w:r>
    </w:p>
    <w:p w:rsidRPr="003B1DAE" w:rsidR="00A25164" w:rsidP="003B14FA" w:rsidRDefault="00A25164" w14:paraId="751A3621" w14:textId="77777777">
      <w:pPr>
        <w:rPr>
          <w:szCs w:val="18"/>
        </w:rPr>
      </w:pPr>
    </w:p>
    <w:p w:rsidRPr="003B1DAE" w:rsidR="00A25164" w:rsidP="003B14FA" w:rsidRDefault="00A25164" w14:paraId="099B7572" w14:textId="77777777">
      <w:pPr>
        <w:rPr>
          <w:szCs w:val="18"/>
        </w:rPr>
      </w:pPr>
      <w:r w:rsidRPr="003B1DAE">
        <w:rPr>
          <w:szCs w:val="18"/>
        </w:rPr>
        <w:t xml:space="preserve">Per commissiebrief is het kabinet gevraagd te reageren op het rapport Een robuuste Europese Aardgasvoorziening van GTS. In dit rapport doet GTS aanbevelingen met betrekking tot het waarborgen van een weerbaar gassysteem. Het kabinet onderschrijft het belang van een weerbaar gassysteem en zet hier met huidig en toekomstig beleid dan ook op in. </w:t>
      </w:r>
    </w:p>
    <w:p w:rsidRPr="003B1DAE" w:rsidR="00A25164" w:rsidP="003B14FA" w:rsidRDefault="00A25164" w14:paraId="2BF547CB" w14:textId="77777777">
      <w:pPr>
        <w:rPr>
          <w:szCs w:val="18"/>
        </w:rPr>
      </w:pPr>
    </w:p>
    <w:p w:rsidRPr="003B1DAE" w:rsidR="00A25164" w:rsidP="003B14FA" w:rsidRDefault="00A25164" w14:paraId="7BD0051E" w14:textId="2B5180CD">
      <w:pPr>
        <w:rPr>
          <w:szCs w:val="18"/>
        </w:rPr>
      </w:pPr>
      <w:r w:rsidRPr="003B1DAE">
        <w:rPr>
          <w:szCs w:val="18"/>
        </w:rPr>
        <w:t xml:space="preserve">Het kabinet deelt de visie van GTS dat instandhouding van bestaande infrastructuur, waaronder </w:t>
      </w:r>
      <w:r w:rsidRPr="003B1DAE" w:rsidR="00F6678D">
        <w:rPr>
          <w:szCs w:val="18"/>
        </w:rPr>
        <w:t>LNG-terminals</w:t>
      </w:r>
      <w:r w:rsidRPr="003B1DAE">
        <w:rPr>
          <w:szCs w:val="18"/>
        </w:rPr>
        <w:t xml:space="preserve"> van belang is voor de leveringszekerheid en hub-functie die Nederland heeft in Europa. Met betrekking tot langetermijncontracten is het kabinet, net als in voorgaande jaren, nog steeds van mening dat het verplichten van of sturen op langetermijncontracten, al dan niet via EBN, geen doelmatig instrument is dat bijdraagt aan de leveringszekerheid en betaalbaarheid in Nederland.</w:t>
      </w:r>
    </w:p>
    <w:p w:rsidRPr="003B1DAE" w:rsidR="00A25164" w:rsidP="003B14FA" w:rsidRDefault="00A25164" w14:paraId="76614FF3" w14:textId="77777777">
      <w:pPr>
        <w:rPr>
          <w:szCs w:val="18"/>
        </w:rPr>
      </w:pPr>
    </w:p>
    <w:p w:rsidRPr="003B1DAE" w:rsidR="00A25164" w:rsidP="003B14FA" w:rsidRDefault="00A25164" w14:paraId="0E450774" w14:textId="22345A33">
      <w:pPr>
        <w:rPr>
          <w:szCs w:val="18"/>
        </w:rPr>
      </w:pPr>
      <w:r w:rsidRPr="003B1DAE">
        <w:rPr>
          <w:szCs w:val="18"/>
        </w:rPr>
        <w:t>Ook adviseert GTS om alle gasopslagen in bedrijf te houden. Het kabinet erkent het belang van een goed functionerende</w:t>
      </w:r>
      <w:r w:rsidRPr="003B1DAE" w:rsidR="00771F9A">
        <w:rPr>
          <w:szCs w:val="18"/>
        </w:rPr>
        <w:t xml:space="preserve"> markt voor</w:t>
      </w:r>
      <w:r w:rsidRPr="003B1DAE">
        <w:rPr>
          <w:szCs w:val="18"/>
        </w:rPr>
        <w:t xml:space="preserve"> gasopslagen en neemt ook meerdere maatregelen om de</w:t>
      </w:r>
      <w:r w:rsidRPr="003B1DAE" w:rsidR="00771F9A">
        <w:rPr>
          <w:szCs w:val="18"/>
        </w:rPr>
        <w:t>ze</w:t>
      </w:r>
      <w:r w:rsidRPr="003B1DAE" w:rsidR="002C2C3C">
        <w:rPr>
          <w:szCs w:val="18"/>
        </w:rPr>
        <w:t xml:space="preserve"> </w:t>
      </w:r>
      <w:r w:rsidRPr="003B1DAE">
        <w:rPr>
          <w:szCs w:val="18"/>
        </w:rPr>
        <w:t xml:space="preserve">markt te verstevigen. Het kabinet beziet daarbij </w:t>
      </w:r>
      <w:r w:rsidRPr="003B1DAE" w:rsidR="005B42C5">
        <w:rPr>
          <w:szCs w:val="18"/>
        </w:rPr>
        <w:t xml:space="preserve">per geval </w:t>
      </w:r>
      <w:r w:rsidRPr="003B1DAE">
        <w:rPr>
          <w:szCs w:val="18"/>
        </w:rPr>
        <w:t xml:space="preserve">de noodzakelijke inzet van de </w:t>
      </w:r>
      <w:r w:rsidRPr="003B1DAE" w:rsidR="005B42C5">
        <w:rPr>
          <w:szCs w:val="18"/>
        </w:rPr>
        <w:t xml:space="preserve">individuele </w:t>
      </w:r>
      <w:r w:rsidRPr="003B1DAE">
        <w:rPr>
          <w:szCs w:val="18"/>
        </w:rPr>
        <w:t>gasopslagen voor de leveringszekerheid.</w:t>
      </w:r>
    </w:p>
    <w:p w:rsidRPr="003B1DAE" w:rsidR="00A25164" w:rsidP="003B14FA" w:rsidRDefault="00A25164" w14:paraId="093BAF75" w14:textId="77777777">
      <w:pPr>
        <w:rPr>
          <w:szCs w:val="18"/>
        </w:rPr>
      </w:pPr>
    </w:p>
    <w:p w:rsidRPr="003B1DAE" w:rsidR="00A25164" w:rsidP="003B14FA" w:rsidRDefault="00A25164" w14:paraId="51C6C577" w14:textId="70A2C7D2">
      <w:pPr>
        <w:rPr>
          <w:szCs w:val="18"/>
        </w:rPr>
      </w:pPr>
      <w:r w:rsidRPr="003B1DAE">
        <w:rPr>
          <w:szCs w:val="18"/>
        </w:rPr>
        <w:t xml:space="preserve">Om voorbereid te zijn op langdurige verstoring adviseert GTS om een noodvoorraad aan te leggen. Het </w:t>
      </w:r>
      <w:r w:rsidRPr="003B1DAE" w:rsidR="00A477C6">
        <w:rPr>
          <w:szCs w:val="18"/>
        </w:rPr>
        <w:t>k</w:t>
      </w:r>
      <w:r w:rsidRPr="003B1DAE">
        <w:rPr>
          <w:szCs w:val="18"/>
        </w:rPr>
        <w:t xml:space="preserve">abinet ziet een noodvoorraad ook als een belangrijk middel om voorbereid te zijn op fysieke storingen en is daarom gestart met de voorbereidingen voor een strategische opslag (noodvoorraad) van 5 TWh door EBN. </w:t>
      </w:r>
    </w:p>
    <w:p w:rsidRPr="003B1DAE" w:rsidR="00A25164" w:rsidP="003B14FA" w:rsidRDefault="00A25164" w14:paraId="51923547" w14:textId="77777777">
      <w:pPr>
        <w:rPr>
          <w:szCs w:val="18"/>
        </w:rPr>
      </w:pPr>
    </w:p>
    <w:p w:rsidRPr="003B1DAE" w:rsidR="00A25164" w:rsidP="003B14FA" w:rsidRDefault="00A25164" w14:paraId="7112D6D5" w14:textId="43E7012F">
      <w:pPr>
        <w:rPr>
          <w:szCs w:val="18"/>
        </w:rPr>
      </w:pPr>
      <w:r w:rsidRPr="003B1DAE">
        <w:rPr>
          <w:szCs w:val="18"/>
        </w:rPr>
        <w:t xml:space="preserve">Daarnaast noemt GTS de optie tot het aanmerken van kussengas als noodvoorraad. Om kussengas in te zetten zijn er verschillende componenten zoals de capaciteit, volume, eigenaarssituatie van het kussengas en gasopslagen, veiligheidsoverwegingen en juridische aspecten die verder onderzoek vereisen. Daarnaast voert het </w:t>
      </w:r>
      <w:r w:rsidRPr="003B1DAE" w:rsidR="00A477C6">
        <w:rPr>
          <w:szCs w:val="18"/>
        </w:rPr>
        <w:t>k</w:t>
      </w:r>
      <w:r w:rsidRPr="003B1DAE">
        <w:rPr>
          <w:szCs w:val="18"/>
        </w:rPr>
        <w:t>abinet graag eerst het gesprek met uw Kamer over</w:t>
      </w:r>
      <w:r w:rsidRPr="003B1DAE" w:rsidR="00EF1DBF">
        <w:rPr>
          <w:szCs w:val="18"/>
        </w:rPr>
        <w:t xml:space="preserve"> de</w:t>
      </w:r>
      <w:r w:rsidRPr="003B1DAE">
        <w:rPr>
          <w:szCs w:val="18"/>
        </w:rPr>
        <w:t xml:space="preserve"> gewenste vorm van een strategische noodvoorraad.</w:t>
      </w:r>
    </w:p>
    <w:p w:rsidRPr="003B1DAE" w:rsidR="00A25164" w:rsidP="003B14FA" w:rsidRDefault="00A25164" w14:paraId="7AC894BF" w14:textId="77777777">
      <w:pPr>
        <w:rPr>
          <w:szCs w:val="18"/>
        </w:rPr>
      </w:pPr>
    </w:p>
    <w:p w:rsidRPr="003B1DAE" w:rsidR="00A25164" w:rsidP="003B14FA" w:rsidRDefault="00A25164" w14:paraId="7BFF6ED3" w14:textId="77777777">
      <w:pPr>
        <w:rPr>
          <w:szCs w:val="18"/>
        </w:rPr>
      </w:pPr>
      <w:r w:rsidRPr="003B1DAE">
        <w:rPr>
          <w:szCs w:val="18"/>
        </w:rPr>
        <w:t xml:space="preserve">Verder noemt GTS een aantal maatregelen die overwogen kunnen worden om het effect van tekorten te mitigeren door te kijken naar verplichte afschakeling van bepaalde sectoren en/of verplichte inzet van andere energietypen. In 2027 staat herziening van het bescherm en herstelplan gas (BHG) op de agenda waar verder gekeken zal worden naar mogelijke maatregelen, het effect hiervan en de algehele wenselijkheid. </w:t>
      </w:r>
    </w:p>
    <w:p w:rsidRPr="003B1DAE" w:rsidR="00A25164" w:rsidP="003B14FA" w:rsidRDefault="00A25164" w14:paraId="114B9635" w14:textId="77777777">
      <w:pPr>
        <w:rPr>
          <w:szCs w:val="18"/>
        </w:rPr>
      </w:pPr>
    </w:p>
    <w:p w:rsidRPr="003B1DAE" w:rsidR="00A25164" w:rsidP="003B14FA" w:rsidRDefault="00A25164" w14:paraId="1BCE24FB" w14:textId="50B0F704">
      <w:pPr>
        <w:rPr>
          <w:szCs w:val="18"/>
        </w:rPr>
      </w:pPr>
      <w:r w:rsidRPr="003B1DAE">
        <w:rPr>
          <w:szCs w:val="18"/>
        </w:rPr>
        <w:t xml:space="preserve">GTS noemt in het rapport ook het belang van risico-evaluatie van langdurige verstoringen op Europees niveau. Het kabinet deelt deze mening van GTS, zo wordt er om de vier jaar worden er regionale risico-evaluaties opgesteld in de Europese risicogroepen (Nederland is lid van de risicogroep voor LNG-levering en de risicogroep voor gaslevering rond de Noordzee) en worden nationale risico-evaluaties opgesteld door de lidstaten. Het kabinet maakt hierbij dankbaar gebruik van de kennis van GTS. ENTSO-G geeft verder elke vier jaar een simulatie van gasleverings- en infrastructuurverstoringsscenario’s, met inbegrip van scenario’s van een langdurige verstoring van één leveringsbron. Daarmee worden de risico’s voldoende in kaart gebracht op Europees niveau en is dit afdoende geborgd in de </w:t>
      </w:r>
      <w:r w:rsidRPr="003B1DAE" w:rsidR="00A477C6">
        <w:rPr>
          <w:szCs w:val="18"/>
        </w:rPr>
        <w:t>Verordening gas</w:t>
      </w:r>
      <w:r w:rsidRPr="003B1DAE">
        <w:rPr>
          <w:szCs w:val="18"/>
        </w:rPr>
        <w:t xml:space="preserve">leveringszekerheid. </w:t>
      </w:r>
    </w:p>
    <w:p w:rsidRPr="003B1DAE" w:rsidR="00A25164" w:rsidP="003B14FA" w:rsidRDefault="00A25164" w14:paraId="4E6D6DBA" w14:textId="77777777">
      <w:pPr>
        <w:rPr>
          <w:szCs w:val="18"/>
        </w:rPr>
      </w:pPr>
    </w:p>
    <w:p w:rsidRPr="003B1DAE" w:rsidR="00A25164" w:rsidP="003B14FA" w:rsidRDefault="00A25164" w14:paraId="5717496B" w14:textId="200DB920">
      <w:pPr>
        <w:rPr>
          <w:szCs w:val="18"/>
        </w:rPr>
      </w:pPr>
      <w:r w:rsidRPr="003B1DAE">
        <w:rPr>
          <w:szCs w:val="18"/>
        </w:rPr>
        <w:t xml:space="preserve">GTS adviseert het kabinet ook om de </w:t>
      </w:r>
      <w:r w:rsidRPr="003B1DAE" w:rsidR="003A3276">
        <w:rPr>
          <w:szCs w:val="18"/>
        </w:rPr>
        <w:t>Verordening gasleveringszekerheid</w:t>
      </w:r>
      <w:r w:rsidRPr="003B1DAE">
        <w:rPr>
          <w:szCs w:val="18"/>
        </w:rPr>
        <w:t xml:space="preserve"> </w:t>
      </w:r>
      <w:r w:rsidRPr="003B1DAE" w:rsidR="00A72BA9">
        <w:rPr>
          <w:szCs w:val="18"/>
        </w:rPr>
        <w:t>zodanig</w:t>
      </w:r>
      <w:r w:rsidRPr="003B1DAE">
        <w:rPr>
          <w:szCs w:val="18"/>
        </w:rPr>
        <w:t xml:space="preserve"> aan te passen </w:t>
      </w:r>
      <w:r w:rsidRPr="003B1DAE" w:rsidR="00A72BA9">
        <w:rPr>
          <w:szCs w:val="18"/>
        </w:rPr>
        <w:t>op</w:t>
      </w:r>
      <w:r w:rsidRPr="003B1DAE">
        <w:rPr>
          <w:szCs w:val="18"/>
        </w:rPr>
        <w:t xml:space="preserve">dat Nederland bij een aannemelijke noodsituatie een noodvoorraad kan vrijgeven. Ten algemene geldt dat er voorzichtig moet worden omgesprongen met het aanpassen van de criteria wanneer een noodsituatie in de zin van de </w:t>
      </w:r>
      <w:r w:rsidRPr="003B1DAE" w:rsidR="00A477C6">
        <w:rPr>
          <w:szCs w:val="18"/>
        </w:rPr>
        <w:t>Verordening gas</w:t>
      </w:r>
      <w:r w:rsidRPr="003B1DAE">
        <w:rPr>
          <w:szCs w:val="18"/>
        </w:rPr>
        <w:t>leveringszekerheid kan worden afgekondigd. In een noodsituatie kunnen lidstaten immers niet-marktgebaseerde maatregelen treffen die, gezien de ernst van de crisis, beoogd zijn om de crisis te verhelpen. PwC waarschuwt dat te ruime inzet van een strategische opslag, marktprikkels kunnen verstoren en marktherstel zelfs kan vertragen doordat normale werking van vraag en aanbod wordt onderdrukt.</w:t>
      </w:r>
    </w:p>
    <w:p w:rsidRPr="003B1DAE" w:rsidR="00A25164" w:rsidP="003B14FA" w:rsidRDefault="00A25164" w14:paraId="4751236F" w14:textId="77777777">
      <w:pPr>
        <w:rPr>
          <w:b/>
          <w:szCs w:val="18"/>
        </w:rPr>
      </w:pPr>
    </w:p>
    <w:p w:rsidRPr="003B1DAE" w:rsidR="00A25164" w:rsidP="003B14FA" w:rsidRDefault="00A25164" w14:paraId="0EC94753" w14:textId="77777777">
      <w:pPr>
        <w:rPr>
          <w:b/>
          <w:i/>
          <w:szCs w:val="18"/>
        </w:rPr>
      </w:pPr>
      <w:r w:rsidRPr="003B1DAE">
        <w:rPr>
          <w:b/>
          <w:szCs w:val="18"/>
        </w:rPr>
        <w:t xml:space="preserve">Bijlage </w:t>
      </w:r>
      <w:r w:rsidRPr="003B1DAE">
        <w:rPr>
          <w:b/>
          <w:bCs/>
          <w:szCs w:val="18"/>
        </w:rPr>
        <w:t>5b</w:t>
      </w:r>
      <w:r w:rsidRPr="003B1DAE">
        <w:rPr>
          <w:b/>
          <w:szCs w:val="18"/>
        </w:rPr>
        <w:t xml:space="preserve"> – </w:t>
      </w:r>
      <w:r w:rsidRPr="003B1DAE">
        <w:rPr>
          <w:szCs w:val="18"/>
        </w:rPr>
        <w:t xml:space="preserve">Appreciatie rapport CE Delft </w:t>
      </w:r>
      <w:r w:rsidRPr="003B1DAE">
        <w:rPr>
          <w:i/>
          <w:szCs w:val="18"/>
        </w:rPr>
        <w:t xml:space="preserve">Strategische </w:t>
      </w:r>
      <w:r w:rsidRPr="003B1DAE">
        <w:rPr>
          <w:i/>
          <w:iCs/>
          <w:szCs w:val="18"/>
        </w:rPr>
        <w:t>Kussengasreserves</w:t>
      </w:r>
    </w:p>
    <w:p w:rsidRPr="003B1DAE" w:rsidR="00A25164" w:rsidP="003B14FA" w:rsidRDefault="00A25164" w14:paraId="5AC1E124" w14:textId="77777777">
      <w:pPr>
        <w:rPr>
          <w:b/>
          <w:bCs/>
          <w:i/>
          <w:iCs/>
          <w:szCs w:val="18"/>
        </w:rPr>
      </w:pPr>
    </w:p>
    <w:p w:rsidRPr="003B1DAE" w:rsidR="00A25164" w:rsidP="003B14FA" w:rsidRDefault="00A25164" w14:paraId="5AE6FF70" w14:textId="77777777">
      <w:pPr>
        <w:rPr>
          <w:szCs w:val="18"/>
        </w:rPr>
      </w:pPr>
      <w:r w:rsidRPr="003B1DAE">
        <w:rPr>
          <w:szCs w:val="18"/>
        </w:rPr>
        <w:t xml:space="preserve">Het kabinet reageert op het ontvangen advies ‘Strategische Kussengasreserves’ van CE Delft in opdracht van Energie Nederland. Dit rapport bevat een analyse van maatregelen om de leveringszekerheid en betaalbaarheid van gas te verbeteren. Het kabinet erkent in grote lijnen de situatie zoals geschetst in het rapport, en constateert net als de auteurs dat de gasmarkt ingrijpend is veranderd wat vraagt om een andere benadering om leveringszekerheid te borgen. </w:t>
      </w:r>
    </w:p>
    <w:p w:rsidRPr="003B1DAE" w:rsidR="00A25164" w:rsidP="003B14FA" w:rsidRDefault="00A25164" w14:paraId="6AE251F6" w14:textId="77777777">
      <w:pPr>
        <w:rPr>
          <w:szCs w:val="18"/>
        </w:rPr>
      </w:pPr>
    </w:p>
    <w:p w:rsidRPr="003B1DAE" w:rsidR="00A25164" w:rsidP="003B14FA" w:rsidRDefault="00A25164" w14:paraId="076F4840" w14:textId="77777777">
      <w:pPr>
        <w:rPr>
          <w:szCs w:val="18"/>
        </w:rPr>
      </w:pPr>
      <w:r w:rsidRPr="003B1DAE">
        <w:rPr>
          <w:szCs w:val="18"/>
        </w:rPr>
        <w:t xml:space="preserve">In het rapport wordt een aantal maatregelen geschetst. Ten aanzien van LNG wordt aanbevolen dat de LNG-importcapaciteit in Nederland moet worden gehandhaafd. Het kabinet onderschrijft dat dit van belang is voor de leveringszekerheid en hub-functie die Nederland heeft in Europa. Ook onderschrijft het kabinet de zienswijze dat een gezamenlijke inkoop van LNG geen effect heeft op de vraag/aanbod dynamiek en ziet dit dan ook niet als effectieve maatregel. CE Delft noemt bovendien langetermijncontracten als middelen om de leveringszekerheid te bevorderen. </w:t>
      </w:r>
      <w:r w:rsidRPr="003B1DAE">
        <w:rPr>
          <w:rFonts w:eastAsia="Verdana" w:cs="Verdana"/>
          <w:szCs w:val="18"/>
        </w:rPr>
        <w:t xml:space="preserve">Zoals in onderdeel B van deze brief beschreven staat het marktpartijen vrij te kiezen welk type contracten zij sluiten en voor welke duur: bilateraal (bijvoorbeeld een langetermijncontract) of op de beurs (via de TTF) en is het </w:t>
      </w:r>
      <w:r w:rsidRPr="003B1DAE">
        <w:rPr>
          <w:szCs w:val="18"/>
        </w:rPr>
        <w:t xml:space="preserve">kabinet </w:t>
      </w:r>
      <w:r w:rsidRPr="003B1DAE">
        <w:rPr>
          <w:rFonts w:eastAsia="Verdana" w:cs="Verdana"/>
          <w:szCs w:val="18"/>
        </w:rPr>
        <w:t>geen voorstander</w:t>
      </w:r>
      <w:r w:rsidRPr="003B1DAE">
        <w:rPr>
          <w:szCs w:val="18"/>
        </w:rPr>
        <w:t xml:space="preserve"> van </w:t>
      </w:r>
      <w:r w:rsidRPr="003B1DAE">
        <w:rPr>
          <w:rFonts w:eastAsia="Verdana" w:cs="Verdana"/>
          <w:szCs w:val="18"/>
        </w:rPr>
        <w:t>verplichtingen of sturing op het afsluiten</w:t>
      </w:r>
      <w:r w:rsidRPr="003B1DAE">
        <w:rPr>
          <w:szCs w:val="18"/>
        </w:rPr>
        <w:t xml:space="preserve"> van langetermijncontracten</w:t>
      </w:r>
      <w:r w:rsidRPr="003B1DAE">
        <w:rPr>
          <w:rFonts w:eastAsia="Verdana" w:cs="Verdana"/>
          <w:szCs w:val="18"/>
        </w:rPr>
        <w:t xml:space="preserve">. </w:t>
      </w:r>
    </w:p>
    <w:p w:rsidRPr="003B1DAE" w:rsidR="00A25164" w:rsidP="003B14FA" w:rsidRDefault="00A25164" w14:paraId="533378B8" w14:textId="77777777">
      <w:pPr>
        <w:rPr>
          <w:szCs w:val="18"/>
        </w:rPr>
      </w:pPr>
    </w:p>
    <w:p w:rsidRPr="003B1DAE" w:rsidR="00A25164" w:rsidP="003B14FA" w:rsidRDefault="00A25164" w14:paraId="78AB10E5" w14:textId="44DB882E">
      <w:pPr>
        <w:rPr>
          <w:szCs w:val="18"/>
        </w:rPr>
      </w:pPr>
      <w:r w:rsidRPr="003B1DAE">
        <w:rPr>
          <w:szCs w:val="18"/>
        </w:rPr>
        <w:t xml:space="preserve">Indien zich hoge prijzen op de gasmarkt voordoen noemt CE </w:t>
      </w:r>
      <w:r w:rsidRPr="003B1DAE" w:rsidR="00A477C6">
        <w:rPr>
          <w:szCs w:val="18"/>
        </w:rPr>
        <w:t xml:space="preserve">Delft </w:t>
      </w:r>
      <w:r w:rsidRPr="003B1DAE">
        <w:rPr>
          <w:szCs w:val="18"/>
        </w:rPr>
        <w:t xml:space="preserve">dat gerichte steun voor specifieke inkomensgroepen effectiever is dat generieke prijsplafonds, het </w:t>
      </w:r>
      <w:r w:rsidRPr="003B1DAE" w:rsidR="00EF1DBF">
        <w:rPr>
          <w:szCs w:val="18"/>
        </w:rPr>
        <w:t>k</w:t>
      </w:r>
      <w:r w:rsidRPr="003B1DAE">
        <w:rPr>
          <w:szCs w:val="18"/>
        </w:rPr>
        <w:t>abinet deelt deze opvatting. Het kabinet onderschrijft ook de opvatting genoemd in het rapport dat prijsplafonds marktverstorend zijn en de vraag aanbod dynamiek ten tijde van een crisis juist negatief beïnvloeden. Gedurende een crisis zullen maatregelen altijd tegen elkaar afgezet worden om zo effectief mogelijk op de ontstane crisis te kunnen reageren.</w:t>
      </w:r>
    </w:p>
    <w:p w:rsidRPr="003B1DAE" w:rsidR="00A25164" w:rsidP="003B14FA" w:rsidRDefault="00A25164" w14:paraId="55B40A2A" w14:textId="77777777">
      <w:pPr>
        <w:rPr>
          <w:szCs w:val="18"/>
        </w:rPr>
      </w:pPr>
    </w:p>
    <w:p w:rsidRPr="003B1DAE" w:rsidR="00A25164" w:rsidP="003B14FA" w:rsidRDefault="00A25164" w14:paraId="76F6D987" w14:textId="77777777">
      <w:pPr>
        <w:rPr>
          <w:szCs w:val="18"/>
        </w:rPr>
      </w:pPr>
      <w:r w:rsidRPr="003B1DAE">
        <w:rPr>
          <w:szCs w:val="18"/>
        </w:rPr>
        <w:t xml:space="preserve">Daarnaast noemt CE Delft de verplichte vulgraden voor gasopslagen en het effect hiervan op gasprijs. Met diezelfde reden is het kabinet geen voorstander van verplichte vulgraden voor gasopslagen wanneer sprake is van een goed functionerende opslagmarkt. Het kabinet is wel van mening dat wanneer de opslagmarkt niet voldoende functioneert, zij een rol moet nemen om de leveringszekerheid en vulgraden op voldoende niveau te krijgen voor de winter. Het kabinet deelt de mening dat een noodvoorraad tot zekere hoogte achtervang kan bieden bij hevige verstoringen zoals fysieke tekorten. Het kabinet ziet geen rol weggelegd voor voorraden om marktprijzen te dempen gezien de beperkte effectiviteit van de volumes van een Nederlandse voorraad ten opzichte van de volumes op de wereldmarkt. </w:t>
      </w:r>
    </w:p>
    <w:p w:rsidRPr="003B1DAE" w:rsidR="00A25164" w:rsidP="003B14FA" w:rsidRDefault="00A25164" w14:paraId="7703FBF0" w14:textId="77777777">
      <w:pPr>
        <w:rPr>
          <w:szCs w:val="18"/>
        </w:rPr>
      </w:pPr>
    </w:p>
    <w:p w:rsidRPr="003B1DAE" w:rsidR="00A25164" w:rsidP="003B14FA" w:rsidRDefault="00A25164" w14:paraId="6EE5159A" w14:textId="1F582B2A">
      <w:pPr>
        <w:rPr>
          <w:szCs w:val="18"/>
        </w:rPr>
      </w:pPr>
      <w:r w:rsidRPr="003B1DAE">
        <w:rPr>
          <w:szCs w:val="18"/>
        </w:rPr>
        <w:t xml:space="preserve">Daarnaast noemt CE Delft de optie tot het aanmerken van kussengas als noodvoorraad. Om kussengas in te zetten zijn er verschillende </w:t>
      </w:r>
      <w:r w:rsidRPr="003B1DAE" w:rsidR="009A6C33">
        <w:rPr>
          <w:szCs w:val="18"/>
        </w:rPr>
        <w:t xml:space="preserve">aandachtspunten </w:t>
      </w:r>
      <w:r w:rsidRPr="003B1DAE">
        <w:rPr>
          <w:szCs w:val="18"/>
        </w:rPr>
        <w:t xml:space="preserve">zoals de capaciteit, volume, eigenaarssituatie van het kussengas en gasopslagen, veiligheidsoverwegingen en juridische aspecten die verder onderzoek vereisen. Daarnaast voert het </w:t>
      </w:r>
      <w:r w:rsidRPr="003B1DAE" w:rsidR="00EF1DBF">
        <w:rPr>
          <w:szCs w:val="18"/>
        </w:rPr>
        <w:t>k</w:t>
      </w:r>
      <w:r w:rsidRPr="003B1DAE">
        <w:rPr>
          <w:szCs w:val="18"/>
        </w:rPr>
        <w:t xml:space="preserve">abinet graag eerst het gesprek met uw Kamer over </w:t>
      </w:r>
      <w:r w:rsidRPr="003B1DAE" w:rsidR="00EF1DBF">
        <w:rPr>
          <w:szCs w:val="18"/>
        </w:rPr>
        <w:t>de</w:t>
      </w:r>
      <w:r w:rsidRPr="003B1DAE">
        <w:rPr>
          <w:szCs w:val="18"/>
        </w:rPr>
        <w:t>gewenste vorm van een strategische noodvoorraad.</w:t>
      </w:r>
    </w:p>
    <w:p w:rsidRPr="003B1DAE" w:rsidR="00A25164" w:rsidP="003B14FA" w:rsidRDefault="00A25164" w14:paraId="657AB90B" w14:textId="77777777">
      <w:pPr>
        <w:rPr>
          <w:szCs w:val="18"/>
        </w:rPr>
      </w:pPr>
    </w:p>
    <w:p w:rsidRPr="003B1DAE" w:rsidR="00A25164" w:rsidP="003B14FA" w:rsidRDefault="00A25164" w14:paraId="3019BDD4" w14:textId="77777777">
      <w:pPr>
        <w:rPr>
          <w:i/>
          <w:szCs w:val="18"/>
        </w:rPr>
      </w:pPr>
      <w:r w:rsidRPr="003B1DAE">
        <w:rPr>
          <w:b/>
          <w:bCs/>
          <w:szCs w:val="18"/>
        </w:rPr>
        <w:t xml:space="preserve">Bijlage 5c </w:t>
      </w:r>
      <w:r w:rsidRPr="003B1DAE">
        <w:rPr>
          <w:szCs w:val="18"/>
        </w:rPr>
        <w:t xml:space="preserve">– Appreciatie rapport PWC </w:t>
      </w:r>
      <w:r w:rsidRPr="003B1DAE">
        <w:rPr>
          <w:i/>
          <w:iCs/>
          <w:szCs w:val="18"/>
        </w:rPr>
        <w:t xml:space="preserve">afwegingskader leveringszekerheid gasmarkt </w:t>
      </w:r>
    </w:p>
    <w:p w:rsidRPr="003B1DAE" w:rsidR="00A25164" w:rsidP="003B14FA" w:rsidRDefault="00A25164" w14:paraId="669437E5" w14:textId="77777777">
      <w:pPr>
        <w:rPr>
          <w:szCs w:val="18"/>
        </w:rPr>
      </w:pPr>
    </w:p>
    <w:p w:rsidRPr="003B1DAE" w:rsidR="00A25164" w:rsidP="003B14FA" w:rsidRDefault="00A25164" w14:paraId="5F3129C6" w14:textId="1CA3DE64">
      <w:pPr>
        <w:rPr>
          <w:szCs w:val="18"/>
        </w:rPr>
      </w:pPr>
      <w:r w:rsidRPr="003B1DAE">
        <w:rPr>
          <w:szCs w:val="18"/>
        </w:rPr>
        <w:t>Het rapport gaat in op de veranderde situatie op de gasmarkt en de toegenomen afhankelijkheid van import en daarmee toenemen blootstelling aan geopolitieke risico’s. Daarbij noemt PWC lokale energieopwekking en het verlagen van de totale energiebehoefte door energiebesparing als de effectiefste middelen om importafhankelijkheid te verminderen. Het kabinet onderschrijf</w:t>
      </w:r>
      <w:r w:rsidRPr="003B1DAE" w:rsidR="00000CC9">
        <w:rPr>
          <w:szCs w:val="18"/>
        </w:rPr>
        <w:t>t</w:t>
      </w:r>
      <w:r w:rsidRPr="003B1DAE">
        <w:rPr>
          <w:szCs w:val="18"/>
        </w:rPr>
        <w:t xml:space="preserve"> dit en zet vol in op energiebesparing middels verduurzaming en het vergroten van nationale productie van elektriciteit, waterstof en groen gas. </w:t>
      </w:r>
    </w:p>
    <w:p w:rsidRPr="003B1DAE" w:rsidR="00A25164" w:rsidP="003B14FA" w:rsidRDefault="00A25164" w14:paraId="7C1C8C1C" w14:textId="77777777">
      <w:pPr>
        <w:rPr>
          <w:szCs w:val="18"/>
        </w:rPr>
      </w:pPr>
    </w:p>
    <w:p w:rsidRPr="003B1DAE" w:rsidR="00A25164" w:rsidP="003B14FA" w:rsidRDefault="00A25164" w14:paraId="6E37FFB0" w14:textId="7576C68E">
      <w:pPr>
        <w:rPr>
          <w:szCs w:val="18"/>
        </w:rPr>
      </w:pPr>
      <w:r w:rsidRPr="003B1DAE">
        <w:rPr>
          <w:szCs w:val="18"/>
        </w:rPr>
        <w:t xml:space="preserve">Daarnaast gaat PWC in op beleidsinstrumenten gericht op het mitigeren van verstoringen in de gasmarkt. Deze kunnen naast het beoogde positieve effect, bijvoorbeeld meer zekerheid of (tijdelijke) verlichting van lasten voor kwetsbare afnemers, ook ongewenste effecten hebben, zoals het in stand houden van een hoge gasprijs en de afhankelijkheid van fossiele import en hoge kosten voor de Staat met zich meebrengen. Het kabinet is zich van deze neveneffecten bewust en is daarom ook van mening dat bij de inzet van maatregelen voorzichtigheid is geboden en kosten en baten van tevoren tegen elkaar afgewogen moeten worden. </w:t>
      </w:r>
    </w:p>
    <w:p w:rsidRPr="003B1DAE" w:rsidR="00A25164" w:rsidP="003B14FA" w:rsidRDefault="00A25164" w14:paraId="7558E3F7" w14:textId="77777777">
      <w:pPr>
        <w:rPr>
          <w:szCs w:val="18"/>
        </w:rPr>
      </w:pPr>
    </w:p>
    <w:p w:rsidRPr="003B1DAE" w:rsidR="00A25164" w:rsidP="003B14FA" w:rsidRDefault="00A25164" w14:paraId="6E2E839F" w14:textId="77777777">
      <w:pPr>
        <w:rPr>
          <w:szCs w:val="18"/>
        </w:rPr>
      </w:pPr>
      <w:r w:rsidRPr="003B1DAE">
        <w:rPr>
          <w:szCs w:val="18"/>
        </w:rPr>
        <w:t>Tegelijkertijd noemt PWC dat prijsstijgingen een disproportionele impact kunnen hebben op kwetsbare afnemers die niet over de middelen beschikken om dit te betalen en geen alternatieven hebben voor gasgebruik. Voor deze doelgroep is gerichte inkomenssteun de meest doelmatige maatregel. Het kabinet onderkent dat overheidsingrijpen in bepaalde situaties gerechtvaardigd kan zijn, waarbij gerichte inkomenssteun de voorkeur heeft ten opzichte van generieke prijssteun.</w:t>
      </w:r>
    </w:p>
    <w:p w:rsidRPr="003B1DAE" w:rsidR="00A25164" w:rsidP="003B14FA" w:rsidRDefault="00A25164" w14:paraId="097C6593" w14:textId="77777777">
      <w:pPr>
        <w:rPr>
          <w:szCs w:val="18"/>
        </w:rPr>
      </w:pPr>
    </w:p>
    <w:p w:rsidRPr="003B1DAE" w:rsidR="00A25164" w:rsidP="003B14FA" w:rsidRDefault="00A25164" w14:paraId="045160CB" w14:textId="301169B8">
      <w:pPr>
        <w:rPr>
          <w:szCs w:val="18"/>
        </w:rPr>
      </w:pPr>
      <w:r w:rsidRPr="003B1DAE">
        <w:rPr>
          <w:szCs w:val="18"/>
        </w:rPr>
        <w:t xml:space="preserve">Het onderzoek stelt daarnaast dat het wenselijk kan zijn om verzekeringen te treffen zoals het aanleggen van noodvoorraden, om voorbereid te zijn op zeer ernstige verstoringen op de internationale gasmarkten die leiden tot fysieke tekorten om te voorzien in de basisbehoeften. Hierbij maakt PWC wel de kanttekening dat het niet mogelijk is om tegen iedere noodsituatie verzekerd te zijn, dat Europese coördinatie gewenst is bij het creëren van voorraden en dat iedere vorm van verzekering kosten met zich meebrengt gedurende niet-noodsituaties. Het kabinet ziet het belang van een noodvoorraad om voorbereid te zijn op fysieke verstoringen en onderkent dat zorgvuldigheid geboden is om kosten en baten in balans te houden. Daarnaast onderstreept het </w:t>
      </w:r>
      <w:r w:rsidRPr="003B1DAE" w:rsidR="00A477C6">
        <w:rPr>
          <w:szCs w:val="18"/>
        </w:rPr>
        <w:t>k</w:t>
      </w:r>
      <w:r w:rsidRPr="003B1DAE">
        <w:rPr>
          <w:szCs w:val="18"/>
        </w:rPr>
        <w:t xml:space="preserve">abinet het belang van Europese coördinatie, maar moet zij concluderen dat er op dit moment geen draagvlak is voor Europese gasvoorraden. </w:t>
      </w:r>
    </w:p>
    <w:p w:rsidRPr="003B1DAE" w:rsidR="00A25164" w:rsidP="003B14FA" w:rsidRDefault="00A25164" w14:paraId="40FAFB8D" w14:textId="77777777">
      <w:pPr>
        <w:rPr>
          <w:szCs w:val="18"/>
        </w:rPr>
      </w:pPr>
    </w:p>
    <w:p w:rsidRPr="003B1DAE" w:rsidR="00A25164" w:rsidP="003B14FA" w:rsidRDefault="00A25164" w14:paraId="779125B6" w14:textId="77777777">
      <w:pPr>
        <w:rPr>
          <w:szCs w:val="18"/>
        </w:rPr>
      </w:pPr>
      <w:r w:rsidRPr="003B1DAE">
        <w:rPr>
          <w:szCs w:val="18"/>
        </w:rPr>
        <w:t xml:space="preserve">Wat betreft specifieke typen maatregelen, trekt PWC een aantal conclusies. Het onderzoek is kritisch op het aanhouden van een grotere strategische opslag met als doel prijzen te dempen. Het effect van zo’n maatregel is niet aangetoond, de inzet van strategische markvoorraden werkt marktverstorend en inzet is momenteel niet toegestaan onder EU-regelgeving. Het kabinet onderkent dit en ziet strategische opslag als een oplossing voor situaties met fysieke tekorten. </w:t>
      </w:r>
    </w:p>
    <w:p w:rsidRPr="003B1DAE" w:rsidR="00A25164" w:rsidP="003B14FA" w:rsidRDefault="00A25164" w14:paraId="1660C0FD" w14:textId="77777777">
      <w:pPr>
        <w:rPr>
          <w:szCs w:val="18"/>
        </w:rPr>
      </w:pPr>
    </w:p>
    <w:p w:rsidRPr="003B1DAE" w:rsidR="00A25164" w:rsidP="003B14FA" w:rsidRDefault="00A25164" w14:paraId="18D865C8" w14:textId="1AF65F1F">
      <w:pPr>
        <w:rPr>
          <w:szCs w:val="18"/>
        </w:rPr>
      </w:pPr>
      <w:r w:rsidRPr="003B1DAE">
        <w:rPr>
          <w:szCs w:val="18"/>
        </w:rPr>
        <w:t>Ook wat betreft overheidsmaatregelen gericht op het vullen van de seizoensopslagen, waaronder verplichte vuldoelen en een (grote) vultaak voor de overheid is het rapport kritisch. Het kabinet erkent dat vuldoelen een prijsopdrijvend effect hebben en is dan ook geen voorstander van voortzetting van vuldoelen, wel ziet het Kabinet een rol voor de overheid als vulagent zolang de vuldoelen er zijn en de markt onvoldoende vult.</w:t>
      </w:r>
    </w:p>
    <w:p w:rsidRPr="003B1DAE" w:rsidR="00A25164" w:rsidP="003B14FA" w:rsidRDefault="00A25164" w14:paraId="40C56227" w14:textId="77777777">
      <w:pPr>
        <w:rPr>
          <w:szCs w:val="18"/>
        </w:rPr>
      </w:pPr>
    </w:p>
    <w:p w:rsidRPr="003B1DAE" w:rsidR="00241D72" w:rsidP="003B14FA" w:rsidRDefault="00241D72" w14:paraId="11996904" w14:textId="77777777">
      <w:pPr>
        <w:rPr>
          <w:szCs w:val="18"/>
        </w:rPr>
      </w:pPr>
    </w:p>
    <w:p w:rsidRPr="003B1DAE" w:rsidR="006B3C17" w:rsidP="003B14FA" w:rsidRDefault="006B3C17" w14:paraId="31B6B915" w14:textId="77777777">
      <w:pPr>
        <w:rPr>
          <w:szCs w:val="18"/>
        </w:rPr>
      </w:pPr>
    </w:p>
    <w:p w:rsidRPr="003B1DAE" w:rsidR="006B3C17" w:rsidP="003B14FA" w:rsidRDefault="006B3C17" w14:paraId="49E7397D" w14:textId="77777777">
      <w:pPr>
        <w:rPr>
          <w:szCs w:val="18"/>
        </w:rPr>
      </w:pPr>
    </w:p>
    <w:p w:rsidRPr="003B1DAE" w:rsidR="00E758FD" w:rsidP="003B14FA" w:rsidRDefault="00E758FD" w14:paraId="4695489A" w14:textId="77777777">
      <w:pPr>
        <w:rPr>
          <w:szCs w:val="18"/>
        </w:rPr>
      </w:pPr>
    </w:p>
    <w:p w:rsidRPr="003B1DAE" w:rsidR="000639A7" w:rsidP="003B14FA" w:rsidRDefault="000639A7" w14:paraId="680F0DC4" w14:textId="77777777">
      <w:pPr>
        <w:rPr>
          <w:szCs w:val="18"/>
        </w:rPr>
      </w:pPr>
    </w:p>
    <w:p w:rsidRPr="003B1DAE" w:rsidR="00BD2D73" w:rsidP="003B14FA" w:rsidRDefault="00BD2D73" w14:paraId="248FFF88" w14:textId="77777777">
      <w:pPr>
        <w:rPr>
          <w:szCs w:val="18"/>
        </w:rPr>
      </w:pPr>
    </w:p>
    <w:sectPr w:rsidRPr="003B1DAE" w:rsidR="00BD2D73"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6DF05" w14:textId="77777777" w:rsidR="006D73D2" w:rsidRDefault="006D73D2">
      <w:r>
        <w:separator/>
      </w:r>
    </w:p>
    <w:p w14:paraId="0426B131" w14:textId="77777777" w:rsidR="006D73D2" w:rsidRDefault="006D73D2"/>
  </w:endnote>
  <w:endnote w:type="continuationSeparator" w:id="0">
    <w:p w14:paraId="4A82EAD2" w14:textId="77777777" w:rsidR="006D73D2" w:rsidRDefault="006D73D2">
      <w:r>
        <w:continuationSeparator/>
      </w:r>
    </w:p>
    <w:p w14:paraId="1B776271" w14:textId="77777777" w:rsidR="006D73D2" w:rsidRDefault="006D73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AAAAP+Verdana">
    <w:altName w:val="Verdana"/>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92A4"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C3B31" w14:paraId="4733176A" w14:textId="77777777" w:rsidTr="00CA6A25">
      <w:trPr>
        <w:trHeight w:hRule="exact" w:val="240"/>
      </w:trPr>
      <w:tc>
        <w:tcPr>
          <w:tcW w:w="7601" w:type="dxa"/>
        </w:tcPr>
        <w:p w14:paraId="753FA2DF" w14:textId="77777777" w:rsidR="00527BD4" w:rsidRDefault="00527BD4" w:rsidP="003F1F6B">
          <w:pPr>
            <w:pStyle w:val="Huisstijl-Rubricering"/>
          </w:pPr>
        </w:p>
      </w:tc>
      <w:tc>
        <w:tcPr>
          <w:tcW w:w="2156" w:type="dxa"/>
        </w:tcPr>
        <w:p w14:paraId="25584A9C" w14:textId="06DB88CA" w:rsidR="00527BD4" w:rsidRPr="00645414" w:rsidRDefault="00F9711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8171C5">
            <w:t>50</w:t>
          </w:r>
          <w:r w:rsidR="004425CC">
            <w:fldChar w:fldCharType="end"/>
          </w:r>
        </w:p>
      </w:tc>
    </w:tr>
  </w:tbl>
  <w:p w14:paraId="0E16280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C3B31" w14:paraId="1314D824" w14:textId="77777777" w:rsidTr="00CA6A25">
      <w:trPr>
        <w:trHeight w:hRule="exact" w:val="240"/>
      </w:trPr>
      <w:tc>
        <w:tcPr>
          <w:tcW w:w="7601" w:type="dxa"/>
        </w:tcPr>
        <w:p w14:paraId="51920081" w14:textId="77777777" w:rsidR="00527BD4" w:rsidRDefault="00527BD4" w:rsidP="008C356D">
          <w:pPr>
            <w:pStyle w:val="Huisstijl-Rubricering"/>
          </w:pPr>
        </w:p>
      </w:tc>
      <w:tc>
        <w:tcPr>
          <w:tcW w:w="2170" w:type="dxa"/>
        </w:tcPr>
        <w:p w14:paraId="692A33DF" w14:textId="5573A75B" w:rsidR="00527BD4" w:rsidRPr="00ED539E" w:rsidRDefault="00F9711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6D73D2">
            <w:t>1</w:t>
          </w:r>
          <w:r w:rsidR="00A13FBD">
            <w:fldChar w:fldCharType="end"/>
          </w:r>
        </w:p>
      </w:tc>
    </w:tr>
  </w:tbl>
  <w:p w14:paraId="21B4A6A9" w14:textId="77777777" w:rsidR="00527BD4" w:rsidRPr="00BC3B53" w:rsidRDefault="00527BD4" w:rsidP="008C356D">
    <w:pPr>
      <w:pStyle w:val="Voettekst"/>
      <w:spacing w:line="240" w:lineRule="auto"/>
      <w:rPr>
        <w:sz w:val="2"/>
        <w:szCs w:val="2"/>
      </w:rPr>
    </w:pPr>
  </w:p>
  <w:p w14:paraId="2A6A631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0EE28" w14:textId="77777777" w:rsidR="006D73D2" w:rsidRDefault="006D73D2">
      <w:r>
        <w:separator/>
      </w:r>
    </w:p>
    <w:p w14:paraId="64DD37E4" w14:textId="77777777" w:rsidR="006D73D2" w:rsidRDefault="006D73D2"/>
  </w:footnote>
  <w:footnote w:type="continuationSeparator" w:id="0">
    <w:p w14:paraId="03D02145" w14:textId="77777777" w:rsidR="006D73D2" w:rsidRDefault="006D73D2">
      <w:r>
        <w:continuationSeparator/>
      </w:r>
    </w:p>
    <w:p w14:paraId="6298FEA0" w14:textId="77777777" w:rsidR="006D73D2" w:rsidRDefault="006D73D2"/>
  </w:footnote>
  <w:footnote w:id="1">
    <w:p w14:paraId="299CC0CC" w14:textId="77777777" w:rsidR="00906ED5" w:rsidRPr="003B14FA" w:rsidRDefault="00906ED5" w:rsidP="00F26340">
      <w:pPr>
        <w:pStyle w:val="Voetnoottekst"/>
        <w:spacing w:line="240" w:lineRule="auto"/>
        <w:rPr>
          <w:szCs w:val="13"/>
        </w:rPr>
      </w:pPr>
      <w:r w:rsidRPr="003B14FA">
        <w:rPr>
          <w:rStyle w:val="Voetnootmarkering"/>
          <w:szCs w:val="13"/>
        </w:rPr>
        <w:footnoteRef/>
      </w:r>
      <w:r w:rsidRPr="003B14FA">
        <w:rPr>
          <w:szCs w:val="13"/>
        </w:rPr>
        <w:t xml:space="preserve"> Met leveringszekerheid wordt bedoeld: genoeg gas (volume en capaciteit) in de juiste kwaliteit (hoog- of laagcalorisch) om op het juiste moment te voorzien in de vraag van afnemers, ook wanneer de vraag hoog is.</w:t>
      </w:r>
    </w:p>
  </w:footnote>
  <w:footnote w:id="2">
    <w:p w14:paraId="0BADC89D" w14:textId="4A5DE9BB" w:rsidR="00C85671" w:rsidRPr="003B14FA" w:rsidRDefault="00C85671" w:rsidP="00F26340">
      <w:pPr>
        <w:pStyle w:val="Voetnoottekst"/>
        <w:spacing w:line="240" w:lineRule="auto"/>
        <w:rPr>
          <w:szCs w:val="13"/>
        </w:rPr>
      </w:pPr>
      <w:r w:rsidRPr="003B14FA">
        <w:rPr>
          <w:rStyle w:val="Voetnootmarkering"/>
          <w:szCs w:val="13"/>
        </w:rPr>
        <w:footnoteRef/>
      </w:r>
      <w:r w:rsidRPr="003B14FA">
        <w:rPr>
          <w:szCs w:val="13"/>
        </w:rPr>
        <w:t xml:space="preserve"> Kamerstukken II 2025/2026, 29</w:t>
      </w:r>
      <w:r w:rsidR="00E2305F" w:rsidRPr="003B14FA">
        <w:rPr>
          <w:szCs w:val="13"/>
        </w:rPr>
        <w:t xml:space="preserve"> </w:t>
      </w:r>
      <w:r w:rsidRPr="003B14FA">
        <w:rPr>
          <w:szCs w:val="13"/>
        </w:rPr>
        <w:t xml:space="preserve">023, </w:t>
      </w:r>
      <w:r w:rsidR="00BE453C" w:rsidRPr="003B14FA">
        <w:rPr>
          <w:szCs w:val="13"/>
        </w:rPr>
        <w:t xml:space="preserve">met kenmerk </w:t>
      </w:r>
      <w:r w:rsidR="009B08CF" w:rsidRPr="003B14FA">
        <w:rPr>
          <w:szCs w:val="13"/>
        </w:rPr>
        <w:t>2026Z186</w:t>
      </w:r>
      <w:r w:rsidR="00476F1D" w:rsidRPr="003B14FA">
        <w:rPr>
          <w:szCs w:val="13"/>
        </w:rPr>
        <w:t>699.</w:t>
      </w:r>
    </w:p>
  </w:footnote>
  <w:footnote w:id="3">
    <w:p w14:paraId="7F75E607" w14:textId="54DC98C2" w:rsidR="005B0C4F" w:rsidRPr="003B14FA" w:rsidRDefault="005B0C4F" w:rsidP="00F26340">
      <w:pPr>
        <w:pStyle w:val="Voetnoottekst"/>
        <w:spacing w:line="240" w:lineRule="auto"/>
        <w:rPr>
          <w:szCs w:val="13"/>
        </w:rPr>
      </w:pPr>
      <w:r w:rsidRPr="003B14FA">
        <w:rPr>
          <w:rStyle w:val="Voetnootmarkering"/>
          <w:szCs w:val="13"/>
        </w:rPr>
        <w:footnoteRef/>
      </w:r>
      <w:r w:rsidRPr="003B14FA">
        <w:rPr>
          <w:szCs w:val="13"/>
        </w:rPr>
        <w:t xml:space="preserve"> Het huidige gasjaar loopt van 1 oktober 2025 tot 1 oktober 2026</w:t>
      </w:r>
      <w:r w:rsidR="00397C73" w:rsidRPr="003B14FA">
        <w:rPr>
          <w:szCs w:val="13"/>
        </w:rPr>
        <w:t>.</w:t>
      </w:r>
    </w:p>
  </w:footnote>
  <w:footnote w:id="4">
    <w:p w14:paraId="1D867057" w14:textId="2FBC0FA4" w:rsidR="001A0448" w:rsidRPr="003B14FA" w:rsidRDefault="001A0448" w:rsidP="00F26340">
      <w:pPr>
        <w:pStyle w:val="Voetnoottekst"/>
        <w:spacing w:line="240" w:lineRule="auto"/>
        <w:rPr>
          <w:szCs w:val="13"/>
        </w:rPr>
      </w:pPr>
      <w:r w:rsidRPr="003B14FA">
        <w:rPr>
          <w:rStyle w:val="Voetnootmarkering"/>
          <w:szCs w:val="13"/>
        </w:rPr>
        <w:footnoteRef/>
      </w:r>
      <w:r w:rsidRPr="003B14FA">
        <w:rPr>
          <w:szCs w:val="13"/>
        </w:rPr>
        <w:t xml:space="preserve"> </w:t>
      </w:r>
      <w:r w:rsidR="00D01651" w:rsidRPr="003B14FA">
        <w:rPr>
          <w:szCs w:val="13"/>
        </w:rPr>
        <w:t>Bijlage bij de Prinsjesdagbrief Klimaat en Energie, met kenmerk 2026Z18884.</w:t>
      </w:r>
      <w:r w:rsidR="00D01651" w:rsidRPr="003B14FA" w:rsidDel="00D01651">
        <w:rPr>
          <w:szCs w:val="13"/>
          <w:highlight w:val="yellow"/>
        </w:rPr>
        <w:t xml:space="preserve"> </w:t>
      </w:r>
    </w:p>
  </w:footnote>
  <w:footnote w:id="5">
    <w:p w14:paraId="0506D3A1" w14:textId="6BF9962F" w:rsidR="00123441" w:rsidRPr="003B14FA" w:rsidRDefault="00123441" w:rsidP="00F26340">
      <w:pPr>
        <w:pStyle w:val="Voetnoottekst"/>
        <w:spacing w:line="240" w:lineRule="auto"/>
        <w:rPr>
          <w:szCs w:val="13"/>
        </w:rPr>
      </w:pPr>
      <w:r w:rsidRPr="003B14FA">
        <w:rPr>
          <w:rStyle w:val="Voetnootmarkering"/>
          <w:szCs w:val="13"/>
        </w:rPr>
        <w:footnoteRef/>
      </w:r>
      <w:r w:rsidRPr="003B14FA">
        <w:rPr>
          <w:szCs w:val="13"/>
        </w:rPr>
        <w:t xml:space="preserve"> </w:t>
      </w:r>
      <w:bookmarkStart w:id="1" w:name="OLE_LINK6"/>
      <w:r w:rsidRPr="003B14FA">
        <w:rPr>
          <w:szCs w:val="13"/>
        </w:rPr>
        <w:t>De belangrijkste onzekerheden zijn de toepassing van besparing, CCS en koolstofverwijdering en onzekerheden over tijdige opbouw van duurzame alternatieven. Deze opbouw kent regelmatig beperkingen in de uitvoering, waarvan netcongestie de meest duidelijke is met forse impact op de mogelijkheden om te</w:t>
      </w:r>
      <w:r w:rsidR="004E7AE3" w:rsidRPr="003B14FA">
        <w:rPr>
          <w:szCs w:val="13"/>
        </w:rPr>
        <w:t xml:space="preserve"> </w:t>
      </w:r>
      <w:r w:rsidRPr="003B14FA">
        <w:rPr>
          <w:szCs w:val="13"/>
        </w:rPr>
        <w:t>elektrificeren als alternatief voor aardgas in vrijwel alle sectoren</w:t>
      </w:r>
      <w:bookmarkEnd w:id="1"/>
      <w:r w:rsidRPr="003B14FA">
        <w:rPr>
          <w:szCs w:val="13"/>
        </w:rPr>
        <w:t>.</w:t>
      </w:r>
      <w:r w:rsidR="00444C9F" w:rsidRPr="003B14FA">
        <w:rPr>
          <w:szCs w:val="13"/>
        </w:rPr>
        <w:t xml:space="preserve"> </w:t>
      </w:r>
      <w:r w:rsidR="008F0B43" w:rsidRPr="003B14FA">
        <w:rPr>
          <w:szCs w:val="13"/>
        </w:rPr>
        <w:t>Verdiepings</w:t>
      </w:r>
      <w:r w:rsidR="00AC239D" w:rsidRPr="003B14FA">
        <w:rPr>
          <w:szCs w:val="13"/>
        </w:rPr>
        <w:t>document actualisatie NPE (2026), p. 128, bijlage</w:t>
      </w:r>
      <w:r w:rsidR="00784C38" w:rsidRPr="003B14FA">
        <w:rPr>
          <w:szCs w:val="13"/>
        </w:rPr>
        <w:t xml:space="preserve"> bij de Prinsjesdagbrief Klimaat en Energie, met kenmerk 2026Z18884.</w:t>
      </w:r>
    </w:p>
  </w:footnote>
  <w:footnote w:id="6">
    <w:p w14:paraId="7FC7D7E2" w14:textId="0111A168" w:rsidR="003A6365" w:rsidRPr="003B14FA" w:rsidRDefault="003A6365" w:rsidP="00F26340">
      <w:pPr>
        <w:pStyle w:val="Voetnoottekst"/>
        <w:spacing w:line="240" w:lineRule="auto"/>
        <w:rPr>
          <w:szCs w:val="13"/>
        </w:rPr>
      </w:pPr>
      <w:r w:rsidRPr="003B14FA">
        <w:rPr>
          <w:rStyle w:val="Voetnootmarkering"/>
          <w:szCs w:val="13"/>
        </w:rPr>
        <w:footnoteRef/>
      </w:r>
      <w:r w:rsidRPr="003B14FA">
        <w:rPr>
          <w:szCs w:val="13"/>
        </w:rPr>
        <w:t xml:space="preserve"> </w:t>
      </w:r>
      <w:r w:rsidR="00B21016" w:rsidRPr="003B14FA">
        <w:rPr>
          <w:szCs w:val="13"/>
        </w:rPr>
        <w:t>Zo daalt het aardgasverbruik in de prognoses van de KEV26 van de huidige 26,</w:t>
      </w:r>
      <w:r w:rsidR="00DE2343" w:rsidRPr="003B14FA">
        <w:rPr>
          <w:szCs w:val="13"/>
        </w:rPr>
        <w:t>6</w:t>
      </w:r>
      <w:r w:rsidR="00B21016" w:rsidRPr="003B14FA">
        <w:rPr>
          <w:szCs w:val="13"/>
        </w:rPr>
        <w:t xml:space="preserve"> bcm (2025) naar circa </w:t>
      </w:r>
      <w:r w:rsidR="00DE2343" w:rsidRPr="003B14FA">
        <w:rPr>
          <w:szCs w:val="13"/>
        </w:rPr>
        <w:t>19,9</w:t>
      </w:r>
      <w:r w:rsidR="00B21016" w:rsidRPr="003B14FA">
        <w:rPr>
          <w:szCs w:val="13"/>
        </w:rPr>
        <w:t xml:space="preserve"> tot 25,</w:t>
      </w:r>
      <w:r w:rsidR="00BC58C8" w:rsidRPr="003B14FA">
        <w:rPr>
          <w:szCs w:val="13"/>
        </w:rPr>
        <w:t>6</w:t>
      </w:r>
      <w:r w:rsidR="00B21016" w:rsidRPr="003B14FA">
        <w:rPr>
          <w:szCs w:val="13"/>
        </w:rPr>
        <w:t xml:space="preserve"> bcm in 2030 en naar circa 14</w:t>
      </w:r>
      <w:r w:rsidR="00BC58C8" w:rsidRPr="003B14FA">
        <w:rPr>
          <w:szCs w:val="13"/>
        </w:rPr>
        <w:t>,2</w:t>
      </w:r>
      <w:r w:rsidR="00B21016" w:rsidRPr="003B14FA">
        <w:rPr>
          <w:szCs w:val="13"/>
        </w:rPr>
        <w:t xml:space="preserve"> tot </w:t>
      </w:r>
      <w:r w:rsidR="00BC58C8" w:rsidRPr="003B14FA">
        <w:rPr>
          <w:szCs w:val="13"/>
        </w:rPr>
        <w:t>19,9</w:t>
      </w:r>
      <w:r w:rsidR="00B21016" w:rsidRPr="003B14FA">
        <w:rPr>
          <w:szCs w:val="13"/>
        </w:rPr>
        <w:t xml:space="preserve"> bcm in 2040. </w:t>
      </w:r>
      <w:bookmarkStart w:id="2" w:name="OLE_LINK7"/>
      <w:r w:rsidR="00B21016" w:rsidRPr="003B14FA">
        <w:rPr>
          <w:szCs w:val="13"/>
        </w:rPr>
        <w:t>De bandbreedte wordt met name bepaald door onzekerheid over het energieverbruik en het gebruik van fossiele brandstoffen als grondstof in de industrie vanwege onzekerheid over de toekomstige productievolumes en over het energieverbruik in de gebouwde omgeving.</w:t>
      </w:r>
      <w:bookmarkEnd w:id="2"/>
      <w:r w:rsidR="006E5CB8" w:rsidRPr="003B14FA">
        <w:rPr>
          <w:szCs w:val="13"/>
        </w:rPr>
        <w:t xml:space="preserve"> </w:t>
      </w:r>
      <w:r w:rsidR="004E77F5" w:rsidRPr="003B14FA">
        <w:rPr>
          <w:szCs w:val="13"/>
        </w:rPr>
        <w:t>Zie</w:t>
      </w:r>
      <w:r w:rsidR="006E5CB8" w:rsidRPr="003B14FA">
        <w:rPr>
          <w:szCs w:val="13"/>
        </w:rPr>
        <w:t xml:space="preserve"> </w:t>
      </w:r>
      <w:hyperlink r:id="rId1" w:history="1">
        <w:r w:rsidR="004E77F5" w:rsidRPr="003B14FA">
          <w:rPr>
            <w:rStyle w:val="Hyperlink"/>
            <w:szCs w:val="13"/>
          </w:rPr>
          <w:t>www.pbl.nl/publicaties/klimaat-en-energieverkenning-2026</w:t>
        </w:r>
      </w:hyperlink>
      <w:r w:rsidR="004E77F5" w:rsidRPr="003B14FA">
        <w:rPr>
          <w:szCs w:val="13"/>
        </w:rPr>
        <w:t>.</w:t>
      </w:r>
    </w:p>
  </w:footnote>
  <w:footnote w:id="7">
    <w:p w14:paraId="3F7ED268" w14:textId="612672D8"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Met uitval van installaties en periodes van extreem hoge vraag wordt bedoeld: in de zin van respectievelijk infrastructuurnorm (N-1) en de gasleveringsnorm uit de Verordening gasleveringszekerheid. Daarnaast wordt ingezet op het verbeteren van de weerbaarheid bij langdurige verstoringen.</w:t>
      </w:r>
    </w:p>
  </w:footnote>
  <w:footnote w:id="8">
    <w:p w14:paraId="7F5AA59C" w14:textId="34F9D816"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2022/</w:t>
      </w:r>
      <w:r w:rsidR="00AF1B2A" w:rsidRPr="003B14FA">
        <w:rPr>
          <w:szCs w:val="13"/>
        </w:rPr>
        <w:t>20</w:t>
      </w:r>
      <w:r w:rsidRPr="003B14FA">
        <w:rPr>
          <w:szCs w:val="13"/>
        </w:rPr>
        <w:t>23, 29 023 nr. 442</w:t>
      </w:r>
      <w:r w:rsidR="00476072" w:rsidRPr="003B14FA">
        <w:rPr>
          <w:szCs w:val="13"/>
        </w:rPr>
        <w:t>.</w:t>
      </w:r>
    </w:p>
  </w:footnote>
  <w:footnote w:id="9">
    <w:p w14:paraId="0F8B2FD3" w14:textId="082E743A" w:rsidR="002E7A6D" w:rsidRPr="003B14FA" w:rsidRDefault="002E7A6D" w:rsidP="00F26340">
      <w:pPr>
        <w:pStyle w:val="Voetnoottekst"/>
        <w:spacing w:line="240" w:lineRule="auto"/>
        <w:rPr>
          <w:szCs w:val="13"/>
        </w:rPr>
      </w:pPr>
      <w:r w:rsidRPr="003B14FA">
        <w:rPr>
          <w:rStyle w:val="Voetnootmarkering"/>
          <w:szCs w:val="13"/>
        </w:rPr>
        <w:footnoteRef/>
      </w:r>
      <w:r w:rsidRPr="003B14FA">
        <w:rPr>
          <w:szCs w:val="13"/>
        </w:rPr>
        <w:t xml:space="preserve"> Onder meer de motie van </w:t>
      </w:r>
      <w:r w:rsidR="00A17227" w:rsidRPr="003B14FA">
        <w:rPr>
          <w:szCs w:val="13"/>
        </w:rPr>
        <w:t>leden</w:t>
      </w:r>
      <w:r w:rsidRPr="003B14FA">
        <w:rPr>
          <w:szCs w:val="13"/>
        </w:rPr>
        <w:t xml:space="preserve"> Grinwis</w:t>
      </w:r>
      <w:r w:rsidR="00A17227" w:rsidRPr="003B14FA">
        <w:rPr>
          <w:szCs w:val="13"/>
        </w:rPr>
        <w:t>, De Groot en Rooderkerk</w:t>
      </w:r>
      <w:r w:rsidR="00223414" w:rsidRPr="003B14FA">
        <w:rPr>
          <w:szCs w:val="13"/>
        </w:rPr>
        <w:t xml:space="preserve">, kamerstukken II 2024/2025, </w:t>
      </w:r>
      <w:r w:rsidR="00A4168E" w:rsidRPr="003B14FA">
        <w:rPr>
          <w:szCs w:val="13"/>
        </w:rPr>
        <w:t>29 023, nr. 574,</w:t>
      </w:r>
      <w:r w:rsidRPr="003B14FA">
        <w:rPr>
          <w:szCs w:val="13"/>
        </w:rPr>
        <w:t xml:space="preserve"> van 11 juni 2025 die de regering verzoekt om binnen een jaar met een strategisch gasbeleid te komen.</w:t>
      </w:r>
    </w:p>
  </w:footnote>
  <w:footnote w:id="10">
    <w:p w14:paraId="644B3CFB" w14:textId="6394308C"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r w:rsidR="002E7A6D" w:rsidRPr="003B14FA">
        <w:rPr>
          <w:szCs w:val="13"/>
        </w:rPr>
        <w:t xml:space="preserve">Hiermee geeft het kabinet invulling aan de motie van de leden Van den Berg en Boomsma, </w:t>
      </w:r>
      <w:r w:rsidRPr="003B14FA">
        <w:rPr>
          <w:szCs w:val="13"/>
        </w:rPr>
        <w:t>Kamerstukken II 2025/</w:t>
      </w:r>
      <w:r w:rsidR="00AF1B2A" w:rsidRPr="003B14FA">
        <w:rPr>
          <w:szCs w:val="13"/>
        </w:rPr>
        <w:t>20</w:t>
      </w:r>
      <w:r w:rsidRPr="003B14FA">
        <w:rPr>
          <w:szCs w:val="13"/>
        </w:rPr>
        <w:t>26, 21 501-33, nr. 1207</w:t>
      </w:r>
      <w:r w:rsidR="00681E90" w:rsidRPr="003B14FA">
        <w:rPr>
          <w:szCs w:val="13"/>
        </w:rPr>
        <w:t>.</w:t>
      </w:r>
    </w:p>
  </w:footnote>
  <w:footnote w:id="11">
    <w:p w14:paraId="356F4D70" w14:textId="2B475E31" w:rsidR="00A25164" w:rsidRPr="003B14FA" w:rsidRDefault="00A25164" w:rsidP="00F26340">
      <w:pPr>
        <w:pStyle w:val="Voetnoottekst"/>
        <w:spacing w:line="240" w:lineRule="auto"/>
        <w:rPr>
          <w:i/>
          <w:szCs w:val="13"/>
        </w:rPr>
      </w:pPr>
      <w:r w:rsidRPr="003B14FA">
        <w:rPr>
          <w:rStyle w:val="Voetnootmarkering"/>
          <w:szCs w:val="13"/>
        </w:rPr>
        <w:footnoteRef/>
      </w:r>
      <w:r w:rsidRPr="003B14FA">
        <w:rPr>
          <w:szCs w:val="13"/>
        </w:rPr>
        <w:t xml:space="preserve"> </w:t>
      </w:r>
      <w:bookmarkStart w:id="3" w:name="OLE_LINK5"/>
      <w:r w:rsidR="005F3984" w:rsidRPr="003B14FA">
        <w:rPr>
          <w:szCs w:val="13"/>
        </w:rPr>
        <w:t xml:space="preserve">Mijnraadadvies Coördinatie gasleveringszekerheid, </w:t>
      </w:r>
      <w:r w:rsidR="005F3984" w:rsidRPr="003B14FA">
        <w:rPr>
          <w:i/>
          <w:szCs w:val="13"/>
        </w:rPr>
        <w:t>Besluitvorming over Nederlandse gasvoorraden</w:t>
      </w:r>
      <w:bookmarkEnd w:id="3"/>
      <w:r w:rsidR="005F3984" w:rsidRPr="003B14FA">
        <w:rPr>
          <w:iCs/>
          <w:szCs w:val="13"/>
        </w:rPr>
        <w:t xml:space="preserve"> (juni 2025)</w:t>
      </w:r>
      <w:r w:rsidR="005F3984" w:rsidRPr="003B14FA">
        <w:rPr>
          <w:szCs w:val="13"/>
        </w:rPr>
        <w:t xml:space="preserve">, bijlage bij Kamerstukken </w:t>
      </w:r>
      <w:r w:rsidR="003B14FA">
        <w:rPr>
          <w:szCs w:val="13"/>
        </w:rPr>
        <w:t xml:space="preserve">II </w:t>
      </w:r>
      <w:r w:rsidR="005F3984" w:rsidRPr="003B14FA">
        <w:rPr>
          <w:szCs w:val="13"/>
        </w:rPr>
        <w:t>2024/2025, 29 023 nr. 591</w:t>
      </w:r>
      <w:r w:rsidR="00473451" w:rsidRPr="003B14FA">
        <w:rPr>
          <w:iCs/>
          <w:szCs w:val="13"/>
        </w:rPr>
        <w:t>;</w:t>
      </w:r>
      <w:r w:rsidR="005F3984" w:rsidRPr="003B14FA">
        <w:rPr>
          <w:i/>
          <w:szCs w:val="13"/>
        </w:rPr>
        <w:t xml:space="preserve"> </w:t>
      </w:r>
      <w:r w:rsidR="005F3984" w:rsidRPr="003B14FA">
        <w:rPr>
          <w:szCs w:val="13"/>
        </w:rPr>
        <w:t xml:space="preserve">CE Delft, </w:t>
      </w:r>
      <w:r w:rsidR="005F3984" w:rsidRPr="003B14FA">
        <w:rPr>
          <w:i/>
          <w:szCs w:val="13"/>
        </w:rPr>
        <w:t xml:space="preserve">Strategische gasreserves </w:t>
      </w:r>
      <w:r w:rsidR="005F3984" w:rsidRPr="003B14FA">
        <w:rPr>
          <w:iCs/>
          <w:szCs w:val="13"/>
        </w:rPr>
        <w:t>(september 2025)</w:t>
      </w:r>
      <w:r w:rsidR="005F3984" w:rsidRPr="003B14FA">
        <w:rPr>
          <w:i/>
          <w:szCs w:val="13"/>
        </w:rPr>
        <w:t xml:space="preserve">, </w:t>
      </w:r>
      <w:hyperlink r:id="rId2" w:history="1">
        <w:r w:rsidR="005F3984" w:rsidRPr="003B14FA">
          <w:rPr>
            <w:rStyle w:val="Hyperlink"/>
            <w:iCs/>
            <w:szCs w:val="13"/>
          </w:rPr>
          <w:t>https://ce.nl/wp-content/uploads/2025/11/CE-Delft_250228_Strategische_kussengasreserves_Def.pdf</w:t>
        </w:r>
      </w:hyperlink>
      <w:r w:rsidR="00487AE0" w:rsidRPr="003B14FA">
        <w:rPr>
          <w:iCs/>
          <w:szCs w:val="13"/>
        </w:rPr>
        <w:t>, toegelicht in Kamerstukken II 20</w:t>
      </w:r>
      <w:r w:rsidR="00DD474E" w:rsidRPr="003B14FA">
        <w:rPr>
          <w:iCs/>
          <w:szCs w:val="13"/>
        </w:rPr>
        <w:t>25/2026, 29 023</w:t>
      </w:r>
      <w:r w:rsidR="00E2305F" w:rsidRPr="003B14FA">
        <w:rPr>
          <w:iCs/>
          <w:szCs w:val="13"/>
        </w:rPr>
        <w:t xml:space="preserve">, nr. 664; </w:t>
      </w:r>
      <w:r w:rsidR="005C582C" w:rsidRPr="003B14FA">
        <w:rPr>
          <w:szCs w:val="13"/>
        </w:rPr>
        <w:t xml:space="preserve">PwC, </w:t>
      </w:r>
      <w:r w:rsidR="005C582C" w:rsidRPr="003B14FA">
        <w:rPr>
          <w:i/>
          <w:iCs/>
          <w:szCs w:val="13"/>
        </w:rPr>
        <w:t>Afwegingskader leveringszekerheid gasmarkt</w:t>
      </w:r>
      <w:r w:rsidR="005C582C" w:rsidRPr="003B14FA">
        <w:rPr>
          <w:szCs w:val="13"/>
        </w:rPr>
        <w:t xml:space="preserve"> (25 juni 2026), </w:t>
      </w:r>
      <w:r w:rsidR="00A117AE" w:rsidRPr="003B14FA">
        <w:rPr>
          <w:szCs w:val="13"/>
        </w:rPr>
        <w:t>b</w:t>
      </w:r>
      <w:r w:rsidR="005C582C" w:rsidRPr="003B14FA">
        <w:rPr>
          <w:szCs w:val="13"/>
        </w:rPr>
        <w:t>ijlage bij Kamerstukken II, 2025/2026, 29023, nr. 716</w:t>
      </w:r>
      <w:r w:rsidR="00E2305F" w:rsidRPr="003B14FA">
        <w:rPr>
          <w:szCs w:val="13"/>
        </w:rPr>
        <w:t>.</w:t>
      </w:r>
    </w:p>
  </w:footnote>
  <w:footnote w:id="12">
    <w:p w14:paraId="09FA9CE1" w14:textId="7E32CB9F"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r w:rsidR="000009BC" w:rsidRPr="003B14FA">
        <w:rPr>
          <w:szCs w:val="13"/>
        </w:rPr>
        <w:t xml:space="preserve">Zie: </w:t>
      </w:r>
      <w:hyperlink r:id="rId3" w:history="1">
        <w:r w:rsidR="00770BB3" w:rsidRPr="003B14FA">
          <w:rPr>
            <w:rStyle w:val="Hyperlink"/>
            <w:szCs w:val="13"/>
          </w:rPr>
          <w:t>www.gasunietransportservices.nl/nieuws/gts-publiceert-weerbaarheidsanalyse</w:t>
        </w:r>
      </w:hyperlink>
      <w:r w:rsidR="00770BB3" w:rsidRPr="003B14FA">
        <w:rPr>
          <w:szCs w:val="13"/>
        </w:rPr>
        <w:t xml:space="preserve">. </w:t>
      </w:r>
      <w:r w:rsidRPr="003B14FA">
        <w:rPr>
          <w:szCs w:val="13"/>
        </w:rPr>
        <w:t>Toezegging met kenmerk 2026Z06222/2026D14041</w:t>
      </w:r>
      <w:r w:rsidR="009B5C75" w:rsidRPr="003B14FA">
        <w:rPr>
          <w:szCs w:val="13"/>
        </w:rPr>
        <w:t>.</w:t>
      </w:r>
      <w:r w:rsidRPr="003B14FA">
        <w:rPr>
          <w:szCs w:val="13"/>
        </w:rPr>
        <w:t xml:space="preserve"> </w:t>
      </w:r>
    </w:p>
  </w:footnote>
  <w:footnote w:id="13">
    <w:p w14:paraId="482A5289" w14:textId="52A9E38D" w:rsidR="00927E80" w:rsidRPr="003B14FA" w:rsidRDefault="00927E80" w:rsidP="00F26340">
      <w:pPr>
        <w:pStyle w:val="Voetnoottekst"/>
        <w:spacing w:line="240" w:lineRule="auto"/>
        <w:rPr>
          <w:szCs w:val="13"/>
        </w:rPr>
      </w:pPr>
      <w:r w:rsidRPr="003B14FA">
        <w:rPr>
          <w:rStyle w:val="Voetnootmarkering"/>
          <w:szCs w:val="13"/>
        </w:rPr>
        <w:footnoteRef/>
      </w:r>
      <w:r w:rsidRPr="003B14FA">
        <w:rPr>
          <w:szCs w:val="13"/>
        </w:rPr>
        <w:t xml:space="preserve"> </w:t>
      </w:r>
      <w:r w:rsidR="00C3238E" w:rsidRPr="003B14FA">
        <w:rPr>
          <w:szCs w:val="13"/>
        </w:rPr>
        <w:t>Bijlage bij de Prinsjesdagbrief Klimaat en Energie, met kenmerk 2026Z18884.</w:t>
      </w:r>
      <w:r w:rsidRPr="003B14FA">
        <w:rPr>
          <w:szCs w:val="13"/>
        </w:rPr>
        <w:t xml:space="preserve"> </w:t>
      </w:r>
    </w:p>
  </w:footnote>
  <w:footnote w:id="14">
    <w:p w14:paraId="730E786D" w14:textId="00EED52E" w:rsidR="005159B9" w:rsidRPr="003B14FA" w:rsidRDefault="005159B9" w:rsidP="00F26340">
      <w:pPr>
        <w:pStyle w:val="Voetnoottekst"/>
        <w:spacing w:line="240" w:lineRule="auto"/>
        <w:rPr>
          <w:szCs w:val="13"/>
        </w:rPr>
      </w:pPr>
      <w:r w:rsidRPr="003B14FA">
        <w:rPr>
          <w:rStyle w:val="Voetnootmarkering"/>
          <w:szCs w:val="13"/>
        </w:rPr>
        <w:footnoteRef/>
      </w:r>
      <w:r w:rsidR="2BDCC76F" w:rsidRPr="003B14FA">
        <w:rPr>
          <w:szCs w:val="13"/>
        </w:rPr>
        <w:t xml:space="preserve"> Kamerstukken II 2026/2027, kabinetsreactie Autonoom en Veilig </w:t>
      </w:r>
      <w:r w:rsidR="001A2ECE" w:rsidRPr="003B14FA">
        <w:rPr>
          <w:szCs w:val="13"/>
        </w:rPr>
        <w:t>(met kenmerk</w:t>
      </w:r>
      <w:r w:rsidR="2BDCC76F" w:rsidRPr="003B14FA">
        <w:rPr>
          <w:szCs w:val="13"/>
        </w:rPr>
        <w:t xml:space="preserve"> </w:t>
      </w:r>
      <w:r w:rsidR="001A2ECE" w:rsidRPr="003B14FA">
        <w:rPr>
          <w:szCs w:val="13"/>
        </w:rPr>
        <w:t>2026Z18877)</w:t>
      </w:r>
      <w:r w:rsidR="00090369" w:rsidRPr="003B14FA">
        <w:rPr>
          <w:szCs w:val="13"/>
        </w:rPr>
        <w:t>.</w:t>
      </w:r>
    </w:p>
  </w:footnote>
  <w:footnote w:id="15">
    <w:p w14:paraId="74FB009A" w14:textId="3AA33492" w:rsidR="00C6165F" w:rsidRPr="003B14FA" w:rsidRDefault="00C6165F" w:rsidP="00F26340">
      <w:pPr>
        <w:pStyle w:val="Voetnoottekst"/>
        <w:spacing w:line="240" w:lineRule="auto"/>
        <w:rPr>
          <w:szCs w:val="13"/>
        </w:rPr>
      </w:pPr>
      <w:r w:rsidRPr="003B14FA">
        <w:rPr>
          <w:rStyle w:val="Voetnootmarkering"/>
          <w:szCs w:val="13"/>
        </w:rPr>
        <w:footnoteRef/>
      </w:r>
      <w:r w:rsidRPr="003B14FA">
        <w:rPr>
          <w:szCs w:val="13"/>
        </w:rPr>
        <w:t xml:space="preserve"> PwC, Afwegingskader leveringszekerheid gasmarkt (25 juni 2026)</w:t>
      </w:r>
      <w:r w:rsidR="006A6656" w:rsidRPr="003B14FA">
        <w:rPr>
          <w:szCs w:val="13"/>
        </w:rPr>
        <w:t>, bijlage bij Kamerstukken II, 2025/2026, 29 023, nr. 716.</w:t>
      </w:r>
    </w:p>
  </w:footnote>
  <w:footnote w:id="16">
    <w:p w14:paraId="6ECFDBEE" w14:textId="22248ACD" w:rsidR="00696678" w:rsidRPr="003B14FA" w:rsidRDefault="00696678" w:rsidP="00F26340">
      <w:pPr>
        <w:pStyle w:val="Voetnoottekst"/>
        <w:spacing w:line="240" w:lineRule="auto"/>
        <w:rPr>
          <w:szCs w:val="13"/>
        </w:rPr>
      </w:pPr>
      <w:r w:rsidRPr="003B14FA">
        <w:rPr>
          <w:rStyle w:val="Voetnootmarkering"/>
          <w:szCs w:val="13"/>
        </w:rPr>
        <w:footnoteRef/>
      </w:r>
      <w:r w:rsidRPr="003B14FA">
        <w:rPr>
          <w:szCs w:val="13"/>
        </w:rPr>
        <w:t xml:space="preserve"> Zo heeft onderzoek van Strategy&amp; in 2023 aangetoond dat de sterk geliberaliseerde marktordening voor gas en elektriciteit positieve effecten heeft gehad op de betaalbaarheid en betrouwbaarheid van de energievoorziening in Nederland. Zie </w:t>
      </w:r>
      <w:r w:rsidR="006A6656" w:rsidRPr="003B14FA">
        <w:rPr>
          <w:szCs w:val="13"/>
        </w:rPr>
        <w:t>K</w:t>
      </w:r>
      <w:r w:rsidRPr="003B14FA">
        <w:rPr>
          <w:szCs w:val="13"/>
        </w:rPr>
        <w:t>amerstukken II 2022/2023, 29 023, nr. 446. </w:t>
      </w:r>
    </w:p>
  </w:footnote>
  <w:footnote w:id="17">
    <w:p w14:paraId="439B94DF" w14:textId="77777777" w:rsidR="00506273" w:rsidRPr="003B14FA" w:rsidRDefault="00506273" w:rsidP="00F26340">
      <w:pPr>
        <w:pStyle w:val="Voetnoottekst"/>
        <w:spacing w:line="240" w:lineRule="auto"/>
        <w:rPr>
          <w:szCs w:val="13"/>
        </w:rPr>
      </w:pPr>
      <w:r w:rsidRPr="003B14FA">
        <w:rPr>
          <w:rStyle w:val="Voetnootmarkering"/>
          <w:szCs w:val="13"/>
        </w:rPr>
        <w:footnoteRef/>
      </w:r>
      <w:r w:rsidRPr="003B14FA">
        <w:rPr>
          <w:szCs w:val="13"/>
        </w:rPr>
        <w:t xml:space="preserve"> Als onderdeel van de aankomende herziening van het energiezekerheidsraamwerk dit najaar.</w:t>
      </w:r>
    </w:p>
  </w:footnote>
  <w:footnote w:id="18">
    <w:p w14:paraId="4F8EBB7D" w14:textId="24DEB3F6"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Hierbij wordt invulling gegeven aan de motie van het lid Van den Berg van 10 februari 2026, Kamerstukken II, 2025/</w:t>
      </w:r>
      <w:r w:rsidR="00AF1B2A" w:rsidRPr="003B14FA">
        <w:rPr>
          <w:szCs w:val="13"/>
        </w:rPr>
        <w:t>20</w:t>
      </w:r>
      <w:r w:rsidRPr="003B14FA">
        <w:rPr>
          <w:szCs w:val="13"/>
        </w:rPr>
        <w:t>26, 29 023, nr. 633.</w:t>
      </w:r>
      <w:r w:rsidR="00D07624" w:rsidRPr="003B14FA">
        <w:rPr>
          <w:szCs w:val="13"/>
        </w:rPr>
        <w:t xml:space="preserve"> </w:t>
      </w:r>
    </w:p>
  </w:footnote>
  <w:footnote w:id="19">
    <w:p w14:paraId="31BB7856" w14:textId="498EDD1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Bijlage bij Kamerstukken II, 2025/</w:t>
      </w:r>
      <w:r w:rsidR="00AF1B2A" w:rsidRPr="003B14FA">
        <w:rPr>
          <w:szCs w:val="13"/>
        </w:rPr>
        <w:t>20</w:t>
      </w:r>
      <w:r w:rsidRPr="003B14FA">
        <w:rPr>
          <w:szCs w:val="13"/>
        </w:rPr>
        <w:t>26, nr. 21</w:t>
      </w:r>
      <w:r w:rsidR="005D4B1E" w:rsidRPr="003B14FA">
        <w:rPr>
          <w:szCs w:val="13"/>
        </w:rPr>
        <w:t xml:space="preserve"> </w:t>
      </w:r>
      <w:r w:rsidRPr="003B14FA">
        <w:rPr>
          <w:szCs w:val="13"/>
        </w:rPr>
        <w:t>501-33, nr. 1168</w:t>
      </w:r>
      <w:r w:rsidR="00BA4CE7" w:rsidRPr="003B14FA">
        <w:rPr>
          <w:szCs w:val="13"/>
        </w:rPr>
        <w:t xml:space="preserve"> en Kamerstukken II</w:t>
      </w:r>
      <w:r w:rsidR="00453316" w:rsidRPr="003B14FA">
        <w:rPr>
          <w:szCs w:val="13"/>
        </w:rPr>
        <w:t xml:space="preserve"> 2024/25, 29 023, 22 112, nr. 557.</w:t>
      </w:r>
    </w:p>
  </w:footnote>
  <w:footnote w:id="20">
    <w:p w14:paraId="0004517D" w14:textId="6EED9211"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De gasleveringsnorm gaat verder dan het volume dat nodig is voor een ‘normale’ winter, </w:t>
      </w:r>
      <w:r w:rsidR="006B38E8" w:rsidRPr="003B14FA">
        <w:rPr>
          <w:szCs w:val="13"/>
        </w:rPr>
        <w:t>en</w:t>
      </w:r>
      <w:r w:rsidRPr="003B14FA">
        <w:rPr>
          <w:szCs w:val="13"/>
        </w:rPr>
        <w:t xml:space="preserve"> bevat eisen om voorbereid te zijn op periodes van een uitzonderlijk hoge gasvraag, extreme koude en uitval van de grootste afzonderlijke gasinfrastructuur onder gemiddelde winterse omstandigheden. </w:t>
      </w:r>
    </w:p>
  </w:footnote>
  <w:footnote w:id="21">
    <w:p w14:paraId="17174DA5" w14:textId="78B42D1A" w:rsidR="00375B9C" w:rsidRPr="003B14FA" w:rsidRDefault="00375B9C" w:rsidP="00F26340">
      <w:pPr>
        <w:pStyle w:val="Voetnoottekst"/>
        <w:spacing w:line="240" w:lineRule="auto"/>
        <w:rPr>
          <w:szCs w:val="13"/>
        </w:rPr>
      </w:pPr>
      <w:r w:rsidRPr="003B14FA">
        <w:rPr>
          <w:rStyle w:val="Voetnootmarkering"/>
          <w:szCs w:val="13"/>
        </w:rPr>
        <w:footnoteRef/>
      </w:r>
      <w:r w:rsidRPr="003B14FA">
        <w:rPr>
          <w:szCs w:val="13"/>
        </w:rPr>
        <w:t xml:space="preserve"> Het aanbieden van dergelijke producten via EBN zal gepaard gaan met kosten die mogelijk op de afnemers worden verhaald. Daarnaast zijn niet alle gasopslagen even geschikt voor dergelijke producten doordat de ene opslag flexibeler kan opereren dan de andere en zou het nodig zijn dat EBN langjarige toegang heeft tot de opslagen om de investeringen te doen om deze producten aan te kunnen bieden</w:t>
      </w:r>
      <w:r w:rsidR="0050540B" w:rsidRPr="003B14FA">
        <w:rPr>
          <w:szCs w:val="13"/>
        </w:rPr>
        <w:t>.</w:t>
      </w:r>
    </w:p>
  </w:footnote>
  <w:footnote w:id="22">
    <w:p w14:paraId="7F12EF81" w14:textId="252BC97D" w:rsidR="005573B0" w:rsidRPr="003B14FA" w:rsidRDefault="005573B0" w:rsidP="00F26340">
      <w:pPr>
        <w:spacing w:line="240" w:lineRule="auto"/>
        <w:rPr>
          <w:rFonts w:eastAsia="Verdana" w:cs="Verdana"/>
          <w:sz w:val="13"/>
          <w:szCs w:val="13"/>
        </w:rPr>
      </w:pPr>
      <w:r w:rsidRPr="003B14FA">
        <w:rPr>
          <w:rStyle w:val="Voetnootmarkering"/>
          <w:sz w:val="13"/>
          <w:szCs w:val="13"/>
        </w:rPr>
        <w:footnoteRef/>
      </w:r>
      <w:r w:rsidRPr="003B14FA">
        <w:rPr>
          <w:sz w:val="13"/>
          <w:szCs w:val="13"/>
        </w:rPr>
        <w:t xml:space="preserve"> </w:t>
      </w:r>
      <w:r w:rsidRPr="003B14FA">
        <w:rPr>
          <w:rFonts w:eastAsia="Verdana" w:cs="Verdana"/>
          <w:sz w:val="13"/>
          <w:szCs w:val="13"/>
        </w:rPr>
        <w:t>Het gebruik van een strategische opslag is alleen toegestaan in een noodsituatie als gedefinieerd in Verordening (EU) 2017/1938. In de kamerbrief van april 2025</w:t>
      </w:r>
      <w:r w:rsidR="00D76BC0" w:rsidRPr="003B14FA">
        <w:rPr>
          <w:rFonts w:eastAsia="Verdana" w:cs="Verdana"/>
          <w:sz w:val="13"/>
          <w:szCs w:val="13"/>
        </w:rPr>
        <w:t xml:space="preserve"> </w:t>
      </w:r>
      <w:r w:rsidRPr="003B14FA">
        <w:rPr>
          <w:rFonts w:eastAsia="Verdana" w:cs="Verdana"/>
          <w:sz w:val="13"/>
          <w:szCs w:val="13"/>
        </w:rPr>
        <w:t>is uiteengezet dat voor de term ‘noodvoorraad’ is gekozen om te benadrukken dat deze voorraad alleen mag worden ingezet in situaties met fysieke tekorten en wanneer er in lijn met Verordening (EU) 2017/1938 een noodsituatie is uitgeroepen</w:t>
      </w:r>
      <w:r w:rsidR="00781D26" w:rsidRPr="003B14FA">
        <w:rPr>
          <w:rFonts w:eastAsia="Verdana" w:cs="Verdana"/>
          <w:sz w:val="13"/>
          <w:szCs w:val="13"/>
        </w:rPr>
        <w:t>, Kamerstukken II</w:t>
      </w:r>
      <w:r w:rsidR="00EB00EF" w:rsidRPr="003B14FA">
        <w:rPr>
          <w:rFonts w:eastAsia="Verdana" w:cs="Verdana"/>
          <w:sz w:val="13"/>
          <w:szCs w:val="13"/>
        </w:rPr>
        <w:t xml:space="preserve"> 2024</w:t>
      </w:r>
      <w:r w:rsidR="00C50F9A" w:rsidRPr="003B14FA">
        <w:rPr>
          <w:rFonts w:eastAsia="Verdana" w:cs="Verdana"/>
          <w:sz w:val="13"/>
          <w:szCs w:val="13"/>
        </w:rPr>
        <w:t>/2025, 29 023, nr. 563</w:t>
      </w:r>
      <w:r w:rsidRPr="003B14FA">
        <w:rPr>
          <w:rFonts w:eastAsia="Verdana" w:cs="Verdana"/>
          <w:sz w:val="13"/>
          <w:szCs w:val="13"/>
        </w:rPr>
        <w:t>. In deze EU-verordening wordt dit ‘strategische opslag’ genoemd. In deze brief zal in lijn met de EU-verordening de term strategische opslag gehanteerd worden.</w:t>
      </w:r>
    </w:p>
  </w:footnote>
  <w:footnote w:id="23">
    <w:p w14:paraId="3F124861" w14:textId="77777777" w:rsidR="001F288F" w:rsidRPr="003B14FA" w:rsidRDefault="001F288F" w:rsidP="00F26340">
      <w:pPr>
        <w:pStyle w:val="Voetnoottekst"/>
        <w:spacing w:line="240" w:lineRule="auto"/>
        <w:rPr>
          <w:szCs w:val="13"/>
        </w:rPr>
      </w:pPr>
      <w:r w:rsidRPr="003B14FA">
        <w:rPr>
          <w:rStyle w:val="Voetnootmarkering"/>
          <w:szCs w:val="13"/>
        </w:rPr>
        <w:footnoteRef/>
      </w:r>
      <w:r w:rsidRPr="003B14FA">
        <w:rPr>
          <w:szCs w:val="13"/>
        </w:rPr>
        <w:t xml:space="preserve"> Kussengas is gas dat permanent in de gasopslagen zit om de opslag op druk te houden. Dat is nodig om het gas met voldoende snelheid uit de opslagen te kunnen produceren. Dit in tegenstelling tot werkgas dat vrij geïnjecteerd en weer onttrokken kan worden. Dit kussengas kan een andere kwaliteit gas zijn dan het werkgas.</w:t>
      </w:r>
    </w:p>
  </w:footnote>
  <w:footnote w:id="24">
    <w:p w14:paraId="4860E750" w14:textId="49F0442E" w:rsidR="00F00E2C" w:rsidRPr="003B14FA" w:rsidRDefault="00F00E2C" w:rsidP="00F26340">
      <w:pPr>
        <w:pStyle w:val="Voetnoottekst"/>
        <w:spacing w:line="240" w:lineRule="auto"/>
        <w:rPr>
          <w:szCs w:val="13"/>
        </w:rPr>
      </w:pPr>
      <w:r w:rsidRPr="003B14FA">
        <w:rPr>
          <w:rStyle w:val="Voetnootmarkering"/>
          <w:szCs w:val="13"/>
        </w:rPr>
        <w:footnoteRef/>
      </w:r>
      <w:r w:rsidRPr="003B14FA">
        <w:rPr>
          <w:szCs w:val="13"/>
        </w:rPr>
        <w:t xml:space="preserve"> </w:t>
      </w:r>
      <w:r w:rsidRPr="003B14FA">
        <w:rPr>
          <w:rFonts w:eastAsia="Verdana" w:cs="Verdana"/>
          <w:szCs w:val="13"/>
        </w:rPr>
        <w:t>Bij keuzes rondom een strategische opslag in Nederland is, op basis van het huidige beeld van het draagvlak, het uitgangspunt dat er geen sprake zal zijn van Europese coördinatie en kostendeling ten aanzien van strategische opslag.</w:t>
      </w:r>
    </w:p>
  </w:footnote>
  <w:footnote w:id="25">
    <w:p w14:paraId="3D358382" w14:textId="0B58B1DF" w:rsidR="00D70F25" w:rsidRPr="003B14FA" w:rsidRDefault="00D70F25" w:rsidP="00F26340">
      <w:pPr>
        <w:pStyle w:val="Voetnoottekst"/>
        <w:spacing w:line="240" w:lineRule="auto"/>
        <w:rPr>
          <w:szCs w:val="13"/>
        </w:rPr>
      </w:pPr>
      <w:r w:rsidRPr="003B14FA">
        <w:rPr>
          <w:rStyle w:val="Voetnootmarkering"/>
          <w:szCs w:val="13"/>
        </w:rPr>
        <w:footnoteRef/>
      </w:r>
      <w:r w:rsidRPr="003B14FA">
        <w:rPr>
          <w:szCs w:val="13"/>
        </w:rPr>
        <w:t xml:space="preserve"> Kamerstukken II 2025/2026, 36</w:t>
      </w:r>
      <w:r w:rsidR="00746AF2" w:rsidRPr="003B14FA">
        <w:rPr>
          <w:szCs w:val="13"/>
        </w:rPr>
        <w:t xml:space="preserve"> </w:t>
      </w:r>
      <w:r w:rsidRPr="003B14FA">
        <w:rPr>
          <w:szCs w:val="13"/>
        </w:rPr>
        <w:t>933, nr. 1</w:t>
      </w:r>
      <w:r w:rsidR="00E71008" w:rsidRPr="003B14FA">
        <w:rPr>
          <w:szCs w:val="13"/>
        </w:rPr>
        <w:t>.</w:t>
      </w:r>
    </w:p>
  </w:footnote>
  <w:footnote w:id="26">
    <w:p w14:paraId="5650B7C5" w14:textId="509F7D7F" w:rsidR="00B162B4" w:rsidRPr="003B14FA" w:rsidRDefault="009B220A" w:rsidP="00F26340">
      <w:pPr>
        <w:pStyle w:val="Voetnoottekst"/>
        <w:spacing w:line="240" w:lineRule="auto"/>
        <w:rPr>
          <w:szCs w:val="13"/>
        </w:rPr>
      </w:pPr>
      <w:r w:rsidRPr="003B14FA">
        <w:rPr>
          <w:rStyle w:val="Voetnootmarkering"/>
          <w:szCs w:val="13"/>
        </w:rPr>
        <w:footnoteRef/>
      </w:r>
      <w:r w:rsidRPr="003B14FA">
        <w:rPr>
          <w:szCs w:val="13"/>
        </w:rPr>
        <w:t xml:space="preserve"> Kamerstukken II 2025/2026, 36 933, nr. 44</w:t>
      </w:r>
      <w:r w:rsidR="00AB6A5F" w:rsidRPr="003B14FA">
        <w:rPr>
          <w:szCs w:val="13"/>
        </w:rPr>
        <w:t>.</w:t>
      </w:r>
    </w:p>
    <w:p w14:paraId="20AE447E" w14:textId="77777777" w:rsidR="00B162B4" w:rsidRPr="003B14FA" w:rsidRDefault="00B162B4" w:rsidP="00F26340">
      <w:pPr>
        <w:pStyle w:val="Voetnoottekst"/>
        <w:spacing w:line="240" w:lineRule="auto"/>
        <w:rPr>
          <w:szCs w:val="13"/>
        </w:rPr>
      </w:pPr>
    </w:p>
    <w:p w14:paraId="63E3FF4F" w14:textId="77777777" w:rsidR="00286B17" w:rsidRPr="003B14FA" w:rsidRDefault="00286B17" w:rsidP="00F26340">
      <w:pPr>
        <w:pStyle w:val="Voetnoottekst"/>
        <w:spacing w:line="240" w:lineRule="auto"/>
        <w:rPr>
          <w:szCs w:val="13"/>
        </w:rPr>
      </w:pPr>
    </w:p>
    <w:p w14:paraId="5F4D052D" w14:textId="77777777" w:rsidR="00AF6DCA" w:rsidRPr="003B14FA" w:rsidRDefault="00AF6DCA" w:rsidP="00F26340">
      <w:pPr>
        <w:pStyle w:val="Voetnoottekst"/>
        <w:spacing w:line="240" w:lineRule="auto"/>
        <w:rPr>
          <w:szCs w:val="13"/>
        </w:rPr>
      </w:pPr>
    </w:p>
    <w:p w14:paraId="0CF5AE66" w14:textId="76D187A0" w:rsidR="00AF6DCA" w:rsidRPr="003B14FA" w:rsidRDefault="00AF6DCA" w:rsidP="00F26340">
      <w:pPr>
        <w:pStyle w:val="Voetnoottekst"/>
        <w:spacing w:line="240" w:lineRule="auto"/>
        <w:rPr>
          <w:szCs w:val="13"/>
        </w:rPr>
      </w:pPr>
    </w:p>
    <w:p w14:paraId="5320FA85" w14:textId="77777777" w:rsidR="00A25164" w:rsidRPr="003B14FA" w:rsidRDefault="009B220A" w:rsidP="00F26340">
      <w:pPr>
        <w:pStyle w:val="Voetnoottekst"/>
        <w:spacing w:line="240" w:lineRule="auto"/>
        <w:rPr>
          <w:szCs w:val="13"/>
        </w:rPr>
      </w:pPr>
      <w:r w:rsidRPr="003B14FA">
        <w:rPr>
          <w:szCs w:val="13"/>
        </w:rPr>
        <w:t>.</w:t>
      </w:r>
    </w:p>
  </w:footnote>
  <w:footnote w:id="27">
    <w:p w14:paraId="5DF78891"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Voor een uitgebreide toelichting van de werking van de interne markt, en deelmarkten binnen de interne markt, wordt verwezen naar de Kamerbrief van 20 november 2023, Kamerstukken II 2023/</w:t>
      </w:r>
      <w:r w:rsidR="00AF1B2A" w:rsidRPr="003B14FA">
        <w:rPr>
          <w:szCs w:val="13"/>
        </w:rPr>
        <w:t>20</w:t>
      </w:r>
      <w:r w:rsidRPr="003B14FA">
        <w:rPr>
          <w:szCs w:val="13"/>
        </w:rPr>
        <w:t>24, 29 023, nr. 453.</w:t>
      </w:r>
    </w:p>
  </w:footnote>
  <w:footnote w:id="28">
    <w:p w14:paraId="48977FF5" w14:textId="3023CDD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lang w:val="en-US"/>
        </w:rPr>
        <w:t xml:space="preserve"> OEIS, Patrick Heather, </w:t>
      </w:r>
      <w:bookmarkStart w:id="4" w:name="OLE_LINK1"/>
      <w:r w:rsidRPr="003B14FA">
        <w:rPr>
          <w:szCs w:val="13"/>
          <w:lang w:val="en-US"/>
        </w:rPr>
        <w:t>European traded gas hubs: Resilience in the face of adversity</w:t>
      </w:r>
      <w:bookmarkEnd w:id="4"/>
      <w:r w:rsidRPr="003B14FA">
        <w:rPr>
          <w:szCs w:val="13"/>
          <w:lang w:val="en-US"/>
        </w:rPr>
        <w:t xml:space="preserve">. </w:t>
      </w:r>
      <w:r w:rsidRPr="003B14FA">
        <w:rPr>
          <w:szCs w:val="13"/>
        </w:rPr>
        <w:t>Juli 2026</w:t>
      </w:r>
      <w:r w:rsidR="00BA580F" w:rsidRPr="003B14FA">
        <w:rPr>
          <w:szCs w:val="13"/>
        </w:rPr>
        <w:t>.</w:t>
      </w:r>
    </w:p>
  </w:footnote>
  <w:footnote w:id="29">
    <w:p w14:paraId="7714BD95" w14:textId="628BD955"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GTS, overzicht leveringszekerheid voor gasjaar 2026/2027, bijlage bij Kamerstukken II 2025/</w:t>
      </w:r>
      <w:r w:rsidR="00AF1B2A" w:rsidRPr="003B14FA">
        <w:rPr>
          <w:szCs w:val="13"/>
        </w:rPr>
        <w:t>20</w:t>
      </w:r>
      <w:r w:rsidRPr="003B14FA">
        <w:rPr>
          <w:szCs w:val="13"/>
        </w:rPr>
        <w:t>26, 29 023, nr. 596</w:t>
      </w:r>
      <w:r w:rsidR="00BA580F" w:rsidRPr="003B14FA">
        <w:rPr>
          <w:szCs w:val="13"/>
        </w:rPr>
        <w:t>.</w:t>
      </w:r>
    </w:p>
  </w:footnote>
  <w:footnote w:id="30">
    <w:p w14:paraId="71B9E653"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Vrijheid van verkeer van goederen en diensten en gemeenschappelijke regels voor mededinging is vastgelegd in het Verdrag betreffende de werking van de Europese Unie (VWEU). Specifiek voor energie geldt bovendien het beginsel van energiesolidariteit (artikel 194 VWEU).</w:t>
      </w:r>
    </w:p>
  </w:footnote>
  <w:footnote w:id="31">
    <w:p w14:paraId="03C5FF42"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Vastgelegd in Richtlijn (EU) 2024/1788 van het Europees Parlement en de Raad van 13 juni 2024 betreffende gemeenschappelijke regels voor de interne markten voor hernieuwbaar gas, aardgas en waterstof, tot wijziging van Richtlijn (EU) 2023/1791 en tot intrekking van Richtlijn 2009/73/EG (herschikking), PBEU L 2024/1788; Verordening (EU) 2024/1789 van het Europees Parlement en de Raad van 13 juni 2024 inzake de interne markten voor hernieuwbaar gas, aardgas en waterstof, tot wijziging van de Verordeningen (EU) nr. 1227/2011, (EU) 2017/1938, (EU) 2019/942 en (EU) 2022/869 en Besluit (EU) 2017/684, en tot intrekking van Verordening (EG) nr. 715/2009 (herschikking) PBEU L 2024/1789.</w:t>
      </w:r>
    </w:p>
  </w:footnote>
  <w:footnote w:id="32">
    <w:p w14:paraId="5DDE3941"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Verordening (EU) 2017/1938 van het Europees Parlement en de Raad van 25 oktober 2017 betreffende maatregelen tot veiligstelling van de gasleveringszekerheid en houdende intrekking van Verordening (EU) nr. 994/2010. </w:t>
      </w:r>
    </w:p>
  </w:footnote>
  <w:footnote w:id="33">
    <w:p w14:paraId="314747E2"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Laagcalorisch gas heeft een lagere energie-inhoud doordat het meer stikstof bevat.</w:t>
      </w:r>
    </w:p>
  </w:footnote>
  <w:footnote w:id="34">
    <w:p w14:paraId="169D77B4"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Bijvoorbeeld door middel van de gasleveringsnorm. </w:t>
      </w:r>
    </w:p>
  </w:footnote>
  <w:footnote w:id="35">
    <w:p w14:paraId="3205FC9F" w14:textId="204A97F5"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Dit geldt ook voor de EU als geheel. Zie ACER LNG Monitoring Report 2026</w:t>
      </w:r>
      <w:r w:rsidR="00672EE4" w:rsidRPr="003B14FA">
        <w:rPr>
          <w:szCs w:val="13"/>
        </w:rPr>
        <w:t>.</w:t>
      </w:r>
      <w:r w:rsidR="00C06FDE" w:rsidRPr="003B14FA">
        <w:rPr>
          <w:szCs w:val="13"/>
        </w:rPr>
        <w:t xml:space="preserve"> </w:t>
      </w:r>
      <w:hyperlink r:id="rId4" w:history="1">
        <w:r w:rsidR="00B95C38" w:rsidRPr="003B14FA">
          <w:rPr>
            <w:rStyle w:val="Hyperlink"/>
            <w:szCs w:val="13"/>
          </w:rPr>
          <w:t>https://www.acer.europa.eu/sites/default/files/documents/Publications/ACER-LNG-Monitoring-Report-2026.pdf</w:t>
        </w:r>
      </w:hyperlink>
      <w:r w:rsidR="00B95C38" w:rsidRPr="003B14FA">
        <w:rPr>
          <w:szCs w:val="13"/>
        </w:rPr>
        <w:t xml:space="preserve">. </w:t>
      </w:r>
    </w:p>
  </w:footnote>
  <w:footnote w:id="36">
    <w:p w14:paraId="2AB93D80"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Energienota 2024, met een uitgebreide analyse inzake de import-afhankelijkheid van Nederland.</w:t>
      </w:r>
    </w:p>
  </w:footnote>
  <w:footnote w:id="37">
    <w:p w14:paraId="1F7913E5" w14:textId="739C4DE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2024/</w:t>
      </w:r>
      <w:r w:rsidR="00AF1B2A" w:rsidRPr="003B14FA">
        <w:rPr>
          <w:szCs w:val="13"/>
        </w:rPr>
        <w:t>20</w:t>
      </w:r>
      <w:r w:rsidRPr="003B14FA">
        <w:rPr>
          <w:szCs w:val="13"/>
        </w:rPr>
        <w:t>25, 33 529, nr. 1293.</w:t>
      </w:r>
    </w:p>
  </w:footnote>
  <w:footnote w:id="38">
    <w:p w14:paraId="02FCFB1B" w14:textId="05DB896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33 529, nr. 1368.</w:t>
      </w:r>
    </w:p>
  </w:footnote>
  <w:footnote w:id="39">
    <w:p w14:paraId="50A50A9D" w14:textId="0F211613"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Voor een uitgebreide toelichting op de werking van de interne gasmarkt, in het bijzonder in relatie tot in Nederland geproduceerd gas, zie de Kamerbrief van 20 november 2023, Kamerstukken II 2023/</w:t>
      </w:r>
      <w:r w:rsidR="00AF1B2A" w:rsidRPr="003B14FA">
        <w:rPr>
          <w:szCs w:val="13"/>
        </w:rPr>
        <w:t>20</w:t>
      </w:r>
      <w:r w:rsidRPr="003B14FA">
        <w:rPr>
          <w:szCs w:val="13"/>
        </w:rPr>
        <w:t>24, 33 529, nr. 453.</w:t>
      </w:r>
    </w:p>
  </w:footnote>
  <w:footnote w:id="40">
    <w:p w14:paraId="7F62489C" w14:textId="028D5261" w:rsidR="00A25164" w:rsidRPr="003B14FA" w:rsidRDefault="00A25164" w:rsidP="00F26340">
      <w:pPr>
        <w:pStyle w:val="Voetnoottekst"/>
        <w:spacing w:line="240" w:lineRule="auto"/>
        <w:rPr>
          <w:szCs w:val="13"/>
        </w:rPr>
      </w:pPr>
      <w:r w:rsidRPr="003B14FA">
        <w:rPr>
          <w:rStyle w:val="Voetnootmarkering"/>
          <w:szCs w:val="13"/>
        </w:rPr>
        <w:footnoteRef/>
      </w:r>
      <w:r w:rsidR="008C2B04" w:rsidRPr="003B14FA">
        <w:rPr>
          <w:szCs w:val="13"/>
        </w:rPr>
        <w:t xml:space="preserve"> </w:t>
      </w:r>
      <w:r w:rsidRPr="003B14FA">
        <w:rPr>
          <w:szCs w:val="13"/>
        </w:rPr>
        <w:t>Jaarverslag Gasunie 2025, onder hoofdstuk 4 kerncijfers.</w:t>
      </w:r>
    </w:p>
  </w:footnote>
  <w:footnote w:id="41">
    <w:p w14:paraId="78888978" w14:textId="3E59039A"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2024/</w:t>
      </w:r>
      <w:r w:rsidR="00AF1B2A" w:rsidRPr="003B14FA">
        <w:rPr>
          <w:szCs w:val="13"/>
        </w:rPr>
        <w:t>20</w:t>
      </w:r>
      <w:r w:rsidRPr="003B14FA">
        <w:rPr>
          <w:szCs w:val="13"/>
        </w:rPr>
        <w:t>25, 29 023, nr. 532.</w:t>
      </w:r>
    </w:p>
  </w:footnote>
  <w:footnote w:id="42">
    <w:p w14:paraId="376B93D2" w14:textId="2B098DD6"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29 023, nr. 708</w:t>
      </w:r>
      <w:r w:rsidR="000724C4" w:rsidRPr="003B14FA">
        <w:rPr>
          <w:szCs w:val="13"/>
        </w:rPr>
        <w:t>.</w:t>
      </w:r>
    </w:p>
  </w:footnote>
  <w:footnote w:id="43">
    <w:p w14:paraId="6FBFB22D" w14:textId="76DA94E2" w:rsidR="3D9BC4F6" w:rsidRPr="003B14FA" w:rsidRDefault="3D9BC4F6" w:rsidP="00F26340">
      <w:pPr>
        <w:pStyle w:val="Voetnoottekst"/>
        <w:spacing w:line="240" w:lineRule="auto"/>
        <w:rPr>
          <w:szCs w:val="13"/>
        </w:rPr>
      </w:pPr>
      <w:r w:rsidRPr="003B14FA">
        <w:rPr>
          <w:szCs w:val="13"/>
          <w:vertAlign w:val="superscript"/>
        </w:rPr>
        <w:footnoteRef/>
      </w:r>
      <w:r w:rsidR="2BDCC76F" w:rsidRPr="003B14FA">
        <w:rPr>
          <w:szCs w:val="13"/>
          <w:vertAlign w:val="superscript"/>
        </w:rPr>
        <w:t xml:space="preserve"> </w:t>
      </w:r>
      <w:r w:rsidR="2BDCC76F" w:rsidRPr="003B14FA">
        <w:rPr>
          <w:szCs w:val="13"/>
        </w:rPr>
        <w:t xml:space="preserve">Zie persbericht: </w:t>
      </w:r>
      <w:hyperlink r:id="rId5" w:history="1">
        <w:r w:rsidR="00133474" w:rsidRPr="003B14FA">
          <w:rPr>
            <w:rStyle w:val="Hyperlink"/>
            <w:szCs w:val="13"/>
          </w:rPr>
          <w:t>https://www.nogat.com/nl/nieuws/nogat-start-pre-feed-fase-van-project-nornet-voor-de-eerste-directe-gasverbinding-tussen-noorwegen-en-nederland/</w:t>
        </w:r>
      </w:hyperlink>
      <w:r w:rsidR="005E044D" w:rsidRPr="003B14FA">
        <w:rPr>
          <w:szCs w:val="13"/>
        </w:rPr>
        <w:t>.</w:t>
      </w:r>
      <w:r w:rsidR="00133474" w:rsidRPr="003B14FA">
        <w:rPr>
          <w:szCs w:val="13"/>
        </w:rPr>
        <w:t> </w:t>
      </w:r>
    </w:p>
  </w:footnote>
  <w:footnote w:id="44">
    <w:p w14:paraId="3512B35C" w14:textId="130DDC70"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2022/</w:t>
      </w:r>
      <w:r w:rsidR="00AF1B2A" w:rsidRPr="003B14FA">
        <w:rPr>
          <w:szCs w:val="13"/>
        </w:rPr>
        <w:t>20</w:t>
      </w:r>
      <w:r w:rsidRPr="003B14FA">
        <w:rPr>
          <w:szCs w:val="13"/>
        </w:rPr>
        <w:t>23, 29 023, nr. 384.</w:t>
      </w:r>
    </w:p>
  </w:footnote>
  <w:footnote w:id="45">
    <w:p w14:paraId="2977A29F" w14:textId="381C34BE"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2024/</w:t>
      </w:r>
      <w:r w:rsidR="00AF1B2A" w:rsidRPr="003B14FA">
        <w:rPr>
          <w:szCs w:val="13"/>
        </w:rPr>
        <w:t>20</w:t>
      </w:r>
      <w:r w:rsidRPr="003B14FA">
        <w:rPr>
          <w:szCs w:val="13"/>
        </w:rPr>
        <w:t xml:space="preserve">25, 29 023, nr. 519. Zie ook: </w:t>
      </w:r>
      <w:hyperlink r:id="rId6" w:history="1">
        <w:r w:rsidRPr="003B14FA">
          <w:rPr>
            <w:rStyle w:val="Hyperlink"/>
            <w:szCs w:val="13"/>
          </w:rPr>
          <w:t>www.gasunietransportservices.nl/gasmarkt/leveringszekerheid-gas/visie-2024</w:t>
        </w:r>
      </w:hyperlink>
      <w:r w:rsidRPr="003B14FA">
        <w:rPr>
          <w:szCs w:val="13"/>
        </w:rPr>
        <w:t xml:space="preserve">. </w:t>
      </w:r>
    </w:p>
  </w:footnote>
  <w:footnote w:id="46">
    <w:p w14:paraId="6DA66B33" w14:textId="301333FC"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2024/</w:t>
      </w:r>
      <w:r w:rsidR="00AF1B2A" w:rsidRPr="003B14FA">
        <w:rPr>
          <w:szCs w:val="13"/>
        </w:rPr>
        <w:t>20</w:t>
      </w:r>
      <w:r w:rsidRPr="003B14FA">
        <w:rPr>
          <w:szCs w:val="13"/>
        </w:rPr>
        <w:t>25, 33 529, nr. 1238 en Kamerstukken II 2025/</w:t>
      </w:r>
      <w:r w:rsidR="00AF1B2A" w:rsidRPr="003B14FA">
        <w:rPr>
          <w:szCs w:val="13"/>
        </w:rPr>
        <w:t>20</w:t>
      </w:r>
      <w:r w:rsidRPr="003B14FA">
        <w:rPr>
          <w:szCs w:val="13"/>
        </w:rPr>
        <w:t>26, 29 023, nr. 665.</w:t>
      </w:r>
    </w:p>
  </w:footnote>
  <w:footnote w:id="47">
    <w:p w14:paraId="246B81A2" w14:textId="033BB2F9"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29023, nr. 596.</w:t>
      </w:r>
    </w:p>
  </w:footnote>
  <w:footnote w:id="48">
    <w:p w14:paraId="4B58F24D"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7" w:history="1">
        <w:r w:rsidRPr="003B14FA">
          <w:rPr>
            <w:rStyle w:val="Hyperlink"/>
            <w:szCs w:val="13"/>
          </w:rPr>
          <w:t>www.eemsenergyterminal.com</w:t>
        </w:r>
      </w:hyperlink>
      <w:r w:rsidRPr="003B14FA">
        <w:rPr>
          <w:szCs w:val="13"/>
        </w:rPr>
        <w:t xml:space="preserve">. </w:t>
      </w:r>
    </w:p>
  </w:footnote>
  <w:footnote w:id="49">
    <w:p w14:paraId="2E5454A2" w14:textId="244D9C6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29 023, nr. 664.</w:t>
      </w:r>
    </w:p>
  </w:footnote>
  <w:footnote w:id="50">
    <w:p w14:paraId="743F8A76" w14:textId="2C100C58"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 xml:space="preserve">26, 29 023, nr. 632. </w:t>
      </w:r>
    </w:p>
  </w:footnote>
  <w:footnote w:id="51">
    <w:p w14:paraId="44AFD93D" w14:textId="629549DB"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2024/</w:t>
      </w:r>
      <w:r w:rsidR="00AF1B2A" w:rsidRPr="003B14FA">
        <w:rPr>
          <w:szCs w:val="13"/>
        </w:rPr>
        <w:t>20</w:t>
      </w:r>
      <w:r w:rsidRPr="003B14FA">
        <w:rPr>
          <w:szCs w:val="13"/>
        </w:rPr>
        <w:t xml:space="preserve">25, 29 023, nr. 563. </w:t>
      </w:r>
    </w:p>
  </w:footnote>
  <w:footnote w:id="52">
    <w:p w14:paraId="292DC31E"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8" w:history="1">
        <w:r w:rsidRPr="003B14FA">
          <w:rPr>
            <w:rStyle w:val="Hyperlink"/>
            <w:szCs w:val="13"/>
          </w:rPr>
          <w:t>www.gateterminal.com/commercial</w:t>
        </w:r>
      </w:hyperlink>
      <w:r w:rsidRPr="003B14FA">
        <w:rPr>
          <w:szCs w:val="13"/>
        </w:rPr>
        <w:t xml:space="preserve">. </w:t>
      </w:r>
    </w:p>
  </w:footnote>
  <w:footnote w:id="53">
    <w:p w14:paraId="5BA31416" w14:textId="41670590"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2023/</w:t>
      </w:r>
      <w:r w:rsidR="00AF1B2A" w:rsidRPr="003B14FA">
        <w:rPr>
          <w:szCs w:val="13"/>
        </w:rPr>
        <w:t>20</w:t>
      </w:r>
      <w:r w:rsidRPr="003B14FA">
        <w:rPr>
          <w:szCs w:val="13"/>
        </w:rPr>
        <w:t>24, 29 023, nr. 449.</w:t>
      </w:r>
    </w:p>
  </w:footnote>
  <w:footnote w:id="54">
    <w:p w14:paraId="1A46870E"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9" w:history="1">
        <w:r w:rsidRPr="003B14FA">
          <w:rPr>
            <w:rStyle w:val="Hyperlink"/>
            <w:szCs w:val="13"/>
          </w:rPr>
          <w:t>www.eemsenergyterminal.com/nl/laatste-nieuws/laatste-bcm-door-engie-gecontracteerd-eemsenergyterminal-in-eemshaven-volledig-uitverkocht</w:t>
        </w:r>
      </w:hyperlink>
      <w:r w:rsidRPr="003B14FA">
        <w:rPr>
          <w:szCs w:val="13"/>
        </w:rPr>
        <w:t xml:space="preserve">. </w:t>
      </w:r>
    </w:p>
  </w:footnote>
  <w:footnote w:id="55">
    <w:p w14:paraId="1EB7EF9E"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0" w:history="1">
        <w:r w:rsidRPr="003B14FA">
          <w:rPr>
            <w:rStyle w:val="Hyperlink"/>
            <w:szCs w:val="13"/>
          </w:rPr>
          <w:t>www.eemsenergyterminal.com/nl/laatste-nieuws/capaciteit-geboekt-voor-verlenging-eemsenergyterminal</w:t>
        </w:r>
      </w:hyperlink>
      <w:r w:rsidRPr="003B14FA">
        <w:rPr>
          <w:szCs w:val="13"/>
        </w:rPr>
        <w:t xml:space="preserve">. </w:t>
      </w:r>
    </w:p>
  </w:footnote>
  <w:footnote w:id="56">
    <w:p w14:paraId="11703779" w14:textId="280444CB"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1" w:history="1">
        <w:r w:rsidRPr="003B14FA">
          <w:rPr>
            <w:rStyle w:val="Hyperlink"/>
            <w:szCs w:val="13"/>
          </w:rPr>
          <w:t>https://zeelandenergyterminal.com/open-season/</w:t>
        </w:r>
      </w:hyperlink>
      <w:r w:rsidR="00C67551" w:rsidRPr="003B14FA">
        <w:rPr>
          <w:szCs w:val="13"/>
        </w:rPr>
        <w:t>.</w:t>
      </w:r>
    </w:p>
  </w:footnote>
  <w:footnote w:id="57">
    <w:p w14:paraId="190CE3D8" w14:textId="67F4D073"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29 023, nr. 706.</w:t>
      </w:r>
    </w:p>
  </w:footnote>
  <w:footnote w:id="58">
    <w:p w14:paraId="1E8D8281" w14:textId="5250D726"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2023/</w:t>
      </w:r>
      <w:r w:rsidR="00AF1B2A" w:rsidRPr="003B14FA">
        <w:rPr>
          <w:szCs w:val="13"/>
        </w:rPr>
        <w:t>20</w:t>
      </w:r>
      <w:r w:rsidRPr="003B14FA">
        <w:rPr>
          <w:szCs w:val="13"/>
        </w:rPr>
        <w:t>24, 33 529, nr. 453.</w:t>
      </w:r>
    </w:p>
  </w:footnote>
  <w:footnote w:id="59">
    <w:p w14:paraId="35D448B5" w14:textId="44F4D344"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2023/</w:t>
      </w:r>
      <w:r w:rsidR="00AF1B2A" w:rsidRPr="003B14FA">
        <w:rPr>
          <w:szCs w:val="13"/>
        </w:rPr>
        <w:t>20</w:t>
      </w:r>
      <w:r w:rsidRPr="003B14FA">
        <w:rPr>
          <w:szCs w:val="13"/>
        </w:rPr>
        <w:t xml:space="preserve">24, 29 023, nr. 512. </w:t>
      </w:r>
    </w:p>
  </w:footnote>
  <w:footnote w:id="60">
    <w:p w14:paraId="2BF62A49" w14:textId="5075D9C3"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Strategy&amp; constateerde in 2024: er is sprake van een toenemend aandeel LT-contracten. Ook ACER constateert dat een significant deel van de import van LNG naar de EU is gebaseerd op langetermijncontracten. Zie </w:t>
      </w:r>
      <w:hyperlink r:id="rId12" w:history="1">
        <w:r w:rsidRPr="003B14FA">
          <w:rPr>
            <w:rStyle w:val="Hyperlink"/>
            <w:szCs w:val="13"/>
          </w:rPr>
          <w:t>www.acer.europa.eu/monitoring/MMR/LNG_market_developments_2026</w:t>
        </w:r>
      </w:hyperlink>
      <w:r w:rsidRPr="003B14FA">
        <w:rPr>
          <w:szCs w:val="13"/>
        </w:rPr>
        <w:t xml:space="preserve">. CE Delft in zijn advies uit van een beperkt aandeel, maar baseert zich daarbij op een oudere bron uit 2018. De hiervoor geciteerde bronnen geven een actueler beeld. </w:t>
      </w:r>
    </w:p>
  </w:footnote>
  <w:footnote w:id="61">
    <w:p w14:paraId="1DC106E4"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Hierbij geldt dat er verschillen zijn tussen bilateraal gesloten contracten (wederpartij bekend, duur aan partijen om te bepalen, levering gedurende de hele looptijd, mogelijk periodiek heronderhandelbaar) en contracten gesloten via de TTF (mogelijk tot maximaal vier jaar vooruit, eenmalige levering, wederpartij onbekend, levering gegarandeerd door de beurs). </w:t>
      </w:r>
    </w:p>
  </w:footnote>
  <w:footnote w:id="62">
    <w:p w14:paraId="1132208A"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CE Delft constateert in zijn advies ook dat een aan de TTF-prijzen gekoppeld langetermijncontract geen voordeel oplevert voor de betaalbaarheid van gas in Europa. Dat zou volgens CE Delft mogelijk anders liggen indien de prijs in het contract zou zijn aan de Amerikaanse Henry Hub, maar het is aan marktpartijen om een dergelijke constructie te beoordelen en op de markt te contracteren. </w:t>
      </w:r>
    </w:p>
  </w:footnote>
  <w:footnote w:id="63">
    <w:p w14:paraId="061FDD90" w14:textId="1B2B2B30" w:rsidR="00C23994" w:rsidRPr="003B14FA" w:rsidRDefault="00C23994" w:rsidP="00F26340">
      <w:pPr>
        <w:pStyle w:val="Voetnoottekst"/>
        <w:spacing w:line="240" w:lineRule="auto"/>
        <w:rPr>
          <w:szCs w:val="13"/>
        </w:rPr>
      </w:pPr>
      <w:r w:rsidRPr="003B14FA">
        <w:rPr>
          <w:rStyle w:val="Voetnootmarkering"/>
          <w:szCs w:val="13"/>
        </w:rPr>
        <w:footnoteRef/>
      </w:r>
      <w:r w:rsidRPr="003B14FA">
        <w:rPr>
          <w:szCs w:val="13"/>
        </w:rPr>
        <w:t xml:space="preserve"> </w:t>
      </w:r>
      <w:r w:rsidR="0093240B" w:rsidRPr="003B14FA">
        <w:rPr>
          <w:szCs w:val="13"/>
        </w:rPr>
        <w:t>Artikel 82, vierde lid van de Mijnbouwwet.</w:t>
      </w:r>
    </w:p>
  </w:footnote>
  <w:footnote w:id="64">
    <w:p w14:paraId="4B16FB17"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In het bijzonder beginselen van de interne markt en energiesolidariteit en mededingingsregels (neergelegd in artikel 101 en 102 VWEU) die in de weg staan aan territoriale beperkingen afspraken die de handel tussen lidstaten beperken.</w:t>
      </w:r>
    </w:p>
  </w:footnote>
  <w:footnote w:id="65">
    <w:p w14:paraId="4BAB7A98"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In het bijzonder artikel 11 Verordening gasleveringszekerheid.</w:t>
      </w:r>
    </w:p>
  </w:footnote>
  <w:footnote w:id="66">
    <w:p w14:paraId="0C8AFFE0"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Ook CE Delft komt in zijn advies tot de conclusie dat gelet op de wijze waarop de EU georganiseerd en gereguleerd is, het al dan niet sluiten van langetermijncontracten niet een taak is voor de overheid maar voor marktpartijen zelf.</w:t>
      </w:r>
    </w:p>
  </w:footnote>
  <w:footnote w:id="67">
    <w:p w14:paraId="4B86E202" w14:textId="566E3E1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2023/</w:t>
      </w:r>
      <w:r w:rsidR="00AF1B2A" w:rsidRPr="003B14FA">
        <w:rPr>
          <w:szCs w:val="13"/>
        </w:rPr>
        <w:t>20</w:t>
      </w:r>
      <w:r w:rsidRPr="003B14FA">
        <w:rPr>
          <w:szCs w:val="13"/>
        </w:rPr>
        <w:t>24, 29 023, nr. 442.</w:t>
      </w:r>
    </w:p>
  </w:footnote>
  <w:footnote w:id="68">
    <w:p w14:paraId="601E4591"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2021/2022, 29 023, nr. 302 en kamerstukken II 2023/2024, 29 023, nr. 442.</w:t>
      </w:r>
    </w:p>
  </w:footnote>
  <w:footnote w:id="69">
    <w:p w14:paraId="5C9E5F76" w14:textId="289327BB" w:rsidR="002546B7" w:rsidRPr="003B14FA" w:rsidRDefault="002546B7" w:rsidP="00F26340">
      <w:pPr>
        <w:pStyle w:val="Voetnoottekst"/>
        <w:spacing w:line="240" w:lineRule="auto"/>
        <w:rPr>
          <w:szCs w:val="13"/>
        </w:rPr>
      </w:pPr>
      <w:r w:rsidRPr="003B14FA">
        <w:rPr>
          <w:rStyle w:val="Voetnootmarkering"/>
          <w:szCs w:val="13"/>
        </w:rPr>
        <w:footnoteRef/>
      </w:r>
      <w:r w:rsidRPr="003B14FA">
        <w:rPr>
          <w:szCs w:val="13"/>
        </w:rPr>
        <w:t xml:space="preserve"> </w:t>
      </w:r>
      <w:r w:rsidR="0085717E" w:rsidRPr="003B14FA">
        <w:rPr>
          <w:szCs w:val="13"/>
        </w:rPr>
        <w:t>Aanhangsel van de handelingen, 2021/2022,</w:t>
      </w:r>
      <w:r w:rsidR="005A0CD0" w:rsidRPr="003B14FA">
        <w:rPr>
          <w:szCs w:val="13"/>
        </w:rPr>
        <w:t xml:space="preserve"> </w:t>
      </w:r>
      <w:r w:rsidR="005573D3" w:rsidRPr="003B14FA">
        <w:rPr>
          <w:szCs w:val="13"/>
        </w:rPr>
        <w:t>14965</w:t>
      </w:r>
      <w:r w:rsidR="00355A86" w:rsidRPr="003B14FA">
        <w:rPr>
          <w:szCs w:val="13"/>
        </w:rPr>
        <w:t xml:space="preserve"> </w:t>
      </w:r>
      <w:r w:rsidR="00D90FD4" w:rsidRPr="003B14FA">
        <w:rPr>
          <w:szCs w:val="13"/>
        </w:rPr>
        <w:t>(</w:t>
      </w:r>
      <w:r w:rsidR="001F4BB1" w:rsidRPr="003B14FA">
        <w:rPr>
          <w:szCs w:val="13"/>
        </w:rPr>
        <w:t>Antwoord</w:t>
      </w:r>
      <w:r w:rsidR="00D90FD4" w:rsidRPr="003B14FA">
        <w:rPr>
          <w:szCs w:val="13"/>
        </w:rPr>
        <w:t xml:space="preserve"> op </w:t>
      </w:r>
      <w:r w:rsidR="001F4BB1" w:rsidRPr="003B14FA">
        <w:rPr>
          <w:szCs w:val="13"/>
        </w:rPr>
        <w:t>vragen</w:t>
      </w:r>
      <w:r w:rsidR="00D90FD4" w:rsidRPr="003B14FA">
        <w:rPr>
          <w:szCs w:val="13"/>
        </w:rPr>
        <w:t xml:space="preserve"> van </w:t>
      </w:r>
      <w:r w:rsidR="001F4BB1" w:rsidRPr="003B14FA">
        <w:rPr>
          <w:szCs w:val="13"/>
        </w:rPr>
        <w:t xml:space="preserve">de leden Erkens en Bontenbal over het artikel ‘EBN deed bod om gasopslag Bergermeer te nationaliseren’) </w:t>
      </w:r>
      <w:r w:rsidR="00355A86" w:rsidRPr="003B14FA">
        <w:rPr>
          <w:szCs w:val="13"/>
        </w:rPr>
        <w:t xml:space="preserve">en </w:t>
      </w:r>
      <w:r w:rsidR="006D088A" w:rsidRPr="003B14FA">
        <w:rPr>
          <w:szCs w:val="13"/>
        </w:rPr>
        <w:t>K</w:t>
      </w:r>
      <w:r w:rsidR="005D7D79" w:rsidRPr="003B14FA">
        <w:rPr>
          <w:szCs w:val="13"/>
        </w:rPr>
        <w:t xml:space="preserve">amerstukken II </w:t>
      </w:r>
      <w:r w:rsidR="007E0DA9" w:rsidRPr="003B14FA">
        <w:rPr>
          <w:szCs w:val="13"/>
        </w:rPr>
        <w:t>202</w:t>
      </w:r>
      <w:r w:rsidR="0000273E" w:rsidRPr="003B14FA">
        <w:rPr>
          <w:szCs w:val="13"/>
        </w:rPr>
        <w:t>1</w:t>
      </w:r>
      <w:r w:rsidR="007E0DA9" w:rsidRPr="003B14FA">
        <w:rPr>
          <w:szCs w:val="13"/>
        </w:rPr>
        <w:t xml:space="preserve">/2022, </w:t>
      </w:r>
      <w:r w:rsidR="00A624E4" w:rsidRPr="003B14FA">
        <w:rPr>
          <w:szCs w:val="13"/>
        </w:rPr>
        <w:t>33</w:t>
      </w:r>
      <w:r w:rsidR="006D088A" w:rsidRPr="003B14FA">
        <w:rPr>
          <w:szCs w:val="13"/>
        </w:rPr>
        <w:t xml:space="preserve"> </w:t>
      </w:r>
      <w:r w:rsidR="00A624E4" w:rsidRPr="003B14FA">
        <w:rPr>
          <w:szCs w:val="13"/>
        </w:rPr>
        <w:t>529, nr. 10</w:t>
      </w:r>
      <w:r w:rsidR="00A22646" w:rsidRPr="003B14FA">
        <w:rPr>
          <w:szCs w:val="13"/>
        </w:rPr>
        <w:t>60</w:t>
      </w:r>
      <w:r w:rsidR="00355A86" w:rsidRPr="003B14FA">
        <w:rPr>
          <w:szCs w:val="13"/>
        </w:rPr>
        <w:t xml:space="preserve">. </w:t>
      </w:r>
    </w:p>
  </w:footnote>
  <w:footnote w:id="70">
    <w:p w14:paraId="7915B5F1" w14:textId="77777777" w:rsidR="00FA09DA" w:rsidRPr="003B14FA" w:rsidRDefault="00FA09DA" w:rsidP="00F26340">
      <w:pPr>
        <w:pStyle w:val="Voetnoottekst"/>
        <w:spacing w:line="240" w:lineRule="auto"/>
        <w:rPr>
          <w:szCs w:val="13"/>
        </w:rPr>
      </w:pPr>
      <w:r w:rsidRPr="003B14FA">
        <w:rPr>
          <w:rStyle w:val="Voetnootmarkering"/>
          <w:szCs w:val="13"/>
        </w:rPr>
        <w:footnoteRef/>
      </w:r>
      <w:r w:rsidRPr="003B14FA">
        <w:rPr>
          <w:szCs w:val="13"/>
        </w:rPr>
        <w:t xml:space="preserve"> Zoals uitval van de grootste afzonderlijke gasinfrastructuur gedurende één dag van uitzonderlijk hoge gasvraag die met een statistische waarschijnlijkheid van eens in de 20 jaar voorkomt, maar ook uitval van de grootste afzonderlijke gasinfrastructuur onder gemiddelde winterse omstandigheden tijdens een periode van 30 dagen. </w:t>
      </w:r>
    </w:p>
  </w:footnote>
  <w:footnote w:id="71">
    <w:p w14:paraId="045FA30C" w14:textId="7A832B16"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Uit visie gasopslagen (2023): “Deze taak aan GTS stelt het kabinet in staat om ook tot 2025 het gewenste vulniveau te bepalen en daarbij rekening te houden met de dalende gasvraag, maar ook welke functionaliteiten het meest belangrijk zijn om te voorzien in de gasleveringszekerheid. Dit dient om te voorkomen dat het kabinet aanvullende maatregelen neemt die – gezien de dalende gasvraag – onnodig zijn of – gezien de veranderende rol van gas – niet effectief zijn. Op basis van dit advies kan het kabinet jaarlijks besluiten of en zo ja welke ondersteunende maatregelen noodzakelijk zijn om deze vulgraad te realiseren.”</w:t>
      </w:r>
      <w:r w:rsidR="00A638BA" w:rsidRPr="003B14FA">
        <w:rPr>
          <w:szCs w:val="13"/>
        </w:rPr>
        <w:t>.</w:t>
      </w:r>
    </w:p>
  </w:footnote>
  <w:footnote w:id="72">
    <w:p w14:paraId="63FEAEE4"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r w:rsidRPr="003B14FA">
        <w:rPr>
          <w:rFonts w:eastAsia="Verdana" w:cs="Verdana"/>
          <w:szCs w:val="13"/>
        </w:rPr>
        <w:t>Of met de technische capaciteit van de resterende infrastructuur, na verstoring van de grootste afzonderlijke gasinfrastructuur, voldaan kan worden aan de totale gasvraag gedurende een dag van uitzonderlijk hoge gasvraag die met een statistische waarschijnlijkheid van eens in de 20 jaar voorkomt.</w:t>
      </w:r>
    </w:p>
  </w:footnote>
  <w:footnote w:id="73">
    <w:p w14:paraId="3C884F20"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De aangewezen aardgasbedrijven zijn ertoe verplicht de nodige maatregelen te nemen om de gaslevering aan de beschermde afnemers van de lidstaat te waarborgen in elk van de volgende gevallen: </w:t>
      </w:r>
    </w:p>
    <w:p w14:paraId="5450407C" w14:textId="77777777" w:rsidR="00A25164" w:rsidRPr="003B14FA" w:rsidRDefault="00A25164" w:rsidP="00F26340">
      <w:pPr>
        <w:pStyle w:val="Voetnoottekst"/>
        <w:numPr>
          <w:ilvl w:val="0"/>
          <w:numId w:val="28"/>
        </w:numPr>
        <w:spacing w:line="240" w:lineRule="auto"/>
        <w:rPr>
          <w:szCs w:val="13"/>
        </w:rPr>
      </w:pPr>
      <w:r w:rsidRPr="003B14FA">
        <w:rPr>
          <w:szCs w:val="13"/>
        </w:rPr>
        <w:t>extreme temperaturen gedurende een zeven dagen durende piekperiode die voorkomt met een statistische waarschijnlijkheid van eens in de 20 jaar;</w:t>
      </w:r>
    </w:p>
    <w:p w14:paraId="25C6C84A" w14:textId="77777777" w:rsidR="00A25164" w:rsidRPr="003B14FA" w:rsidRDefault="00A25164" w:rsidP="00F26340">
      <w:pPr>
        <w:pStyle w:val="Voetnoottekst"/>
        <w:numPr>
          <w:ilvl w:val="0"/>
          <w:numId w:val="28"/>
        </w:numPr>
        <w:spacing w:line="240" w:lineRule="auto"/>
        <w:rPr>
          <w:szCs w:val="13"/>
        </w:rPr>
      </w:pPr>
      <w:r w:rsidRPr="003B14FA">
        <w:rPr>
          <w:szCs w:val="13"/>
        </w:rPr>
        <w:t>een periode van 30 dagen met een uitzonderlijk hoge gasvraag die voorkomt met een statistische waarschijnlijkheid van eens in de 20 jaar;</w:t>
      </w:r>
    </w:p>
    <w:p w14:paraId="55FE804B" w14:textId="77777777" w:rsidR="00A25164" w:rsidRPr="003B14FA" w:rsidRDefault="00A25164" w:rsidP="00F26340">
      <w:pPr>
        <w:pStyle w:val="Voetnoottekst"/>
        <w:numPr>
          <w:ilvl w:val="0"/>
          <w:numId w:val="28"/>
        </w:numPr>
        <w:spacing w:line="240" w:lineRule="auto"/>
        <w:rPr>
          <w:szCs w:val="13"/>
        </w:rPr>
      </w:pPr>
      <w:r w:rsidRPr="003B14FA">
        <w:rPr>
          <w:szCs w:val="13"/>
        </w:rPr>
        <w:t>een periode van 30 dagen in het geval van verstoring van de grootste afzonderlijke gasinfrastructuur onder gemiddelde winterse omstandigheden.</w:t>
      </w:r>
    </w:p>
  </w:footnote>
  <w:footnote w:id="74">
    <w:p w14:paraId="72D732C5" w14:textId="77E9F4CA"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Bijlage bij Kamerstukken II 2025/</w:t>
      </w:r>
      <w:r w:rsidR="00AF1B2A" w:rsidRPr="003B14FA">
        <w:rPr>
          <w:szCs w:val="13"/>
        </w:rPr>
        <w:t>20</w:t>
      </w:r>
      <w:r w:rsidRPr="003B14FA">
        <w:rPr>
          <w:szCs w:val="13"/>
        </w:rPr>
        <w:t>26, 21 501-33, nr. 1168.</w:t>
      </w:r>
    </w:p>
  </w:footnote>
  <w:footnote w:id="75">
    <w:p w14:paraId="44C39D1D"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Europese Commissie, stafdocument ‘Ensuring well-functioning gas markets’ SWD(2026) 147, p. 45.</w:t>
      </w:r>
    </w:p>
  </w:footnote>
  <w:footnote w:id="76">
    <w:p w14:paraId="1F6F2A98"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Cor Leguijt, Reinier van der Veen en Jilles van den Beukel ‘Strategische kussengasreserves: een analyse van de maatregelen om de leveringszekerheid en betaalbaarheid van gas te verbeteren’ (CE Delft), p. 40. </w:t>
      </w:r>
    </w:p>
  </w:footnote>
  <w:footnote w:id="77">
    <w:p w14:paraId="2475BF34" w14:textId="2BC5F661" w:rsidR="005040A7" w:rsidRPr="003B14FA" w:rsidRDefault="005040A7" w:rsidP="00F26340">
      <w:pPr>
        <w:pStyle w:val="Voetnoottekst"/>
        <w:spacing w:line="240" w:lineRule="auto"/>
        <w:rPr>
          <w:szCs w:val="13"/>
        </w:rPr>
      </w:pPr>
      <w:r w:rsidRPr="003B14FA">
        <w:rPr>
          <w:rStyle w:val="Voetnootmarkering"/>
          <w:szCs w:val="13"/>
        </w:rPr>
        <w:footnoteRef/>
      </w:r>
      <w:r w:rsidRPr="003B14FA">
        <w:rPr>
          <w:szCs w:val="13"/>
        </w:rPr>
        <w:t xml:space="preserve"> GTS, overzicht leveringszekerheid voor gasjaar 2026/2027, bijlage bij Kamerstukken II 2025/2026, 29 023, nr. 596</w:t>
      </w:r>
    </w:p>
  </w:footnote>
  <w:footnote w:id="78">
    <w:p w14:paraId="082CC543" w14:textId="77777777" w:rsidR="009A0701" w:rsidRPr="003B14FA" w:rsidRDefault="009A0701" w:rsidP="00F26340">
      <w:pPr>
        <w:pStyle w:val="Voetnoottekst"/>
        <w:spacing w:line="240" w:lineRule="auto"/>
        <w:rPr>
          <w:szCs w:val="13"/>
          <w:lang w:val="en-US"/>
        </w:rPr>
      </w:pPr>
      <w:r w:rsidRPr="003B14FA">
        <w:rPr>
          <w:rStyle w:val="Voetnootmarkering"/>
          <w:szCs w:val="13"/>
        </w:rPr>
        <w:footnoteRef/>
      </w:r>
      <w:r w:rsidRPr="003B14FA">
        <w:rPr>
          <w:szCs w:val="13"/>
          <w:lang w:val="en-US"/>
        </w:rPr>
        <w:t xml:space="preserve"> Europese Commissie, stafdocument, ‘EU Energy security – evaluating the EU’s security of electricity and gas supply framework’, SWD/2025/0435, p. 63. </w:t>
      </w:r>
    </w:p>
  </w:footnote>
  <w:footnote w:id="79">
    <w:p w14:paraId="38986080" w14:textId="77777777" w:rsidR="009A0701" w:rsidRPr="003B14FA" w:rsidRDefault="009A0701" w:rsidP="00F26340">
      <w:pPr>
        <w:pStyle w:val="Voetnoottekst"/>
        <w:spacing w:line="240" w:lineRule="auto"/>
        <w:rPr>
          <w:szCs w:val="13"/>
          <w:lang w:val="en-US"/>
        </w:rPr>
      </w:pPr>
      <w:r w:rsidRPr="003B14FA">
        <w:rPr>
          <w:rStyle w:val="Voetnootmarkering"/>
          <w:szCs w:val="13"/>
        </w:rPr>
        <w:footnoteRef/>
      </w:r>
      <w:r w:rsidRPr="003B14FA">
        <w:rPr>
          <w:szCs w:val="13"/>
          <w:lang w:val="en-US"/>
        </w:rPr>
        <w:t xml:space="preserve"> Gas Preventive Action Plan of the Republic of Austria (2023): </w:t>
      </w:r>
      <w:hyperlink r:id="rId13" w:history="1">
        <w:r w:rsidRPr="003B14FA">
          <w:rPr>
            <w:rStyle w:val="Hyperlink"/>
            <w:szCs w:val="13"/>
            <w:lang w:val="en-US"/>
          </w:rPr>
          <w:t>Preventive action plans and emergency plans</w:t>
        </w:r>
      </w:hyperlink>
      <w:r w:rsidRPr="003B14FA">
        <w:rPr>
          <w:szCs w:val="13"/>
          <w:lang w:val="en-US"/>
        </w:rPr>
        <w:t>.</w:t>
      </w:r>
    </w:p>
  </w:footnote>
  <w:footnote w:id="80">
    <w:p w14:paraId="6CCA7DF0" w14:textId="69F3C739" w:rsidR="006A75FB" w:rsidRPr="003B14FA" w:rsidRDefault="006A75FB" w:rsidP="00F26340">
      <w:pPr>
        <w:pStyle w:val="Voetnoottekst"/>
        <w:spacing w:line="240" w:lineRule="auto"/>
        <w:rPr>
          <w:szCs w:val="13"/>
        </w:rPr>
      </w:pPr>
      <w:r w:rsidRPr="003B14FA">
        <w:rPr>
          <w:rStyle w:val="Voetnootmarkering"/>
          <w:szCs w:val="13"/>
        </w:rPr>
        <w:footnoteRef/>
      </w:r>
      <w:r w:rsidRPr="003B14FA">
        <w:rPr>
          <w:szCs w:val="13"/>
        </w:rPr>
        <w:t xml:space="preserve"> </w:t>
      </w:r>
      <w:r w:rsidR="005050DF" w:rsidRPr="003B14FA">
        <w:rPr>
          <w:szCs w:val="13"/>
        </w:rPr>
        <w:t xml:space="preserve">Het aandeel Russisch pijpleidinggas in de EU-invoer daalde van ongeveer 40% in 2021 tot ongeveer 6% in 2025, bron: Europese Raad, </w:t>
      </w:r>
      <w:hyperlink r:id="rId14" w:history="1">
        <w:r w:rsidR="002B7721" w:rsidRPr="003B14FA">
          <w:rPr>
            <w:rStyle w:val="Hyperlink"/>
            <w:szCs w:val="13"/>
          </w:rPr>
          <w:t>https://www.consilium.europa.eu/nl/infographics/where-does-the-eu-s-gas-come-from/</w:t>
        </w:r>
      </w:hyperlink>
      <w:r w:rsidR="00065BD9" w:rsidRPr="003B14FA">
        <w:rPr>
          <w:szCs w:val="13"/>
        </w:rPr>
        <w:t>.</w:t>
      </w:r>
    </w:p>
  </w:footnote>
  <w:footnote w:id="81">
    <w:p w14:paraId="1F14AA92" w14:textId="1F16A646" w:rsidR="004E40BD" w:rsidRPr="003B14FA" w:rsidRDefault="004E40BD" w:rsidP="00F26340">
      <w:pPr>
        <w:pStyle w:val="Voetnoottekst"/>
        <w:spacing w:line="240" w:lineRule="auto"/>
        <w:rPr>
          <w:szCs w:val="13"/>
        </w:rPr>
      </w:pPr>
      <w:r w:rsidRPr="003B14FA">
        <w:rPr>
          <w:rStyle w:val="Voetnootmarkering"/>
          <w:szCs w:val="13"/>
        </w:rPr>
        <w:footnoteRef/>
      </w:r>
      <w:r w:rsidRPr="003B14FA">
        <w:rPr>
          <w:szCs w:val="13"/>
        </w:rPr>
        <w:t xml:space="preserve"> In Nederland </w:t>
      </w:r>
      <w:r w:rsidR="00B675DB" w:rsidRPr="003B14FA">
        <w:rPr>
          <w:szCs w:val="13"/>
        </w:rPr>
        <w:t xml:space="preserve">heeft het noodplan de titel: </w:t>
      </w:r>
      <w:r w:rsidRPr="003B14FA">
        <w:rPr>
          <w:szCs w:val="13"/>
        </w:rPr>
        <w:t xml:space="preserve">Bescherm- en Herstelplan Gas. </w:t>
      </w:r>
    </w:p>
  </w:footnote>
  <w:footnote w:id="82">
    <w:p w14:paraId="06C1C085" w14:textId="67D875AA" w:rsidR="00A25164" w:rsidRPr="003B14FA" w:rsidRDefault="00A25164" w:rsidP="00F26340">
      <w:pPr>
        <w:pStyle w:val="Voetnoottekst"/>
        <w:spacing w:line="240" w:lineRule="auto"/>
        <w:rPr>
          <w:rFonts w:cs="Calibri"/>
          <w:szCs w:val="13"/>
        </w:rPr>
      </w:pPr>
      <w:r w:rsidRPr="003B14FA">
        <w:rPr>
          <w:rStyle w:val="Voetnootmarkering"/>
          <w:rFonts w:cs="Calibri"/>
          <w:szCs w:val="13"/>
        </w:rPr>
        <w:footnoteRef/>
      </w:r>
      <w:r w:rsidRPr="003B14FA">
        <w:rPr>
          <w:rFonts w:cs="Calibri"/>
          <w:szCs w:val="13"/>
        </w:rPr>
        <w:t xml:space="preserve"> Kamerstukken II 2024/</w:t>
      </w:r>
      <w:r w:rsidR="00AF1B2A" w:rsidRPr="003B14FA">
        <w:rPr>
          <w:rFonts w:cs="Calibri"/>
          <w:szCs w:val="13"/>
        </w:rPr>
        <w:t>20</w:t>
      </w:r>
      <w:r w:rsidRPr="003B14FA">
        <w:rPr>
          <w:rFonts w:cs="Calibri"/>
          <w:szCs w:val="13"/>
        </w:rPr>
        <w:t>25, 29</w:t>
      </w:r>
      <w:r w:rsidR="001B5723" w:rsidRPr="003B14FA">
        <w:rPr>
          <w:rFonts w:cs="Calibri"/>
          <w:szCs w:val="13"/>
        </w:rPr>
        <w:t xml:space="preserve"> </w:t>
      </w:r>
      <w:r w:rsidRPr="003B14FA">
        <w:rPr>
          <w:rFonts w:cs="Calibri"/>
          <w:szCs w:val="13"/>
        </w:rPr>
        <w:t>023, nr. 563.</w:t>
      </w:r>
    </w:p>
  </w:footnote>
  <w:footnote w:id="83">
    <w:p w14:paraId="520363BD" w14:textId="77777777" w:rsidR="00A25164" w:rsidRPr="003B14FA" w:rsidRDefault="00A25164" w:rsidP="00F26340">
      <w:pPr>
        <w:pStyle w:val="Voetnoottekst"/>
        <w:spacing w:line="240" w:lineRule="auto"/>
        <w:rPr>
          <w:rFonts w:cs="Calibri"/>
          <w:szCs w:val="13"/>
        </w:rPr>
      </w:pPr>
      <w:r w:rsidRPr="003B14FA">
        <w:rPr>
          <w:rStyle w:val="Voetnootmarkering"/>
          <w:rFonts w:cs="Calibri"/>
          <w:szCs w:val="13"/>
        </w:rPr>
        <w:footnoteRef/>
      </w:r>
      <w:r w:rsidRPr="003B14FA">
        <w:rPr>
          <w:rFonts w:cs="Calibri"/>
          <w:szCs w:val="13"/>
        </w:rPr>
        <w:t xml:space="preserve"> Artikel 11, eerste lid, onderdeel c, van de Verordening (EU) 2017/1938 van het Europees Parlement en de Raad van 25 oktober 2017 betreffende maatregelen tot veiligstelling van de gasleveringszekerheid.</w:t>
      </w:r>
    </w:p>
  </w:footnote>
  <w:footnote w:id="84">
    <w:p w14:paraId="6716370E" w14:textId="77777777" w:rsidR="00A25164" w:rsidRPr="003B14FA" w:rsidRDefault="00A25164" w:rsidP="00F26340">
      <w:pPr>
        <w:pStyle w:val="Voetnoottekst"/>
        <w:spacing w:line="240" w:lineRule="auto"/>
        <w:rPr>
          <w:rFonts w:cs="Calibri"/>
          <w:szCs w:val="13"/>
        </w:rPr>
      </w:pPr>
      <w:r w:rsidRPr="003B14FA">
        <w:rPr>
          <w:rStyle w:val="Voetnootmarkering"/>
          <w:rFonts w:cs="Calibri"/>
          <w:szCs w:val="13"/>
        </w:rPr>
        <w:footnoteRef/>
      </w:r>
      <w:r w:rsidRPr="003B14FA">
        <w:rPr>
          <w:rFonts w:cs="Calibri"/>
          <w:szCs w:val="13"/>
        </w:rPr>
        <w:t xml:space="preserve"> Artikel 2, onderdeel 29, jo artikel 11, eerste lid, onderdeel c, jo Bijlage VIII van de Verordening (EU) 2017/1938 van het Europees Parlement en de Raad van 25 oktober 2017 betreffende maatregelen tot veiligstelling van de gasleveringszekerheid.</w:t>
      </w:r>
    </w:p>
  </w:footnote>
  <w:footnote w:id="85">
    <w:p w14:paraId="5A4AF56B" w14:textId="4FD50D6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w:t>
      </w:r>
      <w:r w:rsidR="00AF1B2A" w:rsidRPr="003B14FA">
        <w:rPr>
          <w:szCs w:val="13"/>
        </w:rPr>
        <w:t>20</w:t>
      </w:r>
      <w:r w:rsidRPr="003B14FA">
        <w:rPr>
          <w:szCs w:val="13"/>
        </w:rPr>
        <w:t>26, 29023, nr. 596.</w:t>
      </w:r>
    </w:p>
  </w:footnote>
  <w:footnote w:id="86">
    <w:p w14:paraId="08B5E1D7" w14:textId="306058F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w:t>
      </w:r>
      <w:r w:rsidRPr="003B14FA">
        <w:rPr>
          <w:rFonts w:cs="Arial"/>
          <w:szCs w:val="13"/>
        </w:rPr>
        <w:t> </w:t>
      </w:r>
      <w:r w:rsidRPr="003B14FA">
        <w:rPr>
          <w:szCs w:val="13"/>
        </w:rPr>
        <w:t>II 2025/</w:t>
      </w:r>
      <w:r w:rsidR="00AF1B2A" w:rsidRPr="003B14FA">
        <w:rPr>
          <w:szCs w:val="13"/>
        </w:rPr>
        <w:t>20</w:t>
      </w:r>
      <w:r w:rsidRPr="003B14FA">
        <w:rPr>
          <w:szCs w:val="13"/>
        </w:rPr>
        <w:t>26, 36 915 nr. 1.</w:t>
      </w:r>
    </w:p>
  </w:footnote>
  <w:footnote w:id="87">
    <w:p w14:paraId="227D9F7C" w14:textId="77777777" w:rsidR="00093747" w:rsidRPr="003B14FA" w:rsidRDefault="00093747" w:rsidP="00F26340">
      <w:pPr>
        <w:pStyle w:val="Voetnoottekst"/>
        <w:spacing w:line="240" w:lineRule="auto"/>
        <w:rPr>
          <w:szCs w:val="13"/>
        </w:rPr>
      </w:pPr>
      <w:r w:rsidRPr="003B14FA">
        <w:rPr>
          <w:rStyle w:val="Voetnootmarkering"/>
          <w:szCs w:val="13"/>
        </w:rPr>
        <w:footnoteRef/>
      </w:r>
      <w:r w:rsidRPr="003B14FA">
        <w:rPr>
          <w:szCs w:val="13"/>
        </w:rPr>
        <w:t xml:space="preserve"> Kamerstukken II 2026/2027, 37020-XXIII nr. 2.</w:t>
      </w:r>
    </w:p>
  </w:footnote>
  <w:footnote w:id="88">
    <w:p w14:paraId="44A5B206" w14:textId="365A118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bookmarkStart w:id="5" w:name="OLE_LINK3"/>
      <w:r w:rsidRPr="003B14FA">
        <w:rPr>
          <w:szCs w:val="13"/>
        </w:rPr>
        <w:t>Mijnraadadvies Coördinatie gasleveringszekerheid</w:t>
      </w:r>
      <w:r w:rsidRPr="003B14FA">
        <w:rPr>
          <w:i/>
          <w:szCs w:val="13"/>
        </w:rPr>
        <w:t xml:space="preserve"> Besluitvorming over Nederlandse Gasvoorraden</w:t>
      </w:r>
      <w:bookmarkEnd w:id="5"/>
      <w:r w:rsidR="00A87980" w:rsidRPr="003B14FA">
        <w:rPr>
          <w:i/>
          <w:szCs w:val="13"/>
        </w:rPr>
        <w:t xml:space="preserve"> </w:t>
      </w:r>
      <w:r w:rsidR="00060ED1" w:rsidRPr="003B14FA">
        <w:rPr>
          <w:i/>
          <w:szCs w:val="13"/>
        </w:rPr>
        <w:t>(juni 2025)</w:t>
      </w:r>
      <w:r w:rsidR="005403B1" w:rsidRPr="003B14FA">
        <w:rPr>
          <w:i/>
          <w:szCs w:val="13"/>
        </w:rPr>
        <w:t xml:space="preserve">; </w:t>
      </w:r>
      <w:r w:rsidRPr="003B14FA">
        <w:rPr>
          <w:szCs w:val="13"/>
        </w:rPr>
        <w:t>PWC</w:t>
      </w:r>
      <w:r w:rsidR="005403B1" w:rsidRPr="003B14FA">
        <w:rPr>
          <w:szCs w:val="13"/>
        </w:rPr>
        <w:t>,</w:t>
      </w:r>
      <w:r w:rsidRPr="003B14FA">
        <w:rPr>
          <w:i/>
          <w:szCs w:val="13"/>
        </w:rPr>
        <w:t xml:space="preserve"> Afwegingskader leveringszekerheid gasmarkt</w:t>
      </w:r>
      <w:r w:rsidR="009E715E" w:rsidRPr="003B14FA">
        <w:rPr>
          <w:i/>
          <w:szCs w:val="13"/>
        </w:rPr>
        <w:t xml:space="preserve"> (juni 2026)</w:t>
      </w:r>
      <w:r w:rsidR="00057403" w:rsidRPr="003B14FA">
        <w:rPr>
          <w:i/>
          <w:szCs w:val="13"/>
        </w:rPr>
        <w:t xml:space="preserve">; </w:t>
      </w:r>
      <w:r w:rsidRPr="003B14FA">
        <w:rPr>
          <w:szCs w:val="13"/>
        </w:rPr>
        <w:t>GTS</w:t>
      </w:r>
      <w:r w:rsidR="00057403" w:rsidRPr="003B14FA">
        <w:rPr>
          <w:szCs w:val="13"/>
        </w:rPr>
        <w:t>,</w:t>
      </w:r>
      <w:r w:rsidRPr="003B14FA">
        <w:rPr>
          <w:i/>
          <w:szCs w:val="13"/>
        </w:rPr>
        <w:t xml:space="preserve"> Een robuuste Europese Aardgasvoorziening</w:t>
      </w:r>
      <w:r w:rsidR="0052521F" w:rsidRPr="003B14FA">
        <w:rPr>
          <w:i/>
          <w:szCs w:val="13"/>
        </w:rPr>
        <w:t xml:space="preserve"> (maart 2026)</w:t>
      </w:r>
      <w:r w:rsidR="0077739D" w:rsidRPr="003B14FA">
        <w:rPr>
          <w:i/>
          <w:szCs w:val="13"/>
        </w:rPr>
        <w:t xml:space="preserve">; </w:t>
      </w:r>
      <w:r w:rsidRPr="003B14FA">
        <w:rPr>
          <w:szCs w:val="13"/>
        </w:rPr>
        <w:t>CE Delft</w:t>
      </w:r>
      <w:r w:rsidR="0077739D" w:rsidRPr="003B14FA">
        <w:rPr>
          <w:szCs w:val="13"/>
        </w:rPr>
        <w:t>,</w:t>
      </w:r>
      <w:r w:rsidRPr="003B14FA">
        <w:rPr>
          <w:szCs w:val="13"/>
        </w:rPr>
        <w:t xml:space="preserve"> </w:t>
      </w:r>
      <w:r w:rsidRPr="003B14FA">
        <w:rPr>
          <w:i/>
          <w:szCs w:val="13"/>
        </w:rPr>
        <w:t>Strategische Kussengasreserves</w:t>
      </w:r>
      <w:r w:rsidR="008F0B58" w:rsidRPr="003B14FA">
        <w:rPr>
          <w:i/>
          <w:szCs w:val="13"/>
        </w:rPr>
        <w:t xml:space="preserve"> (september 2025)</w:t>
      </w:r>
      <w:r w:rsidR="009F6705" w:rsidRPr="003B14FA">
        <w:rPr>
          <w:i/>
          <w:szCs w:val="13"/>
        </w:rPr>
        <w:t>.</w:t>
      </w:r>
    </w:p>
  </w:footnote>
  <w:footnote w:id="89">
    <w:p w14:paraId="5048D1FF" w14:textId="3C88693C" w:rsidR="00AF1B2A" w:rsidRPr="003B14FA" w:rsidRDefault="00AF1B2A" w:rsidP="00F26340">
      <w:pPr>
        <w:pStyle w:val="Voetnoottekst"/>
        <w:spacing w:line="240" w:lineRule="auto"/>
        <w:rPr>
          <w:szCs w:val="13"/>
        </w:rPr>
      </w:pPr>
      <w:r w:rsidRPr="003B14FA">
        <w:rPr>
          <w:rStyle w:val="Voetnootmarkering"/>
          <w:szCs w:val="13"/>
        </w:rPr>
        <w:footnoteRef/>
      </w:r>
      <w:r w:rsidRPr="003B14FA">
        <w:rPr>
          <w:szCs w:val="13"/>
        </w:rPr>
        <w:t xml:space="preserve"> Kamerstukken II 2024/2025, 29 023, nr. 575.</w:t>
      </w:r>
    </w:p>
  </w:footnote>
  <w:footnote w:id="90">
    <w:p w14:paraId="6B18F92B" w14:textId="66E64B94" w:rsidR="00AF1B2A" w:rsidRPr="003B14FA" w:rsidRDefault="00AF1B2A" w:rsidP="00F26340">
      <w:pPr>
        <w:pStyle w:val="Voetnoottekst"/>
        <w:spacing w:line="240" w:lineRule="auto"/>
        <w:rPr>
          <w:szCs w:val="13"/>
        </w:rPr>
      </w:pPr>
      <w:r w:rsidRPr="003B14FA">
        <w:rPr>
          <w:rStyle w:val="Voetnootmarkering"/>
          <w:szCs w:val="13"/>
        </w:rPr>
        <w:footnoteRef/>
      </w:r>
      <w:r w:rsidRPr="003B14FA">
        <w:rPr>
          <w:szCs w:val="13"/>
        </w:rPr>
        <w:t xml:space="preserve"> Kamerstukken II 2024/2025, 29 023, nr. 591</w:t>
      </w:r>
    </w:p>
  </w:footnote>
  <w:footnote w:id="91">
    <w:p w14:paraId="31D3BB87" w14:textId="42F58307" w:rsidR="007D5470" w:rsidRPr="003B14FA" w:rsidRDefault="007D5470" w:rsidP="00F26340">
      <w:pPr>
        <w:pStyle w:val="Voetnoottekst"/>
        <w:spacing w:line="240" w:lineRule="auto"/>
        <w:rPr>
          <w:szCs w:val="13"/>
        </w:rPr>
      </w:pPr>
      <w:r w:rsidRPr="003B14FA">
        <w:rPr>
          <w:rStyle w:val="Voetnootmarkering"/>
          <w:szCs w:val="13"/>
        </w:rPr>
        <w:footnoteRef/>
      </w:r>
      <w:r w:rsidRPr="003B14FA">
        <w:rPr>
          <w:szCs w:val="13"/>
        </w:rPr>
        <w:t xml:space="preserve"> </w:t>
      </w:r>
      <w:r w:rsidRPr="003B14FA">
        <w:rPr>
          <w:rFonts w:eastAsia="Verdana" w:cs="Verdana"/>
          <w:szCs w:val="13"/>
        </w:rPr>
        <w:t xml:space="preserve">Hierbij wordt, net als bij het jaarlijkse advies rondom het vuldoel, uitgegaan van een koude winter, uitval van </w:t>
      </w:r>
      <w:r w:rsidR="003F6DCC" w:rsidRPr="003B14FA">
        <w:rPr>
          <w:rFonts w:eastAsia="Verdana" w:cs="Verdana"/>
          <w:szCs w:val="13"/>
        </w:rPr>
        <w:t xml:space="preserve">een </w:t>
      </w:r>
      <w:r w:rsidRPr="003B14FA">
        <w:rPr>
          <w:rFonts w:eastAsia="Verdana" w:cs="Verdana"/>
          <w:szCs w:val="13"/>
        </w:rPr>
        <w:t>bron en geen maximale benutting van LNG-import in de winter. Daarmee</w:t>
      </w:r>
      <w:r w:rsidRPr="003B14FA" w:rsidDel="00C55799">
        <w:rPr>
          <w:rFonts w:eastAsia="Verdana" w:cs="Verdana"/>
          <w:szCs w:val="13"/>
        </w:rPr>
        <w:t xml:space="preserve"> </w:t>
      </w:r>
      <w:r w:rsidRPr="003B14FA">
        <w:rPr>
          <w:rFonts w:eastAsia="Verdana" w:cs="Verdana"/>
          <w:szCs w:val="13"/>
        </w:rPr>
        <w:t>is 70 TWh een inschatting van het benodigde volume voor seizoensopslag bij een suboptimale situatie. In het verlengde daarvan is mogelijk de marktbehoefte aan seizoensopslag lager.</w:t>
      </w:r>
      <w:r w:rsidR="00AB36C1" w:rsidRPr="003B14FA">
        <w:rPr>
          <w:rFonts w:eastAsia="Verdana" w:cs="Verdana"/>
          <w:szCs w:val="13"/>
        </w:rPr>
        <w:t xml:space="preserve"> Desondanks lijkt het verstandig ten minste 70 TWh aan ruimte te laten, ook om ruimte te bieden voor opslag van een hoger volume als dat om commerciële redenen aantrekkelijk is</w:t>
      </w:r>
      <w:r w:rsidR="003E28C8" w:rsidRPr="003B14FA">
        <w:rPr>
          <w:rFonts w:eastAsia="Verdana" w:cs="Verdana"/>
          <w:szCs w:val="13"/>
        </w:rPr>
        <w:t>.</w:t>
      </w:r>
    </w:p>
  </w:footnote>
  <w:footnote w:id="92">
    <w:p w14:paraId="0C7D1A79" w14:textId="77777777" w:rsidR="00D66E56" w:rsidRPr="003B14FA" w:rsidRDefault="00D66E56" w:rsidP="00F26340">
      <w:pPr>
        <w:pStyle w:val="Voetnoottekst"/>
        <w:spacing w:line="240" w:lineRule="auto"/>
        <w:rPr>
          <w:szCs w:val="13"/>
        </w:rPr>
      </w:pPr>
      <w:r w:rsidRPr="003B14FA">
        <w:rPr>
          <w:rStyle w:val="Voetnootmarkering"/>
          <w:szCs w:val="13"/>
        </w:rPr>
        <w:footnoteRef/>
      </w:r>
      <w:r w:rsidRPr="003B14FA">
        <w:rPr>
          <w:szCs w:val="13"/>
        </w:rPr>
        <w:t xml:space="preserve"> Zo heeft Oostenrijk in 2022 een strategische opslag aangelegd in twee tenders voor 117,4 EUR/MWh en 230,23 EUR/MWh.</w:t>
      </w:r>
    </w:p>
  </w:footnote>
  <w:footnote w:id="93">
    <w:p w14:paraId="002F0917" w14:textId="77777777" w:rsidR="00A25164" w:rsidRPr="003B14FA" w:rsidRDefault="00A25164" w:rsidP="00F26340">
      <w:pPr>
        <w:spacing w:line="240" w:lineRule="auto"/>
        <w:rPr>
          <w:sz w:val="13"/>
          <w:szCs w:val="13"/>
        </w:rPr>
      </w:pPr>
      <w:r w:rsidRPr="003B14FA">
        <w:rPr>
          <w:rStyle w:val="Voetnootmarkering"/>
          <w:sz w:val="13"/>
          <w:szCs w:val="13"/>
        </w:rPr>
        <w:footnoteRef/>
      </w:r>
      <w:r w:rsidRPr="003B14FA">
        <w:rPr>
          <w:sz w:val="13"/>
          <w:szCs w:val="13"/>
        </w:rPr>
        <w:t xml:space="preserve"> Na de capaciteitsuitbreiding per 1 oktober 2026 heeft GATE een capaciteit van 26,5 GW, overeenkomend met een 30-daags volume van circa 19,1 TWh.</w:t>
      </w:r>
    </w:p>
  </w:footnote>
  <w:footnote w:id="94">
    <w:p w14:paraId="729F6B9F" w14:textId="5336845D" w:rsidR="00F06183" w:rsidRPr="003B14FA" w:rsidRDefault="00F06183" w:rsidP="00F26340">
      <w:pPr>
        <w:pStyle w:val="Voetnoottekst"/>
        <w:spacing w:line="240" w:lineRule="auto"/>
        <w:rPr>
          <w:szCs w:val="13"/>
        </w:rPr>
      </w:pPr>
      <w:r w:rsidRPr="003B14FA">
        <w:rPr>
          <w:rStyle w:val="Voetnootmarkering"/>
          <w:szCs w:val="13"/>
        </w:rPr>
        <w:footnoteRef/>
      </w:r>
      <w:r w:rsidRPr="003B14FA">
        <w:rPr>
          <w:szCs w:val="13"/>
        </w:rPr>
        <w:t xml:space="preserve"> 5 TWh is goed voor 6,25 dagen volledige vraag in Nederland. Naar verwachting valt niet het volledige aanbod weg en zal een deel van de vraag </w:t>
      </w:r>
      <w:r w:rsidR="00857591" w:rsidRPr="003B14FA">
        <w:rPr>
          <w:szCs w:val="13"/>
        </w:rPr>
        <w:t xml:space="preserve">wegvallen. Daarom is het aannemelijk dat met 5 TWh </w:t>
      </w:r>
      <w:r w:rsidR="00BC05A4" w:rsidRPr="003B14FA">
        <w:rPr>
          <w:szCs w:val="13"/>
        </w:rPr>
        <w:t xml:space="preserve">twee weken in vraag kan worden voorzien. </w:t>
      </w:r>
      <w:r w:rsidR="004E05C0" w:rsidRPr="003B14FA">
        <w:rPr>
          <w:szCs w:val="13"/>
        </w:rPr>
        <w:t xml:space="preserve">9 TWh is goed voor 11,25 dagen volledige vraag, als dezelfde lijn wordt gevolgd als bij 5 TWh </w:t>
      </w:r>
      <w:r w:rsidR="00055C34" w:rsidRPr="003B14FA">
        <w:rPr>
          <w:szCs w:val="13"/>
        </w:rPr>
        <w:t xml:space="preserve">lijkt het aannemelijk dat hiermee </w:t>
      </w:r>
      <w:r w:rsidR="00B021F6" w:rsidRPr="003B14FA">
        <w:rPr>
          <w:szCs w:val="13"/>
        </w:rPr>
        <w:t>ruim 25 dagen aan de vraag kan worden voorzien, dus grofweg zo’n vier weken.</w:t>
      </w:r>
    </w:p>
  </w:footnote>
  <w:footnote w:id="95">
    <w:p w14:paraId="277C6810" w14:textId="4B8F39B7" w:rsidR="00A25164" w:rsidRPr="003B14FA" w:rsidRDefault="00A25164" w:rsidP="00F26340">
      <w:pPr>
        <w:pStyle w:val="Voetnoottekst"/>
        <w:spacing w:line="240" w:lineRule="auto"/>
        <w:rPr>
          <w:szCs w:val="13"/>
          <w:lang w:val="en-US"/>
        </w:rPr>
      </w:pPr>
      <w:r w:rsidRPr="003B14FA">
        <w:rPr>
          <w:rStyle w:val="Voetnootmarkering"/>
          <w:szCs w:val="13"/>
        </w:rPr>
        <w:footnoteRef/>
      </w:r>
      <w:r w:rsidRPr="003B14FA">
        <w:rPr>
          <w:szCs w:val="13"/>
          <w:lang w:val="en-US"/>
        </w:rPr>
        <w:t xml:space="preserve"> Zie doel IEA reserves: </w:t>
      </w:r>
      <w:hyperlink r:id="rId15" w:history="1">
        <w:r w:rsidR="007716BF" w:rsidRPr="003B14FA">
          <w:rPr>
            <w:rStyle w:val="Hyperlink"/>
            <w:szCs w:val="13"/>
            <w:lang w:val="en-US"/>
          </w:rPr>
          <w:t>https://www.iea.org/about/oil-security-and-emergency-response</w:t>
        </w:r>
      </w:hyperlink>
      <w:r w:rsidRPr="003B14FA">
        <w:rPr>
          <w:szCs w:val="13"/>
          <w:lang w:val="en-US"/>
        </w:rPr>
        <w:t xml:space="preserve"> “</w:t>
      </w:r>
      <w:r w:rsidRPr="003B14FA">
        <w:rPr>
          <w:i/>
          <w:szCs w:val="13"/>
          <w:lang w:val="en-US"/>
        </w:rPr>
        <w:t>The Agency’s collective response system is designed to mitigate the negative economic impacts of sudden oil supply shortages by providing additional oil to the global market. The system focuses on alleviating short-term oil supply disruptions either by increasing supply (e.g. releasing emergency stocks) and/or reducing demand (e.g. implementing demand restraint measures). The IEA emergency response system is not a tool for price intervention or long-term supply management, both of which are more effectively addressed through other measures.” </w:t>
      </w:r>
    </w:p>
  </w:footnote>
  <w:footnote w:id="96">
    <w:p w14:paraId="6AB0E3D6" w14:textId="51A994A8"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r w:rsidRPr="003B14FA">
        <w:rPr>
          <w:rFonts w:eastAsia="Verdana" w:cs="Verdana"/>
          <w:szCs w:val="13"/>
        </w:rPr>
        <w:t>Dit effect is ook in de oliemarkt waargenomen n.a.v. de recente verstoringen van aanvoer door de Straat van Hormuz</w:t>
      </w:r>
      <w:r w:rsidR="00426E1D" w:rsidRPr="003B14FA">
        <w:rPr>
          <w:rFonts w:eastAsia="Verdana" w:cs="Verdana"/>
          <w:szCs w:val="13"/>
        </w:rPr>
        <w:t>.</w:t>
      </w:r>
    </w:p>
  </w:footnote>
  <w:footnote w:id="97">
    <w:p w14:paraId="06E1BCDA" w14:textId="20569039" w:rsidR="00F36442" w:rsidRPr="003B14FA" w:rsidRDefault="00F36442" w:rsidP="00F26340">
      <w:pPr>
        <w:pStyle w:val="Voetnoottekst"/>
        <w:spacing w:line="240" w:lineRule="auto"/>
        <w:rPr>
          <w:szCs w:val="13"/>
        </w:rPr>
      </w:pPr>
      <w:r w:rsidRPr="003B14FA">
        <w:rPr>
          <w:rStyle w:val="Voetnootmarkering"/>
          <w:szCs w:val="13"/>
        </w:rPr>
        <w:footnoteRef/>
      </w:r>
      <w:r w:rsidRPr="003B14FA">
        <w:rPr>
          <w:szCs w:val="13"/>
        </w:rPr>
        <w:t xml:space="preserve"> </w:t>
      </w:r>
      <w:r w:rsidR="00241A14" w:rsidRPr="003B14FA">
        <w:rPr>
          <w:szCs w:val="13"/>
        </w:rPr>
        <w:t>Ook zal een aparte transportleiding nodig zijn om het vuile kussengas naar de stilstofinstallaties te transporteren. Vanwege het vuile karakter van het gas is transport via het reguliere gastransportnet niet mogelijk.</w:t>
      </w:r>
    </w:p>
  </w:footnote>
  <w:footnote w:id="98">
    <w:p w14:paraId="1F216F8C" w14:textId="068EDC9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2025/2026, 36</w:t>
      </w:r>
      <w:r w:rsidR="00CF09FE" w:rsidRPr="003B14FA">
        <w:rPr>
          <w:szCs w:val="13"/>
        </w:rPr>
        <w:t xml:space="preserve"> </w:t>
      </w:r>
      <w:r w:rsidRPr="003B14FA">
        <w:rPr>
          <w:szCs w:val="13"/>
        </w:rPr>
        <w:t>933, nr. 1</w:t>
      </w:r>
      <w:r w:rsidR="005B0140" w:rsidRPr="003B14FA">
        <w:rPr>
          <w:szCs w:val="13"/>
        </w:rPr>
        <w:t>.</w:t>
      </w:r>
    </w:p>
  </w:footnote>
  <w:footnote w:id="99">
    <w:p w14:paraId="60C1096D" w14:textId="2EFE0B9A"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Kamerstukken II 2025/2026, 36</w:t>
      </w:r>
      <w:r w:rsidR="00365E5D" w:rsidRPr="003B14FA">
        <w:rPr>
          <w:szCs w:val="13"/>
        </w:rPr>
        <w:t xml:space="preserve"> </w:t>
      </w:r>
      <w:r w:rsidRPr="003B14FA">
        <w:rPr>
          <w:szCs w:val="13"/>
        </w:rPr>
        <w:t>933, nr. 1</w:t>
      </w:r>
      <w:r w:rsidR="005B0140" w:rsidRPr="003B14FA">
        <w:rPr>
          <w:szCs w:val="13"/>
        </w:rPr>
        <w:t>.</w:t>
      </w:r>
    </w:p>
  </w:footnote>
  <w:footnote w:id="100">
    <w:p w14:paraId="689383F2" w14:textId="21963D88"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 aanname van een gemiddelde vraag van 0,8 TWh per dag (dit is een conservatieve schatting, naar verwachting is in tijden van crisis de vraag afgenomen)</w:t>
      </w:r>
      <w:r w:rsidR="009800F7" w:rsidRPr="003B14FA">
        <w:rPr>
          <w:szCs w:val="13"/>
        </w:rPr>
        <w:t>.</w:t>
      </w:r>
    </w:p>
  </w:footnote>
  <w:footnote w:id="101">
    <w:p w14:paraId="7E39C396" w14:textId="6870381D"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 aanname dat de kosten van een voorraad tussen 7 en 13 miljoen euro per TWh per jaar bedraagt. Dit is gebaseerd op gasprijzen tussen 30 EUR/MWh en 60 EUR/MWh en operationele kosten vergelijkbaar met die van </w:t>
      </w:r>
      <w:r w:rsidR="00501F33" w:rsidRPr="003B14FA">
        <w:rPr>
          <w:szCs w:val="13"/>
        </w:rPr>
        <w:t xml:space="preserve">de </w:t>
      </w:r>
      <w:r w:rsidR="0016160E" w:rsidRPr="003B14FA">
        <w:rPr>
          <w:szCs w:val="13"/>
        </w:rPr>
        <w:t xml:space="preserve">huidige tijdelijke noodvoorraad in </w:t>
      </w:r>
      <w:r w:rsidRPr="003B14FA">
        <w:rPr>
          <w:szCs w:val="13"/>
        </w:rPr>
        <w:t xml:space="preserve">de PGI Alkmaar. </w:t>
      </w:r>
      <w:r w:rsidR="00336971" w:rsidRPr="003B14FA">
        <w:rPr>
          <w:szCs w:val="13"/>
        </w:rPr>
        <w:t xml:space="preserve">Zie ook toelichting op pagina 33. </w:t>
      </w:r>
    </w:p>
  </w:footnote>
  <w:footnote w:id="102">
    <w:p w14:paraId="176139E6" w14:textId="4C291070" w:rsidR="009E6FF9" w:rsidRPr="003B14FA" w:rsidRDefault="00D2721B" w:rsidP="00F26340">
      <w:pPr>
        <w:pStyle w:val="Voetnoottekst"/>
        <w:spacing w:line="240" w:lineRule="auto"/>
        <w:ind w:left="360"/>
        <w:rPr>
          <w:szCs w:val="13"/>
        </w:rPr>
      </w:pPr>
      <w:r w:rsidRPr="003B14FA">
        <w:rPr>
          <w:rStyle w:val="Voetnootmarkering"/>
          <w:szCs w:val="13"/>
        </w:rPr>
        <w:footnoteRef/>
      </w:r>
      <w:r w:rsidRPr="003B14FA">
        <w:rPr>
          <w:szCs w:val="13"/>
        </w:rPr>
        <w:t xml:space="preserve"> </w:t>
      </w:r>
      <w:r w:rsidR="00CC14A4" w:rsidRPr="003B14FA">
        <w:rPr>
          <w:szCs w:val="13"/>
        </w:rPr>
        <w:t xml:space="preserve">Kamerstukken II, </w:t>
      </w:r>
      <w:r w:rsidR="00021DB5" w:rsidRPr="003B14FA">
        <w:rPr>
          <w:szCs w:val="13"/>
        </w:rPr>
        <w:t>202</w:t>
      </w:r>
      <w:r w:rsidR="005E01BA" w:rsidRPr="003B14FA">
        <w:rPr>
          <w:szCs w:val="13"/>
        </w:rPr>
        <w:t>4</w:t>
      </w:r>
      <w:r w:rsidR="00021DB5" w:rsidRPr="003B14FA">
        <w:rPr>
          <w:szCs w:val="13"/>
        </w:rPr>
        <w:t>-202</w:t>
      </w:r>
      <w:r w:rsidR="005E01BA" w:rsidRPr="003B14FA">
        <w:rPr>
          <w:szCs w:val="13"/>
        </w:rPr>
        <w:t>5</w:t>
      </w:r>
      <w:r w:rsidR="00021DB5" w:rsidRPr="003B14FA">
        <w:rPr>
          <w:szCs w:val="13"/>
        </w:rPr>
        <w:t xml:space="preserve">, </w:t>
      </w:r>
      <w:r w:rsidR="009E6FF9" w:rsidRPr="003B14FA">
        <w:rPr>
          <w:szCs w:val="13"/>
        </w:rPr>
        <w:t>29</w:t>
      </w:r>
      <w:r w:rsidR="00E61809" w:rsidRPr="003B14FA">
        <w:rPr>
          <w:szCs w:val="13"/>
        </w:rPr>
        <w:t xml:space="preserve"> </w:t>
      </w:r>
      <w:r w:rsidR="009E6FF9" w:rsidRPr="003B14FA">
        <w:rPr>
          <w:szCs w:val="13"/>
        </w:rPr>
        <w:t>023</w:t>
      </w:r>
      <w:r w:rsidR="005E01BA" w:rsidRPr="003B14FA">
        <w:rPr>
          <w:szCs w:val="13"/>
        </w:rPr>
        <w:t xml:space="preserve">, nr. </w:t>
      </w:r>
      <w:r w:rsidR="009E6FF9" w:rsidRPr="003B14FA">
        <w:rPr>
          <w:szCs w:val="13"/>
        </w:rPr>
        <w:t>591</w:t>
      </w:r>
      <w:r w:rsidR="000F6976" w:rsidRPr="003B14FA">
        <w:rPr>
          <w:szCs w:val="13"/>
        </w:rPr>
        <w:t>.</w:t>
      </w:r>
    </w:p>
    <w:p w14:paraId="47D5EE5F" w14:textId="07F6E222" w:rsidR="00D2721B" w:rsidRPr="003B14FA" w:rsidRDefault="00D2721B" w:rsidP="00F26340">
      <w:pPr>
        <w:pStyle w:val="Voetnoottekst"/>
        <w:spacing w:line="240" w:lineRule="auto"/>
        <w:rPr>
          <w:szCs w:val="13"/>
        </w:rPr>
      </w:pPr>
    </w:p>
  </w:footnote>
  <w:footnote w:id="103">
    <w:p w14:paraId="0911482F" w14:textId="33FCA7C9"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Bijlage bij Kamerstukken II 2025/</w:t>
      </w:r>
      <w:r w:rsidR="00AF1B2A" w:rsidRPr="003B14FA">
        <w:rPr>
          <w:szCs w:val="13"/>
        </w:rPr>
        <w:t>20</w:t>
      </w:r>
      <w:r w:rsidRPr="003B14FA">
        <w:rPr>
          <w:szCs w:val="13"/>
        </w:rPr>
        <w:t>26, 21 501-33, nr. 1168.</w:t>
      </w:r>
    </w:p>
  </w:footnote>
  <w:footnote w:id="104">
    <w:p w14:paraId="770ADBC2" w14:textId="4DC8C4B5"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Waar mogelijk is deze data verkregen via </w:t>
      </w:r>
      <w:r w:rsidR="00145C97" w:rsidRPr="003B14FA">
        <w:rPr>
          <w:szCs w:val="13"/>
        </w:rPr>
        <w:t xml:space="preserve">het </w:t>
      </w:r>
      <w:r w:rsidR="00341B80" w:rsidRPr="003B14FA">
        <w:rPr>
          <w:szCs w:val="13"/>
        </w:rPr>
        <w:t>gasleveringszekerheid dashboard van de Joint Research Centre (JRC) van de Europese Commissie, die data van Eurostat gebruikt</w:t>
      </w:r>
      <w:r w:rsidR="00145C97" w:rsidRPr="003B14FA">
        <w:rPr>
          <w:szCs w:val="13"/>
        </w:rPr>
        <w:t>.</w:t>
      </w:r>
      <w:r w:rsidRPr="003B14FA">
        <w:rPr>
          <w:szCs w:val="13"/>
        </w:rPr>
        <w:t xml:space="preserve"> </w:t>
      </w:r>
    </w:p>
  </w:footnote>
  <w:footnote w:id="105">
    <w:p w14:paraId="769D9384"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“Redegørelse for gasforsyningssikkerhed 2025” (Rapportage leveringszekerheid 2025), tevens bevestigd door ambtenaren van de Deense overheid. </w:t>
      </w:r>
    </w:p>
  </w:footnote>
  <w:footnote w:id="106">
    <w:p w14:paraId="16311A7A" w14:textId="7DDBC32C"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6" w:anchor="how-is-the-managemen" w:history="1">
        <w:r w:rsidR="008D6138" w:rsidRPr="003B14FA">
          <w:rPr>
            <w:rStyle w:val="Hyperlink"/>
            <w:szCs w:val="13"/>
          </w:rPr>
          <w:t>https://varudekeskus.ee/en/estonian-stockpiling-agency/national-stockpiles/fuel-stocks/strategic-natural-gas-stocks#how-is-the-managemen</w:t>
        </w:r>
      </w:hyperlink>
    </w:p>
  </w:footnote>
  <w:footnote w:id="107">
    <w:p w14:paraId="74D186F8" w14:textId="52CA2722"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7" w:history="1">
        <w:r w:rsidR="008D6138" w:rsidRPr="003B14FA">
          <w:rPr>
            <w:rStyle w:val="Hyperlink"/>
            <w:szCs w:val="13"/>
          </w:rPr>
          <w:t>https://www.husa.hu/en/stockpiling-of-energy-sources/</w:t>
        </w:r>
      </w:hyperlink>
    </w:p>
  </w:footnote>
  <w:footnote w:id="108">
    <w:p w14:paraId="2533D154"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8" w:history="1">
        <w:r w:rsidRPr="003B14FA">
          <w:rPr>
            <w:rStyle w:val="Hyperlink"/>
            <w:szCs w:val="13"/>
          </w:rPr>
          <w:t>https://www.mase.gov.it/portale/documents/d/guest/m_amte-mase-registro_ufficiale_i_-0003861-12-01-2026-1-pdf</w:t>
        </w:r>
      </w:hyperlink>
      <w:r w:rsidRPr="003B14FA">
        <w:rPr>
          <w:szCs w:val="13"/>
        </w:rPr>
        <w:t>, bevestigd door ambtenaren van de Italiaanse overheid.</w:t>
      </w:r>
    </w:p>
  </w:footnote>
  <w:footnote w:id="109">
    <w:p w14:paraId="4FF25975"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19" w:history="1">
        <w:r w:rsidRPr="003B14FA">
          <w:rPr>
            <w:rStyle w:val="Hyperlink"/>
            <w:szCs w:val="13"/>
          </w:rPr>
          <w:t>https://likumi.lv/ta/en/en/id/49833-energy-law</w:t>
        </w:r>
      </w:hyperlink>
      <w:r w:rsidRPr="003B14FA">
        <w:rPr>
          <w:szCs w:val="13"/>
        </w:rPr>
        <w:t xml:space="preserve"> en bevestigd door ambtenaren van de Letse overheid.</w:t>
      </w:r>
    </w:p>
  </w:footnote>
  <w:footnote w:id="110">
    <w:p w14:paraId="1F5EC475" w14:textId="2C1663E0"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20" w:history="1">
        <w:r w:rsidR="008D6138" w:rsidRPr="003B14FA">
          <w:rPr>
            <w:rStyle w:val="Hyperlink"/>
            <w:szCs w:val="13"/>
          </w:rPr>
          <w:t>https://www.aggm.at/en/security-of-supply/strategic-gas-reserve/</w:t>
        </w:r>
      </w:hyperlink>
      <w:r w:rsidRPr="003B14FA">
        <w:rPr>
          <w:szCs w:val="13"/>
        </w:rPr>
        <w:t xml:space="preserve"> </w:t>
      </w:r>
    </w:p>
  </w:footnote>
  <w:footnote w:id="111">
    <w:p w14:paraId="11A38603" w14:textId="77777777"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Bevestigd door ambtenaren van de Poolse overheid. </w:t>
      </w:r>
    </w:p>
  </w:footnote>
  <w:footnote w:id="112">
    <w:p w14:paraId="4958DBD5" w14:textId="542FDD1D"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w:t>
      </w:r>
      <w:hyperlink r:id="rId21" w:history="1">
        <w:r w:rsidRPr="003B14FA">
          <w:rPr>
            <w:rStyle w:val="Hyperlink"/>
            <w:szCs w:val="13"/>
          </w:rPr>
          <w:t>https://www.cores.es/es/seguridad-suministro/gas-natural</w:t>
        </w:r>
      </w:hyperlink>
      <w:r w:rsidRPr="003B14FA">
        <w:rPr>
          <w:szCs w:val="13"/>
        </w:rPr>
        <w:t xml:space="preserve"> en bevestigd door ambtenaren van de Spaanse overheid.</w:t>
      </w:r>
    </w:p>
  </w:footnote>
  <w:footnote w:id="113">
    <w:p w14:paraId="70F663CD" w14:textId="4B42821E" w:rsidR="00A25164" w:rsidRPr="003B14FA" w:rsidRDefault="00A25164" w:rsidP="00F26340">
      <w:pPr>
        <w:pStyle w:val="Voetnoottekst"/>
        <w:spacing w:line="240" w:lineRule="auto"/>
        <w:rPr>
          <w:szCs w:val="13"/>
        </w:rPr>
      </w:pPr>
      <w:r w:rsidRPr="003B14FA">
        <w:rPr>
          <w:rStyle w:val="Voetnootmarkering"/>
          <w:szCs w:val="13"/>
        </w:rPr>
        <w:footnoteRef/>
      </w:r>
      <w:r w:rsidRPr="003B14FA">
        <w:rPr>
          <w:szCs w:val="13"/>
        </w:rPr>
        <w:t xml:space="preserve"> Bevestigd door ambtenaren van de Tsjechische overheid.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C3B31" w14:paraId="0B7C84B1" w14:textId="77777777" w:rsidTr="00A50CF6">
      <w:tc>
        <w:tcPr>
          <w:tcW w:w="2156" w:type="dxa"/>
        </w:tcPr>
        <w:p w14:paraId="3D65F533" w14:textId="77777777" w:rsidR="00527BD4" w:rsidRPr="005819CE" w:rsidRDefault="00F97118" w:rsidP="00A50CF6">
          <w:pPr>
            <w:pStyle w:val="Huisstijl-Adres"/>
            <w:rPr>
              <w:b/>
            </w:rPr>
          </w:pPr>
          <w:r>
            <w:rPr>
              <w:b/>
            </w:rPr>
            <w:t>Directoraat-generaal Klimaat en Energie</w:t>
          </w:r>
          <w:r w:rsidRPr="005819CE">
            <w:rPr>
              <w:b/>
            </w:rPr>
            <w:br/>
          </w:r>
          <w:r>
            <w:t>Directie Energiemarkt</w:t>
          </w:r>
        </w:p>
      </w:tc>
    </w:tr>
    <w:tr w:rsidR="007C3B31" w14:paraId="374651EB" w14:textId="77777777" w:rsidTr="00A50CF6">
      <w:trPr>
        <w:trHeight w:hRule="exact" w:val="200"/>
      </w:trPr>
      <w:tc>
        <w:tcPr>
          <w:tcW w:w="2156" w:type="dxa"/>
        </w:tcPr>
        <w:p w14:paraId="42FB21A3" w14:textId="77777777" w:rsidR="00527BD4" w:rsidRPr="005819CE" w:rsidRDefault="00527BD4" w:rsidP="00A50CF6"/>
      </w:tc>
    </w:tr>
    <w:tr w:rsidR="007C3B31" w14:paraId="71677562" w14:textId="77777777" w:rsidTr="00502512">
      <w:trPr>
        <w:trHeight w:hRule="exact" w:val="774"/>
      </w:trPr>
      <w:tc>
        <w:tcPr>
          <w:tcW w:w="2156" w:type="dxa"/>
        </w:tcPr>
        <w:p w14:paraId="1FC166D6" w14:textId="77777777" w:rsidR="00527BD4" w:rsidRDefault="00F97118" w:rsidP="003A5290">
          <w:pPr>
            <w:pStyle w:val="Huisstijl-Kopje"/>
          </w:pPr>
          <w:r>
            <w:t>Ons kenmerk</w:t>
          </w:r>
        </w:p>
        <w:p w14:paraId="5992D7A3" w14:textId="0AE84BBC" w:rsidR="00527BD4" w:rsidRPr="005819CE" w:rsidRDefault="00F97118" w:rsidP="004425CC">
          <w:pPr>
            <w:pStyle w:val="Huisstijl-Kopje"/>
          </w:pPr>
          <w:r>
            <w:rPr>
              <w:b w:val="0"/>
            </w:rPr>
            <w:t>KGG_DGKE_EM</w:t>
          </w:r>
          <w:r w:rsidRPr="00502512">
            <w:rPr>
              <w:b w:val="0"/>
            </w:rPr>
            <w:t xml:space="preserve"> /</w:t>
          </w:r>
          <w:r w:rsidR="003B14FA" w:rsidRPr="003B14FA">
            <w:rPr>
              <w:b w:val="0"/>
              <w:bCs/>
              <w:color w:val="000000"/>
              <w:szCs w:val="13"/>
              <w:bdr w:val="none" w:sz="0" w:space="0" w:color="auto" w:frame="1"/>
            </w:rPr>
            <w:t>108429660</w:t>
          </w:r>
          <w:r w:rsidRPr="003B14FA">
            <w:rPr>
              <w:b w:val="0"/>
              <w:bCs/>
            </w:rPr>
            <w:t xml:space="preserve"> </w:t>
          </w:r>
        </w:p>
      </w:tc>
    </w:tr>
  </w:tbl>
  <w:p w14:paraId="290F2365" w14:textId="77777777" w:rsidR="00527BD4" w:rsidRDefault="00527BD4" w:rsidP="008C356D">
    <w:pPr>
      <w:pStyle w:val="Koptekst"/>
      <w:rPr>
        <w:rFonts w:cs="Verdana-Bold"/>
        <w:b/>
        <w:bCs/>
        <w:smallCaps/>
        <w:szCs w:val="18"/>
      </w:rPr>
    </w:pPr>
  </w:p>
  <w:p w14:paraId="44CD97A8" w14:textId="77777777" w:rsidR="00527BD4" w:rsidRDefault="00527BD4" w:rsidP="008C356D"/>
  <w:p w14:paraId="1E3FEA31" w14:textId="77777777" w:rsidR="00527BD4" w:rsidRPr="00740712" w:rsidRDefault="00527BD4" w:rsidP="008C356D"/>
  <w:p w14:paraId="15080B55" w14:textId="77777777" w:rsidR="00527BD4" w:rsidRPr="00217880" w:rsidRDefault="00527BD4" w:rsidP="008C356D">
    <w:pPr>
      <w:spacing w:line="0" w:lineRule="atLeast"/>
      <w:rPr>
        <w:sz w:val="2"/>
        <w:szCs w:val="2"/>
      </w:rPr>
    </w:pPr>
  </w:p>
  <w:p w14:paraId="70A771D3" w14:textId="77777777" w:rsidR="00527BD4" w:rsidRDefault="00527BD4" w:rsidP="004F44C2">
    <w:pPr>
      <w:pStyle w:val="Koptekst"/>
      <w:rPr>
        <w:rFonts w:cs="Verdana-Bold"/>
        <w:b/>
        <w:bCs/>
        <w:smallCaps/>
        <w:szCs w:val="18"/>
      </w:rPr>
    </w:pPr>
  </w:p>
  <w:p w14:paraId="62C6A376" w14:textId="77777777" w:rsidR="00527BD4" w:rsidRDefault="00527BD4" w:rsidP="004F44C2"/>
  <w:p w14:paraId="7979D0C9" w14:textId="77777777" w:rsidR="00527BD4" w:rsidRPr="00740712" w:rsidRDefault="00527BD4" w:rsidP="004F44C2"/>
  <w:p w14:paraId="514BB6F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C3B31" w14:paraId="2CF9AED5" w14:textId="77777777" w:rsidTr="00751A6A">
      <w:trPr>
        <w:trHeight w:val="2636"/>
      </w:trPr>
      <w:tc>
        <w:tcPr>
          <w:tcW w:w="737" w:type="dxa"/>
        </w:tcPr>
        <w:p w14:paraId="6C26D45E" w14:textId="77777777" w:rsidR="00527BD4" w:rsidRDefault="00527BD4" w:rsidP="00D0609E">
          <w:pPr>
            <w:framePr w:w="6340" w:h="2750" w:hRule="exact" w:hSpace="180" w:wrap="around" w:vAnchor="page" w:hAnchor="text" w:x="3873" w:y="-140"/>
            <w:spacing w:line="240" w:lineRule="auto"/>
          </w:pPr>
        </w:p>
      </w:tc>
      <w:tc>
        <w:tcPr>
          <w:tcW w:w="5156" w:type="dxa"/>
        </w:tcPr>
        <w:p w14:paraId="28AE158F" w14:textId="77777777" w:rsidR="00527BD4" w:rsidRDefault="00F97118"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16FFA27C" wp14:editId="680929D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97DDFA6" w14:textId="77777777" w:rsidR="007269E3" w:rsidRDefault="007269E3" w:rsidP="00651CEE">
          <w:pPr>
            <w:framePr w:w="6340" w:h="2750" w:hRule="exact" w:hSpace="180" w:wrap="around" w:vAnchor="page" w:hAnchor="text" w:x="3873" w:y="-140"/>
            <w:spacing w:line="240" w:lineRule="auto"/>
          </w:pPr>
        </w:p>
      </w:tc>
    </w:tr>
  </w:tbl>
  <w:p w14:paraId="01B4FED2" w14:textId="77777777" w:rsidR="00527BD4" w:rsidRDefault="00527BD4" w:rsidP="00D0609E">
    <w:pPr>
      <w:framePr w:w="6340" w:h="2750" w:hRule="exact" w:hSpace="180" w:wrap="around" w:vAnchor="page" w:hAnchor="text" w:x="3873" w:y="-140"/>
    </w:pPr>
  </w:p>
  <w:p w14:paraId="17A05ED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C3B31" w14:paraId="418D483D" w14:textId="77777777" w:rsidTr="00A50CF6">
      <w:tc>
        <w:tcPr>
          <w:tcW w:w="2160" w:type="dxa"/>
        </w:tcPr>
        <w:p w14:paraId="7E61FE98" w14:textId="77777777" w:rsidR="00527BD4" w:rsidRPr="005819CE" w:rsidRDefault="00F97118" w:rsidP="00A50CF6">
          <w:pPr>
            <w:pStyle w:val="Huisstijl-Adres"/>
            <w:rPr>
              <w:b/>
            </w:rPr>
          </w:pPr>
          <w:r>
            <w:rPr>
              <w:b/>
            </w:rPr>
            <w:t>Directoraat-generaal Klimaat en Energie</w:t>
          </w:r>
          <w:r w:rsidRPr="005819CE">
            <w:rPr>
              <w:b/>
            </w:rPr>
            <w:br/>
          </w:r>
          <w:r>
            <w:t>Directie Energiemarkt</w:t>
          </w:r>
        </w:p>
        <w:p w14:paraId="1071046F" w14:textId="77777777" w:rsidR="00527BD4" w:rsidRPr="00BE5ED9" w:rsidRDefault="00F97118" w:rsidP="00A50CF6">
          <w:pPr>
            <w:pStyle w:val="Huisstijl-Adres"/>
          </w:pPr>
          <w:r>
            <w:rPr>
              <w:b/>
            </w:rPr>
            <w:t>Bezoekadres</w:t>
          </w:r>
          <w:r>
            <w:rPr>
              <w:b/>
            </w:rPr>
            <w:br/>
          </w:r>
          <w:r>
            <w:t>Bezuidenhoutseweg 73</w:t>
          </w:r>
          <w:r w:rsidRPr="005819CE">
            <w:br/>
          </w:r>
          <w:r>
            <w:t>2594 AC Den Haag</w:t>
          </w:r>
        </w:p>
        <w:p w14:paraId="5AC3C980" w14:textId="77777777" w:rsidR="00EF495B" w:rsidRDefault="00F97118" w:rsidP="0098788A">
          <w:pPr>
            <w:pStyle w:val="Huisstijl-Adres"/>
          </w:pPr>
          <w:r>
            <w:rPr>
              <w:b/>
            </w:rPr>
            <w:t>Postadres</w:t>
          </w:r>
          <w:r>
            <w:rPr>
              <w:b/>
            </w:rPr>
            <w:br/>
          </w:r>
          <w:r>
            <w:t>Postbus 20401</w:t>
          </w:r>
          <w:r w:rsidRPr="005819CE">
            <w:br/>
            <w:t>2500 E</w:t>
          </w:r>
          <w:r>
            <w:t>K</w:t>
          </w:r>
          <w:r w:rsidRPr="005819CE">
            <w:t xml:space="preserve"> Den Haag</w:t>
          </w:r>
        </w:p>
        <w:p w14:paraId="24160FAA" w14:textId="77777777" w:rsidR="00EF495B" w:rsidRPr="005B3814" w:rsidRDefault="00F97118" w:rsidP="0098788A">
          <w:pPr>
            <w:pStyle w:val="Huisstijl-Adres"/>
          </w:pPr>
          <w:r>
            <w:rPr>
              <w:b/>
            </w:rPr>
            <w:t>Overheidsidentificatienr</w:t>
          </w:r>
          <w:r>
            <w:rPr>
              <w:b/>
            </w:rPr>
            <w:br/>
          </w:r>
          <w:r w:rsidRPr="005B3814">
            <w:t>00000001003214369000</w:t>
          </w:r>
        </w:p>
        <w:p w14:paraId="3DFA2C96" w14:textId="555F8FBE" w:rsidR="00527BD4" w:rsidRPr="003B14FA" w:rsidRDefault="00F9711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7C3B31" w14:paraId="34CDB46C" w14:textId="77777777" w:rsidTr="003B14FA">
      <w:trPr>
        <w:trHeight w:hRule="exact" w:val="80"/>
      </w:trPr>
      <w:tc>
        <w:tcPr>
          <w:tcW w:w="2160" w:type="dxa"/>
        </w:tcPr>
        <w:p w14:paraId="64192C84" w14:textId="77777777" w:rsidR="00527BD4" w:rsidRPr="005819CE" w:rsidRDefault="00527BD4" w:rsidP="00A50CF6"/>
      </w:tc>
    </w:tr>
    <w:tr w:rsidR="007C3B31" w14:paraId="05C70CAD" w14:textId="77777777" w:rsidTr="00A50CF6">
      <w:tc>
        <w:tcPr>
          <w:tcW w:w="2160" w:type="dxa"/>
        </w:tcPr>
        <w:p w14:paraId="528F5F5C" w14:textId="77777777" w:rsidR="000C0163" w:rsidRPr="005819CE" w:rsidRDefault="00F97118" w:rsidP="000C0163">
          <w:pPr>
            <w:pStyle w:val="Huisstijl-Kopje"/>
          </w:pPr>
          <w:r>
            <w:t>Ons kenmerk</w:t>
          </w:r>
          <w:r w:rsidRPr="005819CE">
            <w:t xml:space="preserve"> </w:t>
          </w:r>
        </w:p>
        <w:p w14:paraId="1D675FBF" w14:textId="77777777" w:rsidR="003B14FA" w:rsidRPr="003B14FA" w:rsidRDefault="00F97118" w:rsidP="003B14FA">
          <w:pPr>
            <w:shd w:val="clear" w:color="auto" w:fill="FFFFFF"/>
            <w:spacing w:line="240" w:lineRule="auto"/>
            <w:textAlignment w:val="baseline"/>
            <w:rPr>
              <w:color w:val="000000"/>
              <w:sz w:val="13"/>
              <w:szCs w:val="13"/>
            </w:rPr>
          </w:pPr>
          <w:r w:rsidRPr="003B14FA">
            <w:rPr>
              <w:sz w:val="13"/>
              <w:szCs w:val="13"/>
            </w:rPr>
            <w:t>KGG_DGKE_EM</w:t>
          </w:r>
          <w:r w:rsidR="00926AE2" w:rsidRPr="003B14FA">
            <w:rPr>
              <w:sz w:val="13"/>
              <w:szCs w:val="13"/>
            </w:rPr>
            <w:t xml:space="preserve"> / </w:t>
          </w:r>
          <w:r w:rsidR="003B14FA" w:rsidRPr="003B14FA">
            <w:rPr>
              <w:color w:val="000000"/>
              <w:sz w:val="13"/>
              <w:szCs w:val="13"/>
              <w:bdr w:val="none" w:sz="0" w:space="0" w:color="auto" w:frame="1"/>
            </w:rPr>
            <w:t>108429660</w:t>
          </w:r>
        </w:p>
        <w:p w14:paraId="614A3B3D" w14:textId="21D0DD22" w:rsidR="000C0163" w:rsidRPr="005819CE" w:rsidRDefault="000C0163" w:rsidP="000C0163">
          <w:pPr>
            <w:pStyle w:val="Huisstijl-Gegeven"/>
          </w:pPr>
        </w:p>
        <w:p w14:paraId="5510EFA9" w14:textId="1C959AB0" w:rsidR="00527BD4" w:rsidRPr="005819CE" w:rsidRDefault="00527BD4" w:rsidP="00A50CF6">
          <w:pPr>
            <w:pStyle w:val="Huisstijl-Gegeven"/>
          </w:pPr>
        </w:p>
      </w:tc>
    </w:tr>
  </w:tbl>
  <w:p w14:paraId="403DFA0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7C3B31" w:rsidRPr="00EB715F" w14:paraId="102F1E6F" w14:textId="77777777" w:rsidTr="007610AA">
      <w:trPr>
        <w:trHeight w:val="400"/>
      </w:trPr>
      <w:tc>
        <w:tcPr>
          <w:tcW w:w="7520" w:type="dxa"/>
          <w:gridSpan w:val="2"/>
        </w:tcPr>
        <w:p w14:paraId="24ACB1D6" w14:textId="77777777" w:rsidR="00527BD4" w:rsidRPr="00D001CE" w:rsidRDefault="00F97118" w:rsidP="00A50CF6">
          <w:pPr>
            <w:pStyle w:val="Huisstijl-Retouradres"/>
            <w:rPr>
              <w:lang w:val="de-DE"/>
            </w:rPr>
          </w:pPr>
          <w:r w:rsidRPr="00D001CE">
            <w:rPr>
              <w:lang w:val="de-DE"/>
            </w:rPr>
            <w:t>&gt; Retouradres Postbus 20401 2500 EK Den Haag</w:t>
          </w:r>
        </w:p>
      </w:tc>
    </w:tr>
    <w:tr w:rsidR="007C3B31" w:rsidRPr="00EB715F" w14:paraId="31DA9F06" w14:textId="77777777" w:rsidTr="007610AA">
      <w:tc>
        <w:tcPr>
          <w:tcW w:w="7520" w:type="dxa"/>
          <w:gridSpan w:val="2"/>
        </w:tcPr>
        <w:p w14:paraId="7AAF4AEF" w14:textId="77777777" w:rsidR="00527BD4" w:rsidRPr="00D001CE" w:rsidRDefault="00527BD4" w:rsidP="00A50CF6">
          <w:pPr>
            <w:pStyle w:val="Huisstijl-Rubricering"/>
            <w:rPr>
              <w:lang w:val="de-DE"/>
            </w:rPr>
          </w:pPr>
        </w:p>
      </w:tc>
    </w:tr>
    <w:tr w:rsidR="007C3B31" w14:paraId="7487A8E3" w14:textId="77777777" w:rsidTr="007610AA">
      <w:trPr>
        <w:trHeight w:hRule="exact" w:val="2440"/>
      </w:trPr>
      <w:tc>
        <w:tcPr>
          <w:tcW w:w="7520" w:type="dxa"/>
          <w:gridSpan w:val="2"/>
        </w:tcPr>
        <w:p w14:paraId="60F6A931" w14:textId="77777777" w:rsidR="003B14FA" w:rsidRDefault="00F97118" w:rsidP="00A50CF6">
          <w:pPr>
            <w:pStyle w:val="Huisstijl-NAW"/>
          </w:pPr>
          <w:r>
            <w:t xml:space="preserve">Voorzitter van de Tweede Kamer </w:t>
          </w:r>
        </w:p>
        <w:p w14:paraId="2B1367BF" w14:textId="5812B6AB" w:rsidR="00527BD4" w:rsidRDefault="00F97118" w:rsidP="00A50CF6">
          <w:pPr>
            <w:pStyle w:val="Huisstijl-NAW"/>
          </w:pPr>
          <w:r>
            <w:t xml:space="preserve">der Staten-Generaal </w:t>
          </w:r>
        </w:p>
        <w:p w14:paraId="227FD791" w14:textId="7AEB41AE" w:rsidR="007C3B31" w:rsidRDefault="003B14FA">
          <w:pPr>
            <w:pStyle w:val="Huisstijl-NAW"/>
          </w:pPr>
          <w:r>
            <w:t>Prinses Irenestraat 6</w:t>
          </w:r>
        </w:p>
        <w:p w14:paraId="1D7D8C9A" w14:textId="58D6D257" w:rsidR="007C3B31" w:rsidRDefault="00F97118">
          <w:pPr>
            <w:pStyle w:val="Huisstijl-NAW"/>
          </w:pPr>
          <w:r>
            <w:t>25</w:t>
          </w:r>
          <w:r w:rsidR="003B14FA">
            <w:t>95</w:t>
          </w:r>
          <w:r>
            <w:t xml:space="preserve"> </w:t>
          </w:r>
          <w:r w:rsidR="003B14FA">
            <w:t xml:space="preserve">BD </w:t>
          </w:r>
          <w:r>
            <w:t xml:space="preserve"> DEN HAAG </w:t>
          </w:r>
        </w:p>
      </w:tc>
    </w:tr>
    <w:tr w:rsidR="007C3B31" w14:paraId="73A2CAC3" w14:textId="77777777" w:rsidTr="007610AA">
      <w:trPr>
        <w:trHeight w:hRule="exact" w:val="400"/>
      </w:trPr>
      <w:tc>
        <w:tcPr>
          <w:tcW w:w="7520" w:type="dxa"/>
          <w:gridSpan w:val="2"/>
        </w:tcPr>
        <w:p w14:paraId="13670E7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C3B31" w14:paraId="02D4B41B" w14:textId="77777777" w:rsidTr="007610AA">
      <w:trPr>
        <w:trHeight w:val="240"/>
      </w:trPr>
      <w:tc>
        <w:tcPr>
          <w:tcW w:w="900" w:type="dxa"/>
        </w:tcPr>
        <w:p w14:paraId="47498B62" w14:textId="77777777" w:rsidR="00527BD4" w:rsidRPr="007709EF" w:rsidRDefault="00F97118" w:rsidP="00A50CF6">
          <w:pPr>
            <w:rPr>
              <w:szCs w:val="18"/>
            </w:rPr>
          </w:pPr>
          <w:r>
            <w:rPr>
              <w:szCs w:val="18"/>
            </w:rPr>
            <w:t>Datum</w:t>
          </w:r>
        </w:p>
      </w:tc>
      <w:tc>
        <w:tcPr>
          <w:tcW w:w="6620" w:type="dxa"/>
        </w:tcPr>
        <w:p w14:paraId="6B7501D8" w14:textId="0D1B3080" w:rsidR="00527BD4" w:rsidRPr="007709EF" w:rsidRDefault="00217ADD" w:rsidP="00A50CF6">
          <w:r>
            <w:t>25 september 2026</w:t>
          </w:r>
        </w:p>
      </w:tc>
    </w:tr>
    <w:tr w:rsidR="007C3B31" w14:paraId="65288C43" w14:textId="77777777" w:rsidTr="00FE2D28">
      <w:trPr>
        <w:trHeight w:val="316"/>
      </w:trPr>
      <w:tc>
        <w:tcPr>
          <w:tcW w:w="900" w:type="dxa"/>
        </w:tcPr>
        <w:p w14:paraId="350E345E" w14:textId="77777777" w:rsidR="00527BD4" w:rsidRPr="007709EF" w:rsidRDefault="00F97118" w:rsidP="00A50CF6">
          <w:pPr>
            <w:rPr>
              <w:szCs w:val="18"/>
            </w:rPr>
          </w:pPr>
          <w:r>
            <w:rPr>
              <w:szCs w:val="18"/>
            </w:rPr>
            <w:t>Betreft</w:t>
          </w:r>
        </w:p>
      </w:tc>
      <w:tc>
        <w:tcPr>
          <w:tcW w:w="6620" w:type="dxa"/>
        </w:tcPr>
        <w:p w14:paraId="7CFBDBB4" w14:textId="3C457F59" w:rsidR="00527BD4" w:rsidRPr="007709EF" w:rsidRDefault="00783395" w:rsidP="00A50CF6">
          <w:r>
            <w:t>S</w:t>
          </w:r>
          <w:r w:rsidR="00F97118">
            <w:t>trategisch gasbeleid</w:t>
          </w:r>
        </w:p>
      </w:tc>
    </w:tr>
  </w:tbl>
  <w:p w14:paraId="5F99DA8D" w14:textId="77777777" w:rsidR="00527BD4" w:rsidRPr="00BC4AE3" w:rsidRDefault="00527BD4" w:rsidP="003B14F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5147798"/>
    <w:multiLevelType w:val="hybridMultilevel"/>
    <w:tmpl w:val="907EAB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7656DA1"/>
    <w:multiLevelType w:val="hybridMultilevel"/>
    <w:tmpl w:val="810ADA2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A7255D"/>
    <w:multiLevelType w:val="hybridMultilevel"/>
    <w:tmpl w:val="31AC080C"/>
    <w:lvl w:ilvl="0" w:tplc="BBB4856E">
      <w:start w:val="3"/>
      <w:numFmt w:val="bullet"/>
      <w:lvlText w:val=""/>
      <w:lvlJc w:val="left"/>
      <w:pPr>
        <w:ind w:left="1440" w:hanging="360"/>
      </w:pPr>
      <w:rPr>
        <w:rFonts w:ascii="Wingdings" w:eastAsia="Verdana" w:hAnsi="Wingdings" w:cs="Verdana"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3" w15:restartNumberingAfterBreak="0">
    <w:nsid w:val="0A4120A4"/>
    <w:multiLevelType w:val="hybridMultilevel"/>
    <w:tmpl w:val="1D8E1FCE"/>
    <w:lvl w:ilvl="0" w:tplc="91FE4BE2">
      <w:start w:val="1"/>
      <w:numFmt w:val="bullet"/>
      <w:pStyle w:val="Lijstopsomteken"/>
      <w:lvlText w:val="•"/>
      <w:lvlJc w:val="left"/>
      <w:pPr>
        <w:tabs>
          <w:tab w:val="num" w:pos="227"/>
        </w:tabs>
        <w:ind w:left="227" w:hanging="227"/>
      </w:pPr>
      <w:rPr>
        <w:rFonts w:ascii="Verdana" w:hAnsi="Verdana" w:hint="default"/>
        <w:sz w:val="18"/>
        <w:szCs w:val="18"/>
      </w:rPr>
    </w:lvl>
    <w:lvl w:ilvl="1" w:tplc="9864CABC" w:tentative="1">
      <w:start w:val="1"/>
      <w:numFmt w:val="bullet"/>
      <w:lvlText w:val="o"/>
      <w:lvlJc w:val="left"/>
      <w:pPr>
        <w:tabs>
          <w:tab w:val="num" w:pos="1440"/>
        </w:tabs>
        <w:ind w:left="1440" w:hanging="360"/>
      </w:pPr>
      <w:rPr>
        <w:rFonts w:ascii="Courier New" w:hAnsi="Courier New" w:cs="Courier New" w:hint="default"/>
      </w:rPr>
    </w:lvl>
    <w:lvl w:ilvl="2" w:tplc="4380148A" w:tentative="1">
      <w:start w:val="1"/>
      <w:numFmt w:val="bullet"/>
      <w:lvlText w:val=""/>
      <w:lvlJc w:val="left"/>
      <w:pPr>
        <w:tabs>
          <w:tab w:val="num" w:pos="2160"/>
        </w:tabs>
        <w:ind w:left="2160" w:hanging="360"/>
      </w:pPr>
      <w:rPr>
        <w:rFonts w:ascii="Wingdings" w:hAnsi="Wingdings" w:hint="default"/>
      </w:rPr>
    </w:lvl>
    <w:lvl w:ilvl="3" w:tplc="63401540" w:tentative="1">
      <w:start w:val="1"/>
      <w:numFmt w:val="bullet"/>
      <w:lvlText w:val=""/>
      <w:lvlJc w:val="left"/>
      <w:pPr>
        <w:tabs>
          <w:tab w:val="num" w:pos="2880"/>
        </w:tabs>
        <w:ind w:left="2880" w:hanging="360"/>
      </w:pPr>
      <w:rPr>
        <w:rFonts w:ascii="Symbol" w:hAnsi="Symbol" w:hint="default"/>
      </w:rPr>
    </w:lvl>
    <w:lvl w:ilvl="4" w:tplc="A7D636FA" w:tentative="1">
      <w:start w:val="1"/>
      <w:numFmt w:val="bullet"/>
      <w:lvlText w:val="o"/>
      <w:lvlJc w:val="left"/>
      <w:pPr>
        <w:tabs>
          <w:tab w:val="num" w:pos="3600"/>
        </w:tabs>
        <w:ind w:left="3600" w:hanging="360"/>
      </w:pPr>
      <w:rPr>
        <w:rFonts w:ascii="Courier New" w:hAnsi="Courier New" w:cs="Courier New" w:hint="default"/>
      </w:rPr>
    </w:lvl>
    <w:lvl w:ilvl="5" w:tplc="9DE4D0D2" w:tentative="1">
      <w:start w:val="1"/>
      <w:numFmt w:val="bullet"/>
      <w:lvlText w:val=""/>
      <w:lvlJc w:val="left"/>
      <w:pPr>
        <w:tabs>
          <w:tab w:val="num" w:pos="4320"/>
        </w:tabs>
        <w:ind w:left="4320" w:hanging="360"/>
      </w:pPr>
      <w:rPr>
        <w:rFonts w:ascii="Wingdings" w:hAnsi="Wingdings" w:hint="default"/>
      </w:rPr>
    </w:lvl>
    <w:lvl w:ilvl="6" w:tplc="7FD446F6" w:tentative="1">
      <w:start w:val="1"/>
      <w:numFmt w:val="bullet"/>
      <w:lvlText w:val=""/>
      <w:lvlJc w:val="left"/>
      <w:pPr>
        <w:tabs>
          <w:tab w:val="num" w:pos="5040"/>
        </w:tabs>
        <w:ind w:left="5040" w:hanging="360"/>
      </w:pPr>
      <w:rPr>
        <w:rFonts w:ascii="Symbol" w:hAnsi="Symbol" w:hint="default"/>
      </w:rPr>
    </w:lvl>
    <w:lvl w:ilvl="7" w:tplc="D85276E4" w:tentative="1">
      <w:start w:val="1"/>
      <w:numFmt w:val="bullet"/>
      <w:lvlText w:val="o"/>
      <w:lvlJc w:val="left"/>
      <w:pPr>
        <w:tabs>
          <w:tab w:val="num" w:pos="5760"/>
        </w:tabs>
        <w:ind w:left="5760" w:hanging="360"/>
      </w:pPr>
      <w:rPr>
        <w:rFonts w:ascii="Courier New" w:hAnsi="Courier New" w:cs="Courier New" w:hint="default"/>
      </w:rPr>
    </w:lvl>
    <w:lvl w:ilvl="8" w:tplc="8AF2055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F174D"/>
    <w:multiLevelType w:val="hybridMultilevel"/>
    <w:tmpl w:val="4066F4CA"/>
    <w:lvl w:ilvl="0" w:tplc="6CCE8400">
      <w:start w:val="1"/>
      <w:numFmt w:val="lowerRoman"/>
      <w:lvlText w:val="%1)"/>
      <w:lvlJc w:val="right"/>
      <w:pPr>
        <w:ind w:left="1020" w:hanging="360"/>
      </w:pPr>
    </w:lvl>
    <w:lvl w:ilvl="1" w:tplc="5D004144">
      <w:start w:val="1"/>
      <w:numFmt w:val="lowerRoman"/>
      <w:lvlText w:val="%2)"/>
      <w:lvlJc w:val="right"/>
      <w:pPr>
        <w:ind w:left="1020" w:hanging="360"/>
      </w:pPr>
    </w:lvl>
    <w:lvl w:ilvl="2" w:tplc="21B8FE5E">
      <w:start w:val="1"/>
      <w:numFmt w:val="lowerRoman"/>
      <w:lvlText w:val="%3)"/>
      <w:lvlJc w:val="right"/>
      <w:pPr>
        <w:ind w:left="1020" w:hanging="360"/>
      </w:pPr>
    </w:lvl>
    <w:lvl w:ilvl="3" w:tplc="FC4EC5F8">
      <w:start w:val="1"/>
      <w:numFmt w:val="lowerRoman"/>
      <w:lvlText w:val="%4)"/>
      <w:lvlJc w:val="right"/>
      <w:pPr>
        <w:ind w:left="1020" w:hanging="360"/>
      </w:pPr>
    </w:lvl>
    <w:lvl w:ilvl="4" w:tplc="3BD4BDE8">
      <w:start w:val="1"/>
      <w:numFmt w:val="lowerRoman"/>
      <w:lvlText w:val="%5)"/>
      <w:lvlJc w:val="right"/>
      <w:pPr>
        <w:ind w:left="1020" w:hanging="360"/>
      </w:pPr>
    </w:lvl>
    <w:lvl w:ilvl="5" w:tplc="06B4937A">
      <w:start w:val="1"/>
      <w:numFmt w:val="lowerRoman"/>
      <w:lvlText w:val="%6)"/>
      <w:lvlJc w:val="right"/>
      <w:pPr>
        <w:ind w:left="1020" w:hanging="360"/>
      </w:pPr>
    </w:lvl>
    <w:lvl w:ilvl="6" w:tplc="5DDC28F4">
      <w:start w:val="1"/>
      <w:numFmt w:val="lowerRoman"/>
      <w:lvlText w:val="%7)"/>
      <w:lvlJc w:val="right"/>
      <w:pPr>
        <w:ind w:left="1020" w:hanging="360"/>
      </w:pPr>
    </w:lvl>
    <w:lvl w:ilvl="7" w:tplc="9EF81A5A">
      <w:start w:val="1"/>
      <w:numFmt w:val="lowerRoman"/>
      <w:lvlText w:val="%8)"/>
      <w:lvlJc w:val="right"/>
      <w:pPr>
        <w:ind w:left="1020" w:hanging="360"/>
      </w:pPr>
    </w:lvl>
    <w:lvl w:ilvl="8" w:tplc="5C522A96">
      <w:start w:val="1"/>
      <w:numFmt w:val="lowerRoman"/>
      <w:lvlText w:val="%9)"/>
      <w:lvlJc w:val="right"/>
      <w:pPr>
        <w:ind w:left="1020" w:hanging="360"/>
      </w:pPr>
    </w:lvl>
  </w:abstractNum>
  <w:abstractNum w:abstractNumId="15" w15:restartNumberingAfterBreak="0">
    <w:nsid w:val="0FF43485"/>
    <w:multiLevelType w:val="hybridMultilevel"/>
    <w:tmpl w:val="40345930"/>
    <w:lvl w:ilvl="0" w:tplc="BB20433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090DB6D"/>
    <w:multiLevelType w:val="hybridMultilevel"/>
    <w:tmpl w:val="FFFFFFFF"/>
    <w:lvl w:ilvl="0" w:tplc="880239FA">
      <w:start w:val="1"/>
      <w:numFmt w:val="bullet"/>
      <w:lvlText w:val=""/>
      <w:lvlJc w:val="left"/>
      <w:pPr>
        <w:ind w:left="720" w:hanging="360"/>
      </w:pPr>
      <w:rPr>
        <w:rFonts w:ascii="Symbol" w:hAnsi="Symbol" w:hint="default"/>
      </w:rPr>
    </w:lvl>
    <w:lvl w:ilvl="1" w:tplc="8842E718">
      <w:start w:val="1"/>
      <w:numFmt w:val="bullet"/>
      <w:lvlText w:val="o"/>
      <w:lvlJc w:val="left"/>
      <w:pPr>
        <w:ind w:left="1440" w:hanging="360"/>
      </w:pPr>
      <w:rPr>
        <w:rFonts w:ascii="Courier New" w:hAnsi="Courier New" w:hint="default"/>
      </w:rPr>
    </w:lvl>
    <w:lvl w:ilvl="2" w:tplc="36F84EFC">
      <w:start w:val="1"/>
      <w:numFmt w:val="bullet"/>
      <w:lvlText w:val=""/>
      <w:lvlJc w:val="left"/>
      <w:pPr>
        <w:ind w:left="2160" w:hanging="360"/>
      </w:pPr>
      <w:rPr>
        <w:rFonts w:ascii="Wingdings" w:hAnsi="Wingdings" w:hint="default"/>
      </w:rPr>
    </w:lvl>
    <w:lvl w:ilvl="3" w:tplc="7BE46450">
      <w:start w:val="1"/>
      <w:numFmt w:val="bullet"/>
      <w:lvlText w:val=""/>
      <w:lvlJc w:val="left"/>
      <w:pPr>
        <w:ind w:left="2880" w:hanging="360"/>
      </w:pPr>
      <w:rPr>
        <w:rFonts w:ascii="Symbol" w:hAnsi="Symbol" w:hint="default"/>
      </w:rPr>
    </w:lvl>
    <w:lvl w:ilvl="4" w:tplc="D6087C68">
      <w:start w:val="1"/>
      <w:numFmt w:val="bullet"/>
      <w:lvlText w:val="o"/>
      <w:lvlJc w:val="left"/>
      <w:pPr>
        <w:ind w:left="3600" w:hanging="360"/>
      </w:pPr>
      <w:rPr>
        <w:rFonts w:ascii="Courier New" w:hAnsi="Courier New" w:hint="default"/>
      </w:rPr>
    </w:lvl>
    <w:lvl w:ilvl="5" w:tplc="2FA63F32">
      <w:start w:val="1"/>
      <w:numFmt w:val="bullet"/>
      <w:lvlText w:val=""/>
      <w:lvlJc w:val="left"/>
      <w:pPr>
        <w:ind w:left="4320" w:hanging="360"/>
      </w:pPr>
      <w:rPr>
        <w:rFonts w:ascii="Wingdings" w:hAnsi="Wingdings" w:hint="default"/>
      </w:rPr>
    </w:lvl>
    <w:lvl w:ilvl="6" w:tplc="AD9CB770">
      <w:start w:val="1"/>
      <w:numFmt w:val="bullet"/>
      <w:lvlText w:val=""/>
      <w:lvlJc w:val="left"/>
      <w:pPr>
        <w:ind w:left="5040" w:hanging="360"/>
      </w:pPr>
      <w:rPr>
        <w:rFonts w:ascii="Symbol" w:hAnsi="Symbol" w:hint="default"/>
      </w:rPr>
    </w:lvl>
    <w:lvl w:ilvl="7" w:tplc="E580E310">
      <w:start w:val="1"/>
      <w:numFmt w:val="bullet"/>
      <w:lvlText w:val="o"/>
      <w:lvlJc w:val="left"/>
      <w:pPr>
        <w:ind w:left="5760" w:hanging="360"/>
      </w:pPr>
      <w:rPr>
        <w:rFonts w:ascii="Courier New" w:hAnsi="Courier New" w:hint="default"/>
      </w:rPr>
    </w:lvl>
    <w:lvl w:ilvl="8" w:tplc="65387CCC">
      <w:start w:val="1"/>
      <w:numFmt w:val="bullet"/>
      <w:lvlText w:val=""/>
      <w:lvlJc w:val="left"/>
      <w:pPr>
        <w:ind w:left="6480" w:hanging="360"/>
      </w:pPr>
      <w:rPr>
        <w:rFonts w:ascii="Wingdings" w:hAnsi="Wingdings" w:hint="default"/>
      </w:rPr>
    </w:lvl>
  </w:abstractNum>
  <w:abstractNum w:abstractNumId="17" w15:restartNumberingAfterBreak="0">
    <w:nsid w:val="13764789"/>
    <w:multiLevelType w:val="hybridMultilevel"/>
    <w:tmpl w:val="1C6EF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7CF20CC"/>
    <w:multiLevelType w:val="hybridMultilevel"/>
    <w:tmpl w:val="7AD4B9D4"/>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190C278C"/>
    <w:multiLevelType w:val="hybridMultilevel"/>
    <w:tmpl w:val="DFB498E0"/>
    <w:lvl w:ilvl="0" w:tplc="31423984">
      <w:start w:val="1"/>
      <w:numFmt w:val="lowerRoman"/>
      <w:lvlText w:val="%1)"/>
      <w:lvlJc w:val="right"/>
      <w:pPr>
        <w:ind w:left="1020" w:hanging="360"/>
      </w:pPr>
    </w:lvl>
    <w:lvl w:ilvl="1" w:tplc="FD2C0CDA">
      <w:start w:val="1"/>
      <w:numFmt w:val="lowerRoman"/>
      <w:lvlText w:val="%2)"/>
      <w:lvlJc w:val="right"/>
      <w:pPr>
        <w:ind w:left="1020" w:hanging="360"/>
      </w:pPr>
    </w:lvl>
    <w:lvl w:ilvl="2" w:tplc="4A06491E">
      <w:start w:val="1"/>
      <w:numFmt w:val="lowerRoman"/>
      <w:lvlText w:val="%3)"/>
      <w:lvlJc w:val="right"/>
      <w:pPr>
        <w:ind w:left="1020" w:hanging="360"/>
      </w:pPr>
    </w:lvl>
    <w:lvl w:ilvl="3" w:tplc="7610CC92">
      <w:start w:val="1"/>
      <w:numFmt w:val="lowerRoman"/>
      <w:lvlText w:val="%4)"/>
      <w:lvlJc w:val="right"/>
      <w:pPr>
        <w:ind w:left="1020" w:hanging="360"/>
      </w:pPr>
    </w:lvl>
    <w:lvl w:ilvl="4" w:tplc="AA28327A">
      <w:start w:val="1"/>
      <w:numFmt w:val="lowerRoman"/>
      <w:lvlText w:val="%5)"/>
      <w:lvlJc w:val="right"/>
      <w:pPr>
        <w:ind w:left="1020" w:hanging="360"/>
      </w:pPr>
    </w:lvl>
    <w:lvl w:ilvl="5" w:tplc="CB3EA5AE">
      <w:start w:val="1"/>
      <w:numFmt w:val="lowerRoman"/>
      <w:lvlText w:val="%6)"/>
      <w:lvlJc w:val="right"/>
      <w:pPr>
        <w:ind w:left="1020" w:hanging="360"/>
      </w:pPr>
    </w:lvl>
    <w:lvl w:ilvl="6" w:tplc="9E7ECEFE">
      <w:start w:val="1"/>
      <w:numFmt w:val="lowerRoman"/>
      <w:lvlText w:val="%7)"/>
      <w:lvlJc w:val="right"/>
      <w:pPr>
        <w:ind w:left="1020" w:hanging="360"/>
      </w:pPr>
    </w:lvl>
    <w:lvl w:ilvl="7" w:tplc="5D96DA5C">
      <w:start w:val="1"/>
      <w:numFmt w:val="lowerRoman"/>
      <w:lvlText w:val="%8)"/>
      <w:lvlJc w:val="right"/>
      <w:pPr>
        <w:ind w:left="1020" w:hanging="360"/>
      </w:pPr>
    </w:lvl>
    <w:lvl w:ilvl="8" w:tplc="BBD8DF7C">
      <w:start w:val="1"/>
      <w:numFmt w:val="lowerRoman"/>
      <w:lvlText w:val="%9)"/>
      <w:lvlJc w:val="right"/>
      <w:pPr>
        <w:ind w:left="1020" w:hanging="360"/>
      </w:pPr>
    </w:lvl>
  </w:abstractNum>
  <w:abstractNum w:abstractNumId="20"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E95689"/>
    <w:multiLevelType w:val="hybridMultilevel"/>
    <w:tmpl w:val="3F365B02"/>
    <w:lvl w:ilvl="0" w:tplc="298C478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E555FEF"/>
    <w:multiLevelType w:val="hybridMultilevel"/>
    <w:tmpl w:val="50F0923E"/>
    <w:lvl w:ilvl="0" w:tplc="41864750">
      <w:start w:val="1"/>
      <w:numFmt w:val="bullet"/>
      <w:pStyle w:val="Lijstopsomteken2"/>
      <w:lvlText w:val="–"/>
      <w:lvlJc w:val="left"/>
      <w:pPr>
        <w:tabs>
          <w:tab w:val="num" w:pos="227"/>
        </w:tabs>
        <w:ind w:left="227" w:firstLine="0"/>
      </w:pPr>
      <w:rPr>
        <w:rFonts w:ascii="Verdana" w:hAnsi="Verdana" w:hint="default"/>
      </w:rPr>
    </w:lvl>
    <w:lvl w:ilvl="1" w:tplc="2B165B22" w:tentative="1">
      <w:start w:val="1"/>
      <w:numFmt w:val="bullet"/>
      <w:lvlText w:val="o"/>
      <w:lvlJc w:val="left"/>
      <w:pPr>
        <w:tabs>
          <w:tab w:val="num" w:pos="1440"/>
        </w:tabs>
        <w:ind w:left="1440" w:hanging="360"/>
      </w:pPr>
      <w:rPr>
        <w:rFonts w:ascii="Courier New" w:hAnsi="Courier New" w:cs="Courier New" w:hint="default"/>
      </w:rPr>
    </w:lvl>
    <w:lvl w:ilvl="2" w:tplc="8A44B3CE" w:tentative="1">
      <w:start w:val="1"/>
      <w:numFmt w:val="bullet"/>
      <w:lvlText w:val=""/>
      <w:lvlJc w:val="left"/>
      <w:pPr>
        <w:tabs>
          <w:tab w:val="num" w:pos="2160"/>
        </w:tabs>
        <w:ind w:left="2160" w:hanging="360"/>
      </w:pPr>
      <w:rPr>
        <w:rFonts w:ascii="Wingdings" w:hAnsi="Wingdings" w:hint="default"/>
      </w:rPr>
    </w:lvl>
    <w:lvl w:ilvl="3" w:tplc="5C1AA778" w:tentative="1">
      <w:start w:val="1"/>
      <w:numFmt w:val="bullet"/>
      <w:lvlText w:val=""/>
      <w:lvlJc w:val="left"/>
      <w:pPr>
        <w:tabs>
          <w:tab w:val="num" w:pos="2880"/>
        </w:tabs>
        <w:ind w:left="2880" w:hanging="360"/>
      </w:pPr>
      <w:rPr>
        <w:rFonts w:ascii="Symbol" w:hAnsi="Symbol" w:hint="default"/>
      </w:rPr>
    </w:lvl>
    <w:lvl w:ilvl="4" w:tplc="533C79EA" w:tentative="1">
      <w:start w:val="1"/>
      <w:numFmt w:val="bullet"/>
      <w:lvlText w:val="o"/>
      <w:lvlJc w:val="left"/>
      <w:pPr>
        <w:tabs>
          <w:tab w:val="num" w:pos="3600"/>
        </w:tabs>
        <w:ind w:left="3600" w:hanging="360"/>
      </w:pPr>
      <w:rPr>
        <w:rFonts w:ascii="Courier New" w:hAnsi="Courier New" w:cs="Courier New" w:hint="default"/>
      </w:rPr>
    </w:lvl>
    <w:lvl w:ilvl="5" w:tplc="A698C934" w:tentative="1">
      <w:start w:val="1"/>
      <w:numFmt w:val="bullet"/>
      <w:lvlText w:val=""/>
      <w:lvlJc w:val="left"/>
      <w:pPr>
        <w:tabs>
          <w:tab w:val="num" w:pos="4320"/>
        </w:tabs>
        <w:ind w:left="4320" w:hanging="360"/>
      </w:pPr>
      <w:rPr>
        <w:rFonts w:ascii="Wingdings" w:hAnsi="Wingdings" w:hint="default"/>
      </w:rPr>
    </w:lvl>
    <w:lvl w:ilvl="6" w:tplc="6330A5CA" w:tentative="1">
      <w:start w:val="1"/>
      <w:numFmt w:val="bullet"/>
      <w:lvlText w:val=""/>
      <w:lvlJc w:val="left"/>
      <w:pPr>
        <w:tabs>
          <w:tab w:val="num" w:pos="5040"/>
        </w:tabs>
        <w:ind w:left="5040" w:hanging="360"/>
      </w:pPr>
      <w:rPr>
        <w:rFonts w:ascii="Symbol" w:hAnsi="Symbol" w:hint="default"/>
      </w:rPr>
    </w:lvl>
    <w:lvl w:ilvl="7" w:tplc="C1C684A8" w:tentative="1">
      <w:start w:val="1"/>
      <w:numFmt w:val="bullet"/>
      <w:lvlText w:val="o"/>
      <w:lvlJc w:val="left"/>
      <w:pPr>
        <w:tabs>
          <w:tab w:val="num" w:pos="5760"/>
        </w:tabs>
        <w:ind w:left="5760" w:hanging="360"/>
      </w:pPr>
      <w:rPr>
        <w:rFonts w:ascii="Courier New" w:hAnsi="Courier New" w:cs="Courier New" w:hint="default"/>
      </w:rPr>
    </w:lvl>
    <w:lvl w:ilvl="8" w:tplc="B094A48E"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E850099"/>
    <w:multiLevelType w:val="hybridMultilevel"/>
    <w:tmpl w:val="7CF8B94E"/>
    <w:lvl w:ilvl="0" w:tplc="C72EE92A">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679238C"/>
    <w:multiLevelType w:val="hybridMultilevel"/>
    <w:tmpl w:val="F258BBB6"/>
    <w:lvl w:ilvl="0" w:tplc="B91271E6">
      <w:start w:val="1"/>
      <w:numFmt w:val="decimal"/>
      <w:lvlText w:val="%1."/>
      <w:lvlJc w:val="left"/>
      <w:pPr>
        <w:ind w:left="720" w:hanging="360"/>
      </w:pPr>
      <w:rPr>
        <w:rFonts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9316978"/>
    <w:multiLevelType w:val="hybridMultilevel"/>
    <w:tmpl w:val="2CDEA350"/>
    <w:lvl w:ilvl="0" w:tplc="39749DBE">
      <w:start w:val="3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AA36F25"/>
    <w:multiLevelType w:val="hybridMultilevel"/>
    <w:tmpl w:val="4E209F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2BFC1199"/>
    <w:multiLevelType w:val="hybridMultilevel"/>
    <w:tmpl w:val="A57E7082"/>
    <w:lvl w:ilvl="0" w:tplc="A33CA872">
      <w:start w:val="1"/>
      <w:numFmt w:val="bullet"/>
      <w:lvlText w:val=""/>
      <w:lvlJc w:val="left"/>
      <w:pPr>
        <w:ind w:left="1069" w:hanging="360"/>
      </w:pPr>
      <w:rPr>
        <w:rFonts w:ascii="Symbol" w:hAnsi="Symbol" w:hint="default"/>
        <w:sz w:val="18"/>
        <w:szCs w:val="18"/>
      </w:rPr>
    </w:lvl>
    <w:lvl w:ilvl="1" w:tplc="04130001">
      <w:start w:val="1"/>
      <w:numFmt w:val="bullet"/>
      <w:lvlText w:val=""/>
      <w:lvlJc w:val="left"/>
      <w:pPr>
        <w:ind w:left="1789" w:hanging="360"/>
      </w:pPr>
      <w:rPr>
        <w:rFonts w:ascii="Symbol" w:hAnsi="Symbol"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2C8816A3"/>
    <w:multiLevelType w:val="hybridMultilevel"/>
    <w:tmpl w:val="4FE8D822"/>
    <w:lvl w:ilvl="0" w:tplc="4FF61CA2">
      <w:start w:val="1"/>
      <w:numFmt w:val="lowerRoman"/>
      <w:lvlText w:val="%1)"/>
      <w:lvlJc w:val="right"/>
      <w:pPr>
        <w:ind w:left="1020" w:hanging="360"/>
      </w:pPr>
    </w:lvl>
    <w:lvl w:ilvl="1" w:tplc="C06C7862">
      <w:start w:val="1"/>
      <w:numFmt w:val="lowerRoman"/>
      <w:lvlText w:val="%2)"/>
      <w:lvlJc w:val="right"/>
      <w:pPr>
        <w:ind w:left="1020" w:hanging="360"/>
      </w:pPr>
    </w:lvl>
    <w:lvl w:ilvl="2" w:tplc="A2809B06">
      <w:start w:val="1"/>
      <w:numFmt w:val="lowerRoman"/>
      <w:lvlText w:val="%3)"/>
      <w:lvlJc w:val="right"/>
      <w:pPr>
        <w:ind w:left="1020" w:hanging="360"/>
      </w:pPr>
    </w:lvl>
    <w:lvl w:ilvl="3" w:tplc="DC1CA4D4">
      <w:start w:val="1"/>
      <w:numFmt w:val="lowerRoman"/>
      <w:lvlText w:val="%4)"/>
      <w:lvlJc w:val="right"/>
      <w:pPr>
        <w:ind w:left="1020" w:hanging="360"/>
      </w:pPr>
    </w:lvl>
    <w:lvl w:ilvl="4" w:tplc="E39A1F04">
      <w:start w:val="1"/>
      <w:numFmt w:val="lowerRoman"/>
      <w:lvlText w:val="%5)"/>
      <w:lvlJc w:val="right"/>
      <w:pPr>
        <w:ind w:left="1020" w:hanging="360"/>
      </w:pPr>
    </w:lvl>
    <w:lvl w:ilvl="5" w:tplc="2C4CECF0">
      <w:start w:val="1"/>
      <w:numFmt w:val="lowerRoman"/>
      <w:lvlText w:val="%6)"/>
      <w:lvlJc w:val="right"/>
      <w:pPr>
        <w:ind w:left="1020" w:hanging="360"/>
      </w:pPr>
    </w:lvl>
    <w:lvl w:ilvl="6" w:tplc="35B4860E">
      <w:start w:val="1"/>
      <w:numFmt w:val="lowerRoman"/>
      <w:lvlText w:val="%7)"/>
      <w:lvlJc w:val="right"/>
      <w:pPr>
        <w:ind w:left="1020" w:hanging="360"/>
      </w:pPr>
    </w:lvl>
    <w:lvl w:ilvl="7" w:tplc="69F4456C">
      <w:start w:val="1"/>
      <w:numFmt w:val="lowerRoman"/>
      <w:lvlText w:val="%8)"/>
      <w:lvlJc w:val="right"/>
      <w:pPr>
        <w:ind w:left="1020" w:hanging="360"/>
      </w:pPr>
    </w:lvl>
    <w:lvl w:ilvl="8" w:tplc="A93E46DA">
      <w:start w:val="1"/>
      <w:numFmt w:val="lowerRoman"/>
      <w:lvlText w:val="%9)"/>
      <w:lvlJc w:val="right"/>
      <w:pPr>
        <w:ind w:left="1020" w:hanging="360"/>
      </w:pPr>
    </w:lvl>
  </w:abstractNum>
  <w:abstractNum w:abstractNumId="29" w15:restartNumberingAfterBreak="0">
    <w:nsid w:val="2FA7524B"/>
    <w:multiLevelType w:val="multilevel"/>
    <w:tmpl w:val="B83A0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5233FA"/>
    <w:multiLevelType w:val="hybridMultilevel"/>
    <w:tmpl w:val="40C6728C"/>
    <w:lvl w:ilvl="0" w:tplc="0413000F">
      <w:start w:val="1"/>
      <w:numFmt w:val="decimal"/>
      <w:lvlText w:val="%1."/>
      <w:lvlJc w:val="left"/>
      <w:pPr>
        <w:ind w:left="720" w:hanging="360"/>
      </w:pPr>
      <w:rPr>
        <w:rFonts w:hint="default"/>
      </w:rPr>
    </w:lvl>
    <w:lvl w:ilvl="1" w:tplc="D79E692E">
      <w:numFmt w:val="bullet"/>
      <w:lvlText w:val=""/>
      <w:lvlJc w:val="left"/>
      <w:pPr>
        <w:ind w:left="1440" w:hanging="360"/>
      </w:pPr>
      <w:rPr>
        <w:rFonts w:ascii="Wingdings" w:eastAsia="Verdana" w:hAnsi="Wingdings" w:cs="Verdana"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B9D2ED8"/>
    <w:multiLevelType w:val="hybridMultilevel"/>
    <w:tmpl w:val="58DE9988"/>
    <w:lvl w:ilvl="0" w:tplc="298C478C">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D355618"/>
    <w:multiLevelType w:val="hybridMultilevel"/>
    <w:tmpl w:val="30B01A68"/>
    <w:lvl w:ilvl="0" w:tplc="04130001">
      <w:start w:val="1"/>
      <w:numFmt w:val="bullet"/>
      <w:lvlText w:val=""/>
      <w:lvlJc w:val="left"/>
      <w:pPr>
        <w:ind w:left="1080" w:hanging="360"/>
      </w:pPr>
      <w:rPr>
        <w:rFonts w:ascii="Symbol" w:hAnsi="Symbol" w:hint="default"/>
        <w:sz w:val="18"/>
        <w:szCs w:val="18"/>
      </w:r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3E366FD9"/>
    <w:multiLevelType w:val="hybridMultilevel"/>
    <w:tmpl w:val="175EC0A6"/>
    <w:lvl w:ilvl="0" w:tplc="0413000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030B733"/>
    <w:multiLevelType w:val="hybridMultilevel"/>
    <w:tmpl w:val="FFFFFFFF"/>
    <w:lvl w:ilvl="0" w:tplc="41467606">
      <w:start w:val="1"/>
      <w:numFmt w:val="bullet"/>
      <w:lvlText w:val=""/>
      <w:lvlJc w:val="left"/>
      <w:pPr>
        <w:ind w:left="720" w:hanging="360"/>
      </w:pPr>
      <w:rPr>
        <w:rFonts w:ascii="Symbol" w:hAnsi="Symbol" w:hint="default"/>
      </w:rPr>
    </w:lvl>
    <w:lvl w:ilvl="1" w:tplc="2DCEA990">
      <w:start w:val="1"/>
      <w:numFmt w:val="bullet"/>
      <w:lvlText w:val="o"/>
      <w:lvlJc w:val="left"/>
      <w:pPr>
        <w:ind w:left="1440" w:hanging="360"/>
      </w:pPr>
      <w:rPr>
        <w:rFonts w:ascii="Courier New" w:hAnsi="Courier New" w:hint="default"/>
      </w:rPr>
    </w:lvl>
    <w:lvl w:ilvl="2" w:tplc="6F462D46">
      <w:start w:val="1"/>
      <w:numFmt w:val="bullet"/>
      <w:lvlText w:val=""/>
      <w:lvlJc w:val="left"/>
      <w:pPr>
        <w:ind w:left="2160" w:hanging="360"/>
      </w:pPr>
      <w:rPr>
        <w:rFonts w:ascii="Wingdings" w:hAnsi="Wingdings" w:hint="default"/>
      </w:rPr>
    </w:lvl>
    <w:lvl w:ilvl="3" w:tplc="42A8AE68">
      <w:start w:val="1"/>
      <w:numFmt w:val="bullet"/>
      <w:lvlText w:val=""/>
      <w:lvlJc w:val="left"/>
      <w:pPr>
        <w:ind w:left="2880" w:hanging="360"/>
      </w:pPr>
      <w:rPr>
        <w:rFonts w:ascii="Symbol" w:hAnsi="Symbol" w:hint="default"/>
      </w:rPr>
    </w:lvl>
    <w:lvl w:ilvl="4" w:tplc="556C85F4">
      <w:start w:val="1"/>
      <w:numFmt w:val="bullet"/>
      <w:lvlText w:val="o"/>
      <w:lvlJc w:val="left"/>
      <w:pPr>
        <w:ind w:left="3600" w:hanging="360"/>
      </w:pPr>
      <w:rPr>
        <w:rFonts w:ascii="Courier New" w:hAnsi="Courier New" w:hint="default"/>
      </w:rPr>
    </w:lvl>
    <w:lvl w:ilvl="5" w:tplc="5A026BDA">
      <w:start w:val="1"/>
      <w:numFmt w:val="bullet"/>
      <w:lvlText w:val=""/>
      <w:lvlJc w:val="left"/>
      <w:pPr>
        <w:ind w:left="4320" w:hanging="360"/>
      </w:pPr>
      <w:rPr>
        <w:rFonts w:ascii="Wingdings" w:hAnsi="Wingdings" w:hint="default"/>
      </w:rPr>
    </w:lvl>
    <w:lvl w:ilvl="6" w:tplc="0BB0D6C4">
      <w:start w:val="1"/>
      <w:numFmt w:val="bullet"/>
      <w:lvlText w:val=""/>
      <w:lvlJc w:val="left"/>
      <w:pPr>
        <w:ind w:left="5040" w:hanging="360"/>
      </w:pPr>
      <w:rPr>
        <w:rFonts w:ascii="Symbol" w:hAnsi="Symbol" w:hint="default"/>
      </w:rPr>
    </w:lvl>
    <w:lvl w:ilvl="7" w:tplc="C8A2757E">
      <w:start w:val="1"/>
      <w:numFmt w:val="bullet"/>
      <w:lvlText w:val="o"/>
      <w:lvlJc w:val="left"/>
      <w:pPr>
        <w:ind w:left="5760" w:hanging="360"/>
      </w:pPr>
      <w:rPr>
        <w:rFonts w:ascii="Courier New" w:hAnsi="Courier New" w:hint="default"/>
      </w:rPr>
    </w:lvl>
    <w:lvl w:ilvl="8" w:tplc="D6867744">
      <w:start w:val="1"/>
      <w:numFmt w:val="bullet"/>
      <w:lvlText w:val=""/>
      <w:lvlJc w:val="left"/>
      <w:pPr>
        <w:ind w:left="6480" w:hanging="360"/>
      </w:pPr>
      <w:rPr>
        <w:rFonts w:ascii="Wingdings" w:hAnsi="Wingdings" w:hint="default"/>
      </w:rPr>
    </w:lvl>
  </w:abstractNum>
  <w:abstractNum w:abstractNumId="35" w15:restartNumberingAfterBreak="0">
    <w:nsid w:val="406B147A"/>
    <w:multiLevelType w:val="hybridMultilevel"/>
    <w:tmpl w:val="EAD46E92"/>
    <w:lvl w:ilvl="0" w:tplc="04130015">
      <w:start w:val="1"/>
      <w:numFmt w:val="upperLetter"/>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42061CD8"/>
    <w:multiLevelType w:val="hybridMultilevel"/>
    <w:tmpl w:val="2F9E2B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54534FA"/>
    <w:multiLevelType w:val="hybridMultilevel"/>
    <w:tmpl w:val="34340BA0"/>
    <w:lvl w:ilvl="0" w:tplc="4CEEB7D8">
      <w:start w:val="1"/>
      <w:numFmt w:val="decimal"/>
      <w:lvlText w:val="%1."/>
      <w:lvlJc w:val="left"/>
      <w:pPr>
        <w:ind w:left="1020" w:hanging="360"/>
      </w:pPr>
    </w:lvl>
    <w:lvl w:ilvl="1" w:tplc="5FBE5EC2">
      <w:start w:val="1"/>
      <w:numFmt w:val="decimal"/>
      <w:lvlText w:val="%2."/>
      <w:lvlJc w:val="left"/>
      <w:pPr>
        <w:ind w:left="1020" w:hanging="360"/>
      </w:pPr>
    </w:lvl>
    <w:lvl w:ilvl="2" w:tplc="CA3CFAC0">
      <w:start w:val="1"/>
      <w:numFmt w:val="decimal"/>
      <w:lvlText w:val="%3."/>
      <w:lvlJc w:val="left"/>
      <w:pPr>
        <w:ind w:left="1020" w:hanging="360"/>
      </w:pPr>
    </w:lvl>
    <w:lvl w:ilvl="3" w:tplc="3E661EAA">
      <w:start w:val="1"/>
      <w:numFmt w:val="decimal"/>
      <w:lvlText w:val="%4."/>
      <w:lvlJc w:val="left"/>
      <w:pPr>
        <w:ind w:left="1020" w:hanging="360"/>
      </w:pPr>
    </w:lvl>
    <w:lvl w:ilvl="4" w:tplc="C3F29A00">
      <w:start w:val="1"/>
      <w:numFmt w:val="decimal"/>
      <w:lvlText w:val="%5."/>
      <w:lvlJc w:val="left"/>
      <w:pPr>
        <w:ind w:left="1020" w:hanging="360"/>
      </w:pPr>
    </w:lvl>
    <w:lvl w:ilvl="5" w:tplc="5DC6DD72">
      <w:start w:val="1"/>
      <w:numFmt w:val="decimal"/>
      <w:lvlText w:val="%6."/>
      <w:lvlJc w:val="left"/>
      <w:pPr>
        <w:ind w:left="1020" w:hanging="360"/>
      </w:pPr>
    </w:lvl>
    <w:lvl w:ilvl="6" w:tplc="E272C652">
      <w:start w:val="1"/>
      <w:numFmt w:val="decimal"/>
      <w:lvlText w:val="%7."/>
      <w:lvlJc w:val="left"/>
      <w:pPr>
        <w:ind w:left="1020" w:hanging="360"/>
      </w:pPr>
    </w:lvl>
    <w:lvl w:ilvl="7" w:tplc="E17CE492">
      <w:start w:val="1"/>
      <w:numFmt w:val="decimal"/>
      <w:lvlText w:val="%8."/>
      <w:lvlJc w:val="left"/>
      <w:pPr>
        <w:ind w:left="1020" w:hanging="360"/>
      </w:pPr>
    </w:lvl>
    <w:lvl w:ilvl="8" w:tplc="47BC8426">
      <w:start w:val="1"/>
      <w:numFmt w:val="decimal"/>
      <w:lvlText w:val="%9."/>
      <w:lvlJc w:val="left"/>
      <w:pPr>
        <w:ind w:left="1020" w:hanging="360"/>
      </w:pPr>
    </w:lvl>
  </w:abstractNum>
  <w:abstractNum w:abstractNumId="38" w15:restartNumberingAfterBreak="0">
    <w:nsid w:val="463A6D84"/>
    <w:multiLevelType w:val="hybridMultilevel"/>
    <w:tmpl w:val="3CCE38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C8C66D9"/>
    <w:multiLevelType w:val="hybridMultilevel"/>
    <w:tmpl w:val="586EE8D6"/>
    <w:lvl w:ilvl="0" w:tplc="655045F0">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4D85334C"/>
    <w:multiLevelType w:val="hybridMultilevel"/>
    <w:tmpl w:val="5B58AF16"/>
    <w:lvl w:ilvl="0" w:tplc="0413000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1394131"/>
    <w:multiLevelType w:val="hybridMultilevel"/>
    <w:tmpl w:val="7E4A78E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42"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1D50E15"/>
    <w:multiLevelType w:val="multilevel"/>
    <w:tmpl w:val="BBFA1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6EF5A03"/>
    <w:multiLevelType w:val="hybridMultilevel"/>
    <w:tmpl w:val="DA50D9F0"/>
    <w:lvl w:ilvl="0" w:tplc="57E66452">
      <w:start w:val="1"/>
      <w:numFmt w:val="decimal"/>
      <w:lvlText w:val="%1)"/>
      <w:lvlJc w:val="left"/>
      <w:pPr>
        <w:ind w:left="720" w:hanging="360"/>
      </w:pPr>
    </w:lvl>
    <w:lvl w:ilvl="1" w:tplc="FCDC28A0">
      <w:start w:val="1"/>
      <w:numFmt w:val="decimal"/>
      <w:lvlText w:val="%2)"/>
      <w:lvlJc w:val="left"/>
      <w:pPr>
        <w:ind w:left="720" w:hanging="360"/>
      </w:pPr>
    </w:lvl>
    <w:lvl w:ilvl="2" w:tplc="0EF08FC2">
      <w:start w:val="1"/>
      <w:numFmt w:val="decimal"/>
      <w:lvlText w:val="%3)"/>
      <w:lvlJc w:val="left"/>
      <w:pPr>
        <w:ind w:left="720" w:hanging="360"/>
      </w:pPr>
    </w:lvl>
    <w:lvl w:ilvl="3" w:tplc="7A881222">
      <w:start w:val="1"/>
      <w:numFmt w:val="decimal"/>
      <w:lvlText w:val="%4)"/>
      <w:lvlJc w:val="left"/>
      <w:pPr>
        <w:ind w:left="720" w:hanging="360"/>
      </w:pPr>
    </w:lvl>
    <w:lvl w:ilvl="4" w:tplc="E25200B4">
      <w:start w:val="1"/>
      <w:numFmt w:val="decimal"/>
      <w:lvlText w:val="%5)"/>
      <w:lvlJc w:val="left"/>
      <w:pPr>
        <w:ind w:left="720" w:hanging="360"/>
      </w:pPr>
    </w:lvl>
    <w:lvl w:ilvl="5" w:tplc="5EE4EC6E">
      <w:start w:val="1"/>
      <w:numFmt w:val="decimal"/>
      <w:lvlText w:val="%6)"/>
      <w:lvlJc w:val="left"/>
      <w:pPr>
        <w:ind w:left="720" w:hanging="360"/>
      </w:pPr>
    </w:lvl>
    <w:lvl w:ilvl="6" w:tplc="F1B2CBF4">
      <w:start w:val="1"/>
      <w:numFmt w:val="decimal"/>
      <w:lvlText w:val="%7)"/>
      <w:lvlJc w:val="left"/>
      <w:pPr>
        <w:ind w:left="720" w:hanging="360"/>
      </w:pPr>
    </w:lvl>
    <w:lvl w:ilvl="7" w:tplc="D2023870">
      <w:start w:val="1"/>
      <w:numFmt w:val="decimal"/>
      <w:lvlText w:val="%8)"/>
      <w:lvlJc w:val="left"/>
      <w:pPr>
        <w:ind w:left="720" w:hanging="360"/>
      </w:pPr>
    </w:lvl>
    <w:lvl w:ilvl="8" w:tplc="924E2D00">
      <w:start w:val="1"/>
      <w:numFmt w:val="decimal"/>
      <w:lvlText w:val="%9)"/>
      <w:lvlJc w:val="left"/>
      <w:pPr>
        <w:ind w:left="720" w:hanging="360"/>
      </w:pPr>
    </w:lvl>
  </w:abstractNum>
  <w:abstractNum w:abstractNumId="45" w15:restartNumberingAfterBreak="0">
    <w:nsid w:val="5FE81183"/>
    <w:multiLevelType w:val="hybridMultilevel"/>
    <w:tmpl w:val="F2F8AE68"/>
    <w:lvl w:ilvl="0" w:tplc="0413000F">
      <w:start w:val="1"/>
      <w:numFmt w:val="decimal"/>
      <w:lvlText w:val="%1."/>
      <w:lvlJc w:val="left"/>
      <w:pPr>
        <w:ind w:left="720" w:hanging="360"/>
      </w:pPr>
      <w:rPr>
        <w:rFonts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6F97B2B"/>
    <w:multiLevelType w:val="hybridMultilevel"/>
    <w:tmpl w:val="FDA2ED40"/>
    <w:lvl w:ilvl="0" w:tplc="67B280E6">
      <w:start w:val="1"/>
      <w:numFmt w:val="decimal"/>
      <w:lvlText w:val="%1)"/>
      <w:lvlJc w:val="left"/>
      <w:pPr>
        <w:ind w:left="720" w:hanging="360"/>
      </w:pPr>
    </w:lvl>
    <w:lvl w:ilvl="1" w:tplc="84AE7810">
      <w:start w:val="1"/>
      <w:numFmt w:val="decimal"/>
      <w:lvlText w:val="%2)"/>
      <w:lvlJc w:val="left"/>
      <w:pPr>
        <w:ind w:left="720" w:hanging="360"/>
      </w:pPr>
    </w:lvl>
    <w:lvl w:ilvl="2" w:tplc="719E4FA0">
      <w:start w:val="1"/>
      <w:numFmt w:val="decimal"/>
      <w:lvlText w:val="%3)"/>
      <w:lvlJc w:val="left"/>
      <w:pPr>
        <w:ind w:left="720" w:hanging="360"/>
      </w:pPr>
    </w:lvl>
    <w:lvl w:ilvl="3" w:tplc="17EC385C">
      <w:start w:val="1"/>
      <w:numFmt w:val="decimal"/>
      <w:lvlText w:val="%4)"/>
      <w:lvlJc w:val="left"/>
      <w:pPr>
        <w:ind w:left="720" w:hanging="360"/>
      </w:pPr>
    </w:lvl>
    <w:lvl w:ilvl="4" w:tplc="A3E2C258">
      <w:start w:val="1"/>
      <w:numFmt w:val="decimal"/>
      <w:lvlText w:val="%5)"/>
      <w:lvlJc w:val="left"/>
      <w:pPr>
        <w:ind w:left="720" w:hanging="360"/>
      </w:pPr>
    </w:lvl>
    <w:lvl w:ilvl="5" w:tplc="60E829DC">
      <w:start w:val="1"/>
      <w:numFmt w:val="decimal"/>
      <w:lvlText w:val="%6)"/>
      <w:lvlJc w:val="left"/>
      <w:pPr>
        <w:ind w:left="720" w:hanging="360"/>
      </w:pPr>
    </w:lvl>
    <w:lvl w:ilvl="6" w:tplc="5140938A">
      <w:start w:val="1"/>
      <w:numFmt w:val="decimal"/>
      <w:lvlText w:val="%7)"/>
      <w:lvlJc w:val="left"/>
      <w:pPr>
        <w:ind w:left="720" w:hanging="360"/>
      </w:pPr>
    </w:lvl>
    <w:lvl w:ilvl="7" w:tplc="A5AAE34A">
      <w:start w:val="1"/>
      <w:numFmt w:val="decimal"/>
      <w:lvlText w:val="%8)"/>
      <w:lvlJc w:val="left"/>
      <w:pPr>
        <w:ind w:left="720" w:hanging="360"/>
      </w:pPr>
    </w:lvl>
    <w:lvl w:ilvl="8" w:tplc="3E8CEE00">
      <w:start w:val="1"/>
      <w:numFmt w:val="decimal"/>
      <w:lvlText w:val="%9)"/>
      <w:lvlJc w:val="left"/>
      <w:pPr>
        <w:ind w:left="720" w:hanging="360"/>
      </w:pPr>
    </w:lvl>
  </w:abstractNum>
  <w:num w:numId="1" w16cid:durableId="1742219743">
    <w:abstractNumId w:val="13"/>
  </w:num>
  <w:num w:numId="2" w16cid:durableId="326831432">
    <w:abstractNumId w:val="7"/>
  </w:num>
  <w:num w:numId="3" w16cid:durableId="1552838059">
    <w:abstractNumId w:val="6"/>
  </w:num>
  <w:num w:numId="4" w16cid:durableId="143786880">
    <w:abstractNumId w:val="5"/>
  </w:num>
  <w:num w:numId="5" w16cid:durableId="2559595">
    <w:abstractNumId w:val="4"/>
  </w:num>
  <w:num w:numId="6" w16cid:durableId="768232572">
    <w:abstractNumId w:val="8"/>
  </w:num>
  <w:num w:numId="7" w16cid:durableId="2002267529">
    <w:abstractNumId w:val="3"/>
  </w:num>
  <w:num w:numId="8" w16cid:durableId="1340622531">
    <w:abstractNumId w:val="2"/>
  </w:num>
  <w:num w:numId="9" w16cid:durableId="1334408471">
    <w:abstractNumId w:val="1"/>
  </w:num>
  <w:num w:numId="10" w16cid:durableId="1011378528">
    <w:abstractNumId w:val="0"/>
  </w:num>
  <w:num w:numId="11" w16cid:durableId="1628125468">
    <w:abstractNumId w:val="11"/>
  </w:num>
  <w:num w:numId="12" w16cid:durableId="912542138">
    <w:abstractNumId w:val="20"/>
  </w:num>
  <w:num w:numId="13" w16cid:durableId="576742643">
    <w:abstractNumId w:val="42"/>
  </w:num>
  <w:num w:numId="14" w16cid:durableId="291641471">
    <w:abstractNumId w:val="22"/>
  </w:num>
  <w:num w:numId="15" w16cid:durableId="903417576">
    <w:abstractNumId w:val="31"/>
  </w:num>
  <w:num w:numId="16" w16cid:durableId="1071388509">
    <w:abstractNumId w:val="35"/>
  </w:num>
  <w:num w:numId="17" w16cid:durableId="217284092">
    <w:abstractNumId w:val="9"/>
  </w:num>
  <w:num w:numId="18" w16cid:durableId="736440844">
    <w:abstractNumId w:val="32"/>
  </w:num>
  <w:num w:numId="19" w16cid:durableId="1308625314">
    <w:abstractNumId w:val="30"/>
  </w:num>
  <w:num w:numId="20" w16cid:durableId="1760445438">
    <w:abstractNumId w:val="36"/>
  </w:num>
  <w:num w:numId="21" w16cid:durableId="481892733">
    <w:abstractNumId w:val="12"/>
  </w:num>
  <w:num w:numId="22" w16cid:durableId="316691144">
    <w:abstractNumId w:val="46"/>
  </w:num>
  <w:num w:numId="23" w16cid:durableId="1919905785">
    <w:abstractNumId w:val="44"/>
  </w:num>
  <w:num w:numId="24" w16cid:durableId="383022685">
    <w:abstractNumId w:val="26"/>
  </w:num>
  <w:num w:numId="25" w16cid:durableId="1726181192">
    <w:abstractNumId w:val="15"/>
  </w:num>
  <w:num w:numId="26" w16cid:durableId="2053924454">
    <w:abstractNumId w:val="39"/>
  </w:num>
  <w:num w:numId="27" w16cid:durableId="1752504918">
    <w:abstractNumId w:val="21"/>
  </w:num>
  <w:num w:numId="28" w16cid:durableId="1902597934">
    <w:abstractNumId w:val="10"/>
  </w:num>
  <w:num w:numId="29" w16cid:durableId="656618234">
    <w:abstractNumId w:val="16"/>
  </w:num>
  <w:num w:numId="30" w16cid:durableId="1764375275">
    <w:abstractNumId w:val="34"/>
  </w:num>
  <w:num w:numId="31" w16cid:durableId="243951025">
    <w:abstractNumId w:val="14"/>
  </w:num>
  <w:num w:numId="32" w16cid:durableId="1286276262">
    <w:abstractNumId w:val="28"/>
  </w:num>
  <w:num w:numId="33" w16cid:durableId="1251352875">
    <w:abstractNumId w:val="25"/>
  </w:num>
  <w:num w:numId="34" w16cid:durableId="739133953">
    <w:abstractNumId w:val="19"/>
  </w:num>
  <w:num w:numId="35" w16cid:durableId="447045613">
    <w:abstractNumId w:val="37"/>
  </w:num>
  <w:num w:numId="36" w16cid:durableId="1726486831">
    <w:abstractNumId w:val="38"/>
  </w:num>
  <w:num w:numId="37" w16cid:durableId="132210868">
    <w:abstractNumId w:val="27"/>
  </w:num>
  <w:num w:numId="38" w16cid:durableId="1535967956">
    <w:abstractNumId w:val="18"/>
  </w:num>
  <w:num w:numId="39" w16cid:durableId="1681732113">
    <w:abstractNumId w:val="23"/>
  </w:num>
  <w:num w:numId="40" w16cid:durableId="1366176052">
    <w:abstractNumId w:val="41"/>
  </w:num>
  <w:num w:numId="41" w16cid:durableId="1545094311">
    <w:abstractNumId w:val="24"/>
  </w:num>
  <w:num w:numId="42" w16cid:durableId="15279620">
    <w:abstractNumId w:val="17"/>
  </w:num>
  <w:num w:numId="43" w16cid:durableId="100808683">
    <w:abstractNumId w:val="45"/>
  </w:num>
  <w:num w:numId="44" w16cid:durableId="978417258">
    <w:abstractNumId w:val="33"/>
  </w:num>
  <w:num w:numId="45" w16cid:durableId="981036410">
    <w:abstractNumId w:val="40"/>
  </w:num>
  <w:num w:numId="46" w16cid:durableId="909073980">
    <w:abstractNumId w:val="43"/>
  </w:num>
  <w:num w:numId="47" w16cid:durableId="1154762945">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045"/>
    <w:rsid w:val="000001AC"/>
    <w:rsid w:val="000008D6"/>
    <w:rsid w:val="000009BC"/>
    <w:rsid w:val="00000C4B"/>
    <w:rsid w:val="00000CC9"/>
    <w:rsid w:val="000011C5"/>
    <w:rsid w:val="000012A6"/>
    <w:rsid w:val="0000132F"/>
    <w:rsid w:val="000024E5"/>
    <w:rsid w:val="00002504"/>
    <w:rsid w:val="00002709"/>
    <w:rsid w:val="0000273E"/>
    <w:rsid w:val="00002808"/>
    <w:rsid w:val="00002A8F"/>
    <w:rsid w:val="00003263"/>
    <w:rsid w:val="000037AD"/>
    <w:rsid w:val="00003817"/>
    <w:rsid w:val="00003A76"/>
    <w:rsid w:val="00003A81"/>
    <w:rsid w:val="000042E4"/>
    <w:rsid w:val="0000439B"/>
    <w:rsid w:val="000043CB"/>
    <w:rsid w:val="000049FB"/>
    <w:rsid w:val="00004EC9"/>
    <w:rsid w:val="000056D5"/>
    <w:rsid w:val="00005A87"/>
    <w:rsid w:val="00005BEA"/>
    <w:rsid w:val="00005EC5"/>
    <w:rsid w:val="00006065"/>
    <w:rsid w:val="000071B2"/>
    <w:rsid w:val="00007268"/>
    <w:rsid w:val="0000739C"/>
    <w:rsid w:val="0000772E"/>
    <w:rsid w:val="0001025D"/>
    <w:rsid w:val="00011221"/>
    <w:rsid w:val="000115C5"/>
    <w:rsid w:val="00011FEE"/>
    <w:rsid w:val="00012298"/>
    <w:rsid w:val="00012A28"/>
    <w:rsid w:val="000133EB"/>
    <w:rsid w:val="00013862"/>
    <w:rsid w:val="00013D14"/>
    <w:rsid w:val="00013F6D"/>
    <w:rsid w:val="000141E3"/>
    <w:rsid w:val="00014229"/>
    <w:rsid w:val="00014381"/>
    <w:rsid w:val="00014832"/>
    <w:rsid w:val="00014C5A"/>
    <w:rsid w:val="000150D7"/>
    <w:rsid w:val="00016012"/>
    <w:rsid w:val="000160EB"/>
    <w:rsid w:val="000165F3"/>
    <w:rsid w:val="00016C32"/>
    <w:rsid w:val="00017172"/>
    <w:rsid w:val="00017C27"/>
    <w:rsid w:val="0002011B"/>
    <w:rsid w:val="00020189"/>
    <w:rsid w:val="0002046E"/>
    <w:rsid w:val="00020A33"/>
    <w:rsid w:val="00020EE4"/>
    <w:rsid w:val="0002178A"/>
    <w:rsid w:val="00021CB2"/>
    <w:rsid w:val="00021DB5"/>
    <w:rsid w:val="00021EDD"/>
    <w:rsid w:val="00022098"/>
    <w:rsid w:val="000221FF"/>
    <w:rsid w:val="00022A57"/>
    <w:rsid w:val="00022B54"/>
    <w:rsid w:val="00022C02"/>
    <w:rsid w:val="00023E9A"/>
    <w:rsid w:val="00024B60"/>
    <w:rsid w:val="00024DD5"/>
    <w:rsid w:val="00024E9D"/>
    <w:rsid w:val="00025333"/>
    <w:rsid w:val="00025BC5"/>
    <w:rsid w:val="0002620D"/>
    <w:rsid w:val="00026451"/>
    <w:rsid w:val="000267D4"/>
    <w:rsid w:val="00026924"/>
    <w:rsid w:val="00026C3A"/>
    <w:rsid w:val="000277F1"/>
    <w:rsid w:val="00027C5F"/>
    <w:rsid w:val="00030FFE"/>
    <w:rsid w:val="00031B45"/>
    <w:rsid w:val="00031F91"/>
    <w:rsid w:val="00032261"/>
    <w:rsid w:val="00032CAC"/>
    <w:rsid w:val="0003325C"/>
    <w:rsid w:val="000334A9"/>
    <w:rsid w:val="000338E0"/>
    <w:rsid w:val="00033906"/>
    <w:rsid w:val="00033CDD"/>
    <w:rsid w:val="00033F49"/>
    <w:rsid w:val="0003482A"/>
    <w:rsid w:val="00034A84"/>
    <w:rsid w:val="000350B4"/>
    <w:rsid w:val="000358F6"/>
    <w:rsid w:val="00035E56"/>
    <w:rsid w:val="00035E67"/>
    <w:rsid w:val="00036374"/>
    <w:rsid w:val="000366F3"/>
    <w:rsid w:val="00036CA0"/>
    <w:rsid w:val="00037091"/>
    <w:rsid w:val="0003742A"/>
    <w:rsid w:val="0003764E"/>
    <w:rsid w:val="00037809"/>
    <w:rsid w:val="00037AD3"/>
    <w:rsid w:val="00040269"/>
    <w:rsid w:val="0004050C"/>
    <w:rsid w:val="000405CD"/>
    <w:rsid w:val="00040EC8"/>
    <w:rsid w:val="00040F69"/>
    <w:rsid w:val="000418BD"/>
    <w:rsid w:val="0004469F"/>
    <w:rsid w:val="000448B6"/>
    <w:rsid w:val="00044A08"/>
    <w:rsid w:val="00044E2C"/>
    <w:rsid w:val="000451E9"/>
    <w:rsid w:val="0004571C"/>
    <w:rsid w:val="00045818"/>
    <w:rsid w:val="00045FCB"/>
    <w:rsid w:val="0004617C"/>
    <w:rsid w:val="00046A96"/>
    <w:rsid w:val="000477B7"/>
    <w:rsid w:val="00047C0F"/>
    <w:rsid w:val="000504B0"/>
    <w:rsid w:val="00050CB8"/>
    <w:rsid w:val="00050DD3"/>
    <w:rsid w:val="0005137B"/>
    <w:rsid w:val="000519DF"/>
    <w:rsid w:val="00051F88"/>
    <w:rsid w:val="00052017"/>
    <w:rsid w:val="000522F0"/>
    <w:rsid w:val="00052433"/>
    <w:rsid w:val="000529B9"/>
    <w:rsid w:val="00052F5C"/>
    <w:rsid w:val="00053089"/>
    <w:rsid w:val="000533D6"/>
    <w:rsid w:val="00053D2E"/>
    <w:rsid w:val="00053D3F"/>
    <w:rsid w:val="00053F3A"/>
    <w:rsid w:val="000558AB"/>
    <w:rsid w:val="00055A9B"/>
    <w:rsid w:val="00055C34"/>
    <w:rsid w:val="00055FA3"/>
    <w:rsid w:val="00056B74"/>
    <w:rsid w:val="00056C29"/>
    <w:rsid w:val="00056F74"/>
    <w:rsid w:val="00057003"/>
    <w:rsid w:val="000571FF"/>
    <w:rsid w:val="00057403"/>
    <w:rsid w:val="0006024D"/>
    <w:rsid w:val="00060488"/>
    <w:rsid w:val="0006088F"/>
    <w:rsid w:val="00060ED1"/>
    <w:rsid w:val="00061DE1"/>
    <w:rsid w:val="00062628"/>
    <w:rsid w:val="000627BE"/>
    <w:rsid w:val="000628A7"/>
    <w:rsid w:val="0006318C"/>
    <w:rsid w:val="0006343A"/>
    <w:rsid w:val="000635F9"/>
    <w:rsid w:val="000637AB"/>
    <w:rsid w:val="000639A7"/>
    <w:rsid w:val="0006544F"/>
    <w:rsid w:val="0006599E"/>
    <w:rsid w:val="00065ADC"/>
    <w:rsid w:val="00065BD9"/>
    <w:rsid w:val="00065EF2"/>
    <w:rsid w:val="00065F5B"/>
    <w:rsid w:val="00066565"/>
    <w:rsid w:val="000671A7"/>
    <w:rsid w:val="000671DF"/>
    <w:rsid w:val="000679DE"/>
    <w:rsid w:val="00067A34"/>
    <w:rsid w:val="00067EBE"/>
    <w:rsid w:val="000703E9"/>
    <w:rsid w:val="00070B03"/>
    <w:rsid w:val="00070DC3"/>
    <w:rsid w:val="00070EF4"/>
    <w:rsid w:val="0007185B"/>
    <w:rsid w:val="00071F28"/>
    <w:rsid w:val="000724C4"/>
    <w:rsid w:val="000726E6"/>
    <w:rsid w:val="00072D6E"/>
    <w:rsid w:val="0007321C"/>
    <w:rsid w:val="00073E74"/>
    <w:rsid w:val="00074079"/>
    <w:rsid w:val="00074A61"/>
    <w:rsid w:val="00074C02"/>
    <w:rsid w:val="00074D9E"/>
    <w:rsid w:val="00074E5B"/>
    <w:rsid w:val="00075250"/>
    <w:rsid w:val="0007526A"/>
    <w:rsid w:val="000756EF"/>
    <w:rsid w:val="00075ACB"/>
    <w:rsid w:val="00076238"/>
    <w:rsid w:val="0007639E"/>
    <w:rsid w:val="00076593"/>
    <w:rsid w:val="00076C5A"/>
    <w:rsid w:val="00077886"/>
    <w:rsid w:val="00077B95"/>
    <w:rsid w:val="00077D9E"/>
    <w:rsid w:val="00077FFA"/>
    <w:rsid w:val="00080093"/>
    <w:rsid w:val="00080242"/>
    <w:rsid w:val="00080EEF"/>
    <w:rsid w:val="0008105B"/>
    <w:rsid w:val="00081D9A"/>
    <w:rsid w:val="00082670"/>
    <w:rsid w:val="00082822"/>
    <w:rsid w:val="00082C33"/>
    <w:rsid w:val="00082D28"/>
    <w:rsid w:val="000834C4"/>
    <w:rsid w:val="00083ADE"/>
    <w:rsid w:val="00083BC2"/>
    <w:rsid w:val="00083CDA"/>
    <w:rsid w:val="00084605"/>
    <w:rsid w:val="000848DC"/>
    <w:rsid w:val="00084D52"/>
    <w:rsid w:val="0008533C"/>
    <w:rsid w:val="0008590B"/>
    <w:rsid w:val="00085AE5"/>
    <w:rsid w:val="00085D68"/>
    <w:rsid w:val="00085DD5"/>
    <w:rsid w:val="000872CE"/>
    <w:rsid w:val="0008753F"/>
    <w:rsid w:val="0008766D"/>
    <w:rsid w:val="000876DF"/>
    <w:rsid w:val="00087B7D"/>
    <w:rsid w:val="00090365"/>
    <w:rsid w:val="00090369"/>
    <w:rsid w:val="00091026"/>
    <w:rsid w:val="000911B4"/>
    <w:rsid w:val="00091E32"/>
    <w:rsid w:val="000925AF"/>
    <w:rsid w:val="00092799"/>
    <w:rsid w:val="00092C5F"/>
    <w:rsid w:val="00092CD5"/>
    <w:rsid w:val="00092ED5"/>
    <w:rsid w:val="0009318A"/>
    <w:rsid w:val="00093747"/>
    <w:rsid w:val="00093D0E"/>
    <w:rsid w:val="00093F57"/>
    <w:rsid w:val="00093FC8"/>
    <w:rsid w:val="00094374"/>
    <w:rsid w:val="00094817"/>
    <w:rsid w:val="00094ACB"/>
    <w:rsid w:val="000956B3"/>
    <w:rsid w:val="000958A3"/>
    <w:rsid w:val="00095AAE"/>
    <w:rsid w:val="00095F78"/>
    <w:rsid w:val="00096341"/>
    <w:rsid w:val="00096680"/>
    <w:rsid w:val="000969B7"/>
    <w:rsid w:val="00096AEC"/>
    <w:rsid w:val="00096C55"/>
    <w:rsid w:val="0009774E"/>
    <w:rsid w:val="000A0232"/>
    <w:rsid w:val="000A0245"/>
    <w:rsid w:val="000A0F36"/>
    <w:rsid w:val="000A1103"/>
    <w:rsid w:val="000A11D5"/>
    <w:rsid w:val="000A169F"/>
    <w:rsid w:val="000A174A"/>
    <w:rsid w:val="000A17E4"/>
    <w:rsid w:val="000A1BE5"/>
    <w:rsid w:val="000A1C6F"/>
    <w:rsid w:val="000A1CF9"/>
    <w:rsid w:val="000A28AB"/>
    <w:rsid w:val="000A3370"/>
    <w:rsid w:val="000A36E0"/>
    <w:rsid w:val="000A37B8"/>
    <w:rsid w:val="000A38CA"/>
    <w:rsid w:val="000A3BC3"/>
    <w:rsid w:val="000A3E0A"/>
    <w:rsid w:val="000A3F4A"/>
    <w:rsid w:val="000A43AF"/>
    <w:rsid w:val="000A51B4"/>
    <w:rsid w:val="000A5630"/>
    <w:rsid w:val="000A585B"/>
    <w:rsid w:val="000A5F3D"/>
    <w:rsid w:val="000A6084"/>
    <w:rsid w:val="000A65AC"/>
    <w:rsid w:val="000A69CE"/>
    <w:rsid w:val="000A6B56"/>
    <w:rsid w:val="000A6E51"/>
    <w:rsid w:val="000A7159"/>
    <w:rsid w:val="000A7C14"/>
    <w:rsid w:val="000B016B"/>
    <w:rsid w:val="000B02CA"/>
    <w:rsid w:val="000B0A43"/>
    <w:rsid w:val="000B0A56"/>
    <w:rsid w:val="000B10C6"/>
    <w:rsid w:val="000B1490"/>
    <w:rsid w:val="000B1541"/>
    <w:rsid w:val="000B15DE"/>
    <w:rsid w:val="000B168C"/>
    <w:rsid w:val="000B1A04"/>
    <w:rsid w:val="000B1ECD"/>
    <w:rsid w:val="000B292A"/>
    <w:rsid w:val="000B2AE6"/>
    <w:rsid w:val="000B2E0E"/>
    <w:rsid w:val="000B3826"/>
    <w:rsid w:val="000B425A"/>
    <w:rsid w:val="000B4FD7"/>
    <w:rsid w:val="000B548A"/>
    <w:rsid w:val="000B56A7"/>
    <w:rsid w:val="000B5C30"/>
    <w:rsid w:val="000B5EF9"/>
    <w:rsid w:val="000B636D"/>
    <w:rsid w:val="000B6AFA"/>
    <w:rsid w:val="000B6B7C"/>
    <w:rsid w:val="000B7281"/>
    <w:rsid w:val="000B7958"/>
    <w:rsid w:val="000B7A09"/>
    <w:rsid w:val="000B7F51"/>
    <w:rsid w:val="000B7FAB"/>
    <w:rsid w:val="000C0163"/>
    <w:rsid w:val="000C032E"/>
    <w:rsid w:val="000C0478"/>
    <w:rsid w:val="000C0805"/>
    <w:rsid w:val="000C0DE9"/>
    <w:rsid w:val="000C0E5D"/>
    <w:rsid w:val="000C1192"/>
    <w:rsid w:val="000C187D"/>
    <w:rsid w:val="000C1912"/>
    <w:rsid w:val="000C1BA1"/>
    <w:rsid w:val="000C1BEF"/>
    <w:rsid w:val="000C1EE3"/>
    <w:rsid w:val="000C271F"/>
    <w:rsid w:val="000C2878"/>
    <w:rsid w:val="000C388C"/>
    <w:rsid w:val="000C3A4E"/>
    <w:rsid w:val="000C3EA9"/>
    <w:rsid w:val="000C3EE5"/>
    <w:rsid w:val="000C41E3"/>
    <w:rsid w:val="000C43AC"/>
    <w:rsid w:val="000C4549"/>
    <w:rsid w:val="000C4562"/>
    <w:rsid w:val="000C4984"/>
    <w:rsid w:val="000C4B5C"/>
    <w:rsid w:val="000C56D0"/>
    <w:rsid w:val="000C63D5"/>
    <w:rsid w:val="000C6C39"/>
    <w:rsid w:val="000C6F72"/>
    <w:rsid w:val="000C7433"/>
    <w:rsid w:val="000D0225"/>
    <w:rsid w:val="000D02E6"/>
    <w:rsid w:val="000D04F0"/>
    <w:rsid w:val="000D05B8"/>
    <w:rsid w:val="000D12CB"/>
    <w:rsid w:val="000D12EF"/>
    <w:rsid w:val="000D1395"/>
    <w:rsid w:val="000D1822"/>
    <w:rsid w:val="000D1CCF"/>
    <w:rsid w:val="000D1FDE"/>
    <w:rsid w:val="000D261F"/>
    <w:rsid w:val="000D306C"/>
    <w:rsid w:val="000D39FB"/>
    <w:rsid w:val="000D3AB2"/>
    <w:rsid w:val="000D3B91"/>
    <w:rsid w:val="000D41AD"/>
    <w:rsid w:val="000D479F"/>
    <w:rsid w:val="000D512A"/>
    <w:rsid w:val="000D5658"/>
    <w:rsid w:val="000D5BA6"/>
    <w:rsid w:val="000D7014"/>
    <w:rsid w:val="000D774A"/>
    <w:rsid w:val="000D788E"/>
    <w:rsid w:val="000D7CFE"/>
    <w:rsid w:val="000D7DB3"/>
    <w:rsid w:val="000D7E10"/>
    <w:rsid w:val="000D7EC6"/>
    <w:rsid w:val="000D7F3F"/>
    <w:rsid w:val="000E072B"/>
    <w:rsid w:val="000E0A2A"/>
    <w:rsid w:val="000E112B"/>
    <w:rsid w:val="000E150B"/>
    <w:rsid w:val="000E276D"/>
    <w:rsid w:val="000E2823"/>
    <w:rsid w:val="000E337D"/>
    <w:rsid w:val="000E41A3"/>
    <w:rsid w:val="000E4313"/>
    <w:rsid w:val="000E4334"/>
    <w:rsid w:val="000E46D3"/>
    <w:rsid w:val="000E5855"/>
    <w:rsid w:val="000E626B"/>
    <w:rsid w:val="000E6982"/>
    <w:rsid w:val="000E786A"/>
    <w:rsid w:val="000E7895"/>
    <w:rsid w:val="000F0B6D"/>
    <w:rsid w:val="000F13BE"/>
    <w:rsid w:val="000F161D"/>
    <w:rsid w:val="000F1E8D"/>
    <w:rsid w:val="000F2463"/>
    <w:rsid w:val="000F24DB"/>
    <w:rsid w:val="000F2B56"/>
    <w:rsid w:val="000F3014"/>
    <w:rsid w:val="000F3CAA"/>
    <w:rsid w:val="000F3D69"/>
    <w:rsid w:val="000F3E62"/>
    <w:rsid w:val="000F3FA8"/>
    <w:rsid w:val="000F4563"/>
    <w:rsid w:val="000F482D"/>
    <w:rsid w:val="000F515E"/>
    <w:rsid w:val="000F5363"/>
    <w:rsid w:val="000F560C"/>
    <w:rsid w:val="000F56FC"/>
    <w:rsid w:val="000F58E6"/>
    <w:rsid w:val="000F66CC"/>
    <w:rsid w:val="000F6976"/>
    <w:rsid w:val="000F76A0"/>
    <w:rsid w:val="0010002D"/>
    <w:rsid w:val="0010007A"/>
    <w:rsid w:val="00100E4F"/>
    <w:rsid w:val="00101789"/>
    <w:rsid w:val="001017C0"/>
    <w:rsid w:val="001021CB"/>
    <w:rsid w:val="00102248"/>
    <w:rsid w:val="00102858"/>
    <w:rsid w:val="00102872"/>
    <w:rsid w:val="00102ABB"/>
    <w:rsid w:val="00102E44"/>
    <w:rsid w:val="00104072"/>
    <w:rsid w:val="00104B21"/>
    <w:rsid w:val="001051E7"/>
    <w:rsid w:val="00105B4D"/>
    <w:rsid w:val="001062F1"/>
    <w:rsid w:val="00106359"/>
    <w:rsid w:val="00106555"/>
    <w:rsid w:val="00106923"/>
    <w:rsid w:val="00107077"/>
    <w:rsid w:val="0010723F"/>
    <w:rsid w:val="00107376"/>
    <w:rsid w:val="00110127"/>
    <w:rsid w:val="001101B2"/>
    <w:rsid w:val="00111B26"/>
    <w:rsid w:val="00111BAD"/>
    <w:rsid w:val="00112DBA"/>
    <w:rsid w:val="001133EE"/>
    <w:rsid w:val="00113D4C"/>
    <w:rsid w:val="00113EDC"/>
    <w:rsid w:val="001144FE"/>
    <w:rsid w:val="001152EA"/>
    <w:rsid w:val="00115485"/>
    <w:rsid w:val="001155E8"/>
    <w:rsid w:val="00115793"/>
    <w:rsid w:val="00115F41"/>
    <w:rsid w:val="00116808"/>
    <w:rsid w:val="00116CCD"/>
    <w:rsid w:val="00116CE5"/>
    <w:rsid w:val="00117349"/>
    <w:rsid w:val="00117438"/>
    <w:rsid w:val="00117987"/>
    <w:rsid w:val="001202A7"/>
    <w:rsid w:val="00120CEC"/>
    <w:rsid w:val="001211A5"/>
    <w:rsid w:val="00121237"/>
    <w:rsid w:val="00121B26"/>
    <w:rsid w:val="00121BF0"/>
    <w:rsid w:val="00122366"/>
    <w:rsid w:val="00122C8A"/>
    <w:rsid w:val="00123441"/>
    <w:rsid w:val="00123704"/>
    <w:rsid w:val="00123D4F"/>
    <w:rsid w:val="00123D50"/>
    <w:rsid w:val="00124DB2"/>
    <w:rsid w:val="00125299"/>
    <w:rsid w:val="0012534E"/>
    <w:rsid w:val="001255DE"/>
    <w:rsid w:val="00125ADE"/>
    <w:rsid w:val="00125CFB"/>
    <w:rsid w:val="00126142"/>
    <w:rsid w:val="00126461"/>
    <w:rsid w:val="001270C7"/>
    <w:rsid w:val="0012727C"/>
    <w:rsid w:val="00127609"/>
    <w:rsid w:val="00127ED6"/>
    <w:rsid w:val="00127FAE"/>
    <w:rsid w:val="001300AC"/>
    <w:rsid w:val="00130245"/>
    <w:rsid w:val="001303C2"/>
    <w:rsid w:val="00130674"/>
    <w:rsid w:val="00130CC6"/>
    <w:rsid w:val="00130E96"/>
    <w:rsid w:val="0013231C"/>
    <w:rsid w:val="00132540"/>
    <w:rsid w:val="001326AC"/>
    <w:rsid w:val="001326C6"/>
    <w:rsid w:val="00132C18"/>
    <w:rsid w:val="00133474"/>
    <w:rsid w:val="00133F0F"/>
    <w:rsid w:val="00134184"/>
    <w:rsid w:val="001346A7"/>
    <w:rsid w:val="00134808"/>
    <w:rsid w:val="001351F8"/>
    <w:rsid w:val="0013559A"/>
    <w:rsid w:val="00136612"/>
    <w:rsid w:val="00136958"/>
    <w:rsid w:val="00136CC0"/>
    <w:rsid w:val="00136E30"/>
    <w:rsid w:val="00136F53"/>
    <w:rsid w:val="00140D00"/>
    <w:rsid w:val="00141347"/>
    <w:rsid w:val="00141CBD"/>
    <w:rsid w:val="00141F93"/>
    <w:rsid w:val="00142948"/>
    <w:rsid w:val="0014384C"/>
    <w:rsid w:val="0014462A"/>
    <w:rsid w:val="00144D89"/>
    <w:rsid w:val="001453E4"/>
    <w:rsid w:val="00145C36"/>
    <w:rsid w:val="00145C40"/>
    <w:rsid w:val="00145C97"/>
    <w:rsid w:val="00146061"/>
    <w:rsid w:val="001461EB"/>
    <w:rsid w:val="001472D6"/>
    <w:rsid w:val="0014786A"/>
    <w:rsid w:val="001479CC"/>
    <w:rsid w:val="00147D82"/>
    <w:rsid w:val="00150483"/>
    <w:rsid w:val="00150EE1"/>
    <w:rsid w:val="0015121E"/>
    <w:rsid w:val="00151505"/>
    <w:rsid w:val="001516A4"/>
    <w:rsid w:val="00151879"/>
    <w:rsid w:val="001518FE"/>
    <w:rsid w:val="00151E5F"/>
    <w:rsid w:val="00151F3E"/>
    <w:rsid w:val="001529E9"/>
    <w:rsid w:val="00153372"/>
    <w:rsid w:val="0015398D"/>
    <w:rsid w:val="00153A46"/>
    <w:rsid w:val="00153C80"/>
    <w:rsid w:val="00153E28"/>
    <w:rsid w:val="001545E3"/>
    <w:rsid w:val="00156146"/>
    <w:rsid w:val="001563F8"/>
    <w:rsid w:val="00156648"/>
    <w:rsid w:val="001569AB"/>
    <w:rsid w:val="00156AC1"/>
    <w:rsid w:val="001571B5"/>
    <w:rsid w:val="001575F4"/>
    <w:rsid w:val="001604DB"/>
    <w:rsid w:val="001607BE"/>
    <w:rsid w:val="0016115D"/>
    <w:rsid w:val="00161541"/>
    <w:rsid w:val="0016160E"/>
    <w:rsid w:val="00161B10"/>
    <w:rsid w:val="00161FEC"/>
    <w:rsid w:val="00163562"/>
    <w:rsid w:val="0016393A"/>
    <w:rsid w:val="001646A0"/>
    <w:rsid w:val="00164945"/>
    <w:rsid w:val="00164D63"/>
    <w:rsid w:val="001666B6"/>
    <w:rsid w:val="0016679E"/>
    <w:rsid w:val="001669C4"/>
    <w:rsid w:val="00166B7C"/>
    <w:rsid w:val="00166DCE"/>
    <w:rsid w:val="0016725C"/>
    <w:rsid w:val="0016729D"/>
    <w:rsid w:val="00167CF5"/>
    <w:rsid w:val="0017019A"/>
    <w:rsid w:val="0017089F"/>
    <w:rsid w:val="00170A7B"/>
    <w:rsid w:val="00170F21"/>
    <w:rsid w:val="001710B7"/>
    <w:rsid w:val="00171390"/>
    <w:rsid w:val="001714DC"/>
    <w:rsid w:val="00171A25"/>
    <w:rsid w:val="00171E36"/>
    <w:rsid w:val="00172024"/>
    <w:rsid w:val="001726F0"/>
    <w:rsid w:val="001726F3"/>
    <w:rsid w:val="00172C2C"/>
    <w:rsid w:val="001730ED"/>
    <w:rsid w:val="0017395B"/>
    <w:rsid w:val="00173C51"/>
    <w:rsid w:val="00173D00"/>
    <w:rsid w:val="00174C3B"/>
    <w:rsid w:val="00174CC2"/>
    <w:rsid w:val="00174D0E"/>
    <w:rsid w:val="001757E6"/>
    <w:rsid w:val="001763ED"/>
    <w:rsid w:val="001765C1"/>
    <w:rsid w:val="00176CC6"/>
    <w:rsid w:val="00176F61"/>
    <w:rsid w:val="001778A0"/>
    <w:rsid w:val="00177BF0"/>
    <w:rsid w:val="00180564"/>
    <w:rsid w:val="001809DB"/>
    <w:rsid w:val="00180B86"/>
    <w:rsid w:val="00181535"/>
    <w:rsid w:val="001819FB"/>
    <w:rsid w:val="00181BE4"/>
    <w:rsid w:val="00183082"/>
    <w:rsid w:val="00183216"/>
    <w:rsid w:val="0018324D"/>
    <w:rsid w:val="00183414"/>
    <w:rsid w:val="0018363C"/>
    <w:rsid w:val="00183648"/>
    <w:rsid w:val="00183871"/>
    <w:rsid w:val="00183B61"/>
    <w:rsid w:val="00183C83"/>
    <w:rsid w:val="00183EFD"/>
    <w:rsid w:val="001844F1"/>
    <w:rsid w:val="00184923"/>
    <w:rsid w:val="00185251"/>
    <w:rsid w:val="00185576"/>
    <w:rsid w:val="00185951"/>
    <w:rsid w:val="0018615F"/>
    <w:rsid w:val="00186171"/>
    <w:rsid w:val="00186200"/>
    <w:rsid w:val="001864BB"/>
    <w:rsid w:val="00186A14"/>
    <w:rsid w:val="00186F8E"/>
    <w:rsid w:val="0018787C"/>
    <w:rsid w:val="001902B8"/>
    <w:rsid w:val="001908F0"/>
    <w:rsid w:val="0019189E"/>
    <w:rsid w:val="00191C42"/>
    <w:rsid w:val="00192341"/>
    <w:rsid w:val="00193045"/>
    <w:rsid w:val="001931F4"/>
    <w:rsid w:val="0019401A"/>
    <w:rsid w:val="00194329"/>
    <w:rsid w:val="0019495B"/>
    <w:rsid w:val="00194B07"/>
    <w:rsid w:val="00195467"/>
    <w:rsid w:val="00195583"/>
    <w:rsid w:val="00195C32"/>
    <w:rsid w:val="00196335"/>
    <w:rsid w:val="0019647F"/>
    <w:rsid w:val="00196878"/>
    <w:rsid w:val="00196B8B"/>
    <w:rsid w:val="00197555"/>
    <w:rsid w:val="00197E50"/>
    <w:rsid w:val="001A0448"/>
    <w:rsid w:val="001A0741"/>
    <w:rsid w:val="001A0C4C"/>
    <w:rsid w:val="001A1983"/>
    <w:rsid w:val="001A1D26"/>
    <w:rsid w:val="001A2BEA"/>
    <w:rsid w:val="001A2ECE"/>
    <w:rsid w:val="001A3841"/>
    <w:rsid w:val="001A3CAD"/>
    <w:rsid w:val="001A426C"/>
    <w:rsid w:val="001A4C88"/>
    <w:rsid w:val="001A4EC1"/>
    <w:rsid w:val="001A4F01"/>
    <w:rsid w:val="001A53D6"/>
    <w:rsid w:val="001A5691"/>
    <w:rsid w:val="001A5B73"/>
    <w:rsid w:val="001A5F21"/>
    <w:rsid w:val="001A5F91"/>
    <w:rsid w:val="001A5F9E"/>
    <w:rsid w:val="001A6379"/>
    <w:rsid w:val="001A6BCA"/>
    <w:rsid w:val="001A6D93"/>
    <w:rsid w:val="001A6FDC"/>
    <w:rsid w:val="001A704F"/>
    <w:rsid w:val="001A7291"/>
    <w:rsid w:val="001A74F5"/>
    <w:rsid w:val="001A755F"/>
    <w:rsid w:val="001B0917"/>
    <w:rsid w:val="001B0CD4"/>
    <w:rsid w:val="001B1852"/>
    <w:rsid w:val="001B21E2"/>
    <w:rsid w:val="001B267E"/>
    <w:rsid w:val="001B2CD3"/>
    <w:rsid w:val="001B37B3"/>
    <w:rsid w:val="001B37D2"/>
    <w:rsid w:val="001B4051"/>
    <w:rsid w:val="001B417E"/>
    <w:rsid w:val="001B471F"/>
    <w:rsid w:val="001B482D"/>
    <w:rsid w:val="001B4A7D"/>
    <w:rsid w:val="001B4F3B"/>
    <w:rsid w:val="001B51AC"/>
    <w:rsid w:val="001B51F9"/>
    <w:rsid w:val="001B535F"/>
    <w:rsid w:val="001B5723"/>
    <w:rsid w:val="001B596F"/>
    <w:rsid w:val="001B5F3F"/>
    <w:rsid w:val="001B61E2"/>
    <w:rsid w:val="001B6D54"/>
    <w:rsid w:val="001B6DB1"/>
    <w:rsid w:val="001B73CE"/>
    <w:rsid w:val="001C026A"/>
    <w:rsid w:val="001C071E"/>
    <w:rsid w:val="001C0723"/>
    <w:rsid w:val="001C0B46"/>
    <w:rsid w:val="001C1101"/>
    <w:rsid w:val="001C1193"/>
    <w:rsid w:val="001C13D0"/>
    <w:rsid w:val="001C16DC"/>
    <w:rsid w:val="001C1EA4"/>
    <w:rsid w:val="001C2622"/>
    <w:rsid w:val="001C2931"/>
    <w:rsid w:val="001C2BA0"/>
    <w:rsid w:val="001C3202"/>
    <w:rsid w:val="001C32EC"/>
    <w:rsid w:val="001C370A"/>
    <w:rsid w:val="001C38BD"/>
    <w:rsid w:val="001C39F9"/>
    <w:rsid w:val="001C3A02"/>
    <w:rsid w:val="001C4178"/>
    <w:rsid w:val="001C460A"/>
    <w:rsid w:val="001C497C"/>
    <w:rsid w:val="001C4BD9"/>
    <w:rsid w:val="001C4D5A"/>
    <w:rsid w:val="001C62B2"/>
    <w:rsid w:val="001C62CA"/>
    <w:rsid w:val="001C65F8"/>
    <w:rsid w:val="001C6B11"/>
    <w:rsid w:val="001C6C6B"/>
    <w:rsid w:val="001C6E08"/>
    <w:rsid w:val="001C72DC"/>
    <w:rsid w:val="001C74E3"/>
    <w:rsid w:val="001C79C8"/>
    <w:rsid w:val="001D0434"/>
    <w:rsid w:val="001D0C79"/>
    <w:rsid w:val="001D0FDE"/>
    <w:rsid w:val="001D11F4"/>
    <w:rsid w:val="001D1272"/>
    <w:rsid w:val="001D1413"/>
    <w:rsid w:val="001D2155"/>
    <w:rsid w:val="001D28AB"/>
    <w:rsid w:val="001D2C1B"/>
    <w:rsid w:val="001D362D"/>
    <w:rsid w:val="001D3A1F"/>
    <w:rsid w:val="001D4451"/>
    <w:rsid w:val="001D46D9"/>
    <w:rsid w:val="001D4AA3"/>
    <w:rsid w:val="001D4C2D"/>
    <w:rsid w:val="001D4E41"/>
    <w:rsid w:val="001D506C"/>
    <w:rsid w:val="001D520D"/>
    <w:rsid w:val="001D55C1"/>
    <w:rsid w:val="001D56DE"/>
    <w:rsid w:val="001D5A0E"/>
    <w:rsid w:val="001D61AC"/>
    <w:rsid w:val="001D6508"/>
    <w:rsid w:val="001D65C9"/>
    <w:rsid w:val="001D6ED6"/>
    <w:rsid w:val="001D702B"/>
    <w:rsid w:val="001D7480"/>
    <w:rsid w:val="001D78D1"/>
    <w:rsid w:val="001D7A42"/>
    <w:rsid w:val="001D7BC4"/>
    <w:rsid w:val="001E0160"/>
    <w:rsid w:val="001E07C3"/>
    <w:rsid w:val="001E096E"/>
    <w:rsid w:val="001E148D"/>
    <w:rsid w:val="001E14EA"/>
    <w:rsid w:val="001E1D75"/>
    <w:rsid w:val="001E235B"/>
    <w:rsid w:val="001E2455"/>
    <w:rsid w:val="001E2807"/>
    <w:rsid w:val="001E2B74"/>
    <w:rsid w:val="001E33A1"/>
    <w:rsid w:val="001E34C6"/>
    <w:rsid w:val="001E36E6"/>
    <w:rsid w:val="001E377E"/>
    <w:rsid w:val="001E37EF"/>
    <w:rsid w:val="001E3881"/>
    <w:rsid w:val="001E4717"/>
    <w:rsid w:val="001E4B3C"/>
    <w:rsid w:val="001E4CA9"/>
    <w:rsid w:val="001E5449"/>
    <w:rsid w:val="001E5561"/>
    <w:rsid w:val="001E5581"/>
    <w:rsid w:val="001E568F"/>
    <w:rsid w:val="001E5E8F"/>
    <w:rsid w:val="001E6399"/>
    <w:rsid w:val="001E68DF"/>
    <w:rsid w:val="001E6CF2"/>
    <w:rsid w:val="001E7BAE"/>
    <w:rsid w:val="001E7E43"/>
    <w:rsid w:val="001F0A6F"/>
    <w:rsid w:val="001F16BF"/>
    <w:rsid w:val="001F1D43"/>
    <w:rsid w:val="001F23E5"/>
    <w:rsid w:val="001F288F"/>
    <w:rsid w:val="001F2BD9"/>
    <w:rsid w:val="001F2F1A"/>
    <w:rsid w:val="001F3052"/>
    <w:rsid w:val="001F34BA"/>
    <w:rsid w:val="001F3AF7"/>
    <w:rsid w:val="001F3BC2"/>
    <w:rsid w:val="001F3C70"/>
    <w:rsid w:val="001F4191"/>
    <w:rsid w:val="001F43E4"/>
    <w:rsid w:val="001F4461"/>
    <w:rsid w:val="001F4582"/>
    <w:rsid w:val="001F4B27"/>
    <w:rsid w:val="001F4BB1"/>
    <w:rsid w:val="001F4D89"/>
    <w:rsid w:val="001F5B3D"/>
    <w:rsid w:val="001F5BE7"/>
    <w:rsid w:val="001F5D0B"/>
    <w:rsid w:val="001F61C8"/>
    <w:rsid w:val="001F6855"/>
    <w:rsid w:val="001F7C36"/>
    <w:rsid w:val="001F7C95"/>
    <w:rsid w:val="002000F1"/>
    <w:rsid w:val="002005C3"/>
    <w:rsid w:val="002005E2"/>
    <w:rsid w:val="00200D88"/>
    <w:rsid w:val="002014A4"/>
    <w:rsid w:val="00201698"/>
    <w:rsid w:val="00201F68"/>
    <w:rsid w:val="0020273D"/>
    <w:rsid w:val="00202BCC"/>
    <w:rsid w:val="00202C65"/>
    <w:rsid w:val="00202D6D"/>
    <w:rsid w:val="00202FB0"/>
    <w:rsid w:val="00202FEC"/>
    <w:rsid w:val="00202FED"/>
    <w:rsid w:val="00203BFA"/>
    <w:rsid w:val="00203FB6"/>
    <w:rsid w:val="002052E5"/>
    <w:rsid w:val="00206121"/>
    <w:rsid w:val="00206BDB"/>
    <w:rsid w:val="00206C58"/>
    <w:rsid w:val="00206CED"/>
    <w:rsid w:val="00206E43"/>
    <w:rsid w:val="00207837"/>
    <w:rsid w:val="00207846"/>
    <w:rsid w:val="002102D2"/>
    <w:rsid w:val="00210B0E"/>
    <w:rsid w:val="00210C80"/>
    <w:rsid w:val="00210DB6"/>
    <w:rsid w:val="002112B5"/>
    <w:rsid w:val="00211B04"/>
    <w:rsid w:val="00211BE0"/>
    <w:rsid w:val="002126A7"/>
    <w:rsid w:val="00212E93"/>
    <w:rsid w:val="00212F2A"/>
    <w:rsid w:val="002135D5"/>
    <w:rsid w:val="002137AA"/>
    <w:rsid w:val="00213D9D"/>
    <w:rsid w:val="00213E07"/>
    <w:rsid w:val="00214426"/>
    <w:rsid w:val="00214806"/>
    <w:rsid w:val="00214965"/>
    <w:rsid w:val="00214F2B"/>
    <w:rsid w:val="00214F5F"/>
    <w:rsid w:val="00215708"/>
    <w:rsid w:val="0021596B"/>
    <w:rsid w:val="00215DDF"/>
    <w:rsid w:val="00215E6B"/>
    <w:rsid w:val="00216D59"/>
    <w:rsid w:val="00217786"/>
    <w:rsid w:val="00217880"/>
    <w:rsid w:val="00217ADD"/>
    <w:rsid w:val="00220A0D"/>
    <w:rsid w:val="002210C1"/>
    <w:rsid w:val="002211EF"/>
    <w:rsid w:val="002212EE"/>
    <w:rsid w:val="00221576"/>
    <w:rsid w:val="002215F3"/>
    <w:rsid w:val="002216A3"/>
    <w:rsid w:val="00222BA3"/>
    <w:rsid w:val="00222BE6"/>
    <w:rsid w:val="00222C03"/>
    <w:rsid w:val="00222D66"/>
    <w:rsid w:val="00222D73"/>
    <w:rsid w:val="0022304A"/>
    <w:rsid w:val="00223414"/>
    <w:rsid w:val="00223C0A"/>
    <w:rsid w:val="00223EB4"/>
    <w:rsid w:val="0022484D"/>
    <w:rsid w:val="002248E5"/>
    <w:rsid w:val="00224A8A"/>
    <w:rsid w:val="00224CDE"/>
    <w:rsid w:val="00224F97"/>
    <w:rsid w:val="002257B6"/>
    <w:rsid w:val="00226A82"/>
    <w:rsid w:val="00226E1D"/>
    <w:rsid w:val="002271A3"/>
    <w:rsid w:val="002271B6"/>
    <w:rsid w:val="00230081"/>
    <w:rsid w:val="00230313"/>
    <w:rsid w:val="002309A8"/>
    <w:rsid w:val="00231C32"/>
    <w:rsid w:val="00231DFB"/>
    <w:rsid w:val="00232109"/>
    <w:rsid w:val="00232A50"/>
    <w:rsid w:val="00232ACB"/>
    <w:rsid w:val="00232FAA"/>
    <w:rsid w:val="002342DC"/>
    <w:rsid w:val="0023464F"/>
    <w:rsid w:val="00234AF7"/>
    <w:rsid w:val="00234B19"/>
    <w:rsid w:val="00234CB1"/>
    <w:rsid w:val="002358A7"/>
    <w:rsid w:val="002360AA"/>
    <w:rsid w:val="00236227"/>
    <w:rsid w:val="002369BF"/>
    <w:rsid w:val="00236CFE"/>
    <w:rsid w:val="00236E62"/>
    <w:rsid w:val="00236F76"/>
    <w:rsid w:val="0024014B"/>
    <w:rsid w:val="0024033D"/>
    <w:rsid w:val="0024051D"/>
    <w:rsid w:val="002419EB"/>
    <w:rsid w:val="00241A14"/>
    <w:rsid w:val="00241D72"/>
    <w:rsid w:val="002428E3"/>
    <w:rsid w:val="00243031"/>
    <w:rsid w:val="00243755"/>
    <w:rsid w:val="00243AF9"/>
    <w:rsid w:val="00243CCB"/>
    <w:rsid w:val="00245B1F"/>
    <w:rsid w:val="00245BF3"/>
    <w:rsid w:val="0024614A"/>
    <w:rsid w:val="002465DC"/>
    <w:rsid w:val="0024674D"/>
    <w:rsid w:val="00246EB5"/>
    <w:rsid w:val="00247327"/>
    <w:rsid w:val="00250222"/>
    <w:rsid w:val="00250710"/>
    <w:rsid w:val="00250B29"/>
    <w:rsid w:val="00250ED2"/>
    <w:rsid w:val="0025137C"/>
    <w:rsid w:val="0025176F"/>
    <w:rsid w:val="002520A6"/>
    <w:rsid w:val="0025253E"/>
    <w:rsid w:val="00253CB2"/>
    <w:rsid w:val="00253FA0"/>
    <w:rsid w:val="002546B7"/>
    <w:rsid w:val="00254F6F"/>
    <w:rsid w:val="0025513B"/>
    <w:rsid w:val="00255156"/>
    <w:rsid w:val="0025554D"/>
    <w:rsid w:val="002558FD"/>
    <w:rsid w:val="00255CAC"/>
    <w:rsid w:val="00255E6D"/>
    <w:rsid w:val="00256F72"/>
    <w:rsid w:val="0025722F"/>
    <w:rsid w:val="00257A23"/>
    <w:rsid w:val="00260832"/>
    <w:rsid w:val="00260BAF"/>
    <w:rsid w:val="00261050"/>
    <w:rsid w:val="002610F1"/>
    <w:rsid w:val="00262245"/>
    <w:rsid w:val="00262E9E"/>
    <w:rsid w:val="0026329B"/>
    <w:rsid w:val="0026377A"/>
    <w:rsid w:val="00263CEC"/>
    <w:rsid w:val="00264E2D"/>
    <w:rsid w:val="00265008"/>
    <w:rsid w:val="0026503C"/>
    <w:rsid w:val="002650F7"/>
    <w:rsid w:val="002652BF"/>
    <w:rsid w:val="00265451"/>
    <w:rsid w:val="0026550F"/>
    <w:rsid w:val="00265A25"/>
    <w:rsid w:val="00265BF7"/>
    <w:rsid w:val="00266503"/>
    <w:rsid w:val="00266602"/>
    <w:rsid w:val="002666A9"/>
    <w:rsid w:val="002668D6"/>
    <w:rsid w:val="002668EC"/>
    <w:rsid w:val="00266D5E"/>
    <w:rsid w:val="002673AD"/>
    <w:rsid w:val="00267C24"/>
    <w:rsid w:val="00267D6B"/>
    <w:rsid w:val="00267F3C"/>
    <w:rsid w:val="00270002"/>
    <w:rsid w:val="0027045C"/>
    <w:rsid w:val="00270901"/>
    <w:rsid w:val="00270948"/>
    <w:rsid w:val="00271123"/>
    <w:rsid w:val="00271EE2"/>
    <w:rsid w:val="00272878"/>
    <w:rsid w:val="00272EF3"/>
    <w:rsid w:val="0027345B"/>
    <w:rsid w:val="002739FE"/>
    <w:rsid w:val="00273F3B"/>
    <w:rsid w:val="0027485D"/>
    <w:rsid w:val="00274DB7"/>
    <w:rsid w:val="0027503F"/>
    <w:rsid w:val="00275596"/>
    <w:rsid w:val="0027590B"/>
    <w:rsid w:val="00275984"/>
    <w:rsid w:val="002761C3"/>
    <w:rsid w:val="00276552"/>
    <w:rsid w:val="00276686"/>
    <w:rsid w:val="002772EB"/>
    <w:rsid w:val="00277378"/>
    <w:rsid w:val="0028001E"/>
    <w:rsid w:val="0028022D"/>
    <w:rsid w:val="002802C3"/>
    <w:rsid w:val="002809FB"/>
    <w:rsid w:val="00280C38"/>
    <w:rsid w:val="00280F74"/>
    <w:rsid w:val="0028129A"/>
    <w:rsid w:val="00281339"/>
    <w:rsid w:val="00282178"/>
    <w:rsid w:val="002822CA"/>
    <w:rsid w:val="002823E5"/>
    <w:rsid w:val="00282B38"/>
    <w:rsid w:val="00282F21"/>
    <w:rsid w:val="00283391"/>
    <w:rsid w:val="002833F0"/>
    <w:rsid w:val="00283DCE"/>
    <w:rsid w:val="00284F00"/>
    <w:rsid w:val="0028505D"/>
    <w:rsid w:val="00285251"/>
    <w:rsid w:val="00285CFF"/>
    <w:rsid w:val="002863B9"/>
    <w:rsid w:val="002867E8"/>
    <w:rsid w:val="00286998"/>
    <w:rsid w:val="00286A98"/>
    <w:rsid w:val="00286B17"/>
    <w:rsid w:val="002870DA"/>
    <w:rsid w:val="002871AD"/>
    <w:rsid w:val="00287E0F"/>
    <w:rsid w:val="00287F07"/>
    <w:rsid w:val="00290A8C"/>
    <w:rsid w:val="00291122"/>
    <w:rsid w:val="002916B8"/>
    <w:rsid w:val="00291987"/>
    <w:rsid w:val="00291A26"/>
    <w:rsid w:val="00291AB7"/>
    <w:rsid w:val="00292825"/>
    <w:rsid w:val="00292DE3"/>
    <w:rsid w:val="00292DF7"/>
    <w:rsid w:val="00292EB2"/>
    <w:rsid w:val="002930B5"/>
    <w:rsid w:val="0029319D"/>
    <w:rsid w:val="00293EF9"/>
    <w:rsid w:val="002940E2"/>
    <w:rsid w:val="0029422B"/>
    <w:rsid w:val="00294287"/>
    <w:rsid w:val="00294305"/>
    <w:rsid w:val="0029482E"/>
    <w:rsid w:val="00294AC3"/>
    <w:rsid w:val="002953C9"/>
    <w:rsid w:val="00295A57"/>
    <w:rsid w:val="00295BE3"/>
    <w:rsid w:val="00296054"/>
    <w:rsid w:val="00296615"/>
    <w:rsid w:val="00296B46"/>
    <w:rsid w:val="002976EB"/>
    <w:rsid w:val="00297D6C"/>
    <w:rsid w:val="002A0938"/>
    <w:rsid w:val="002A1003"/>
    <w:rsid w:val="002A167E"/>
    <w:rsid w:val="002A1787"/>
    <w:rsid w:val="002A2245"/>
    <w:rsid w:val="002A2813"/>
    <w:rsid w:val="002A3266"/>
    <w:rsid w:val="002A3CD0"/>
    <w:rsid w:val="002A3DBC"/>
    <w:rsid w:val="002A4582"/>
    <w:rsid w:val="002A4735"/>
    <w:rsid w:val="002A6514"/>
    <w:rsid w:val="002A6701"/>
    <w:rsid w:val="002A6868"/>
    <w:rsid w:val="002A6BD1"/>
    <w:rsid w:val="002A721F"/>
    <w:rsid w:val="002B0AF8"/>
    <w:rsid w:val="002B0CAB"/>
    <w:rsid w:val="002B1307"/>
    <w:rsid w:val="002B13BD"/>
    <w:rsid w:val="002B153C"/>
    <w:rsid w:val="002B15BF"/>
    <w:rsid w:val="002B16B5"/>
    <w:rsid w:val="002B18C9"/>
    <w:rsid w:val="002B1917"/>
    <w:rsid w:val="002B1E51"/>
    <w:rsid w:val="002B2046"/>
    <w:rsid w:val="002B2100"/>
    <w:rsid w:val="002B2A92"/>
    <w:rsid w:val="002B30C8"/>
    <w:rsid w:val="002B46D6"/>
    <w:rsid w:val="002B4825"/>
    <w:rsid w:val="002B48FC"/>
    <w:rsid w:val="002B4B73"/>
    <w:rsid w:val="002B52FC"/>
    <w:rsid w:val="002B5639"/>
    <w:rsid w:val="002B5C21"/>
    <w:rsid w:val="002B5F5C"/>
    <w:rsid w:val="002B6783"/>
    <w:rsid w:val="002B6B8D"/>
    <w:rsid w:val="002B712D"/>
    <w:rsid w:val="002B744E"/>
    <w:rsid w:val="002B754A"/>
    <w:rsid w:val="002B7721"/>
    <w:rsid w:val="002B7B53"/>
    <w:rsid w:val="002B7FEA"/>
    <w:rsid w:val="002C016B"/>
    <w:rsid w:val="002C0733"/>
    <w:rsid w:val="002C08D9"/>
    <w:rsid w:val="002C09E4"/>
    <w:rsid w:val="002C0CFA"/>
    <w:rsid w:val="002C0F16"/>
    <w:rsid w:val="002C14E1"/>
    <w:rsid w:val="002C1729"/>
    <w:rsid w:val="002C176F"/>
    <w:rsid w:val="002C1817"/>
    <w:rsid w:val="002C1A5F"/>
    <w:rsid w:val="002C25FC"/>
    <w:rsid w:val="002C2830"/>
    <w:rsid w:val="002C2C3C"/>
    <w:rsid w:val="002C2E4E"/>
    <w:rsid w:val="002C32E8"/>
    <w:rsid w:val="002C352D"/>
    <w:rsid w:val="002C355F"/>
    <w:rsid w:val="002C359D"/>
    <w:rsid w:val="002C3D45"/>
    <w:rsid w:val="002C3FD2"/>
    <w:rsid w:val="002C410C"/>
    <w:rsid w:val="002C416F"/>
    <w:rsid w:val="002C440B"/>
    <w:rsid w:val="002C4587"/>
    <w:rsid w:val="002C4CE8"/>
    <w:rsid w:val="002C4DB0"/>
    <w:rsid w:val="002C5300"/>
    <w:rsid w:val="002C5C04"/>
    <w:rsid w:val="002C62D3"/>
    <w:rsid w:val="002C65C4"/>
    <w:rsid w:val="002C6895"/>
    <w:rsid w:val="002C69C2"/>
    <w:rsid w:val="002C6B13"/>
    <w:rsid w:val="002C6B47"/>
    <w:rsid w:val="002C73E3"/>
    <w:rsid w:val="002D001A"/>
    <w:rsid w:val="002D05DF"/>
    <w:rsid w:val="002D129A"/>
    <w:rsid w:val="002D1A22"/>
    <w:rsid w:val="002D1F61"/>
    <w:rsid w:val="002D21BB"/>
    <w:rsid w:val="002D2751"/>
    <w:rsid w:val="002D28E2"/>
    <w:rsid w:val="002D2A37"/>
    <w:rsid w:val="002D317B"/>
    <w:rsid w:val="002D31B7"/>
    <w:rsid w:val="002D3476"/>
    <w:rsid w:val="002D3587"/>
    <w:rsid w:val="002D42DE"/>
    <w:rsid w:val="002D4A2A"/>
    <w:rsid w:val="002D502D"/>
    <w:rsid w:val="002D5133"/>
    <w:rsid w:val="002D5520"/>
    <w:rsid w:val="002D6041"/>
    <w:rsid w:val="002D66EF"/>
    <w:rsid w:val="002D6A43"/>
    <w:rsid w:val="002D6EE9"/>
    <w:rsid w:val="002D6F7F"/>
    <w:rsid w:val="002D7372"/>
    <w:rsid w:val="002D7BDE"/>
    <w:rsid w:val="002E031D"/>
    <w:rsid w:val="002E0F69"/>
    <w:rsid w:val="002E134E"/>
    <w:rsid w:val="002E1695"/>
    <w:rsid w:val="002E1F8A"/>
    <w:rsid w:val="002E2548"/>
    <w:rsid w:val="002E25CC"/>
    <w:rsid w:val="002E29DB"/>
    <w:rsid w:val="002E2EF7"/>
    <w:rsid w:val="002E2F27"/>
    <w:rsid w:val="002E331D"/>
    <w:rsid w:val="002E3B5C"/>
    <w:rsid w:val="002E3F94"/>
    <w:rsid w:val="002E4696"/>
    <w:rsid w:val="002E4FA5"/>
    <w:rsid w:val="002E52A1"/>
    <w:rsid w:val="002E52A8"/>
    <w:rsid w:val="002E5461"/>
    <w:rsid w:val="002E57C3"/>
    <w:rsid w:val="002E5954"/>
    <w:rsid w:val="002E6334"/>
    <w:rsid w:val="002E63A0"/>
    <w:rsid w:val="002E65BA"/>
    <w:rsid w:val="002E758F"/>
    <w:rsid w:val="002E7A6D"/>
    <w:rsid w:val="002F0498"/>
    <w:rsid w:val="002F1B72"/>
    <w:rsid w:val="002F1DE2"/>
    <w:rsid w:val="002F1E8D"/>
    <w:rsid w:val="002F22A1"/>
    <w:rsid w:val="002F2665"/>
    <w:rsid w:val="002F26D3"/>
    <w:rsid w:val="002F2A35"/>
    <w:rsid w:val="002F2C61"/>
    <w:rsid w:val="002F42D1"/>
    <w:rsid w:val="002F43D9"/>
    <w:rsid w:val="002F46E4"/>
    <w:rsid w:val="002F4A4D"/>
    <w:rsid w:val="002F5147"/>
    <w:rsid w:val="002F5CEF"/>
    <w:rsid w:val="002F6A08"/>
    <w:rsid w:val="002F6C7F"/>
    <w:rsid w:val="002F6D28"/>
    <w:rsid w:val="002F74CC"/>
    <w:rsid w:val="002F752E"/>
    <w:rsid w:val="002F794E"/>
    <w:rsid w:val="002F7ABD"/>
    <w:rsid w:val="002F7D78"/>
    <w:rsid w:val="00300869"/>
    <w:rsid w:val="00301163"/>
    <w:rsid w:val="00301CCF"/>
    <w:rsid w:val="00301F2F"/>
    <w:rsid w:val="00302054"/>
    <w:rsid w:val="003021DA"/>
    <w:rsid w:val="00302A6C"/>
    <w:rsid w:val="00302BD2"/>
    <w:rsid w:val="00302D88"/>
    <w:rsid w:val="00303389"/>
    <w:rsid w:val="00303B7C"/>
    <w:rsid w:val="0030402E"/>
    <w:rsid w:val="0030423C"/>
    <w:rsid w:val="00304877"/>
    <w:rsid w:val="00304AC1"/>
    <w:rsid w:val="00304D9D"/>
    <w:rsid w:val="00304E06"/>
    <w:rsid w:val="00305025"/>
    <w:rsid w:val="00305226"/>
    <w:rsid w:val="003053D7"/>
    <w:rsid w:val="0030626C"/>
    <w:rsid w:val="0030658D"/>
    <w:rsid w:val="003067E4"/>
    <w:rsid w:val="003069C1"/>
    <w:rsid w:val="003069CC"/>
    <w:rsid w:val="00307112"/>
    <w:rsid w:val="003077A7"/>
    <w:rsid w:val="00307AE6"/>
    <w:rsid w:val="003101E1"/>
    <w:rsid w:val="003104AE"/>
    <w:rsid w:val="00310912"/>
    <w:rsid w:val="00310B84"/>
    <w:rsid w:val="00310BCE"/>
    <w:rsid w:val="003114D8"/>
    <w:rsid w:val="00312597"/>
    <w:rsid w:val="00312800"/>
    <w:rsid w:val="003128ED"/>
    <w:rsid w:val="0031295D"/>
    <w:rsid w:val="00312A4C"/>
    <w:rsid w:val="00312D24"/>
    <w:rsid w:val="0031312B"/>
    <w:rsid w:val="003136EC"/>
    <w:rsid w:val="00313B4E"/>
    <w:rsid w:val="00314C2C"/>
    <w:rsid w:val="003153B1"/>
    <w:rsid w:val="0031564B"/>
    <w:rsid w:val="00315BA7"/>
    <w:rsid w:val="0031623A"/>
    <w:rsid w:val="003162F3"/>
    <w:rsid w:val="00316A21"/>
    <w:rsid w:val="00316ADA"/>
    <w:rsid w:val="00316F1D"/>
    <w:rsid w:val="00317107"/>
    <w:rsid w:val="00317461"/>
    <w:rsid w:val="00317BDF"/>
    <w:rsid w:val="003205F1"/>
    <w:rsid w:val="00321456"/>
    <w:rsid w:val="00321E0A"/>
    <w:rsid w:val="00321ED9"/>
    <w:rsid w:val="00321F97"/>
    <w:rsid w:val="0032248D"/>
    <w:rsid w:val="003225AF"/>
    <w:rsid w:val="00322940"/>
    <w:rsid w:val="00323600"/>
    <w:rsid w:val="00323A97"/>
    <w:rsid w:val="00323CF5"/>
    <w:rsid w:val="00323ED1"/>
    <w:rsid w:val="0032492D"/>
    <w:rsid w:val="003249B9"/>
    <w:rsid w:val="00324FCB"/>
    <w:rsid w:val="00325568"/>
    <w:rsid w:val="00326268"/>
    <w:rsid w:val="00326BF7"/>
    <w:rsid w:val="00326D78"/>
    <w:rsid w:val="00327302"/>
    <w:rsid w:val="003278E6"/>
    <w:rsid w:val="00327BA5"/>
    <w:rsid w:val="00330CC5"/>
    <w:rsid w:val="00330D9D"/>
    <w:rsid w:val="00330F12"/>
    <w:rsid w:val="0033190A"/>
    <w:rsid w:val="00331F9E"/>
    <w:rsid w:val="00332539"/>
    <w:rsid w:val="003326E2"/>
    <w:rsid w:val="00332D36"/>
    <w:rsid w:val="0033326F"/>
    <w:rsid w:val="003333A5"/>
    <w:rsid w:val="0033385E"/>
    <w:rsid w:val="00333D54"/>
    <w:rsid w:val="00334154"/>
    <w:rsid w:val="00334D36"/>
    <w:rsid w:val="003354A7"/>
    <w:rsid w:val="0033580C"/>
    <w:rsid w:val="00335A19"/>
    <w:rsid w:val="00336971"/>
    <w:rsid w:val="00336F40"/>
    <w:rsid w:val="003372C4"/>
    <w:rsid w:val="003373A6"/>
    <w:rsid w:val="0033755C"/>
    <w:rsid w:val="00337E9E"/>
    <w:rsid w:val="003408E8"/>
    <w:rsid w:val="00340BB8"/>
    <w:rsid w:val="00340ECA"/>
    <w:rsid w:val="003413E4"/>
    <w:rsid w:val="00341B80"/>
    <w:rsid w:val="00341FA0"/>
    <w:rsid w:val="00342023"/>
    <w:rsid w:val="0034231C"/>
    <w:rsid w:val="00343ACA"/>
    <w:rsid w:val="00343BE4"/>
    <w:rsid w:val="00343CD5"/>
    <w:rsid w:val="00343DAF"/>
    <w:rsid w:val="0034407F"/>
    <w:rsid w:val="0034410E"/>
    <w:rsid w:val="003445F2"/>
    <w:rsid w:val="003447CC"/>
    <w:rsid w:val="003447DE"/>
    <w:rsid w:val="003448AF"/>
    <w:rsid w:val="00344F3D"/>
    <w:rsid w:val="00345299"/>
    <w:rsid w:val="00345368"/>
    <w:rsid w:val="00345724"/>
    <w:rsid w:val="003459D5"/>
    <w:rsid w:val="003460EC"/>
    <w:rsid w:val="00346589"/>
    <w:rsid w:val="00346792"/>
    <w:rsid w:val="00346EF5"/>
    <w:rsid w:val="0034720A"/>
    <w:rsid w:val="00347942"/>
    <w:rsid w:val="00347FB9"/>
    <w:rsid w:val="003503CF"/>
    <w:rsid w:val="00350BCB"/>
    <w:rsid w:val="00350D6D"/>
    <w:rsid w:val="003513B2"/>
    <w:rsid w:val="003517A9"/>
    <w:rsid w:val="00351891"/>
    <w:rsid w:val="00351A89"/>
    <w:rsid w:val="00351A8D"/>
    <w:rsid w:val="00351F23"/>
    <w:rsid w:val="00352036"/>
    <w:rsid w:val="003526BB"/>
    <w:rsid w:val="00352B54"/>
    <w:rsid w:val="00352BCF"/>
    <w:rsid w:val="00352DFB"/>
    <w:rsid w:val="00352EC1"/>
    <w:rsid w:val="00353060"/>
    <w:rsid w:val="0035358A"/>
    <w:rsid w:val="00353932"/>
    <w:rsid w:val="00353A78"/>
    <w:rsid w:val="00353B15"/>
    <w:rsid w:val="00353F45"/>
    <w:rsid w:val="00353F4F"/>
    <w:rsid w:val="0035422F"/>
    <w:rsid w:val="0035464B"/>
    <w:rsid w:val="00354736"/>
    <w:rsid w:val="003553F1"/>
    <w:rsid w:val="00355A86"/>
    <w:rsid w:val="0035692D"/>
    <w:rsid w:val="00356A1F"/>
    <w:rsid w:val="00356DCE"/>
    <w:rsid w:val="00357263"/>
    <w:rsid w:val="00357746"/>
    <w:rsid w:val="00357974"/>
    <w:rsid w:val="00357CFF"/>
    <w:rsid w:val="00357F42"/>
    <w:rsid w:val="00361A56"/>
    <w:rsid w:val="00361BAB"/>
    <w:rsid w:val="00361DCA"/>
    <w:rsid w:val="003623D2"/>
    <w:rsid w:val="0036252A"/>
    <w:rsid w:val="00362D28"/>
    <w:rsid w:val="003634FF"/>
    <w:rsid w:val="00363B48"/>
    <w:rsid w:val="0036441B"/>
    <w:rsid w:val="00364B02"/>
    <w:rsid w:val="00364D9D"/>
    <w:rsid w:val="00365266"/>
    <w:rsid w:val="00365768"/>
    <w:rsid w:val="00365E5D"/>
    <w:rsid w:val="00366A36"/>
    <w:rsid w:val="00366EB9"/>
    <w:rsid w:val="00366F40"/>
    <w:rsid w:val="003670E2"/>
    <w:rsid w:val="003676B7"/>
    <w:rsid w:val="00367BF8"/>
    <w:rsid w:val="00367EFF"/>
    <w:rsid w:val="00370068"/>
    <w:rsid w:val="00370145"/>
    <w:rsid w:val="003706B7"/>
    <w:rsid w:val="00370D56"/>
    <w:rsid w:val="00370F75"/>
    <w:rsid w:val="00371048"/>
    <w:rsid w:val="0037130F"/>
    <w:rsid w:val="003729AA"/>
    <w:rsid w:val="0037396C"/>
    <w:rsid w:val="00373ABF"/>
    <w:rsid w:val="0037421D"/>
    <w:rsid w:val="003749C0"/>
    <w:rsid w:val="00375154"/>
    <w:rsid w:val="003755EB"/>
    <w:rsid w:val="0037584F"/>
    <w:rsid w:val="00375AA1"/>
    <w:rsid w:val="00375B9C"/>
    <w:rsid w:val="00376093"/>
    <w:rsid w:val="00376743"/>
    <w:rsid w:val="00376AC1"/>
    <w:rsid w:val="0037704E"/>
    <w:rsid w:val="003779BE"/>
    <w:rsid w:val="00377A79"/>
    <w:rsid w:val="00377B3B"/>
    <w:rsid w:val="00380197"/>
    <w:rsid w:val="0038047D"/>
    <w:rsid w:val="00380888"/>
    <w:rsid w:val="00380AAB"/>
    <w:rsid w:val="00380F94"/>
    <w:rsid w:val="003817DE"/>
    <w:rsid w:val="003818FD"/>
    <w:rsid w:val="00381B09"/>
    <w:rsid w:val="00382789"/>
    <w:rsid w:val="00382B71"/>
    <w:rsid w:val="00382D81"/>
    <w:rsid w:val="00383606"/>
    <w:rsid w:val="00383DA1"/>
    <w:rsid w:val="00383F3A"/>
    <w:rsid w:val="0038428B"/>
    <w:rsid w:val="003842DB"/>
    <w:rsid w:val="00384870"/>
    <w:rsid w:val="00384CDD"/>
    <w:rsid w:val="00384F90"/>
    <w:rsid w:val="003853B6"/>
    <w:rsid w:val="00385CCE"/>
    <w:rsid w:val="00385DC6"/>
    <w:rsid w:val="00385F30"/>
    <w:rsid w:val="00386152"/>
    <w:rsid w:val="003866A1"/>
    <w:rsid w:val="00386CA7"/>
    <w:rsid w:val="00387185"/>
    <w:rsid w:val="003874BD"/>
    <w:rsid w:val="003878B5"/>
    <w:rsid w:val="00387CF3"/>
    <w:rsid w:val="003901F0"/>
    <w:rsid w:val="003902DE"/>
    <w:rsid w:val="0039046F"/>
    <w:rsid w:val="0039048E"/>
    <w:rsid w:val="00390AF5"/>
    <w:rsid w:val="00390EA9"/>
    <w:rsid w:val="00390EE3"/>
    <w:rsid w:val="0039102B"/>
    <w:rsid w:val="003911A3"/>
    <w:rsid w:val="003915A2"/>
    <w:rsid w:val="0039182E"/>
    <w:rsid w:val="00391F0A"/>
    <w:rsid w:val="00392B52"/>
    <w:rsid w:val="00392CE7"/>
    <w:rsid w:val="00392F77"/>
    <w:rsid w:val="00393696"/>
    <w:rsid w:val="00393963"/>
    <w:rsid w:val="0039412B"/>
    <w:rsid w:val="003950B2"/>
    <w:rsid w:val="00395110"/>
    <w:rsid w:val="0039514B"/>
    <w:rsid w:val="003951E9"/>
    <w:rsid w:val="00395575"/>
    <w:rsid w:val="00395672"/>
    <w:rsid w:val="003956E7"/>
    <w:rsid w:val="00395D9B"/>
    <w:rsid w:val="003960BC"/>
    <w:rsid w:val="0039615B"/>
    <w:rsid w:val="003966BF"/>
    <w:rsid w:val="00396A8F"/>
    <w:rsid w:val="00396C02"/>
    <w:rsid w:val="00397305"/>
    <w:rsid w:val="00397C73"/>
    <w:rsid w:val="003A06C8"/>
    <w:rsid w:val="003A0830"/>
    <w:rsid w:val="003A0D5B"/>
    <w:rsid w:val="003A0D7C"/>
    <w:rsid w:val="003A11F9"/>
    <w:rsid w:val="003A1C59"/>
    <w:rsid w:val="003A2CDA"/>
    <w:rsid w:val="003A2E4C"/>
    <w:rsid w:val="003A3105"/>
    <w:rsid w:val="003A3276"/>
    <w:rsid w:val="003A3EBA"/>
    <w:rsid w:val="003A3ECD"/>
    <w:rsid w:val="003A47F5"/>
    <w:rsid w:val="003A4FA3"/>
    <w:rsid w:val="003A5290"/>
    <w:rsid w:val="003A53E9"/>
    <w:rsid w:val="003A6038"/>
    <w:rsid w:val="003A6365"/>
    <w:rsid w:val="003A649D"/>
    <w:rsid w:val="003A64CD"/>
    <w:rsid w:val="003A67B4"/>
    <w:rsid w:val="003A6CC5"/>
    <w:rsid w:val="003A7161"/>
    <w:rsid w:val="003A7406"/>
    <w:rsid w:val="003A7C54"/>
    <w:rsid w:val="003B0155"/>
    <w:rsid w:val="003B0C20"/>
    <w:rsid w:val="003B14FA"/>
    <w:rsid w:val="003B191C"/>
    <w:rsid w:val="003B1AA3"/>
    <w:rsid w:val="003B1DAE"/>
    <w:rsid w:val="003B26D4"/>
    <w:rsid w:val="003B2706"/>
    <w:rsid w:val="003B2AE6"/>
    <w:rsid w:val="003B318E"/>
    <w:rsid w:val="003B3A3B"/>
    <w:rsid w:val="003B4189"/>
    <w:rsid w:val="003B4E48"/>
    <w:rsid w:val="003B5111"/>
    <w:rsid w:val="003B5781"/>
    <w:rsid w:val="003B5D6F"/>
    <w:rsid w:val="003B5F30"/>
    <w:rsid w:val="003B61CD"/>
    <w:rsid w:val="003B6BD6"/>
    <w:rsid w:val="003B6D4A"/>
    <w:rsid w:val="003B75D0"/>
    <w:rsid w:val="003B7EE7"/>
    <w:rsid w:val="003C10D5"/>
    <w:rsid w:val="003C11CC"/>
    <w:rsid w:val="003C14F6"/>
    <w:rsid w:val="003C184B"/>
    <w:rsid w:val="003C18B0"/>
    <w:rsid w:val="003C195E"/>
    <w:rsid w:val="003C1EBC"/>
    <w:rsid w:val="003C2B7B"/>
    <w:rsid w:val="003C2BB0"/>
    <w:rsid w:val="003C2CCB"/>
    <w:rsid w:val="003C32EF"/>
    <w:rsid w:val="003C3736"/>
    <w:rsid w:val="003C40DA"/>
    <w:rsid w:val="003C44A6"/>
    <w:rsid w:val="003C46E0"/>
    <w:rsid w:val="003C4F81"/>
    <w:rsid w:val="003C5975"/>
    <w:rsid w:val="003C5FE5"/>
    <w:rsid w:val="003C72CA"/>
    <w:rsid w:val="003C770F"/>
    <w:rsid w:val="003C7D9B"/>
    <w:rsid w:val="003D14D5"/>
    <w:rsid w:val="003D30D2"/>
    <w:rsid w:val="003D39C5"/>
    <w:rsid w:val="003D39EC"/>
    <w:rsid w:val="003D4BF4"/>
    <w:rsid w:val="003D4C83"/>
    <w:rsid w:val="003D5436"/>
    <w:rsid w:val="003D58DA"/>
    <w:rsid w:val="003D5DED"/>
    <w:rsid w:val="003D6506"/>
    <w:rsid w:val="003D68B6"/>
    <w:rsid w:val="003D7636"/>
    <w:rsid w:val="003D77F4"/>
    <w:rsid w:val="003D7A2B"/>
    <w:rsid w:val="003D7E01"/>
    <w:rsid w:val="003D7F41"/>
    <w:rsid w:val="003E039B"/>
    <w:rsid w:val="003E0714"/>
    <w:rsid w:val="003E1AE9"/>
    <w:rsid w:val="003E2794"/>
    <w:rsid w:val="003E28C8"/>
    <w:rsid w:val="003E3179"/>
    <w:rsid w:val="003E3285"/>
    <w:rsid w:val="003E3B9D"/>
    <w:rsid w:val="003E3DD5"/>
    <w:rsid w:val="003E4620"/>
    <w:rsid w:val="003E4C09"/>
    <w:rsid w:val="003E4CC5"/>
    <w:rsid w:val="003E5119"/>
    <w:rsid w:val="003E5A99"/>
    <w:rsid w:val="003E6651"/>
    <w:rsid w:val="003E6EBD"/>
    <w:rsid w:val="003E7993"/>
    <w:rsid w:val="003E7DD7"/>
    <w:rsid w:val="003F07C6"/>
    <w:rsid w:val="003F091F"/>
    <w:rsid w:val="003F1045"/>
    <w:rsid w:val="003F1093"/>
    <w:rsid w:val="003F1DF2"/>
    <w:rsid w:val="003F1F6B"/>
    <w:rsid w:val="003F221D"/>
    <w:rsid w:val="003F2615"/>
    <w:rsid w:val="003F26B4"/>
    <w:rsid w:val="003F29DA"/>
    <w:rsid w:val="003F2D62"/>
    <w:rsid w:val="003F310B"/>
    <w:rsid w:val="003F3196"/>
    <w:rsid w:val="003F3296"/>
    <w:rsid w:val="003F34C1"/>
    <w:rsid w:val="003F3757"/>
    <w:rsid w:val="003F38BD"/>
    <w:rsid w:val="003F44B7"/>
    <w:rsid w:val="003F44D4"/>
    <w:rsid w:val="003F529E"/>
    <w:rsid w:val="003F5844"/>
    <w:rsid w:val="003F598D"/>
    <w:rsid w:val="003F5B51"/>
    <w:rsid w:val="003F5B52"/>
    <w:rsid w:val="003F6297"/>
    <w:rsid w:val="003F62B7"/>
    <w:rsid w:val="003F6DCC"/>
    <w:rsid w:val="003F6E33"/>
    <w:rsid w:val="003F7109"/>
    <w:rsid w:val="003F76A2"/>
    <w:rsid w:val="003F788E"/>
    <w:rsid w:val="003F7B2F"/>
    <w:rsid w:val="003F7CD8"/>
    <w:rsid w:val="00400053"/>
    <w:rsid w:val="00400101"/>
    <w:rsid w:val="00400341"/>
    <w:rsid w:val="0040066E"/>
    <w:rsid w:val="004008E9"/>
    <w:rsid w:val="00400B01"/>
    <w:rsid w:val="00400E62"/>
    <w:rsid w:val="0040108B"/>
    <w:rsid w:val="004019BC"/>
    <w:rsid w:val="00401B7D"/>
    <w:rsid w:val="004023D9"/>
    <w:rsid w:val="004026B2"/>
    <w:rsid w:val="0040290C"/>
    <w:rsid w:val="004031C2"/>
    <w:rsid w:val="0040338A"/>
    <w:rsid w:val="00403569"/>
    <w:rsid w:val="00403BE1"/>
    <w:rsid w:val="00403E25"/>
    <w:rsid w:val="004041B0"/>
    <w:rsid w:val="004049EF"/>
    <w:rsid w:val="00404BED"/>
    <w:rsid w:val="00404E84"/>
    <w:rsid w:val="00404E8B"/>
    <w:rsid w:val="00405030"/>
    <w:rsid w:val="00405093"/>
    <w:rsid w:val="004051AA"/>
    <w:rsid w:val="004052DA"/>
    <w:rsid w:val="00405CB7"/>
    <w:rsid w:val="0040605B"/>
    <w:rsid w:val="00406146"/>
    <w:rsid w:val="0040733C"/>
    <w:rsid w:val="00407775"/>
    <w:rsid w:val="004077C3"/>
    <w:rsid w:val="004079EC"/>
    <w:rsid w:val="00410816"/>
    <w:rsid w:val="0041100B"/>
    <w:rsid w:val="0041144C"/>
    <w:rsid w:val="004114DE"/>
    <w:rsid w:val="00411BEC"/>
    <w:rsid w:val="004129D0"/>
    <w:rsid w:val="00412E3C"/>
    <w:rsid w:val="004138A5"/>
    <w:rsid w:val="00413D48"/>
    <w:rsid w:val="004145FA"/>
    <w:rsid w:val="0041484C"/>
    <w:rsid w:val="00414E66"/>
    <w:rsid w:val="0041572B"/>
    <w:rsid w:val="00415B69"/>
    <w:rsid w:val="00415B83"/>
    <w:rsid w:val="00415C67"/>
    <w:rsid w:val="004163AE"/>
    <w:rsid w:val="0041662D"/>
    <w:rsid w:val="004166A8"/>
    <w:rsid w:val="004168D3"/>
    <w:rsid w:val="00417174"/>
    <w:rsid w:val="0041794D"/>
    <w:rsid w:val="00420058"/>
    <w:rsid w:val="00420259"/>
    <w:rsid w:val="0042056B"/>
    <w:rsid w:val="00420666"/>
    <w:rsid w:val="00420F23"/>
    <w:rsid w:val="00421020"/>
    <w:rsid w:val="004216F9"/>
    <w:rsid w:val="00421A75"/>
    <w:rsid w:val="00421E35"/>
    <w:rsid w:val="004231A5"/>
    <w:rsid w:val="0042347E"/>
    <w:rsid w:val="00423718"/>
    <w:rsid w:val="004238C6"/>
    <w:rsid w:val="004247C2"/>
    <w:rsid w:val="00425209"/>
    <w:rsid w:val="00425334"/>
    <w:rsid w:val="00425513"/>
    <w:rsid w:val="00425B02"/>
    <w:rsid w:val="00425FC8"/>
    <w:rsid w:val="004264E5"/>
    <w:rsid w:val="00426943"/>
    <w:rsid w:val="00426BDE"/>
    <w:rsid w:val="00426E1D"/>
    <w:rsid w:val="0042713F"/>
    <w:rsid w:val="00430199"/>
    <w:rsid w:val="00430243"/>
    <w:rsid w:val="0043059D"/>
    <w:rsid w:val="00430831"/>
    <w:rsid w:val="00430C4F"/>
    <w:rsid w:val="00431341"/>
    <w:rsid w:val="00431F82"/>
    <w:rsid w:val="00432158"/>
    <w:rsid w:val="00433845"/>
    <w:rsid w:val="00433B12"/>
    <w:rsid w:val="00433C51"/>
    <w:rsid w:val="00434237"/>
    <w:rsid w:val="0043451B"/>
    <w:rsid w:val="00434520"/>
    <w:rsid w:val="00435111"/>
    <w:rsid w:val="004353E2"/>
    <w:rsid w:val="0043560E"/>
    <w:rsid w:val="0043567E"/>
    <w:rsid w:val="004357C2"/>
    <w:rsid w:val="00435884"/>
    <w:rsid w:val="00435BD5"/>
    <w:rsid w:val="00436E60"/>
    <w:rsid w:val="004370A1"/>
    <w:rsid w:val="00437414"/>
    <w:rsid w:val="00437589"/>
    <w:rsid w:val="00440E48"/>
    <w:rsid w:val="0044108A"/>
    <w:rsid w:val="00441504"/>
    <w:rsid w:val="00441651"/>
    <w:rsid w:val="0044166D"/>
    <w:rsid w:val="00441AC2"/>
    <w:rsid w:val="00442110"/>
    <w:rsid w:val="0044249B"/>
    <w:rsid w:val="004425CC"/>
    <w:rsid w:val="004427C2"/>
    <w:rsid w:val="004428CD"/>
    <w:rsid w:val="00442DEE"/>
    <w:rsid w:val="004430C9"/>
    <w:rsid w:val="00443357"/>
    <w:rsid w:val="004433EE"/>
    <w:rsid w:val="0044393D"/>
    <w:rsid w:val="00443EB9"/>
    <w:rsid w:val="004440CC"/>
    <w:rsid w:val="004443E6"/>
    <w:rsid w:val="0044470E"/>
    <w:rsid w:val="0044490C"/>
    <w:rsid w:val="00444AAD"/>
    <w:rsid w:val="00444C9F"/>
    <w:rsid w:val="00445308"/>
    <w:rsid w:val="00445B5C"/>
    <w:rsid w:val="004462C8"/>
    <w:rsid w:val="00447094"/>
    <w:rsid w:val="00447671"/>
    <w:rsid w:val="00447ABD"/>
    <w:rsid w:val="00447FAE"/>
    <w:rsid w:val="00450043"/>
    <w:rsid w:val="0045008D"/>
    <w:rsid w:val="0045023C"/>
    <w:rsid w:val="004508F2"/>
    <w:rsid w:val="00450C97"/>
    <w:rsid w:val="0045120D"/>
    <w:rsid w:val="00451795"/>
    <w:rsid w:val="0045190F"/>
    <w:rsid w:val="00451A5B"/>
    <w:rsid w:val="00451F72"/>
    <w:rsid w:val="00452507"/>
    <w:rsid w:val="004526F1"/>
    <w:rsid w:val="00452BCD"/>
    <w:rsid w:val="00452CEA"/>
    <w:rsid w:val="00452EE3"/>
    <w:rsid w:val="00453316"/>
    <w:rsid w:val="00453713"/>
    <w:rsid w:val="00453B31"/>
    <w:rsid w:val="00453ECB"/>
    <w:rsid w:val="0045426F"/>
    <w:rsid w:val="004542B8"/>
    <w:rsid w:val="00454AC6"/>
    <w:rsid w:val="004550D3"/>
    <w:rsid w:val="0045590C"/>
    <w:rsid w:val="00455BE7"/>
    <w:rsid w:val="00455D96"/>
    <w:rsid w:val="004567CC"/>
    <w:rsid w:val="00456A5C"/>
    <w:rsid w:val="004578EB"/>
    <w:rsid w:val="00457CA4"/>
    <w:rsid w:val="00457FFD"/>
    <w:rsid w:val="00461264"/>
    <w:rsid w:val="00461627"/>
    <w:rsid w:val="00461C37"/>
    <w:rsid w:val="00461E48"/>
    <w:rsid w:val="00461E4A"/>
    <w:rsid w:val="004629E0"/>
    <w:rsid w:val="00462FB1"/>
    <w:rsid w:val="00462FCB"/>
    <w:rsid w:val="00463016"/>
    <w:rsid w:val="004631F4"/>
    <w:rsid w:val="00464A25"/>
    <w:rsid w:val="00465057"/>
    <w:rsid w:val="004653A0"/>
    <w:rsid w:val="00465B52"/>
    <w:rsid w:val="004664FB"/>
    <w:rsid w:val="004665CF"/>
    <w:rsid w:val="00466896"/>
    <w:rsid w:val="0046697A"/>
    <w:rsid w:val="0046708E"/>
    <w:rsid w:val="0046738D"/>
    <w:rsid w:val="00467AB4"/>
    <w:rsid w:val="00467D84"/>
    <w:rsid w:val="004710B0"/>
    <w:rsid w:val="004715EE"/>
    <w:rsid w:val="004717F8"/>
    <w:rsid w:val="004728BA"/>
    <w:rsid w:val="00472A65"/>
    <w:rsid w:val="00472E72"/>
    <w:rsid w:val="00473451"/>
    <w:rsid w:val="00473574"/>
    <w:rsid w:val="004737AF"/>
    <w:rsid w:val="00473B1F"/>
    <w:rsid w:val="00473D53"/>
    <w:rsid w:val="00473EEE"/>
    <w:rsid w:val="00474367"/>
    <w:rsid w:val="00474463"/>
    <w:rsid w:val="00474735"/>
    <w:rsid w:val="0047492D"/>
    <w:rsid w:val="00474B75"/>
    <w:rsid w:val="00474C1B"/>
    <w:rsid w:val="004755C3"/>
    <w:rsid w:val="00475D6B"/>
    <w:rsid w:val="00475DE6"/>
    <w:rsid w:val="00476072"/>
    <w:rsid w:val="00476F1D"/>
    <w:rsid w:val="00477346"/>
    <w:rsid w:val="00480302"/>
    <w:rsid w:val="00480BC0"/>
    <w:rsid w:val="00480BDF"/>
    <w:rsid w:val="00481ADE"/>
    <w:rsid w:val="00482102"/>
    <w:rsid w:val="0048375E"/>
    <w:rsid w:val="004837F9"/>
    <w:rsid w:val="004839CD"/>
    <w:rsid w:val="00483F0B"/>
    <w:rsid w:val="00483F29"/>
    <w:rsid w:val="004850DE"/>
    <w:rsid w:val="004852FE"/>
    <w:rsid w:val="00485500"/>
    <w:rsid w:val="00485E93"/>
    <w:rsid w:val="00485FD2"/>
    <w:rsid w:val="00486920"/>
    <w:rsid w:val="00486FAD"/>
    <w:rsid w:val="0048743E"/>
    <w:rsid w:val="00487669"/>
    <w:rsid w:val="00487AE0"/>
    <w:rsid w:val="00487BDA"/>
    <w:rsid w:val="00487D0F"/>
    <w:rsid w:val="00487D50"/>
    <w:rsid w:val="004901BE"/>
    <w:rsid w:val="004911EF"/>
    <w:rsid w:val="004914BE"/>
    <w:rsid w:val="0049209F"/>
    <w:rsid w:val="004927BA"/>
    <w:rsid w:val="00493074"/>
    <w:rsid w:val="004932B9"/>
    <w:rsid w:val="00493B4F"/>
    <w:rsid w:val="00493B79"/>
    <w:rsid w:val="00494524"/>
    <w:rsid w:val="0049454A"/>
    <w:rsid w:val="00494A35"/>
    <w:rsid w:val="00494AFC"/>
    <w:rsid w:val="00494C0E"/>
    <w:rsid w:val="00495117"/>
    <w:rsid w:val="00495525"/>
    <w:rsid w:val="004960F2"/>
    <w:rsid w:val="00496319"/>
    <w:rsid w:val="004963ED"/>
    <w:rsid w:val="00496BFE"/>
    <w:rsid w:val="00496F5E"/>
    <w:rsid w:val="00497279"/>
    <w:rsid w:val="00497330"/>
    <w:rsid w:val="00497696"/>
    <w:rsid w:val="00497901"/>
    <w:rsid w:val="00497B39"/>
    <w:rsid w:val="004A0F92"/>
    <w:rsid w:val="004A1010"/>
    <w:rsid w:val="004A1456"/>
    <w:rsid w:val="004A163B"/>
    <w:rsid w:val="004A1A3B"/>
    <w:rsid w:val="004A1D0A"/>
    <w:rsid w:val="004A2DA0"/>
    <w:rsid w:val="004A3057"/>
    <w:rsid w:val="004A312C"/>
    <w:rsid w:val="004A3951"/>
    <w:rsid w:val="004A471B"/>
    <w:rsid w:val="004A476E"/>
    <w:rsid w:val="004A499F"/>
    <w:rsid w:val="004A5012"/>
    <w:rsid w:val="004A5D1D"/>
    <w:rsid w:val="004A670A"/>
    <w:rsid w:val="004A6F1D"/>
    <w:rsid w:val="004A70FE"/>
    <w:rsid w:val="004A7756"/>
    <w:rsid w:val="004A78DA"/>
    <w:rsid w:val="004B00DD"/>
    <w:rsid w:val="004B0D2F"/>
    <w:rsid w:val="004B0E22"/>
    <w:rsid w:val="004B18EC"/>
    <w:rsid w:val="004B1C48"/>
    <w:rsid w:val="004B24E7"/>
    <w:rsid w:val="004B3202"/>
    <w:rsid w:val="004B361E"/>
    <w:rsid w:val="004B3A07"/>
    <w:rsid w:val="004B43AD"/>
    <w:rsid w:val="004B5103"/>
    <w:rsid w:val="004B512F"/>
    <w:rsid w:val="004B5208"/>
    <w:rsid w:val="004B5465"/>
    <w:rsid w:val="004B5A7A"/>
    <w:rsid w:val="004B5CF3"/>
    <w:rsid w:val="004B62EE"/>
    <w:rsid w:val="004B70F0"/>
    <w:rsid w:val="004C1504"/>
    <w:rsid w:val="004C155A"/>
    <w:rsid w:val="004C1651"/>
    <w:rsid w:val="004C21A8"/>
    <w:rsid w:val="004C2350"/>
    <w:rsid w:val="004C2F9B"/>
    <w:rsid w:val="004C2FAD"/>
    <w:rsid w:val="004C3CE4"/>
    <w:rsid w:val="004C3D31"/>
    <w:rsid w:val="004C3EDF"/>
    <w:rsid w:val="004C4400"/>
    <w:rsid w:val="004C4DC4"/>
    <w:rsid w:val="004C5396"/>
    <w:rsid w:val="004C56B7"/>
    <w:rsid w:val="004C57D2"/>
    <w:rsid w:val="004C5BA1"/>
    <w:rsid w:val="004C613B"/>
    <w:rsid w:val="004C63AB"/>
    <w:rsid w:val="004C68A8"/>
    <w:rsid w:val="004C6964"/>
    <w:rsid w:val="004C69F4"/>
    <w:rsid w:val="004C6ADA"/>
    <w:rsid w:val="004C6E25"/>
    <w:rsid w:val="004C72C8"/>
    <w:rsid w:val="004C73B9"/>
    <w:rsid w:val="004C7403"/>
    <w:rsid w:val="004C7546"/>
    <w:rsid w:val="004C7810"/>
    <w:rsid w:val="004D0484"/>
    <w:rsid w:val="004D080B"/>
    <w:rsid w:val="004D0A1D"/>
    <w:rsid w:val="004D14E0"/>
    <w:rsid w:val="004D1757"/>
    <w:rsid w:val="004D1AA2"/>
    <w:rsid w:val="004D21AA"/>
    <w:rsid w:val="004D294E"/>
    <w:rsid w:val="004D3275"/>
    <w:rsid w:val="004D3758"/>
    <w:rsid w:val="004D38FC"/>
    <w:rsid w:val="004D3A10"/>
    <w:rsid w:val="004D3CC3"/>
    <w:rsid w:val="004D3EDE"/>
    <w:rsid w:val="004D4134"/>
    <w:rsid w:val="004D43E7"/>
    <w:rsid w:val="004D4680"/>
    <w:rsid w:val="004D49EE"/>
    <w:rsid w:val="004D4F85"/>
    <w:rsid w:val="004D505E"/>
    <w:rsid w:val="004D5B9F"/>
    <w:rsid w:val="004D5F6B"/>
    <w:rsid w:val="004D601C"/>
    <w:rsid w:val="004D64B0"/>
    <w:rsid w:val="004D6563"/>
    <w:rsid w:val="004D6EF0"/>
    <w:rsid w:val="004D6F32"/>
    <w:rsid w:val="004D72CA"/>
    <w:rsid w:val="004D7C86"/>
    <w:rsid w:val="004D7FA4"/>
    <w:rsid w:val="004D7FF1"/>
    <w:rsid w:val="004E05C0"/>
    <w:rsid w:val="004E0F29"/>
    <w:rsid w:val="004E1E1A"/>
    <w:rsid w:val="004E2242"/>
    <w:rsid w:val="004E2B91"/>
    <w:rsid w:val="004E2D7C"/>
    <w:rsid w:val="004E35D3"/>
    <w:rsid w:val="004E377C"/>
    <w:rsid w:val="004E3C0E"/>
    <w:rsid w:val="004E3CC3"/>
    <w:rsid w:val="004E3F05"/>
    <w:rsid w:val="004E3F63"/>
    <w:rsid w:val="004E40BD"/>
    <w:rsid w:val="004E4631"/>
    <w:rsid w:val="004E4F2F"/>
    <w:rsid w:val="004E4FA8"/>
    <w:rsid w:val="004E505E"/>
    <w:rsid w:val="004E55B0"/>
    <w:rsid w:val="004E5971"/>
    <w:rsid w:val="004E671C"/>
    <w:rsid w:val="004E6FB0"/>
    <w:rsid w:val="004E77F5"/>
    <w:rsid w:val="004E7AE3"/>
    <w:rsid w:val="004E7EFF"/>
    <w:rsid w:val="004F0162"/>
    <w:rsid w:val="004F0806"/>
    <w:rsid w:val="004F0FDF"/>
    <w:rsid w:val="004F13EF"/>
    <w:rsid w:val="004F17BE"/>
    <w:rsid w:val="004F2104"/>
    <w:rsid w:val="004F22C1"/>
    <w:rsid w:val="004F2708"/>
    <w:rsid w:val="004F27DC"/>
    <w:rsid w:val="004F28B1"/>
    <w:rsid w:val="004F28F9"/>
    <w:rsid w:val="004F345D"/>
    <w:rsid w:val="004F35DE"/>
    <w:rsid w:val="004F40D3"/>
    <w:rsid w:val="004F42FF"/>
    <w:rsid w:val="004F44C2"/>
    <w:rsid w:val="004F482F"/>
    <w:rsid w:val="004F4A51"/>
    <w:rsid w:val="004F4C02"/>
    <w:rsid w:val="004F53E1"/>
    <w:rsid w:val="004F5AE3"/>
    <w:rsid w:val="004F5EAD"/>
    <w:rsid w:val="004F687D"/>
    <w:rsid w:val="004F6DA7"/>
    <w:rsid w:val="004F6DC3"/>
    <w:rsid w:val="004F71DE"/>
    <w:rsid w:val="00501287"/>
    <w:rsid w:val="00501543"/>
    <w:rsid w:val="00501C50"/>
    <w:rsid w:val="00501C74"/>
    <w:rsid w:val="00501F33"/>
    <w:rsid w:val="00502047"/>
    <w:rsid w:val="00502512"/>
    <w:rsid w:val="00502716"/>
    <w:rsid w:val="00503C3D"/>
    <w:rsid w:val="00503D53"/>
    <w:rsid w:val="00503FD2"/>
    <w:rsid w:val="005040A7"/>
    <w:rsid w:val="005048A5"/>
    <w:rsid w:val="00504BB7"/>
    <w:rsid w:val="005050DF"/>
    <w:rsid w:val="0050512F"/>
    <w:rsid w:val="00505168"/>
    <w:rsid w:val="00505262"/>
    <w:rsid w:val="0050540B"/>
    <w:rsid w:val="00505BF9"/>
    <w:rsid w:val="00505C93"/>
    <w:rsid w:val="00505CE5"/>
    <w:rsid w:val="00505CFF"/>
    <w:rsid w:val="00506273"/>
    <w:rsid w:val="00506A8D"/>
    <w:rsid w:val="00506B05"/>
    <w:rsid w:val="00506C65"/>
    <w:rsid w:val="00506F95"/>
    <w:rsid w:val="0050711C"/>
    <w:rsid w:val="005077A6"/>
    <w:rsid w:val="005077FF"/>
    <w:rsid w:val="00507D0E"/>
    <w:rsid w:val="0051014F"/>
    <w:rsid w:val="00510260"/>
    <w:rsid w:val="00510A92"/>
    <w:rsid w:val="00510E3E"/>
    <w:rsid w:val="00511230"/>
    <w:rsid w:val="0051140E"/>
    <w:rsid w:val="00511C9F"/>
    <w:rsid w:val="00511E6B"/>
    <w:rsid w:val="0051206E"/>
    <w:rsid w:val="00512481"/>
    <w:rsid w:val="0051278A"/>
    <w:rsid w:val="00512EE5"/>
    <w:rsid w:val="0051331B"/>
    <w:rsid w:val="00513A7C"/>
    <w:rsid w:val="00513D83"/>
    <w:rsid w:val="00515162"/>
    <w:rsid w:val="005151FE"/>
    <w:rsid w:val="005152EA"/>
    <w:rsid w:val="005159B9"/>
    <w:rsid w:val="00515BF1"/>
    <w:rsid w:val="00516022"/>
    <w:rsid w:val="00516ADF"/>
    <w:rsid w:val="005177A9"/>
    <w:rsid w:val="005202C9"/>
    <w:rsid w:val="00520580"/>
    <w:rsid w:val="005207D8"/>
    <w:rsid w:val="00521548"/>
    <w:rsid w:val="00521CEE"/>
    <w:rsid w:val="00522180"/>
    <w:rsid w:val="00522318"/>
    <w:rsid w:val="0052241C"/>
    <w:rsid w:val="00522AA8"/>
    <w:rsid w:val="00522D6C"/>
    <w:rsid w:val="00522DB6"/>
    <w:rsid w:val="00523634"/>
    <w:rsid w:val="00523FB3"/>
    <w:rsid w:val="005241DA"/>
    <w:rsid w:val="00524FB4"/>
    <w:rsid w:val="005250F1"/>
    <w:rsid w:val="0052521F"/>
    <w:rsid w:val="00525404"/>
    <w:rsid w:val="00525A54"/>
    <w:rsid w:val="00525CA4"/>
    <w:rsid w:val="005260DE"/>
    <w:rsid w:val="005265DB"/>
    <w:rsid w:val="00526862"/>
    <w:rsid w:val="005268F1"/>
    <w:rsid w:val="00527105"/>
    <w:rsid w:val="00527BD4"/>
    <w:rsid w:val="005300D9"/>
    <w:rsid w:val="0053010E"/>
    <w:rsid w:val="00530801"/>
    <w:rsid w:val="005313B2"/>
    <w:rsid w:val="005327F8"/>
    <w:rsid w:val="005330E6"/>
    <w:rsid w:val="005330FF"/>
    <w:rsid w:val="00533781"/>
    <w:rsid w:val="00534256"/>
    <w:rsid w:val="005346F4"/>
    <w:rsid w:val="00534A03"/>
    <w:rsid w:val="00534B85"/>
    <w:rsid w:val="00535D04"/>
    <w:rsid w:val="00536FFA"/>
    <w:rsid w:val="00537095"/>
    <w:rsid w:val="0053714E"/>
    <w:rsid w:val="0053721C"/>
    <w:rsid w:val="00537444"/>
    <w:rsid w:val="00540196"/>
    <w:rsid w:val="005403B1"/>
    <w:rsid w:val="005403C8"/>
    <w:rsid w:val="00540540"/>
    <w:rsid w:val="00540673"/>
    <w:rsid w:val="0054071F"/>
    <w:rsid w:val="00540C2E"/>
    <w:rsid w:val="00541C43"/>
    <w:rsid w:val="0054241B"/>
    <w:rsid w:val="00542760"/>
    <w:rsid w:val="0054295C"/>
    <w:rsid w:val="005429DC"/>
    <w:rsid w:val="00542C0C"/>
    <w:rsid w:val="00543941"/>
    <w:rsid w:val="00543997"/>
    <w:rsid w:val="00543F53"/>
    <w:rsid w:val="00544B57"/>
    <w:rsid w:val="00544DA3"/>
    <w:rsid w:val="005455EA"/>
    <w:rsid w:val="005457B2"/>
    <w:rsid w:val="00545960"/>
    <w:rsid w:val="00545D97"/>
    <w:rsid w:val="005461DA"/>
    <w:rsid w:val="005467F9"/>
    <w:rsid w:val="00546D6B"/>
    <w:rsid w:val="00546E02"/>
    <w:rsid w:val="00547191"/>
    <w:rsid w:val="00547382"/>
    <w:rsid w:val="005474C1"/>
    <w:rsid w:val="00550B76"/>
    <w:rsid w:val="00550CFD"/>
    <w:rsid w:val="00551373"/>
    <w:rsid w:val="0055210B"/>
    <w:rsid w:val="0055268A"/>
    <w:rsid w:val="00552AF9"/>
    <w:rsid w:val="00552D71"/>
    <w:rsid w:val="0055336E"/>
    <w:rsid w:val="0055365F"/>
    <w:rsid w:val="00553F25"/>
    <w:rsid w:val="0055429B"/>
    <w:rsid w:val="005544DC"/>
    <w:rsid w:val="00554519"/>
    <w:rsid w:val="0055451D"/>
    <w:rsid w:val="0055458E"/>
    <w:rsid w:val="005556A2"/>
    <w:rsid w:val="0055594D"/>
    <w:rsid w:val="00555F34"/>
    <w:rsid w:val="00556244"/>
    <w:rsid w:val="005565F9"/>
    <w:rsid w:val="00556A77"/>
    <w:rsid w:val="005572AD"/>
    <w:rsid w:val="005573B0"/>
    <w:rsid w:val="005573D3"/>
    <w:rsid w:val="005575B4"/>
    <w:rsid w:val="00557E03"/>
    <w:rsid w:val="00557E84"/>
    <w:rsid w:val="005600EB"/>
    <w:rsid w:val="00560C65"/>
    <w:rsid w:val="00560FD4"/>
    <w:rsid w:val="0056137D"/>
    <w:rsid w:val="00561F0A"/>
    <w:rsid w:val="00562E86"/>
    <w:rsid w:val="005632CA"/>
    <w:rsid w:val="00563322"/>
    <w:rsid w:val="0056359D"/>
    <w:rsid w:val="005649B2"/>
    <w:rsid w:val="00564AE7"/>
    <w:rsid w:val="00565991"/>
    <w:rsid w:val="00565D59"/>
    <w:rsid w:val="00566994"/>
    <w:rsid w:val="00566B19"/>
    <w:rsid w:val="00566B20"/>
    <w:rsid w:val="00566DEE"/>
    <w:rsid w:val="00566EFC"/>
    <w:rsid w:val="00567239"/>
    <w:rsid w:val="00567334"/>
    <w:rsid w:val="00570A40"/>
    <w:rsid w:val="00570C70"/>
    <w:rsid w:val="00570F42"/>
    <w:rsid w:val="0057131C"/>
    <w:rsid w:val="00571582"/>
    <w:rsid w:val="00571D05"/>
    <w:rsid w:val="00571DA9"/>
    <w:rsid w:val="00572036"/>
    <w:rsid w:val="00572ED4"/>
    <w:rsid w:val="00573041"/>
    <w:rsid w:val="00573193"/>
    <w:rsid w:val="0057319A"/>
    <w:rsid w:val="00573665"/>
    <w:rsid w:val="005743B4"/>
    <w:rsid w:val="00574837"/>
    <w:rsid w:val="00574A5D"/>
    <w:rsid w:val="005750FF"/>
    <w:rsid w:val="0057515E"/>
    <w:rsid w:val="00575178"/>
    <w:rsid w:val="00575B80"/>
    <w:rsid w:val="00575D9A"/>
    <w:rsid w:val="00575DFF"/>
    <w:rsid w:val="0057606A"/>
    <w:rsid w:val="00576138"/>
    <w:rsid w:val="0057620F"/>
    <w:rsid w:val="00576574"/>
    <w:rsid w:val="005765E2"/>
    <w:rsid w:val="00576CDA"/>
    <w:rsid w:val="005770A6"/>
    <w:rsid w:val="005770D4"/>
    <w:rsid w:val="00577121"/>
    <w:rsid w:val="00580F2A"/>
    <w:rsid w:val="0058115D"/>
    <w:rsid w:val="005819CE"/>
    <w:rsid w:val="00582091"/>
    <w:rsid w:val="005826F5"/>
    <w:rsid w:val="0058298D"/>
    <w:rsid w:val="005829E1"/>
    <w:rsid w:val="00583BF4"/>
    <w:rsid w:val="0058403A"/>
    <w:rsid w:val="0058404F"/>
    <w:rsid w:val="005842EA"/>
    <w:rsid w:val="00584412"/>
    <w:rsid w:val="0058466C"/>
    <w:rsid w:val="00584B65"/>
    <w:rsid w:val="00584C1A"/>
    <w:rsid w:val="00584EC8"/>
    <w:rsid w:val="005856B2"/>
    <w:rsid w:val="005859CB"/>
    <w:rsid w:val="0058625C"/>
    <w:rsid w:val="005866A2"/>
    <w:rsid w:val="00586780"/>
    <w:rsid w:val="00586A40"/>
    <w:rsid w:val="00586BC1"/>
    <w:rsid w:val="00587C3E"/>
    <w:rsid w:val="00587C60"/>
    <w:rsid w:val="00587E73"/>
    <w:rsid w:val="005902E0"/>
    <w:rsid w:val="005907CC"/>
    <w:rsid w:val="00590FEB"/>
    <w:rsid w:val="0059104D"/>
    <w:rsid w:val="00591467"/>
    <w:rsid w:val="00591530"/>
    <w:rsid w:val="005916B1"/>
    <w:rsid w:val="00591B7C"/>
    <w:rsid w:val="00591DE5"/>
    <w:rsid w:val="00591E13"/>
    <w:rsid w:val="005920A2"/>
    <w:rsid w:val="005920EB"/>
    <w:rsid w:val="005923EB"/>
    <w:rsid w:val="00592C59"/>
    <w:rsid w:val="00593259"/>
    <w:rsid w:val="00593440"/>
    <w:rsid w:val="005939E2"/>
    <w:rsid w:val="00593C2B"/>
    <w:rsid w:val="00594E7F"/>
    <w:rsid w:val="00595231"/>
    <w:rsid w:val="00595354"/>
    <w:rsid w:val="00596166"/>
    <w:rsid w:val="00596ADD"/>
    <w:rsid w:val="00596EB3"/>
    <w:rsid w:val="005970A0"/>
    <w:rsid w:val="0059780C"/>
    <w:rsid w:val="00597F64"/>
    <w:rsid w:val="005A004C"/>
    <w:rsid w:val="005A04F6"/>
    <w:rsid w:val="005A0843"/>
    <w:rsid w:val="005A0AA4"/>
    <w:rsid w:val="005A0CD0"/>
    <w:rsid w:val="005A1EA1"/>
    <w:rsid w:val="005A207F"/>
    <w:rsid w:val="005A2091"/>
    <w:rsid w:val="005A2C90"/>
    <w:rsid w:val="005A2F35"/>
    <w:rsid w:val="005A3075"/>
    <w:rsid w:val="005A379E"/>
    <w:rsid w:val="005A3A69"/>
    <w:rsid w:val="005A4463"/>
    <w:rsid w:val="005A4B30"/>
    <w:rsid w:val="005A4CB2"/>
    <w:rsid w:val="005A55D1"/>
    <w:rsid w:val="005A55EB"/>
    <w:rsid w:val="005A5A66"/>
    <w:rsid w:val="005A62AC"/>
    <w:rsid w:val="005A63B2"/>
    <w:rsid w:val="005A6756"/>
    <w:rsid w:val="005A6F76"/>
    <w:rsid w:val="005A7292"/>
    <w:rsid w:val="005A74B3"/>
    <w:rsid w:val="005A7623"/>
    <w:rsid w:val="005A781D"/>
    <w:rsid w:val="005A7A42"/>
    <w:rsid w:val="005A7A7B"/>
    <w:rsid w:val="005A7CD3"/>
    <w:rsid w:val="005B0140"/>
    <w:rsid w:val="005B0C4F"/>
    <w:rsid w:val="005B1062"/>
    <w:rsid w:val="005B13E5"/>
    <w:rsid w:val="005B17FB"/>
    <w:rsid w:val="005B198C"/>
    <w:rsid w:val="005B19D1"/>
    <w:rsid w:val="005B1D6A"/>
    <w:rsid w:val="005B1FB5"/>
    <w:rsid w:val="005B235C"/>
    <w:rsid w:val="005B2492"/>
    <w:rsid w:val="005B301C"/>
    <w:rsid w:val="005B316B"/>
    <w:rsid w:val="005B34D0"/>
    <w:rsid w:val="005B3814"/>
    <w:rsid w:val="005B3DAF"/>
    <w:rsid w:val="005B40B1"/>
    <w:rsid w:val="005B417E"/>
    <w:rsid w:val="005B4269"/>
    <w:rsid w:val="005B42C5"/>
    <w:rsid w:val="005B4463"/>
    <w:rsid w:val="005B463E"/>
    <w:rsid w:val="005B59D2"/>
    <w:rsid w:val="005B638F"/>
    <w:rsid w:val="005B63DA"/>
    <w:rsid w:val="005B64FC"/>
    <w:rsid w:val="005B7A91"/>
    <w:rsid w:val="005B7B52"/>
    <w:rsid w:val="005B7CBC"/>
    <w:rsid w:val="005C037E"/>
    <w:rsid w:val="005C04A4"/>
    <w:rsid w:val="005C0A75"/>
    <w:rsid w:val="005C0C79"/>
    <w:rsid w:val="005C1013"/>
    <w:rsid w:val="005C225F"/>
    <w:rsid w:val="005C28D2"/>
    <w:rsid w:val="005C34E1"/>
    <w:rsid w:val="005C380D"/>
    <w:rsid w:val="005C39C6"/>
    <w:rsid w:val="005C3E72"/>
    <w:rsid w:val="005C3FE0"/>
    <w:rsid w:val="005C4512"/>
    <w:rsid w:val="005C528E"/>
    <w:rsid w:val="005C536C"/>
    <w:rsid w:val="005C5759"/>
    <w:rsid w:val="005C582C"/>
    <w:rsid w:val="005C634B"/>
    <w:rsid w:val="005C66FA"/>
    <w:rsid w:val="005C67D2"/>
    <w:rsid w:val="005C6D93"/>
    <w:rsid w:val="005C740C"/>
    <w:rsid w:val="005C7F94"/>
    <w:rsid w:val="005D0762"/>
    <w:rsid w:val="005D0B2D"/>
    <w:rsid w:val="005D1DB2"/>
    <w:rsid w:val="005D1F0C"/>
    <w:rsid w:val="005D1F68"/>
    <w:rsid w:val="005D2100"/>
    <w:rsid w:val="005D28D5"/>
    <w:rsid w:val="005D2AE0"/>
    <w:rsid w:val="005D3AEC"/>
    <w:rsid w:val="005D4452"/>
    <w:rsid w:val="005D49B4"/>
    <w:rsid w:val="005D4B08"/>
    <w:rsid w:val="005D4B1E"/>
    <w:rsid w:val="005D552F"/>
    <w:rsid w:val="005D561F"/>
    <w:rsid w:val="005D5BC8"/>
    <w:rsid w:val="005D5CAA"/>
    <w:rsid w:val="005D5F77"/>
    <w:rsid w:val="005D625B"/>
    <w:rsid w:val="005D6C5B"/>
    <w:rsid w:val="005D6FBD"/>
    <w:rsid w:val="005D7149"/>
    <w:rsid w:val="005D72AB"/>
    <w:rsid w:val="005D7D79"/>
    <w:rsid w:val="005D7E9B"/>
    <w:rsid w:val="005D7F71"/>
    <w:rsid w:val="005E01BA"/>
    <w:rsid w:val="005E01FF"/>
    <w:rsid w:val="005E044D"/>
    <w:rsid w:val="005E09DF"/>
    <w:rsid w:val="005E0BDB"/>
    <w:rsid w:val="005E13D6"/>
    <w:rsid w:val="005E1D5C"/>
    <w:rsid w:val="005E2509"/>
    <w:rsid w:val="005E2631"/>
    <w:rsid w:val="005E27EE"/>
    <w:rsid w:val="005E2DA6"/>
    <w:rsid w:val="005E2E80"/>
    <w:rsid w:val="005E304F"/>
    <w:rsid w:val="005E5D46"/>
    <w:rsid w:val="005E5DFF"/>
    <w:rsid w:val="005E5E95"/>
    <w:rsid w:val="005E6611"/>
    <w:rsid w:val="005E66BA"/>
    <w:rsid w:val="005E677F"/>
    <w:rsid w:val="005E69E6"/>
    <w:rsid w:val="005E7169"/>
    <w:rsid w:val="005E72A6"/>
    <w:rsid w:val="005E7365"/>
    <w:rsid w:val="005E73E1"/>
    <w:rsid w:val="005E7788"/>
    <w:rsid w:val="005E7FC4"/>
    <w:rsid w:val="005F01D2"/>
    <w:rsid w:val="005F0281"/>
    <w:rsid w:val="005F09BE"/>
    <w:rsid w:val="005F0BCA"/>
    <w:rsid w:val="005F0F20"/>
    <w:rsid w:val="005F14BB"/>
    <w:rsid w:val="005F1588"/>
    <w:rsid w:val="005F247E"/>
    <w:rsid w:val="005F27FC"/>
    <w:rsid w:val="005F2ABF"/>
    <w:rsid w:val="005F2DB6"/>
    <w:rsid w:val="005F3467"/>
    <w:rsid w:val="005F37C9"/>
    <w:rsid w:val="005F3984"/>
    <w:rsid w:val="005F3D5B"/>
    <w:rsid w:val="005F3D62"/>
    <w:rsid w:val="005F4BFF"/>
    <w:rsid w:val="005F4DBD"/>
    <w:rsid w:val="005F4FE3"/>
    <w:rsid w:val="005F537F"/>
    <w:rsid w:val="005F54F9"/>
    <w:rsid w:val="005F5E38"/>
    <w:rsid w:val="005F62D3"/>
    <w:rsid w:val="005F654B"/>
    <w:rsid w:val="005F6C79"/>
    <w:rsid w:val="005F6D11"/>
    <w:rsid w:val="005F71D6"/>
    <w:rsid w:val="005F7212"/>
    <w:rsid w:val="005F7322"/>
    <w:rsid w:val="005F7CD1"/>
    <w:rsid w:val="006005EA"/>
    <w:rsid w:val="006005FA"/>
    <w:rsid w:val="006009A2"/>
    <w:rsid w:val="00600A0B"/>
    <w:rsid w:val="00600CF0"/>
    <w:rsid w:val="0060111E"/>
    <w:rsid w:val="006011AC"/>
    <w:rsid w:val="00601D67"/>
    <w:rsid w:val="00601DFA"/>
    <w:rsid w:val="00602225"/>
    <w:rsid w:val="0060348F"/>
    <w:rsid w:val="00603505"/>
    <w:rsid w:val="00603571"/>
    <w:rsid w:val="006035CF"/>
    <w:rsid w:val="00603CA9"/>
    <w:rsid w:val="006048F4"/>
    <w:rsid w:val="006050AE"/>
    <w:rsid w:val="00605ACB"/>
    <w:rsid w:val="00606393"/>
    <w:rsid w:val="0060660A"/>
    <w:rsid w:val="006066CF"/>
    <w:rsid w:val="006068D6"/>
    <w:rsid w:val="00606ACC"/>
    <w:rsid w:val="00606C4E"/>
    <w:rsid w:val="00606EAB"/>
    <w:rsid w:val="00607949"/>
    <w:rsid w:val="00607A02"/>
    <w:rsid w:val="00607B36"/>
    <w:rsid w:val="00607E10"/>
    <w:rsid w:val="00607EBB"/>
    <w:rsid w:val="00607F46"/>
    <w:rsid w:val="00607FBD"/>
    <w:rsid w:val="00610410"/>
    <w:rsid w:val="0061044F"/>
    <w:rsid w:val="0061070D"/>
    <w:rsid w:val="006109E5"/>
    <w:rsid w:val="00610AD0"/>
    <w:rsid w:val="006113BA"/>
    <w:rsid w:val="006113D8"/>
    <w:rsid w:val="0061292F"/>
    <w:rsid w:val="00612D7A"/>
    <w:rsid w:val="0061321F"/>
    <w:rsid w:val="0061379C"/>
    <w:rsid w:val="006138F6"/>
    <w:rsid w:val="00613AD2"/>
    <w:rsid w:val="00613B1D"/>
    <w:rsid w:val="00614146"/>
    <w:rsid w:val="0061455F"/>
    <w:rsid w:val="00614773"/>
    <w:rsid w:val="006147B1"/>
    <w:rsid w:val="00614E83"/>
    <w:rsid w:val="00616E1F"/>
    <w:rsid w:val="0061779A"/>
    <w:rsid w:val="0061787F"/>
    <w:rsid w:val="00617A44"/>
    <w:rsid w:val="00617D34"/>
    <w:rsid w:val="006202B6"/>
    <w:rsid w:val="00621A84"/>
    <w:rsid w:val="00622758"/>
    <w:rsid w:val="0062281E"/>
    <w:rsid w:val="00622BB9"/>
    <w:rsid w:val="00622EF8"/>
    <w:rsid w:val="00623046"/>
    <w:rsid w:val="00623AF1"/>
    <w:rsid w:val="0062401C"/>
    <w:rsid w:val="006241A9"/>
    <w:rsid w:val="00624276"/>
    <w:rsid w:val="00624849"/>
    <w:rsid w:val="006248C1"/>
    <w:rsid w:val="00624C4C"/>
    <w:rsid w:val="006252DD"/>
    <w:rsid w:val="00625600"/>
    <w:rsid w:val="00625CD0"/>
    <w:rsid w:val="0062627D"/>
    <w:rsid w:val="006263ED"/>
    <w:rsid w:val="0062644C"/>
    <w:rsid w:val="006265CD"/>
    <w:rsid w:val="00626D79"/>
    <w:rsid w:val="00627432"/>
    <w:rsid w:val="006300BF"/>
    <w:rsid w:val="00630533"/>
    <w:rsid w:val="00630546"/>
    <w:rsid w:val="00630582"/>
    <w:rsid w:val="00630D39"/>
    <w:rsid w:val="006312ED"/>
    <w:rsid w:val="00631ED3"/>
    <w:rsid w:val="00631FBE"/>
    <w:rsid w:val="00632263"/>
    <w:rsid w:val="006328AE"/>
    <w:rsid w:val="00634A97"/>
    <w:rsid w:val="0063559C"/>
    <w:rsid w:val="00635EC4"/>
    <w:rsid w:val="0063646C"/>
    <w:rsid w:val="00640A78"/>
    <w:rsid w:val="00640FD6"/>
    <w:rsid w:val="0064107F"/>
    <w:rsid w:val="0064154C"/>
    <w:rsid w:val="0064187B"/>
    <w:rsid w:val="00641C98"/>
    <w:rsid w:val="00641D75"/>
    <w:rsid w:val="00642347"/>
    <w:rsid w:val="006423DD"/>
    <w:rsid w:val="00642AD2"/>
    <w:rsid w:val="00642E59"/>
    <w:rsid w:val="006431E1"/>
    <w:rsid w:val="00643794"/>
    <w:rsid w:val="00643BE9"/>
    <w:rsid w:val="00643C6A"/>
    <w:rsid w:val="00643CBD"/>
    <w:rsid w:val="00643DE3"/>
    <w:rsid w:val="00643FAA"/>
    <w:rsid w:val="00644480"/>
    <w:rsid w:val="00644841"/>
    <w:rsid w:val="006448E4"/>
    <w:rsid w:val="00644A35"/>
    <w:rsid w:val="00645414"/>
    <w:rsid w:val="00646F47"/>
    <w:rsid w:val="00646F73"/>
    <w:rsid w:val="00647DED"/>
    <w:rsid w:val="0065033A"/>
    <w:rsid w:val="006503D2"/>
    <w:rsid w:val="006512EF"/>
    <w:rsid w:val="00651CEE"/>
    <w:rsid w:val="00652197"/>
    <w:rsid w:val="0065246E"/>
    <w:rsid w:val="0065283D"/>
    <w:rsid w:val="00652AA8"/>
    <w:rsid w:val="00652B01"/>
    <w:rsid w:val="0065333B"/>
    <w:rsid w:val="00653606"/>
    <w:rsid w:val="00653651"/>
    <w:rsid w:val="006544F7"/>
    <w:rsid w:val="00654F72"/>
    <w:rsid w:val="00655DE6"/>
    <w:rsid w:val="00655E4F"/>
    <w:rsid w:val="00656389"/>
    <w:rsid w:val="00656AD3"/>
    <w:rsid w:val="0065716E"/>
    <w:rsid w:val="00657616"/>
    <w:rsid w:val="006602B6"/>
    <w:rsid w:val="00660672"/>
    <w:rsid w:val="00660682"/>
    <w:rsid w:val="00660690"/>
    <w:rsid w:val="00660C62"/>
    <w:rsid w:val="006610E9"/>
    <w:rsid w:val="00661559"/>
    <w:rsid w:val="00661591"/>
    <w:rsid w:val="00661C5F"/>
    <w:rsid w:val="00662250"/>
    <w:rsid w:val="006623D8"/>
    <w:rsid w:val="0066264A"/>
    <w:rsid w:val="006629EC"/>
    <w:rsid w:val="00662F47"/>
    <w:rsid w:val="00663879"/>
    <w:rsid w:val="006638F5"/>
    <w:rsid w:val="00663948"/>
    <w:rsid w:val="00663953"/>
    <w:rsid w:val="00664079"/>
    <w:rsid w:val="0066425A"/>
    <w:rsid w:val="00664678"/>
    <w:rsid w:val="00665F7A"/>
    <w:rsid w:val="0066632F"/>
    <w:rsid w:val="00666802"/>
    <w:rsid w:val="006668CB"/>
    <w:rsid w:val="006675D7"/>
    <w:rsid w:val="00667936"/>
    <w:rsid w:val="00667DF4"/>
    <w:rsid w:val="006709DE"/>
    <w:rsid w:val="00670B48"/>
    <w:rsid w:val="00670D6E"/>
    <w:rsid w:val="00671434"/>
    <w:rsid w:val="0067163A"/>
    <w:rsid w:val="00671DD6"/>
    <w:rsid w:val="00671E95"/>
    <w:rsid w:val="006721D8"/>
    <w:rsid w:val="0067238B"/>
    <w:rsid w:val="006724D9"/>
    <w:rsid w:val="006724F4"/>
    <w:rsid w:val="00672C6E"/>
    <w:rsid w:val="00672EE4"/>
    <w:rsid w:val="00673606"/>
    <w:rsid w:val="00673679"/>
    <w:rsid w:val="006736D3"/>
    <w:rsid w:val="00673760"/>
    <w:rsid w:val="0067378A"/>
    <w:rsid w:val="006737B5"/>
    <w:rsid w:val="00673864"/>
    <w:rsid w:val="00673D40"/>
    <w:rsid w:val="006742A1"/>
    <w:rsid w:val="006742A3"/>
    <w:rsid w:val="00674A89"/>
    <w:rsid w:val="00674F3D"/>
    <w:rsid w:val="00674FCE"/>
    <w:rsid w:val="0067570F"/>
    <w:rsid w:val="006762C5"/>
    <w:rsid w:val="00676CAB"/>
    <w:rsid w:val="00676FCB"/>
    <w:rsid w:val="00677049"/>
    <w:rsid w:val="00677902"/>
    <w:rsid w:val="0067796C"/>
    <w:rsid w:val="00677A33"/>
    <w:rsid w:val="00677A54"/>
    <w:rsid w:val="00677B73"/>
    <w:rsid w:val="00677C5D"/>
    <w:rsid w:val="00680171"/>
    <w:rsid w:val="0068025F"/>
    <w:rsid w:val="00680477"/>
    <w:rsid w:val="00680522"/>
    <w:rsid w:val="006819E2"/>
    <w:rsid w:val="00681D37"/>
    <w:rsid w:val="00681E90"/>
    <w:rsid w:val="0068238C"/>
    <w:rsid w:val="0068268E"/>
    <w:rsid w:val="006829AD"/>
    <w:rsid w:val="00682C00"/>
    <w:rsid w:val="006838A9"/>
    <w:rsid w:val="00683B68"/>
    <w:rsid w:val="00683E8D"/>
    <w:rsid w:val="00684B59"/>
    <w:rsid w:val="00684F7E"/>
    <w:rsid w:val="0068502D"/>
    <w:rsid w:val="0068505A"/>
    <w:rsid w:val="006852CC"/>
    <w:rsid w:val="00685413"/>
    <w:rsid w:val="00685545"/>
    <w:rsid w:val="00685AC6"/>
    <w:rsid w:val="00685BE9"/>
    <w:rsid w:val="00685FEC"/>
    <w:rsid w:val="00686048"/>
    <w:rsid w:val="006860DE"/>
    <w:rsid w:val="006864B3"/>
    <w:rsid w:val="00686502"/>
    <w:rsid w:val="00686556"/>
    <w:rsid w:val="00687644"/>
    <w:rsid w:val="006876EB"/>
    <w:rsid w:val="00687AB1"/>
    <w:rsid w:val="00687EF2"/>
    <w:rsid w:val="00690654"/>
    <w:rsid w:val="00690ADF"/>
    <w:rsid w:val="00690D5F"/>
    <w:rsid w:val="0069124B"/>
    <w:rsid w:val="00691933"/>
    <w:rsid w:val="00691A43"/>
    <w:rsid w:val="00691B7B"/>
    <w:rsid w:val="00692D64"/>
    <w:rsid w:val="0069366A"/>
    <w:rsid w:val="00693DBD"/>
    <w:rsid w:val="00693ED8"/>
    <w:rsid w:val="00694200"/>
    <w:rsid w:val="006943D0"/>
    <w:rsid w:val="0069447F"/>
    <w:rsid w:val="00694568"/>
    <w:rsid w:val="00694FA0"/>
    <w:rsid w:val="00695AE4"/>
    <w:rsid w:val="00695CC3"/>
    <w:rsid w:val="00695FCC"/>
    <w:rsid w:val="00696588"/>
    <w:rsid w:val="00696678"/>
    <w:rsid w:val="0069680D"/>
    <w:rsid w:val="00696C1C"/>
    <w:rsid w:val="00697F9B"/>
    <w:rsid w:val="006A013B"/>
    <w:rsid w:val="006A0556"/>
    <w:rsid w:val="006A06D9"/>
    <w:rsid w:val="006A06E3"/>
    <w:rsid w:val="006A10F8"/>
    <w:rsid w:val="006A17A3"/>
    <w:rsid w:val="006A17F2"/>
    <w:rsid w:val="006A20EB"/>
    <w:rsid w:val="006A2100"/>
    <w:rsid w:val="006A237F"/>
    <w:rsid w:val="006A284D"/>
    <w:rsid w:val="006A37CC"/>
    <w:rsid w:val="006A4094"/>
    <w:rsid w:val="006A4745"/>
    <w:rsid w:val="006A4E0D"/>
    <w:rsid w:val="006A53AA"/>
    <w:rsid w:val="006A57D1"/>
    <w:rsid w:val="006A5B26"/>
    <w:rsid w:val="006A5C3B"/>
    <w:rsid w:val="006A6656"/>
    <w:rsid w:val="006A6922"/>
    <w:rsid w:val="006A7270"/>
    <w:rsid w:val="006A72E0"/>
    <w:rsid w:val="006A75FB"/>
    <w:rsid w:val="006A7676"/>
    <w:rsid w:val="006A78DF"/>
    <w:rsid w:val="006B0BF3"/>
    <w:rsid w:val="006B0FE6"/>
    <w:rsid w:val="006B1C5F"/>
    <w:rsid w:val="006B258C"/>
    <w:rsid w:val="006B2830"/>
    <w:rsid w:val="006B2DE8"/>
    <w:rsid w:val="006B3666"/>
    <w:rsid w:val="006B36FA"/>
    <w:rsid w:val="006B38E8"/>
    <w:rsid w:val="006B39F7"/>
    <w:rsid w:val="006B3C17"/>
    <w:rsid w:val="006B4CA7"/>
    <w:rsid w:val="006B519B"/>
    <w:rsid w:val="006B5395"/>
    <w:rsid w:val="006B6F44"/>
    <w:rsid w:val="006B74A2"/>
    <w:rsid w:val="006B775E"/>
    <w:rsid w:val="006B7990"/>
    <w:rsid w:val="006B7BC7"/>
    <w:rsid w:val="006C02CA"/>
    <w:rsid w:val="006C0522"/>
    <w:rsid w:val="006C097A"/>
    <w:rsid w:val="006C0BAA"/>
    <w:rsid w:val="006C1569"/>
    <w:rsid w:val="006C1C5D"/>
    <w:rsid w:val="006C224E"/>
    <w:rsid w:val="006C2535"/>
    <w:rsid w:val="006C2818"/>
    <w:rsid w:val="006C2DFE"/>
    <w:rsid w:val="006C441E"/>
    <w:rsid w:val="006C487A"/>
    <w:rsid w:val="006C4B90"/>
    <w:rsid w:val="006C5590"/>
    <w:rsid w:val="006C5B00"/>
    <w:rsid w:val="006C5B1E"/>
    <w:rsid w:val="006C645D"/>
    <w:rsid w:val="006C64E9"/>
    <w:rsid w:val="006C73DC"/>
    <w:rsid w:val="006C7A0E"/>
    <w:rsid w:val="006C7E17"/>
    <w:rsid w:val="006C7F2A"/>
    <w:rsid w:val="006C7FDF"/>
    <w:rsid w:val="006D034A"/>
    <w:rsid w:val="006D088A"/>
    <w:rsid w:val="006D0AFC"/>
    <w:rsid w:val="006D0E39"/>
    <w:rsid w:val="006D1016"/>
    <w:rsid w:val="006D1446"/>
    <w:rsid w:val="006D1709"/>
    <w:rsid w:val="006D17F2"/>
    <w:rsid w:val="006D2110"/>
    <w:rsid w:val="006D219D"/>
    <w:rsid w:val="006D2A70"/>
    <w:rsid w:val="006D317F"/>
    <w:rsid w:val="006D3B0A"/>
    <w:rsid w:val="006D3C05"/>
    <w:rsid w:val="006D3D6E"/>
    <w:rsid w:val="006D42B6"/>
    <w:rsid w:val="006D437B"/>
    <w:rsid w:val="006D44D8"/>
    <w:rsid w:val="006D45B7"/>
    <w:rsid w:val="006D4A94"/>
    <w:rsid w:val="006D4C19"/>
    <w:rsid w:val="006D4C99"/>
    <w:rsid w:val="006D4D4D"/>
    <w:rsid w:val="006D55F6"/>
    <w:rsid w:val="006D58A9"/>
    <w:rsid w:val="006D5C9C"/>
    <w:rsid w:val="006D633E"/>
    <w:rsid w:val="006D63A3"/>
    <w:rsid w:val="006D65DE"/>
    <w:rsid w:val="006D73D2"/>
    <w:rsid w:val="006D7586"/>
    <w:rsid w:val="006E025F"/>
    <w:rsid w:val="006E05E4"/>
    <w:rsid w:val="006E08AF"/>
    <w:rsid w:val="006E0D9C"/>
    <w:rsid w:val="006E1623"/>
    <w:rsid w:val="006E178D"/>
    <w:rsid w:val="006E1AAB"/>
    <w:rsid w:val="006E1D5F"/>
    <w:rsid w:val="006E1F1B"/>
    <w:rsid w:val="006E2702"/>
    <w:rsid w:val="006E27FF"/>
    <w:rsid w:val="006E280C"/>
    <w:rsid w:val="006E2AF9"/>
    <w:rsid w:val="006E3340"/>
    <w:rsid w:val="006E3479"/>
    <w:rsid w:val="006E3546"/>
    <w:rsid w:val="006E3BAD"/>
    <w:rsid w:val="006E3FA9"/>
    <w:rsid w:val="006E4C4A"/>
    <w:rsid w:val="006E4DC4"/>
    <w:rsid w:val="006E5019"/>
    <w:rsid w:val="006E51FE"/>
    <w:rsid w:val="006E53D2"/>
    <w:rsid w:val="006E578E"/>
    <w:rsid w:val="006E5821"/>
    <w:rsid w:val="006E5CB8"/>
    <w:rsid w:val="006E5E25"/>
    <w:rsid w:val="006E63A3"/>
    <w:rsid w:val="006E6426"/>
    <w:rsid w:val="006E6E5A"/>
    <w:rsid w:val="006E6E96"/>
    <w:rsid w:val="006E7B09"/>
    <w:rsid w:val="006E7D82"/>
    <w:rsid w:val="006E7EFA"/>
    <w:rsid w:val="006F038F"/>
    <w:rsid w:val="006F0602"/>
    <w:rsid w:val="006F0F93"/>
    <w:rsid w:val="006F185E"/>
    <w:rsid w:val="006F18C0"/>
    <w:rsid w:val="006F1AEE"/>
    <w:rsid w:val="006F213A"/>
    <w:rsid w:val="006F2A6E"/>
    <w:rsid w:val="006F31F2"/>
    <w:rsid w:val="006F371F"/>
    <w:rsid w:val="006F3D71"/>
    <w:rsid w:val="006F4F51"/>
    <w:rsid w:val="006F5304"/>
    <w:rsid w:val="006F570D"/>
    <w:rsid w:val="006F5864"/>
    <w:rsid w:val="006F5E77"/>
    <w:rsid w:val="006F631B"/>
    <w:rsid w:val="006F68F5"/>
    <w:rsid w:val="006F6B4E"/>
    <w:rsid w:val="006F6CB2"/>
    <w:rsid w:val="006F6D68"/>
    <w:rsid w:val="006F6F1B"/>
    <w:rsid w:val="006F7494"/>
    <w:rsid w:val="006F751F"/>
    <w:rsid w:val="006F7FFC"/>
    <w:rsid w:val="0070048F"/>
    <w:rsid w:val="007013F0"/>
    <w:rsid w:val="00701B08"/>
    <w:rsid w:val="007022EB"/>
    <w:rsid w:val="00702937"/>
    <w:rsid w:val="007035E0"/>
    <w:rsid w:val="00703973"/>
    <w:rsid w:val="00703DAE"/>
    <w:rsid w:val="00704383"/>
    <w:rsid w:val="00704C28"/>
    <w:rsid w:val="00705433"/>
    <w:rsid w:val="00705887"/>
    <w:rsid w:val="00705AA6"/>
    <w:rsid w:val="00705BD1"/>
    <w:rsid w:val="0070611D"/>
    <w:rsid w:val="0070639E"/>
    <w:rsid w:val="007065BB"/>
    <w:rsid w:val="0070690B"/>
    <w:rsid w:val="00706CB6"/>
    <w:rsid w:val="007072A5"/>
    <w:rsid w:val="007072DB"/>
    <w:rsid w:val="00707357"/>
    <w:rsid w:val="00707D5C"/>
    <w:rsid w:val="007100AA"/>
    <w:rsid w:val="0071045D"/>
    <w:rsid w:val="00710E4B"/>
    <w:rsid w:val="00710F05"/>
    <w:rsid w:val="007113F9"/>
    <w:rsid w:val="007114F1"/>
    <w:rsid w:val="00712C05"/>
    <w:rsid w:val="00712FB0"/>
    <w:rsid w:val="00713519"/>
    <w:rsid w:val="00713F46"/>
    <w:rsid w:val="0071404F"/>
    <w:rsid w:val="00714098"/>
    <w:rsid w:val="00714515"/>
    <w:rsid w:val="00714DC5"/>
    <w:rsid w:val="00715237"/>
    <w:rsid w:val="00716E6F"/>
    <w:rsid w:val="007175FE"/>
    <w:rsid w:val="00717BC7"/>
    <w:rsid w:val="00717EB4"/>
    <w:rsid w:val="0072039B"/>
    <w:rsid w:val="0072073A"/>
    <w:rsid w:val="00720C45"/>
    <w:rsid w:val="00721067"/>
    <w:rsid w:val="00721081"/>
    <w:rsid w:val="00721348"/>
    <w:rsid w:val="0072156F"/>
    <w:rsid w:val="0072171B"/>
    <w:rsid w:val="0072179E"/>
    <w:rsid w:val="00721AE1"/>
    <w:rsid w:val="007221C3"/>
    <w:rsid w:val="0072250A"/>
    <w:rsid w:val="007228C3"/>
    <w:rsid w:val="007231D7"/>
    <w:rsid w:val="007233ED"/>
    <w:rsid w:val="00723FCC"/>
    <w:rsid w:val="00724E48"/>
    <w:rsid w:val="007254A5"/>
    <w:rsid w:val="00725748"/>
    <w:rsid w:val="00726044"/>
    <w:rsid w:val="007261B0"/>
    <w:rsid w:val="007261B6"/>
    <w:rsid w:val="007262F0"/>
    <w:rsid w:val="0072644A"/>
    <w:rsid w:val="00726941"/>
    <w:rsid w:val="007269E3"/>
    <w:rsid w:val="007269F4"/>
    <w:rsid w:val="007270F0"/>
    <w:rsid w:val="007271E0"/>
    <w:rsid w:val="00727D7F"/>
    <w:rsid w:val="0073012E"/>
    <w:rsid w:val="0073092C"/>
    <w:rsid w:val="007310D0"/>
    <w:rsid w:val="007312EE"/>
    <w:rsid w:val="007313C3"/>
    <w:rsid w:val="00731B19"/>
    <w:rsid w:val="00731CC8"/>
    <w:rsid w:val="00731FB7"/>
    <w:rsid w:val="007325AF"/>
    <w:rsid w:val="00732F79"/>
    <w:rsid w:val="0073372B"/>
    <w:rsid w:val="007337F0"/>
    <w:rsid w:val="0073392B"/>
    <w:rsid w:val="00733F18"/>
    <w:rsid w:val="00734284"/>
    <w:rsid w:val="00734417"/>
    <w:rsid w:val="00734713"/>
    <w:rsid w:val="00734BED"/>
    <w:rsid w:val="00735AFC"/>
    <w:rsid w:val="00735CF3"/>
    <w:rsid w:val="00735D73"/>
    <w:rsid w:val="00735D88"/>
    <w:rsid w:val="007363BE"/>
    <w:rsid w:val="00736C0E"/>
    <w:rsid w:val="00736E8E"/>
    <w:rsid w:val="0073720D"/>
    <w:rsid w:val="00737507"/>
    <w:rsid w:val="00737D4D"/>
    <w:rsid w:val="00737EC8"/>
    <w:rsid w:val="007402AB"/>
    <w:rsid w:val="00740712"/>
    <w:rsid w:val="007410B9"/>
    <w:rsid w:val="00741230"/>
    <w:rsid w:val="00741311"/>
    <w:rsid w:val="00741619"/>
    <w:rsid w:val="007424DC"/>
    <w:rsid w:val="007429ED"/>
    <w:rsid w:val="00742A19"/>
    <w:rsid w:val="00742AB9"/>
    <w:rsid w:val="00742B95"/>
    <w:rsid w:val="00742B9C"/>
    <w:rsid w:val="00743248"/>
    <w:rsid w:val="007436B4"/>
    <w:rsid w:val="00743AA0"/>
    <w:rsid w:val="00743FAA"/>
    <w:rsid w:val="00744C77"/>
    <w:rsid w:val="00744EAB"/>
    <w:rsid w:val="00745F4D"/>
    <w:rsid w:val="00746490"/>
    <w:rsid w:val="007468EA"/>
    <w:rsid w:val="00746AF2"/>
    <w:rsid w:val="00746C31"/>
    <w:rsid w:val="00747473"/>
    <w:rsid w:val="00747690"/>
    <w:rsid w:val="007479E0"/>
    <w:rsid w:val="00747D93"/>
    <w:rsid w:val="00747E25"/>
    <w:rsid w:val="00747FC8"/>
    <w:rsid w:val="00750706"/>
    <w:rsid w:val="00750BD1"/>
    <w:rsid w:val="00750F8E"/>
    <w:rsid w:val="00750FD2"/>
    <w:rsid w:val="00751349"/>
    <w:rsid w:val="0075187A"/>
    <w:rsid w:val="00751A6A"/>
    <w:rsid w:val="00751B35"/>
    <w:rsid w:val="00751DDA"/>
    <w:rsid w:val="00752343"/>
    <w:rsid w:val="00752744"/>
    <w:rsid w:val="007529B7"/>
    <w:rsid w:val="00753818"/>
    <w:rsid w:val="00754169"/>
    <w:rsid w:val="0075466A"/>
    <w:rsid w:val="0075489D"/>
    <w:rsid w:val="00754FBF"/>
    <w:rsid w:val="00755206"/>
    <w:rsid w:val="00755450"/>
    <w:rsid w:val="00755677"/>
    <w:rsid w:val="0075581C"/>
    <w:rsid w:val="007572AD"/>
    <w:rsid w:val="007575D0"/>
    <w:rsid w:val="00757976"/>
    <w:rsid w:val="00760250"/>
    <w:rsid w:val="00760418"/>
    <w:rsid w:val="00760AE5"/>
    <w:rsid w:val="00760FD9"/>
    <w:rsid w:val="007610AA"/>
    <w:rsid w:val="007615FF"/>
    <w:rsid w:val="007620B7"/>
    <w:rsid w:val="007624BE"/>
    <w:rsid w:val="00762E13"/>
    <w:rsid w:val="00763090"/>
    <w:rsid w:val="0076326B"/>
    <w:rsid w:val="00763500"/>
    <w:rsid w:val="0076354D"/>
    <w:rsid w:val="007638A4"/>
    <w:rsid w:val="00763F6D"/>
    <w:rsid w:val="00764D2B"/>
    <w:rsid w:val="00764D4F"/>
    <w:rsid w:val="00764E6B"/>
    <w:rsid w:val="00764EAB"/>
    <w:rsid w:val="00765625"/>
    <w:rsid w:val="007656E6"/>
    <w:rsid w:val="00765932"/>
    <w:rsid w:val="00765CC4"/>
    <w:rsid w:val="007660FD"/>
    <w:rsid w:val="00766320"/>
    <w:rsid w:val="007665E2"/>
    <w:rsid w:val="00766780"/>
    <w:rsid w:val="00766E2C"/>
    <w:rsid w:val="00767089"/>
    <w:rsid w:val="007670FC"/>
    <w:rsid w:val="007672F9"/>
    <w:rsid w:val="007707D3"/>
    <w:rsid w:val="007709EF"/>
    <w:rsid w:val="00770BB3"/>
    <w:rsid w:val="00770D57"/>
    <w:rsid w:val="0077118E"/>
    <w:rsid w:val="00771356"/>
    <w:rsid w:val="00771379"/>
    <w:rsid w:val="0077151E"/>
    <w:rsid w:val="007716BF"/>
    <w:rsid w:val="00771B26"/>
    <w:rsid w:val="00771F9A"/>
    <w:rsid w:val="007723CE"/>
    <w:rsid w:val="0077261B"/>
    <w:rsid w:val="0077362C"/>
    <w:rsid w:val="00773E9D"/>
    <w:rsid w:val="007740FF"/>
    <w:rsid w:val="00774D67"/>
    <w:rsid w:val="00774D8E"/>
    <w:rsid w:val="0077529D"/>
    <w:rsid w:val="0077568D"/>
    <w:rsid w:val="00775E0C"/>
    <w:rsid w:val="00776905"/>
    <w:rsid w:val="007769A5"/>
    <w:rsid w:val="00776F83"/>
    <w:rsid w:val="00777024"/>
    <w:rsid w:val="007771D2"/>
    <w:rsid w:val="00777344"/>
    <w:rsid w:val="0077739D"/>
    <w:rsid w:val="007777DD"/>
    <w:rsid w:val="00777972"/>
    <w:rsid w:val="00777F4C"/>
    <w:rsid w:val="00777F6F"/>
    <w:rsid w:val="0078031D"/>
    <w:rsid w:val="00780512"/>
    <w:rsid w:val="0078052F"/>
    <w:rsid w:val="00780660"/>
    <w:rsid w:val="007819B0"/>
    <w:rsid w:val="00781D26"/>
    <w:rsid w:val="00782061"/>
    <w:rsid w:val="007822E8"/>
    <w:rsid w:val="007823DB"/>
    <w:rsid w:val="007826DB"/>
    <w:rsid w:val="00782701"/>
    <w:rsid w:val="007828C4"/>
    <w:rsid w:val="00782909"/>
    <w:rsid w:val="00782B61"/>
    <w:rsid w:val="00782DD9"/>
    <w:rsid w:val="00783262"/>
    <w:rsid w:val="00783266"/>
    <w:rsid w:val="00783395"/>
    <w:rsid w:val="00783559"/>
    <w:rsid w:val="00783CB7"/>
    <w:rsid w:val="00783F14"/>
    <w:rsid w:val="007842DA"/>
    <w:rsid w:val="00784AB8"/>
    <w:rsid w:val="00784C38"/>
    <w:rsid w:val="00785D8C"/>
    <w:rsid w:val="00786180"/>
    <w:rsid w:val="00786220"/>
    <w:rsid w:val="007863EF"/>
    <w:rsid w:val="00786642"/>
    <w:rsid w:val="007868F4"/>
    <w:rsid w:val="00786E1B"/>
    <w:rsid w:val="007873DE"/>
    <w:rsid w:val="007874A7"/>
    <w:rsid w:val="00787727"/>
    <w:rsid w:val="00787C3F"/>
    <w:rsid w:val="0079011A"/>
    <w:rsid w:val="007906C9"/>
    <w:rsid w:val="00791E23"/>
    <w:rsid w:val="00791F6E"/>
    <w:rsid w:val="007920B3"/>
    <w:rsid w:val="0079219E"/>
    <w:rsid w:val="007927F5"/>
    <w:rsid w:val="00792DAC"/>
    <w:rsid w:val="007934C9"/>
    <w:rsid w:val="0079378C"/>
    <w:rsid w:val="00793885"/>
    <w:rsid w:val="0079422A"/>
    <w:rsid w:val="00794402"/>
    <w:rsid w:val="00794E4F"/>
    <w:rsid w:val="00794F98"/>
    <w:rsid w:val="00794FB4"/>
    <w:rsid w:val="007951FD"/>
    <w:rsid w:val="0079551B"/>
    <w:rsid w:val="00795764"/>
    <w:rsid w:val="00795918"/>
    <w:rsid w:val="00796090"/>
    <w:rsid w:val="007961A4"/>
    <w:rsid w:val="007961B7"/>
    <w:rsid w:val="0079639D"/>
    <w:rsid w:val="00796BB7"/>
    <w:rsid w:val="00796C60"/>
    <w:rsid w:val="00797569"/>
    <w:rsid w:val="0079795F"/>
    <w:rsid w:val="00797AA5"/>
    <w:rsid w:val="00797C92"/>
    <w:rsid w:val="007A0464"/>
    <w:rsid w:val="007A0715"/>
    <w:rsid w:val="007A0AB8"/>
    <w:rsid w:val="007A14C7"/>
    <w:rsid w:val="007A1B9A"/>
    <w:rsid w:val="007A1C90"/>
    <w:rsid w:val="007A230A"/>
    <w:rsid w:val="007A26BD"/>
    <w:rsid w:val="007A27EB"/>
    <w:rsid w:val="007A2E8B"/>
    <w:rsid w:val="007A33BA"/>
    <w:rsid w:val="007A363C"/>
    <w:rsid w:val="007A379C"/>
    <w:rsid w:val="007A37E8"/>
    <w:rsid w:val="007A38FA"/>
    <w:rsid w:val="007A4105"/>
    <w:rsid w:val="007A4249"/>
    <w:rsid w:val="007A4418"/>
    <w:rsid w:val="007A46AB"/>
    <w:rsid w:val="007A49B9"/>
    <w:rsid w:val="007A55B7"/>
    <w:rsid w:val="007A5A06"/>
    <w:rsid w:val="007A5CA9"/>
    <w:rsid w:val="007A67B7"/>
    <w:rsid w:val="007A6B64"/>
    <w:rsid w:val="007A6D60"/>
    <w:rsid w:val="007A7182"/>
    <w:rsid w:val="007A7221"/>
    <w:rsid w:val="007A7286"/>
    <w:rsid w:val="007A732C"/>
    <w:rsid w:val="007A78CE"/>
    <w:rsid w:val="007A792D"/>
    <w:rsid w:val="007A7C23"/>
    <w:rsid w:val="007B06E5"/>
    <w:rsid w:val="007B0933"/>
    <w:rsid w:val="007B0AD7"/>
    <w:rsid w:val="007B0B79"/>
    <w:rsid w:val="007B0B87"/>
    <w:rsid w:val="007B0C55"/>
    <w:rsid w:val="007B115C"/>
    <w:rsid w:val="007B1FA0"/>
    <w:rsid w:val="007B2370"/>
    <w:rsid w:val="007B24D9"/>
    <w:rsid w:val="007B3630"/>
    <w:rsid w:val="007B3D5E"/>
    <w:rsid w:val="007B434E"/>
    <w:rsid w:val="007B4463"/>
    <w:rsid w:val="007B4503"/>
    <w:rsid w:val="007B4858"/>
    <w:rsid w:val="007B5E37"/>
    <w:rsid w:val="007B5F0F"/>
    <w:rsid w:val="007B5FF2"/>
    <w:rsid w:val="007B6620"/>
    <w:rsid w:val="007B6BDD"/>
    <w:rsid w:val="007B6C13"/>
    <w:rsid w:val="007B6C9E"/>
    <w:rsid w:val="007B7306"/>
    <w:rsid w:val="007B7562"/>
    <w:rsid w:val="007B7B90"/>
    <w:rsid w:val="007C021B"/>
    <w:rsid w:val="007C0A2F"/>
    <w:rsid w:val="007C1AEF"/>
    <w:rsid w:val="007C23AE"/>
    <w:rsid w:val="007C2AC8"/>
    <w:rsid w:val="007C2C3B"/>
    <w:rsid w:val="007C2C6E"/>
    <w:rsid w:val="007C370D"/>
    <w:rsid w:val="007C375D"/>
    <w:rsid w:val="007C3815"/>
    <w:rsid w:val="007C3B31"/>
    <w:rsid w:val="007C3FE8"/>
    <w:rsid w:val="007C406E"/>
    <w:rsid w:val="007C4426"/>
    <w:rsid w:val="007C4540"/>
    <w:rsid w:val="007C4BF1"/>
    <w:rsid w:val="007C4C30"/>
    <w:rsid w:val="007C4DE4"/>
    <w:rsid w:val="007C5155"/>
    <w:rsid w:val="007C5183"/>
    <w:rsid w:val="007C5204"/>
    <w:rsid w:val="007C544D"/>
    <w:rsid w:val="007C65F9"/>
    <w:rsid w:val="007C6876"/>
    <w:rsid w:val="007C69B2"/>
    <w:rsid w:val="007C7573"/>
    <w:rsid w:val="007D05B1"/>
    <w:rsid w:val="007D06E4"/>
    <w:rsid w:val="007D1143"/>
    <w:rsid w:val="007D2095"/>
    <w:rsid w:val="007D21CB"/>
    <w:rsid w:val="007D2549"/>
    <w:rsid w:val="007D2DAC"/>
    <w:rsid w:val="007D3047"/>
    <w:rsid w:val="007D33D2"/>
    <w:rsid w:val="007D33E4"/>
    <w:rsid w:val="007D347F"/>
    <w:rsid w:val="007D364A"/>
    <w:rsid w:val="007D3E3F"/>
    <w:rsid w:val="007D430B"/>
    <w:rsid w:val="007D4401"/>
    <w:rsid w:val="007D4A43"/>
    <w:rsid w:val="007D4E61"/>
    <w:rsid w:val="007D5470"/>
    <w:rsid w:val="007D56BE"/>
    <w:rsid w:val="007D5FD2"/>
    <w:rsid w:val="007D680E"/>
    <w:rsid w:val="007D71DF"/>
    <w:rsid w:val="007D7219"/>
    <w:rsid w:val="007D783B"/>
    <w:rsid w:val="007D7890"/>
    <w:rsid w:val="007D7EDE"/>
    <w:rsid w:val="007E049E"/>
    <w:rsid w:val="007E09F4"/>
    <w:rsid w:val="007E0C34"/>
    <w:rsid w:val="007E0DA9"/>
    <w:rsid w:val="007E1920"/>
    <w:rsid w:val="007E1DDD"/>
    <w:rsid w:val="007E2A05"/>
    <w:rsid w:val="007E2B03"/>
    <w:rsid w:val="007E2B20"/>
    <w:rsid w:val="007E2CF8"/>
    <w:rsid w:val="007E2E02"/>
    <w:rsid w:val="007E3FA0"/>
    <w:rsid w:val="007E458D"/>
    <w:rsid w:val="007E45A7"/>
    <w:rsid w:val="007E4920"/>
    <w:rsid w:val="007E4B2B"/>
    <w:rsid w:val="007E4F46"/>
    <w:rsid w:val="007E5176"/>
    <w:rsid w:val="007E55BA"/>
    <w:rsid w:val="007E5E80"/>
    <w:rsid w:val="007E6818"/>
    <w:rsid w:val="007E6C6E"/>
    <w:rsid w:val="007E6F43"/>
    <w:rsid w:val="007E7317"/>
    <w:rsid w:val="007E786D"/>
    <w:rsid w:val="007E79BC"/>
    <w:rsid w:val="007E7DE2"/>
    <w:rsid w:val="007E7E34"/>
    <w:rsid w:val="007F0243"/>
    <w:rsid w:val="007F05BA"/>
    <w:rsid w:val="007F07B4"/>
    <w:rsid w:val="007F11C1"/>
    <w:rsid w:val="007F18F8"/>
    <w:rsid w:val="007F1C99"/>
    <w:rsid w:val="007F1CB0"/>
    <w:rsid w:val="007F1FC8"/>
    <w:rsid w:val="007F1FE4"/>
    <w:rsid w:val="007F2790"/>
    <w:rsid w:val="007F290E"/>
    <w:rsid w:val="007F2BFB"/>
    <w:rsid w:val="007F2E5C"/>
    <w:rsid w:val="007F3000"/>
    <w:rsid w:val="007F30B3"/>
    <w:rsid w:val="007F3E7F"/>
    <w:rsid w:val="007F421A"/>
    <w:rsid w:val="007F439C"/>
    <w:rsid w:val="007F4756"/>
    <w:rsid w:val="007F4D8F"/>
    <w:rsid w:val="007F50C6"/>
    <w:rsid w:val="007F52D2"/>
    <w:rsid w:val="007F5331"/>
    <w:rsid w:val="007F536F"/>
    <w:rsid w:val="007F59AF"/>
    <w:rsid w:val="007F6C6D"/>
    <w:rsid w:val="007F75AE"/>
    <w:rsid w:val="007F76C3"/>
    <w:rsid w:val="00800035"/>
    <w:rsid w:val="008009EA"/>
    <w:rsid w:val="00800A63"/>
    <w:rsid w:val="00800CCA"/>
    <w:rsid w:val="00800D0F"/>
    <w:rsid w:val="0080197D"/>
    <w:rsid w:val="00801B5E"/>
    <w:rsid w:val="00802741"/>
    <w:rsid w:val="00803465"/>
    <w:rsid w:val="008038B6"/>
    <w:rsid w:val="00803BD7"/>
    <w:rsid w:val="00804112"/>
    <w:rsid w:val="008047AC"/>
    <w:rsid w:val="008057AB"/>
    <w:rsid w:val="008058AB"/>
    <w:rsid w:val="0080611D"/>
    <w:rsid w:val="00806120"/>
    <w:rsid w:val="00806F63"/>
    <w:rsid w:val="00807BED"/>
    <w:rsid w:val="00807C81"/>
    <w:rsid w:val="008106C2"/>
    <w:rsid w:val="00810C93"/>
    <w:rsid w:val="0081135E"/>
    <w:rsid w:val="008113D6"/>
    <w:rsid w:val="00811590"/>
    <w:rsid w:val="00812028"/>
    <w:rsid w:val="0081286C"/>
    <w:rsid w:val="00812A08"/>
    <w:rsid w:val="00812AE9"/>
    <w:rsid w:val="00812DD8"/>
    <w:rsid w:val="00813082"/>
    <w:rsid w:val="0081331C"/>
    <w:rsid w:val="008137BC"/>
    <w:rsid w:val="00813885"/>
    <w:rsid w:val="008138E9"/>
    <w:rsid w:val="0081402A"/>
    <w:rsid w:val="008145F6"/>
    <w:rsid w:val="00814BBF"/>
    <w:rsid w:val="00814C27"/>
    <w:rsid w:val="00814D03"/>
    <w:rsid w:val="0081501A"/>
    <w:rsid w:val="0081572C"/>
    <w:rsid w:val="008163DF"/>
    <w:rsid w:val="0081697E"/>
    <w:rsid w:val="00816ACF"/>
    <w:rsid w:val="00817179"/>
    <w:rsid w:val="008171C5"/>
    <w:rsid w:val="0081721C"/>
    <w:rsid w:val="00817813"/>
    <w:rsid w:val="00817839"/>
    <w:rsid w:val="00817C3A"/>
    <w:rsid w:val="00817E5C"/>
    <w:rsid w:val="0082002C"/>
    <w:rsid w:val="00820371"/>
    <w:rsid w:val="0082073C"/>
    <w:rsid w:val="00820A8F"/>
    <w:rsid w:val="0082114C"/>
    <w:rsid w:val="0082120D"/>
    <w:rsid w:val="00821402"/>
    <w:rsid w:val="00821AE9"/>
    <w:rsid w:val="00821F8D"/>
    <w:rsid w:val="00821FC1"/>
    <w:rsid w:val="0082203B"/>
    <w:rsid w:val="0082259B"/>
    <w:rsid w:val="008226EE"/>
    <w:rsid w:val="00822A71"/>
    <w:rsid w:val="00822E39"/>
    <w:rsid w:val="00823A04"/>
    <w:rsid w:val="00823AE2"/>
    <w:rsid w:val="008240C5"/>
    <w:rsid w:val="0082561D"/>
    <w:rsid w:val="00825B10"/>
    <w:rsid w:val="00826530"/>
    <w:rsid w:val="00826775"/>
    <w:rsid w:val="00826A2E"/>
    <w:rsid w:val="00826B7F"/>
    <w:rsid w:val="00826DCE"/>
    <w:rsid w:val="00826E6D"/>
    <w:rsid w:val="00827105"/>
    <w:rsid w:val="0082759C"/>
    <w:rsid w:val="0082776E"/>
    <w:rsid w:val="0082782F"/>
    <w:rsid w:val="00827AAB"/>
    <w:rsid w:val="00827B2F"/>
    <w:rsid w:val="00829C09"/>
    <w:rsid w:val="00830902"/>
    <w:rsid w:val="00830C7C"/>
    <w:rsid w:val="00830CFA"/>
    <w:rsid w:val="0083178B"/>
    <w:rsid w:val="008319B8"/>
    <w:rsid w:val="00831EE4"/>
    <w:rsid w:val="00832053"/>
    <w:rsid w:val="00832862"/>
    <w:rsid w:val="0083299A"/>
    <w:rsid w:val="00832F14"/>
    <w:rsid w:val="00832F77"/>
    <w:rsid w:val="00833695"/>
    <w:rsid w:val="008336B7"/>
    <w:rsid w:val="00833A8E"/>
    <w:rsid w:val="0083422B"/>
    <w:rsid w:val="008348A4"/>
    <w:rsid w:val="008348BF"/>
    <w:rsid w:val="008353E6"/>
    <w:rsid w:val="00835442"/>
    <w:rsid w:val="00835470"/>
    <w:rsid w:val="008363A6"/>
    <w:rsid w:val="008364CF"/>
    <w:rsid w:val="00836759"/>
    <w:rsid w:val="008367BD"/>
    <w:rsid w:val="00836ACA"/>
    <w:rsid w:val="00836C8F"/>
    <w:rsid w:val="00837EB7"/>
    <w:rsid w:val="008402E0"/>
    <w:rsid w:val="008405B8"/>
    <w:rsid w:val="00840DB0"/>
    <w:rsid w:val="00841303"/>
    <w:rsid w:val="00841398"/>
    <w:rsid w:val="00841B4E"/>
    <w:rsid w:val="008420E9"/>
    <w:rsid w:val="00842196"/>
    <w:rsid w:val="00842643"/>
    <w:rsid w:val="00842A0D"/>
    <w:rsid w:val="00842CD8"/>
    <w:rsid w:val="008430F4"/>
    <w:rsid w:val="008431FA"/>
    <w:rsid w:val="00843F16"/>
    <w:rsid w:val="008442D1"/>
    <w:rsid w:val="0084437A"/>
    <w:rsid w:val="008444BB"/>
    <w:rsid w:val="00845C0D"/>
    <w:rsid w:val="00846015"/>
    <w:rsid w:val="0084616D"/>
    <w:rsid w:val="0084679C"/>
    <w:rsid w:val="00846A55"/>
    <w:rsid w:val="00847444"/>
    <w:rsid w:val="0084777E"/>
    <w:rsid w:val="008477DA"/>
    <w:rsid w:val="008478F8"/>
    <w:rsid w:val="008479F0"/>
    <w:rsid w:val="00847C66"/>
    <w:rsid w:val="0085039C"/>
    <w:rsid w:val="0085057D"/>
    <w:rsid w:val="008505E6"/>
    <w:rsid w:val="00850D68"/>
    <w:rsid w:val="00851666"/>
    <w:rsid w:val="008517C6"/>
    <w:rsid w:val="00851C40"/>
    <w:rsid w:val="00852A71"/>
    <w:rsid w:val="00852B04"/>
    <w:rsid w:val="00852C4B"/>
    <w:rsid w:val="00852E50"/>
    <w:rsid w:val="00852F4C"/>
    <w:rsid w:val="00853297"/>
    <w:rsid w:val="008547BA"/>
    <w:rsid w:val="00854846"/>
    <w:rsid w:val="00854A3C"/>
    <w:rsid w:val="00855170"/>
    <w:rsid w:val="008553C7"/>
    <w:rsid w:val="00855434"/>
    <w:rsid w:val="00855627"/>
    <w:rsid w:val="00855DD1"/>
    <w:rsid w:val="00855F2D"/>
    <w:rsid w:val="0085680C"/>
    <w:rsid w:val="00856912"/>
    <w:rsid w:val="00857012"/>
    <w:rsid w:val="0085717E"/>
    <w:rsid w:val="00857591"/>
    <w:rsid w:val="00857744"/>
    <w:rsid w:val="008579BB"/>
    <w:rsid w:val="00857FEB"/>
    <w:rsid w:val="008601AF"/>
    <w:rsid w:val="008605F2"/>
    <w:rsid w:val="00860781"/>
    <w:rsid w:val="00861B5E"/>
    <w:rsid w:val="008624E1"/>
    <w:rsid w:val="00863D81"/>
    <w:rsid w:val="00863DD4"/>
    <w:rsid w:val="00863EBB"/>
    <w:rsid w:val="0086419A"/>
    <w:rsid w:val="00865739"/>
    <w:rsid w:val="0086580D"/>
    <w:rsid w:val="00865EC9"/>
    <w:rsid w:val="00866AEA"/>
    <w:rsid w:val="00870F51"/>
    <w:rsid w:val="00871926"/>
    <w:rsid w:val="00872041"/>
    <w:rsid w:val="008720A1"/>
    <w:rsid w:val="00872271"/>
    <w:rsid w:val="0087279D"/>
    <w:rsid w:val="008727C4"/>
    <w:rsid w:val="00872812"/>
    <w:rsid w:val="00873286"/>
    <w:rsid w:val="008738B5"/>
    <w:rsid w:val="00874808"/>
    <w:rsid w:val="0087518C"/>
    <w:rsid w:val="008751CA"/>
    <w:rsid w:val="00875A68"/>
    <w:rsid w:val="00875BC1"/>
    <w:rsid w:val="0087653A"/>
    <w:rsid w:val="00876DFA"/>
    <w:rsid w:val="00877861"/>
    <w:rsid w:val="008779C2"/>
    <w:rsid w:val="00877BCC"/>
    <w:rsid w:val="00877E96"/>
    <w:rsid w:val="00877FFA"/>
    <w:rsid w:val="008806DC"/>
    <w:rsid w:val="00880A9E"/>
    <w:rsid w:val="008813B1"/>
    <w:rsid w:val="008815CD"/>
    <w:rsid w:val="00881810"/>
    <w:rsid w:val="00881855"/>
    <w:rsid w:val="00881B72"/>
    <w:rsid w:val="008820D3"/>
    <w:rsid w:val="00882743"/>
    <w:rsid w:val="00882AF6"/>
    <w:rsid w:val="00882ECF"/>
    <w:rsid w:val="00883137"/>
    <w:rsid w:val="00883247"/>
    <w:rsid w:val="00883835"/>
    <w:rsid w:val="00883ABA"/>
    <w:rsid w:val="0088423A"/>
    <w:rsid w:val="008848F8"/>
    <w:rsid w:val="00884942"/>
    <w:rsid w:val="00885A57"/>
    <w:rsid w:val="00886D06"/>
    <w:rsid w:val="00887299"/>
    <w:rsid w:val="00887512"/>
    <w:rsid w:val="0088754C"/>
    <w:rsid w:val="00887966"/>
    <w:rsid w:val="00890A4C"/>
    <w:rsid w:val="00890DB2"/>
    <w:rsid w:val="008910BE"/>
    <w:rsid w:val="0089117B"/>
    <w:rsid w:val="00892322"/>
    <w:rsid w:val="008924E7"/>
    <w:rsid w:val="008926FE"/>
    <w:rsid w:val="00892869"/>
    <w:rsid w:val="008929BA"/>
    <w:rsid w:val="00892D63"/>
    <w:rsid w:val="00892D7A"/>
    <w:rsid w:val="00893AD3"/>
    <w:rsid w:val="00893B79"/>
    <w:rsid w:val="00893D00"/>
    <w:rsid w:val="00894321"/>
    <w:rsid w:val="0089456C"/>
    <w:rsid w:val="00894A3B"/>
    <w:rsid w:val="00894BF4"/>
    <w:rsid w:val="00894C2E"/>
    <w:rsid w:val="00895121"/>
    <w:rsid w:val="0089535B"/>
    <w:rsid w:val="00895361"/>
    <w:rsid w:val="0089622F"/>
    <w:rsid w:val="008964AE"/>
    <w:rsid w:val="00896975"/>
    <w:rsid w:val="0089701F"/>
    <w:rsid w:val="008972D6"/>
    <w:rsid w:val="008975A3"/>
    <w:rsid w:val="00897602"/>
    <w:rsid w:val="008979E1"/>
    <w:rsid w:val="008A0109"/>
    <w:rsid w:val="008A1DB4"/>
    <w:rsid w:val="008A1F5D"/>
    <w:rsid w:val="008A26E2"/>
    <w:rsid w:val="008A27C9"/>
    <w:rsid w:val="008A28F5"/>
    <w:rsid w:val="008A2BDC"/>
    <w:rsid w:val="008A3303"/>
    <w:rsid w:val="008A3902"/>
    <w:rsid w:val="008A399A"/>
    <w:rsid w:val="008A48CC"/>
    <w:rsid w:val="008A498B"/>
    <w:rsid w:val="008A4CFE"/>
    <w:rsid w:val="008A5446"/>
    <w:rsid w:val="008A5B97"/>
    <w:rsid w:val="008A60BE"/>
    <w:rsid w:val="008A6165"/>
    <w:rsid w:val="008A6303"/>
    <w:rsid w:val="008A66C7"/>
    <w:rsid w:val="008A6922"/>
    <w:rsid w:val="008A744A"/>
    <w:rsid w:val="008A76A5"/>
    <w:rsid w:val="008A7817"/>
    <w:rsid w:val="008A7961"/>
    <w:rsid w:val="008A7B7D"/>
    <w:rsid w:val="008A7DA3"/>
    <w:rsid w:val="008B05AE"/>
    <w:rsid w:val="008B08B5"/>
    <w:rsid w:val="008B0D4F"/>
    <w:rsid w:val="008B1083"/>
    <w:rsid w:val="008B1198"/>
    <w:rsid w:val="008B1625"/>
    <w:rsid w:val="008B2078"/>
    <w:rsid w:val="008B2187"/>
    <w:rsid w:val="008B22D7"/>
    <w:rsid w:val="008B2449"/>
    <w:rsid w:val="008B2942"/>
    <w:rsid w:val="008B2EFF"/>
    <w:rsid w:val="008B3080"/>
    <w:rsid w:val="008B30C2"/>
    <w:rsid w:val="008B311C"/>
    <w:rsid w:val="008B3471"/>
    <w:rsid w:val="008B34C0"/>
    <w:rsid w:val="008B3512"/>
    <w:rsid w:val="008B3929"/>
    <w:rsid w:val="008B3A9C"/>
    <w:rsid w:val="008B3B20"/>
    <w:rsid w:val="008B3C18"/>
    <w:rsid w:val="008B4125"/>
    <w:rsid w:val="008B4CB3"/>
    <w:rsid w:val="008B567B"/>
    <w:rsid w:val="008B5B41"/>
    <w:rsid w:val="008B660B"/>
    <w:rsid w:val="008B779F"/>
    <w:rsid w:val="008B78F2"/>
    <w:rsid w:val="008B7B24"/>
    <w:rsid w:val="008C0A4E"/>
    <w:rsid w:val="008C0DBB"/>
    <w:rsid w:val="008C1F46"/>
    <w:rsid w:val="008C2071"/>
    <w:rsid w:val="008C216B"/>
    <w:rsid w:val="008C25B5"/>
    <w:rsid w:val="008C27AF"/>
    <w:rsid w:val="008C2B04"/>
    <w:rsid w:val="008C356D"/>
    <w:rsid w:val="008C4522"/>
    <w:rsid w:val="008C4711"/>
    <w:rsid w:val="008C4823"/>
    <w:rsid w:val="008C4AA5"/>
    <w:rsid w:val="008C4CD9"/>
    <w:rsid w:val="008C50F6"/>
    <w:rsid w:val="008C5196"/>
    <w:rsid w:val="008C55CC"/>
    <w:rsid w:val="008C6206"/>
    <w:rsid w:val="008C6325"/>
    <w:rsid w:val="008C6906"/>
    <w:rsid w:val="008C72F6"/>
    <w:rsid w:val="008C74B0"/>
    <w:rsid w:val="008C799B"/>
    <w:rsid w:val="008C7E4D"/>
    <w:rsid w:val="008C7F10"/>
    <w:rsid w:val="008D05CD"/>
    <w:rsid w:val="008D07D4"/>
    <w:rsid w:val="008D0873"/>
    <w:rsid w:val="008D08F8"/>
    <w:rsid w:val="008D1B5C"/>
    <w:rsid w:val="008D1D4C"/>
    <w:rsid w:val="008D20EF"/>
    <w:rsid w:val="008D284F"/>
    <w:rsid w:val="008D30C6"/>
    <w:rsid w:val="008D310F"/>
    <w:rsid w:val="008D4076"/>
    <w:rsid w:val="008D43B5"/>
    <w:rsid w:val="008D4ABB"/>
    <w:rsid w:val="008D4ADA"/>
    <w:rsid w:val="008D4B3D"/>
    <w:rsid w:val="008D4B9B"/>
    <w:rsid w:val="008D4CAF"/>
    <w:rsid w:val="008D4EAA"/>
    <w:rsid w:val="008D4F1D"/>
    <w:rsid w:val="008D51EA"/>
    <w:rsid w:val="008D6138"/>
    <w:rsid w:val="008D666E"/>
    <w:rsid w:val="008D74E0"/>
    <w:rsid w:val="008E0B3F"/>
    <w:rsid w:val="008E12ED"/>
    <w:rsid w:val="008E195C"/>
    <w:rsid w:val="008E1CBD"/>
    <w:rsid w:val="008E2AB1"/>
    <w:rsid w:val="008E2CF0"/>
    <w:rsid w:val="008E3033"/>
    <w:rsid w:val="008E34E3"/>
    <w:rsid w:val="008E3738"/>
    <w:rsid w:val="008E3A68"/>
    <w:rsid w:val="008E4400"/>
    <w:rsid w:val="008E495B"/>
    <w:rsid w:val="008E49AD"/>
    <w:rsid w:val="008E4DE6"/>
    <w:rsid w:val="008E51EC"/>
    <w:rsid w:val="008E67CF"/>
    <w:rsid w:val="008E698E"/>
    <w:rsid w:val="008E792E"/>
    <w:rsid w:val="008F03F8"/>
    <w:rsid w:val="008F0B43"/>
    <w:rsid w:val="008F0B58"/>
    <w:rsid w:val="008F0BC3"/>
    <w:rsid w:val="008F0FEE"/>
    <w:rsid w:val="008F20B2"/>
    <w:rsid w:val="008F2507"/>
    <w:rsid w:val="008F2584"/>
    <w:rsid w:val="008F2F38"/>
    <w:rsid w:val="008F315B"/>
    <w:rsid w:val="008F3246"/>
    <w:rsid w:val="008F3308"/>
    <w:rsid w:val="008F341C"/>
    <w:rsid w:val="008F382E"/>
    <w:rsid w:val="008F3C1B"/>
    <w:rsid w:val="008F5005"/>
    <w:rsid w:val="008F508C"/>
    <w:rsid w:val="008F57A5"/>
    <w:rsid w:val="008F57A7"/>
    <w:rsid w:val="008F5894"/>
    <w:rsid w:val="008F604F"/>
    <w:rsid w:val="008F6647"/>
    <w:rsid w:val="008F688C"/>
    <w:rsid w:val="008F6D3E"/>
    <w:rsid w:val="008F6D74"/>
    <w:rsid w:val="008F7329"/>
    <w:rsid w:val="008F7A4D"/>
    <w:rsid w:val="008F7CCF"/>
    <w:rsid w:val="008F7FD7"/>
    <w:rsid w:val="009009CF"/>
    <w:rsid w:val="00900C8B"/>
    <w:rsid w:val="009017DB"/>
    <w:rsid w:val="0090180D"/>
    <w:rsid w:val="00901A53"/>
    <w:rsid w:val="00901BE9"/>
    <w:rsid w:val="009025F6"/>
    <w:rsid w:val="0090271B"/>
    <w:rsid w:val="009040FC"/>
    <w:rsid w:val="00904F9C"/>
    <w:rsid w:val="00905628"/>
    <w:rsid w:val="0090563D"/>
    <w:rsid w:val="00905BEB"/>
    <w:rsid w:val="009063CA"/>
    <w:rsid w:val="00906C2E"/>
    <w:rsid w:val="00906ED5"/>
    <w:rsid w:val="00906F1A"/>
    <w:rsid w:val="00907569"/>
    <w:rsid w:val="00907856"/>
    <w:rsid w:val="00907BF5"/>
    <w:rsid w:val="00907F60"/>
    <w:rsid w:val="0091026E"/>
    <w:rsid w:val="00910642"/>
    <w:rsid w:val="00910DDF"/>
    <w:rsid w:val="00911A3B"/>
    <w:rsid w:val="00912702"/>
    <w:rsid w:val="00912E30"/>
    <w:rsid w:val="00913699"/>
    <w:rsid w:val="00913977"/>
    <w:rsid w:val="009139A1"/>
    <w:rsid w:val="009139AA"/>
    <w:rsid w:val="00913CDE"/>
    <w:rsid w:val="00914190"/>
    <w:rsid w:val="00915262"/>
    <w:rsid w:val="0091563A"/>
    <w:rsid w:val="00915A18"/>
    <w:rsid w:val="00915BCA"/>
    <w:rsid w:val="00916344"/>
    <w:rsid w:val="00916D1F"/>
    <w:rsid w:val="00916E24"/>
    <w:rsid w:val="00916E39"/>
    <w:rsid w:val="00916E92"/>
    <w:rsid w:val="0091764E"/>
    <w:rsid w:val="009178B3"/>
    <w:rsid w:val="00917D71"/>
    <w:rsid w:val="00917F39"/>
    <w:rsid w:val="00920308"/>
    <w:rsid w:val="00920BD0"/>
    <w:rsid w:val="00920E87"/>
    <w:rsid w:val="009212F7"/>
    <w:rsid w:val="0092140B"/>
    <w:rsid w:val="00921D2F"/>
    <w:rsid w:val="00921D38"/>
    <w:rsid w:val="00922290"/>
    <w:rsid w:val="00922955"/>
    <w:rsid w:val="00922BB1"/>
    <w:rsid w:val="00922DF0"/>
    <w:rsid w:val="00922E71"/>
    <w:rsid w:val="009231D8"/>
    <w:rsid w:val="0092412E"/>
    <w:rsid w:val="00924C01"/>
    <w:rsid w:val="00924C48"/>
    <w:rsid w:val="00924D9C"/>
    <w:rsid w:val="00924FD8"/>
    <w:rsid w:val="00925103"/>
    <w:rsid w:val="00925336"/>
    <w:rsid w:val="00926489"/>
    <w:rsid w:val="00926AE2"/>
    <w:rsid w:val="00926B3E"/>
    <w:rsid w:val="00926C9E"/>
    <w:rsid w:val="00926F68"/>
    <w:rsid w:val="00927CA2"/>
    <w:rsid w:val="00927E80"/>
    <w:rsid w:val="00930503"/>
    <w:rsid w:val="00930B13"/>
    <w:rsid w:val="009311C8"/>
    <w:rsid w:val="00931204"/>
    <w:rsid w:val="009317A5"/>
    <w:rsid w:val="00931EA0"/>
    <w:rsid w:val="0093240B"/>
    <w:rsid w:val="00932575"/>
    <w:rsid w:val="009325AF"/>
    <w:rsid w:val="009328DC"/>
    <w:rsid w:val="00932DD0"/>
    <w:rsid w:val="00933376"/>
    <w:rsid w:val="00933A2F"/>
    <w:rsid w:val="00933E00"/>
    <w:rsid w:val="00933F98"/>
    <w:rsid w:val="009342CD"/>
    <w:rsid w:val="00934379"/>
    <w:rsid w:val="00934576"/>
    <w:rsid w:val="009347A2"/>
    <w:rsid w:val="00934CEE"/>
    <w:rsid w:val="00934ED3"/>
    <w:rsid w:val="00935452"/>
    <w:rsid w:val="009358C2"/>
    <w:rsid w:val="00936317"/>
    <w:rsid w:val="009369A5"/>
    <w:rsid w:val="009369D5"/>
    <w:rsid w:val="00936BC2"/>
    <w:rsid w:val="00936F49"/>
    <w:rsid w:val="009370B4"/>
    <w:rsid w:val="0093770E"/>
    <w:rsid w:val="0093779F"/>
    <w:rsid w:val="0094004F"/>
    <w:rsid w:val="009414F4"/>
    <w:rsid w:val="009420E0"/>
    <w:rsid w:val="0094282D"/>
    <w:rsid w:val="0094289A"/>
    <w:rsid w:val="00942A47"/>
    <w:rsid w:val="00942BCD"/>
    <w:rsid w:val="00943214"/>
    <w:rsid w:val="00943DB2"/>
    <w:rsid w:val="00943F4B"/>
    <w:rsid w:val="00943F6F"/>
    <w:rsid w:val="00945269"/>
    <w:rsid w:val="00945545"/>
    <w:rsid w:val="009471B6"/>
    <w:rsid w:val="0094743C"/>
    <w:rsid w:val="0094770D"/>
    <w:rsid w:val="00950128"/>
    <w:rsid w:val="009504FF"/>
    <w:rsid w:val="00950DF8"/>
    <w:rsid w:val="00950F70"/>
    <w:rsid w:val="0095103E"/>
    <w:rsid w:val="00951210"/>
    <w:rsid w:val="0095145C"/>
    <w:rsid w:val="009526DF"/>
    <w:rsid w:val="00952F2C"/>
    <w:rsid w:val="00953204"/>
    <w:rsid w:val="009538A9"/>
    <w:rsid w:val="00953B6C"/>
    <w:rsid w:val="00953BCB"/>
    <w:rsid w:val="009540A9"/>
    <w:rsid w:val="0095435A"/>
    <w:rsid w:val="009545F8"/>
    <w:rsid w:val="009547EA"/>
    <w:rsid w:val="00954DC1"/>
    <w:rsid w:val="00955642"/>
    <w:rsid w:val="009563EB"/>
    <w:rsid w:val="00956F14"/>
    <w:rsid w:val="009577E9"/>
    <w:rsid w:val="00957DC5"/>
    <w:rsid w:val="009601EF"/>
    <w:rsid w:val="009606C1"/>
    <w:rsid w:val="009606F0"/>
    <w:rsid w:val="009608DE"/>
    <w:rsid w:val="009612A5"/>
    <w:rsid w:val="00961F07"/>
    <w:rsid w:val="00962346"/>
    <w:rsid w:val="00962615"/>
    <w:rsid w:val="009629B1"/>
    <w:rsid w:val="00962B53"/>
    <w:rsid w:val="0096301A"/>
    <w:rsid w:val="0096360F"/>
    <w:rsid w:val="0096398A"/>
    <w:rsid w:val="00963BC3"/>
    <w:rsid w:val="009644A7"/>
    <w:rsid w:val="00964916"/>
    <w:rsid w:val="00964978"/>
    <w:rsid w:val="00964CD8"/>
    <w:rsid w:val="009650C3"/>
    <w:rsid w:val="0096585F"/>
    <w:rsid w:val="00965AD6"/>
    <w:rsid w:val="00965B88"/>
    <w:rsid w:val="00965FDA"/>
    <w:rsid w:val="00966B76"/>
    <w:rsid w:val="00967473"/>
    <w:rsid w:val="0096773D"/>
    <w:rsid w:val="0096780A"/>
    <w:rsid w:val="00967AF4"/>
    <w:rsid w:val="009701D1"/>
    <w:rsid w:val="009704A1"/>
    <w:rsid w:val="009705BD"/>
    <w:rsid w:val="0097060E"/>
    <w:rsid w:val="0097094B"/>
    <w:rsid w:val="00970BA3"/>
    <w:rsid w:val="00971060"/>
    <w:rsid w:val="009710E6"/>
    <w:rsid w:val="009713A8"/>
    <w:rsid w:val="009716D8"/>
    <w:rsid w:val="00971816"/>
    <w:rsid w:val="009718F9"/>
    <w:rsid w:val="009719C2"/>
    <w:rsid w:val="00971F42"/>
    <w:rsid w:val="009723CE"/>
    <w:rsid w:val="009726F2"/>
    <w:rsid w:val="0097271D"/>
    <w:rsid w:val="00972FB9"/>
    <w:rsid w:val="009739D9"/>
    <w:rsid w:val="009740B3"/>
    <w:rsid w:val="009744E7"/>
    <w:rsid w:val="009745DF"/>
    <w:rsid w:val="009747F7"/>
    <w:rsid w:val="00974843"/>
    <w:rsid w:val="00974975"/>
    <w:rsid w:val="00975112"/>
    <w:rsid w:val="0097580E"/>
    <w:rsid w:val="00975DD4"/>
    <w:rsid w:val="00975E65"/>
    <w:rsid w:val="00975EA7"/>
    <w:rsid w:val="00975FA3"/>
    <w:rsid w:val="009766A6"/>
    <w:rsid w:val="00976CE9"/>
    <w:rsid w:val="00977249"/>
    <w:rsid w:val="0097735C"/>
    <w:rsid w:val="0097760E"/>
    <w:rsid w:val="0097775F"/>
    <w:rsid w:val="00977F68"/>
    <w:rsid w:val="009800F7"/>
    <w:rsid w:val="009801C1"/>
    <w:rsid w:val="00980510"/>
    <w:rsid w:val="0098149F"/>
    <w:rsid w:val="009815A3"/>
    <w:rsid w:val="009815C8"/>
    <w:rsid w:val="00981768"/>
    <w:rsid w:val="00981E90"/>
    <w:rsid w:val="00983816"/>
    <w:rsid w:val="00983893"/>
    <w:rsid w:val="00983E8F"/>
    <w:rsid w:val="00983E98"/>
    <w:rsid w:val="009841CF"/>
    <w:rsid w:val="00984C16"/>
    <w:rsid w:val="009858F8"/>
    <w:rsid w:val="00985999"/>
    <w:rsid w:val="00985D94"/>
    <w:rsid w:val="009868F2"/>
    <w:rsid w:val="00986C1B"/>
    <w:rsid w:val="0098788A"/>
    <w:rsid w:val="00990DF0"/>
    <w:rsid w:val="00991316"/>
    <w:rsid w:val="00992F7A"/>
    <w:rsid w:val="00993E66"/>
    <w:rsid w:val="0099485E"/>
    <w:rsid w:val="00994FC8"/>
    <w:rsid w:val="00994FDA"/>
    <w:rsid w:val="009957AD"/>
    <w:rsid w:val="00995AD4"/>
    <w:rsid w:val="00996331"/>
    <w:rsid w:val="00996354"/>
    <w:rsid w:val="00996B38"/>
    <w:rsid w:val="0099747E"/>
    <w:rsid w:val="00997B25"/>
    <w:rsid w:val="00997B67"/>
    <w:rsid w:val="00997E3F"/>
    <w:rsid w:val="00997E90"/>
    <w:rsid w:val="009A01BA"/>
    <w:rsid w:val="009A0468"/>
    <w:rsid w:val="009A0701"/>
    <w:rsid w:val="009A07EB"/>
    <w:rsid w:val="009A083B"/>
    <w:rsid w:val="009A0EBF"/>
    <w:rsid w:val="009A161E"/>
    <w:rsid w:val="009A1BA2"/>
    <w:rsid w:val="009A1E07"/>
    <w:rsid w:val="009A25A4"/>
    <w:rsid w:val="009A2FC2"/>
    <w:rsid w:val="009A31BF"/>
    <w:rsid w:val="009A3214"/>
    <w:rsid w:val="009A3480"/>
    <w:rsid w:val="009A3B71"/>
    <w:rsid w:val="009A3C93"/>
    <w:rsid w:val="009A3F75"/>
    <w:rsid w:val="009A424F"/>
    <w:rsid w:val="009A43F9"/>
    <w:rsid w:val="009A476B"/>
    <w:rsid w:val="009A4998"/>
    <w:rsid w:val="009A4AB5"/>
    <w:rsid w:val="009A4CC6"/>
    <w:rsid w:val="009A5462"/>
    <w:rsid w:val="009A5486"/>
    <w:rsid w:val="009A5CCE"/>
    <w:rsid w:val="009A6197"/>
    <w:rsid w:val="009A61BC"/>
    <w:rsid w:val="009A6C33"/>
    <w:rsid w:val="009A78B0"/>
    <w:rsid w:val="009A78C9"/>
    <w:rsid w:val="009A7C98"/>
    <w:rsid w:val="009A7CAC"/>
    <w:rsid w:val="009A7DB6"/>
    <w:rsid w:val="009A7E01"/>
    <w:rsid w:val="009B0138"/>
    <w:rsid w:val="009B01EC"/>
    <w:rsid w:val="009B06FC"/>
    <w:rsid w:val="009B08CF"/>
    <w:rsid w:val="009B0ED1"/>
    <w:rsid w:val="009B0F16"/>
    <w:rsid w:val="009B0FE9"/>
    <w:rsid w:val="009B1512"/>
    <w:rsid w:val="009B173A"/>
    <w:rsid w:val="009B220A"/>
    <w:rsid w:val="009B22D6"/>
    <w:rsid w:val="009B23EF"/>
    <w:rsid w:val="009B25DE"/>
    <w:rsid w:val="009B26A5"/>
    <w:rsid w:val="009B286B"/>
    <w:rsid w:val="009B29F5"/>
    <w:rsid w:val="009B2CD8"/>
    <w:rsid w:val="009B3138"/>
    <w:rsid w:val="009B36B0"/>
    <w:rsid w:val="009B3A3F"/>
    <w:rsid w:val="009B3B3F"/>
    <w:rsid w:val="009B4ED0"/>
    <w:rsid w:val="009B51C9"/>
    <w:rsid w:val="009B5505"/>
    <w:rsid w:val="009B5A0C"/>
    <w:rsid w:val="009B5C75"/>
    <w:rsid w:val="009B646A"/>
    <w:rsid w:val="009B6BFB"/>
    <w:rsid w:val="009B6CA7"/>
    <w:rsid w:val="009B7676"/>
    <w:rsid w:val="009B770D"/>
    <w:rsid w:val="009C08EB"/>
    <w:rsid w:val="009C0D29"/>
    <w:rsid w:val="009C0F9B"/>
    <w:rsid w:val="009C10A8"/>
    <w:rsid w:val="009C1A98"/>
    <w:rsid w:val="009C1AFF"/>
    <w:rsid w:val="009C2726"/>
    <w:rsid w:val="009C2B2A"/>
    <w:rsid w:val="009C2CCE"/>
    <w:rsid w:val="009C2D51"/>
    <w:rsid w:val="009C3134"/>
    <w:rsid w:val="009C3ADE"/>
    <w:rsid w:val="009C3B9C"/>
    <w:rsid w:val="009C3CAF"/>
    <w:rsid w:val="009C3D25"/>
    <w:rsid w:val="009C3DF7"/>
    <w:rsid w:val="009C3F20"/>
    <w:rsid w:val="009C48A9"/>
    <w:rsid w:val="009C4AB3"/>
    <w:rsid w:val="009C4CEA"/>
    <w:rsid w:val="009C4DEC"/>
    <w:rsid w:val="009C5067"/>
    <w:rsid w:val="009C591D"/>
    <w:rsid w:val="009C5B70"/>
    <w:rsid w:val="009C6794"/>
    <w:rsid w:val="009C6855"/>
    <w:rsid w:val="009C6D92"/>
    <w:rsid w:val="009C7405"/>
    <w:rsid w:val="009C7648"/>
    <w:rsid w:val="009C7A84"/>
    <w:rsid w:val="009C7B08"/>
    <w:rsid w:val="009C7CA1"/>
    <w:rsid w:val="009D0034"/>
    <w:rsid w:val="009D043D"/>
    <w:rsid w:val="009D04B5"/>
    <w:rsid w:val="009D0710"/>
    <w:rsid w:val="009D09CF"/>
    <w:rsid w:val="009D0A02"/>
    <w:rsid w:val="009D0EF9"/>
    <w:rsid w:val="009D11A1"/>
    <w:rsid w:val="009D1236"/>
    <w:rsid w:val="009D1B55"/>
    <w:rsid w:val="009D1D81"/>
    <w:rsid w:val="009D2985"/>
    <w:rsid w:val="009D4F43"/>
    <w:rsid w:val="009D57BA"/>
    <w:rsid w:val="009D59B4"/>
    <w:rsid w:val="009D5A09"/>
    <w:rsid w:val="009D5BF3"/>
    <w:rsid w:val="009D6048"/>
    <w:rsid w:val="009D674B"/>
    <w:rsid w:val="009D6EE8"/>
    <w:rsid w:val="009D7286"/>
    <w:rsid w:val="009E000A"/>
    <w:rsid w:val="009E134A"/>
    <w:rsid w:val="009E1B88"/>
    <w:rsid w:val="009E2501"/>
    <w:rsid w:val="009E2563"/>
    <w:rsid w:val="009E373D"/>
    <w:rsid w:val="009E3C59"/>
    <w:rsid w:val="009E41E6"/>
    <w:rsid w:val="009E45FB"/>
    <w:rsid w:val="009E5C3D"/>
    <w:rsid w:val="009E6034"/>
    <w:rsid w:val="009E623C"/>
    <w:rsid w:val="009E624C"/>
    <w:rsid w:val="009E6BE3"/>
    <w:rsid w:val="009E6BF1"/>
    <w:rsid w:val="009E6D19"/>
    <w:rsid w:val="009E6FF9"/>
    <w:rsid w:val="009E715E"/>
    <w:rsid w:val="009E7639"/>
    <w:rsid w:val="009E769F"/>
    <w:rsid w:val="009E7A1A"/>
    <w:rsid w:val="009E7E08"/>
    <w:rsid w:val="009F09B8"/>
    <w:rsid w:val="009F0DD5"/>
    <w:rsid w:val="009F10E8"/>
    <w:rsid w:val="009F1790"/>
    <w:rsid w:val="009F1C20"/>
    <w:rsid w:val="009F25B8"/>
    <w:rsid w:val="009F2711"/>
    <w:rsid w:val="009F3259"/>
    <w:rsid w:val="009F3791"/>
    <w:rsid w:val="009F3E37"/>
    <w:rsid w:val="009F4583"/>
    <w:rsid w:val="009F4A87"/>
    <w:rsid w:val="009F50F0"/>
    <w:rsid w:val="009F6076"/>
    <w:rsid w:val="009F6236"/>
    <w:rsid w:val="009F6677"/>
    <w:rsid w:val="009F66A4"/>
    <w:rsid w:val="009F6705"/>
    <w:rsid w:val="009F6F7E"/>
    <w:rsid w:val="009F7571"/>
    <w:rsid w:val="009F7F1B"/>
    <w:rsid w:val="009F7F42"/>
    <w:rsid w:val="00A00549"/>
    <w:rsid w:val="00A0067D"/>
    <w:rsid w:val="00A02787"/>
    <w:rsid w:val="00A02FB0"/>
    <w:rsid w:val="00A037D5"/>
    <w:rsid w:val="00A03D37"/>
    <w:rsid w:val="00A041C6"/>
    <w:rsid w:val="00A049AB"/>
    <w:rsid w:val="00A050B6"/>
    <w:rsid w:val="00A055C2"/>
    <w:rsid w:val="00A056DE"/>
    <w:rsid w:val="00A0586B"/>
    <w:rsid w:val="00A06312"/>
    <w:rsid w:val="00A063D7"/>
    <w:rsid w:val="00A06A10"/>
    <w:rsid w:val="00A06B69"/>
    <w:rsid w:val="00A06D7E"/>
    <w:rsid w:val="00A06E84"/>
    <w:rsid w:val="00A079DA"/>
    <w:rsid w:val="00A07A20"/>
    <w:rsid w:val="00A07DAA"/>
    <w:rsid w:val="00A1017E"/>
    <w:rsid w:val="00A10A60"/>
    <w:rsid w:val="00A10B17"/>
    <w:rsid w:val="00A10FA0"/>
    <w:rsid w:val="00A11258"/>
    <w:rsid w:val="00A117AE"/>
    <w:rsid w:val="00A11CC3"/>
    <w:rsid w:val="00A128AD"/>
    <w:rsid w:val="00A12D95"/>
    <w:rsid w:val="00A13725"/>
    <w:rsid w:val="00A13FBD"/>
    <w:rsid w:val="00A13FFB"/>
    <w:rsid w:val="00A145EE"/>
    <w:rsid w:val="00A14BE7"/>
    <w:rsid w:val="00A14FC6"/>
    <w:rsid w:val="00A14FD2"/>
    <w:rsid w:val="00A15085"/>
    <w:rsid w:val="00A15B71"/>
    <w:rsid w:val="00A15D39"/>
    <w:rsid w:val="00A15EAB"/>
    <w:rsid w:val="00A16B1E"/>
    <w:rsid w:val="00A16D7E"/>
    <w:rsid w:val="00A16DF4"/>
    <w:rsid w:val="00A16E12"/>
    <w:rsid w:val="00A17227"/>
    <w:rsid w:val="00A204DE"/>
    <w:rsid w:val="00A21477"/>
    <w:rsid w:val="00A21615"/>
    <w:rsid w:val="00A21685"/>
    <w:rsid w:val="00A21910"/>
    <w:rsid w:val="00A21B46"/>
    <w:rsid w:val="00A21E76"/>
    <w:rsid w:val="00A221DA"/>
    <w:rsid w:val="00A22360"/>
    <w:rsid w:val="00A22646"/>
    <w:rsid w:val="00A22898"/>
    <w:rsid w:val="00A23171"/>
    <w:rsid w:val="00A235F3"/>
    <w:rsid w:val="00A23BC8"/>
    <w:rsid w:val="00A2454B"/>
    <w:rsid w:val="00A245F8"/>
    <w:rsid w:val="00A25164"/>
    <w:rsid w:val="00A25972"/>
    <w:rsid w:val="00A27231"/>
    <w:rsid w:val="00A277AC"/>
    <w:rsid w:val="00A27F50"/>
    <w:rsid w:val="00A30E68"/>
    <w:rsid w:val="00A317B6"/>
    <w:rsid w:val="00A31933"/>
    <w:rsid w:val="00A31C63"/>
    <w:rsid w:val="00A31EF2"/>
    <w:rsid w:val="00A326E0"/>
    <w:rsid w:val="00A329D2"/>
    <w:rsid w:val="00A333AF"/>
    <w:rsid w:val="00A33C23"/>
    <w:rsid w:val="00A33C78"/>
    <w:rsid w:val="00A34243"/>
    <w:rsid w:val="00A346A2"/>
    <w:rsid w:val="00A34AA0"/>
    <w:rsid w:val="00A3634C"/>
    <w:rsid w:val="00A36A38"/>
    <w:rsid w:val="00A36B9B"/>
    <w:rsid w:val="00A36D12"/>
    <w:rsid w:val="00A3715C"/>
    <w:rsid w:val="00A3739C"/>
    <w:rsid w:val="00A37E28"/>
    <w:rsid w:val="00A4004F"/>
    <w:rsid w:val="00A405F4"/>
    <w:rsid w:val="00A40F63"/>
    <w:rsid w:val="00A413B4"/>
    <w:rsid w:val="00A4141E"/>
    <w:rsid w:val="00A4168E"/>
    <w:rsid w:val="00A41E63"/>
    <w:rsid w:val="00A41FE2"/>
    <w:rsid w:val="00A42434"/>
    <w:rsid w:val="00A42FED"/>
    <w:rsid w:val="00A437B2"/>
    <w:rsid w:val="00A43C0C"/>
    <w:rsid w:val="00A43D3E"/>
    <w:rsid w:val="00A44202"/>
    <w:rsid w:val="00A45378"/>
    <w:rsid w:val="00A45A0A"/>
    <w:rsid w:val="00A4635E"/>
    <w:rsid w:val="00A4694F"/>
    <w:rsid w:val="00A46B55"/>
    <w:rsid w:val="00A46FEF"/>
    <w:rsid w:val="00A472D4"/>
    <w:rsid w:val="00A47328"/>
    <w:rsid w:val="00A477C6"/>
    <w:rsid w:val="00A47948"/>
    <w:rsid w:val="00A50894"/>
    <w:rsid w:val="00A50CF6"/>
    <w:rsid w:val="00A51117"/>
    <w:rsid w:val="00A51BAF"/>
    <w:rsid w:val="00A52117"/>
    <w:rsid w:val="00A5224A"/>
    <w:rsid w:val="00A52ABE"/>
    <w:rsid w:val="00A52B0F"/>
    <w:rsid w:val="00A52B66"/>
    <w:rsid w:val="00A52CC6"/>
    <w:rsid w:val="00A52D71"/>
    <w:rsid w:val="00A52F17"/>
    <w:rsid w:val="00A52FB4"/>
    <w:rsid w:val="00A5344F"/>
    <w:rsid w:val="00A535B3"/>
    <w:rsid w:val="00A535DD"/>
    <w:rsid w:val="00A5437F"/>
    <w:rsid w:val="00A54497"/>
    <w:rsid w:val="00A5485F"/>
    <w:rsid w:val="00A550C5"/>
    <w:rsid w:val="00A550E4"/>
    <w:rsid w:val="00A55EB5"/>
    <w:rsid w:val="00A5614E"/>
    <w:rsid w:val="00A56946"/>
    <w:rsid w:val="00A56EC3"/>
    <w:rsid w:val="00A573A9"/>
    <w:rsid w:val="00A57613"/>
    <w:rsid w:val="00A578BC"/>
    <w:rsid w:val="00A57DB7"/>
    <w:rsid w:val="00A57F19"/>
    <w:rsid w:val="00A60419"/>
    <w:rsid w:val="00A60611"/>
    <w:rsid w:val="00A608FF"/>
    <w:rsid w:val="00A60BF6"/>
    <w:rsid w:val="00A611D9"/>
    <w:rsid w:val="00A61306"/>
    <w:rsid w:val="00A61433"/>
    <w:rsid w:val="00A61626"/>
    <w:rsid w:val="00A6170E"/>
    <w:rsid w:val="00A61C9C"/>
    <w:rsid w:val="00A61DF5"/>
    <w:rsid w:val="00A62007"/>
    <w:rsid w:val="00A621C3"/>
    <w:rsid w:val="00A6226D"/>
    <w:rsid w:val="00A6240F"/>
    <w:rsid w:val="00A624E4"/>
    <w:rsid w:val="00A62900"/>
    <w:rsid w:val="00A632D3"/>
    <w:rsid w:val="00A638BA"/>
    <w:rsid w:val="00A63B8C"/>
    <w:rsid w:val="00A63BEB"/>
    <w:rsid w:val="00A63EA2"/>
    <w:rsid w:val="00A646BB"/>
    <w:rsid w:val="00A646F3"/>
    <w:rsid w:val="00A64948"/>
    <w:rsid w:val="00A64AEC"/>
    <w:rsid w:val="00A65221"/>
    <w:rsid w:val="00A6536F"/>
    <w:rsid w:val="00A65445"/>
    <w:rsid w:val="00A65664"/>
    <w:rsid w:val="00A6623F"/>
    <w:rsid w:val="00A6641F"/>
    <w:rsid w:val="00A665E6"/>
    <w:rsid w:val="00A66B38"/>
    <w:rsid w:val="00A66B80"/>
    <w:rsid w:val="00A66C09"/>
    <w:rsid w:val="00A67682"/>
    <w:rsid w:val="00A676EE"/>
    <w:rsid w:val="00A67FD4"/>
    <w:rsid w:val="00A7129F"/>
    <w:rsid w:val="00A71383"/>
    <w:rsid w:val="00A715F8"/>
    <w:rsid w:val="00A71694"/>
    <w:rsid w:val="00A717D5"/>
    <w:rsid w:val="00A717FF"/>
    <w:rsid w:val="00A71A6A"/>
    <w:rsid w:val="00A7263D"/>
    <w:rsid w:val="00A72BA9"/>
    <w:rsid w:val="00A72BB5"/>
    <w:rsid w:val="00A72C8E"/>
    <w:rsid w:val="00A7304A"/>
    <w:rsid w:val="00A73E46"/>
    <w:rsid w:val="00A741FD"/>
    <w:rsid w:val="00A74473"/>
    <w:rsid w:val="00A746DF"/>
    <w:rsid w:val="00A74AFF"/>
    <w:rsid w:val="00A74F34"/>
    <w:rsid w:val="00A768CF"/>
    <w:rsid w:val="00A76B25"/>
    <w:rsid w:val="00A76CFD"/>
    <w:rsid w:val="00A76E1C"/>
    <w:rsid w:val="00A773AC"/>
    <w:rsid w:val="00A776A5"/>
    <w:rsid w:val="00A77A01"/>
    <w:rsid w:val="00A77A72"/>
    <w:rsid w:val="00A77A79"/>
    <w:rsid w:val="00A77B6A"/>
    <w:rsid w:val="00A77F6F"/>
    <w:rsid w:val="00A80586"/>
    <w:rsid w:val="00A805A4"/>
    <w:rsid w:val="00A80957"/>
    <w:rsid w:val="00A80AEB"/>
    <w:rsid w:val="00A80B44"/>
    <w:rsid w:val="00A8114B"/>
    <w:rsid w:val="00A81698"/>
    <w:rsid w:val="00A8199D"/>
    <w:rsid w:val="00A81CAF"/>
    <w:rsid w:val="00A823AE"/>
    <w:rsid w:val="00A82664"/>
    <w:rsid w:val="00A82DA9"/>
    <w:rsid w:val="00A831FD"/>
    <w:rsid w:val="00A83296"/>
    <w:rsid w:val="00A83352"/>
    <w:rsid w:val="00A83363"/>
    <w:rsid w:val="00A83B91"/>
    <w:rsid w:val="00A8439D"/>
    <w:rsid w:val="00A84CA5"/>
    <w:rsid w:val="00A850A2"/>
    <w:rsid w:val="00A856E1"/>
    <w:rsid w:val="00A85705"/>
    <w:rsid w:val="00A857DB"/>
    <w:rsid w:val="00A86314"/>
    <w:rsid w:val="00A865A9"/>
    <w:rsid w:val="00A86667"/>
    <w:rsid w:val="00A872B4"/>
    <w:rsid w:val="00A87980"/>
    <w:rsid w:val="00A87DB2"/>
    <w:rsid w:val="00A87FBC"/>
    <w:rsid w:val="00A90661"/>
    <w:rsid w:val="00A90A82"/>
    <w:rsid w:val="00A90AF6"/>
    <w:rsid w:val="00A9168D"/>
    <w:rsid w:val="00A91CFB"/>
    <w:rsid w:val="00A91FA3"/>
    <w:rsid w:val="00A927D3"/>
    <w:rsid w:val="00A92B6A"/>
    <w:rsid w:val="00A93120"/>
    <w:rsid w:val="00A938E8"/>
    <w:rsid w:val="00A941D7"/>
    <w:rsid w:val="00A9438E"/>
    <w:rsid w:val="00A943DC"/>
    <w:rsid w:val="00A94EC5"/>
    <w:rsid w:val="00A9549D"/>
    <w:rsid w:val="00A95D9C"/>
    <w:rsid w:val="00A9604D"/>
    <w:rsid w:val="00A96160"/>
    <w:rsid w:val="00A96791"/>
    <w:rsid w:val="00A968A1"/>
    <w:rsid w:val="00A968F6"/>
    <w:rsid w:val="00A96FA8"/>
    <w:rsid w:val="00A976A8"/>
    <w:rsid w:val="00A97FAD"/>
    <w:rsid w:val="00AA05E0"/>
    <w:rsid w:val="00AA07F8"/>
    <w:rsid w:val="00AA08C5"/>
    <w:rsid w:val="00AA1034"/>
    <w:rsid w:val="00AA1049"/>
    <w:rsid w:val="00AA116C"/>
    <w:rsid w:val="00AA264A"/>
    <w:rsid w:val="00AA2952"/>
    <w:rsid w:val="00AA2A96"/>
    <w:rsid w:val="00AA2B4D"/>
    <w:rsid w:val="00AA2D0B"/>
    <w:rsid w:val="00AA2E8F"/>
    <w:rsid w:val="00AA3464"/>
    <w:rsid w:val="00AA37BE"/>
    <w:rsid w:val="00AA3C7A"/>
    <w:rsid w:val="00AA3F59"/>
    <w:rsid w:val="00AA48D1"/>
    <w:rsid w:val="00AA62BB"/>
    <w:rsid w:val="00AA6447"/>
    <w:rsid w:val="00AA67E6"/>
    <w:rsid w:val="00AA77DF"/>
    <w:rsid w:val="00AA797D"/>
    <w:rsid w:val="00AA7A08"/>
    <w:rsid w:val="00AA7FC9"/>
    <w:rsid w:val="00AB1123"/>
    <w:rsid w:val="00AB11B6"/>
    <w:rsid w:val="00AB17AD"/>
    <w:rsid w:val="00AB1925"/>
    <w:rsid w:val="00AB1996"/>
    <w:rsid w:val="00AB1C97"/>
    <w:rsid w:val="00AB237D"/>
    <w:rsid w:val="00AB272F"/>
    <w:rsid w:val="00AB3205"/>
    <w:rsid w:val="00AB36C1"/>
    <w:rsid w:val="00AB3939"/>
    <w:rsid w:val="00AB3AD7"/>
    <w:rsid w:val="00AB3B0A"/>
    <w:rsid w:val="00AB3C77"/>
    <w:rsid w:val="00AB4474"/>
    <w:rsid w:val="00AB46DE"/>
    <w:rsid w:val="00AB4D5F"/>
    <w:rsid w:val="00AB5933"/>
    <w:rsid w:val="00AB5AD6"/>
    <w:rsid w:val="00AB5F53"/>
    <w:rsid w:val="00AB63B7"/>
    <w:rsid w:val="00AB63ED"/>
    <w:rsid w:val="00AB652C"/>
    <w:rsid w:val="00AB65DA"/>
    <w:rsid w:val="00AB6A5F"/>
    <w:rsid w:val="00AB6D37"/>
    <w:rsid w:val="00AB6DD7"/>
    <w:rsid w:val="00AB6F04"/>
    <w:rsid w:val="00AB70BC"/>
    <w:rsid w:val="00AB7677"/>
    <w:rsid w:val="00AB77EE"/>
    <w:rsid w:val="00AC008D"/>
    <w:rsid w:val="00AC0B1E"/>
    <w:rsid w:val="00AC0EBF"/>
    <w:rsid w:val="00AC1694"/>
    <w:rsid w:val="00AC192B"/>
    <w:rsid w:val="00AC2006"/>
    <w:rsid w:val="00AC239D"/>
    <w:rsid w:val="00AC2705"/>
    <w:rsid w:val="00AC2C34"/>
    <w:rsid w:val="00AC2CAA"/>
    <w:rsid w:val="00AC3840"/>
    <w:rsid w:val="00AC3A94"/>
    <w:rsid w:val="00AC3C55"/>
    <w:rsid w:val="00AC3FB0"/>
    <w:rsid w:val="00AC409E"/>
    <w:rsid w:val="00AC5723"/>
    <w:rsid w:val="00AC5930"/>
    <w:rsid w:val="00AC5C92"/>
    <w:rsid w:val="00AC628F"/>
    <w:rsid w:val="00AC758D"/>
    <w:rsid w:val="00AC7871"/>
    <w:rsid w:val="00AC79E5"/>
    <w:rsid w:val="00AC7CF7"/>
    <w:rsid w:val="00AD1F6E"/>
    <w:rsid w:val="00AD2558"/>
    <w:rsid w:val="00AD270A"/>
    <w:rsid w:val="00AD2DEE"/>
    <w:rsid w:val="00AD33E1"/>
    <w:rsid w:val="00AD353F"/>
    <w:rsid w:val="00AD371B"/>
    <w:rsid w:val="00AD3F68"/>
    <w:rsid w:val="00AD4152"/>
    <w:rsid w:val="00AD471E"/>
    <w:rsid w:val="00AD4B90"/>
    <w:rsid w:val="00AD55F6"/>
    <w:rsid w:val="00AD570B"/>
    <w:rsid w:val="00AD5BBC"/>
    <w:rsid w:val="00AD5C35"/>
    <w:rsid w:val="00AD5E27"/>
    <w:rsid w:val="00AD661C"/>
    <w:rsid w:val="00AD6D1E"/>
    <w:rsid w:val="00AD7967"/>
    <w:rsid w:val="00AD7AC7"/>
    <w:rsid w:val="00AD7F9E"/>
    <w:rsid w:val="00AE013D"/>
    <w:rsid w:val="00AE040B"/>
    <w:rsid w:val="00AE04EB"/>
    <w:rsid w:val="00AE0752"/>
    <w:rsid w:val="00AE11B7"/>
    <w:rsid w:val="00AE244A"/>
    <w:rsid w:val="00AE27B8"/>
    <w:rsid w:val="00AE289F"/>
    <w:rsid w:val="00AE3435"/>
    <w:rsid w:val="00AE3A07"/>
    <w:rsid w:val="00AE3D4E"/>
    <w:rsid w:val="00AE4458"/>
    <w:rsid w:val="00AE47F3"/>
    <w:rsid w:val="00AE54CA"/>
    <w:rsid w:val="00AE5603"/>
    <w:rsid w:val="00AE5832"/>
    <w:rsid w:val="00AE5E7F"/>
    <w:rsid w:val="00AE6384"/>
    <w:rsid w:val="00AE672B"/>
    <w:rsid w:val="00AE6ADA"/>
    <w:rsid w:val="00AE6BCE"/>
    <w:rsid w:val="00AE6E8B"/>
    <w:rsid w:val="00AE7F68"/>
    <w:rsid w:val="00AF0863"/>
    <w:rsid w:val="00AF09EF"/>
    <w:rsid w:val="00AF0DFE"/>
    <w:rsid w:val="00AF1293"/>
    <w:rsid w:val="00AF163F"/>
    <w:rsid w:val="00AF176D"/>
    <w:rsid w:val="00AF1982"/>
    <w:rsid w:val="00AF1B2A"/>
    <w:rsid w:val="00AF2321"/>
    <w:rsid w:val="00AF2E62"/>
    <w:rsid w:val="00AF313D"/>
    <w:rsid w:val="00AF356E"/>
    <w:rsid w:val="00AF3593"/>
    <w:rsid w:val="00AF36CB"/>
    <w:rsid w:val="00AF4129"/>
    <w:rsid w:val="00AF4854"/>
    <w:rsid w:val="00AF4CEC"/>
    <w:rsid w:val="00AF4EC3"/>
    <w:rsid w:val="00AF52F6"/>
    <w:rsid w:val="00AF52FD"/>
    <w:rsid w:val="00AF54A8"/>
    <w:rsid w:val="00AF5C51"/>
    <w:rsid w:val="00AF5E1C"/>
    <w:rsid w:val="00AF60B3"/>
    <w:rsid w:val="00AF6966"/>
    <w:rsid w:val="00AF6DCA"/>
    <w:rsid w:val="00AF6F88"/>
    <w:rsid w:val="00AF7237"/>
    <w:rsid w:val="00AF74A4"/>
    <w:rsid w:val="00B0000A"/>
    <w:rsid w:val="00B0043A"/>
    <w:rsid w:val="00B005BF"/>
    <w:rsid w:val="00B008EC"/>
    <w:rsid w:val="00B00D75"/>
    <w:rsid w:val="00B021F6"/>
    <w:rsid w:val="00B024DC"/>
    <w:rsid w:val="00B02E03"/>
    <w:rsid w:val="00B032B4"/>
    <w:rsid w:val="00B032F0"/>
    <w:rsid w:val="00B0359D"/>
    <w:rsid w:val="00B03873"/>
    <w:rsid w:val="00B03976"/>
    <w:rsid w:val="00B04295"/>
    <w:rsid w:val="00B056AB"/>
    <w:rsid w:val="00B05891"/>
    <w:rsid w:val="00B064AF"/>
    <w:rsid w:val="00B06698"/>
    <w:rsid w:val="00B0672E"/>
    <w:rsid w:val="00B06BB3"/>
    <w:rsid w:val="00B06D21"/>
    <w:rsid w:val="00B06D84"/>
    <w:rsid w:val="00B07041"/>
    <w:rsid w:val="00B070CB"/>
    <w:rsid w:val="00B073F8"/>
    <w:rsid w:val="00B07F8C"/>
    <w:rsid w:val="00B10EA0"/>
    <w:rsid w:val="00B1113C"/>
    <w:rsid w:val="00B11440"/>
    <w:rsid w:val="00B115C9"/>
    <w:rsid w:val="00B1196C"/>
    <w:rsid w:val="00B11E8C"/>
    <w:rsid w:val="00B1229D"/>
    <w:rsid w:val="00B12456"/>
    <w:rsid w:val="00B129A2"/>
    <w:rsid w:val="00B12C32"/>
    <w:rsid w:val="00B13358"/>
    <w:rsid w:val="00B13C6C"/>
    <w:rsid w:val="00B14418"/>
    <w:rsid w:val="00B145F0"/>
    <w:rsid w:val="00B14841"/>
    <w:rsid w:val="00B14DB3"/>
    <w:rsid w:val="00B14E70"/>
    <w:rsid w:val="00B14EB5"/>
    <w:rsid w:val="00B15100"/>
    <w:rsid w:val="00B152BE"/>
    <w:rsid w:val="00B15A4B"/>
    <w:rsid w:val="00B16100"/>
    <w:rsid w:val="00B16259"/>
    <w:rsid w:val="00B162B4"/>
    <w:rsid w:val="00B16B0C"/>
    <w:rsid w:val="00B175F5"/>
    <w:rsid w:val="00B17D5F"/>
    <w:rsid w:val="00B2007B"/>
    <w:rsid w:val="00B21016"/>
    <w:rsid w:val="00B21165"/>
    <w:rsid w:val="00B21EE3"/>
    <w:rsid w:val="00B223A2"/>
    <w:rsid w:val="00B227D5"/>
    <w:rsid w:val="00B23179"/>
    <w:rsid w:val="00B23631"/>
    <w:rsid w:val="00B2397A"/>
    <w:rsid w:val="00B247CA"/>
    <w:rsid w:val="00B24AA5"/>
    <w:rsid w:val="00B24E58"/>
    <w:rsid w:val="00B25046"/>
    <w:rsid w:val="00B25087"/>
    <w:rsid w:val="00B25407"/>
    <w:rsid w:val="00B2546E"/>
    <w:rsid w:val="00B259C8"/>
    <w:rsid w:val="00B25BDA"/>
    <w:rsid w:val="00B25C9D"/>
    <w:rsid w:val="00B26008"/>
    <w:rsid w:val="00B26CCF"/>
    <w:rsid w:val="00B30FC2"/>
    <w:rsid w:val="00B3102A"/>
    <w:rsid w:val="00B3102D"/>
    <w:rsid w:val="00B310EA"/>
    <w:rsid w:val="00B314CD"/>
    <w:rsid w:val="00B31566"/>
    <w:rsid w:val="00B31586"/>
    <w:rsid w:val="00B31C6D"/>
    <w:rsid w:val="00B32142"/>
    <w:rsid w:val="00B32976"/>
    <w:rsid w:val="00B330A2"/>
    <w:rsid w:val="00B330F9"/>
    <w:rsid w:val="00B33106"/>
    <w:rsid w:val="00B331A2"/>
    <w:rsid w:val="00B33C1F"/>
    <w:rsid w:val="00B346E6"/>
    <w:rsid w:val="00B34AF3"/>
    <w:rsid w:val="00B35FFB"/>
    <w:rsid w:val="00B366C2"/>
    <w:rsid w:val="00B40514"/>
    <w:rsid w:val="00B41C8F"/>
    <w:rsid w:val="00B420DC"/>
    <w:rsid w:val="00B421BA"/>
    <w:rsid w:val="00B425F0"/>
    <w:rsid w:val="00B4262B"/>
    <w:rsid w:val="00B42C9D"/>
    <w:rsid w:val="00B42DFA"/>
    <w:rsid w:val="00B43151"/>
    <w:rsid w:val="00B43AB6"/>
    <w:rsid w:val="00B43C5C"/>
    <w:rsid w:val="00B445EB"/>
    <w:rsid w:val="00B44C44"/>
    <w:rsid w:val="00B450A3"/>
    <w:rsid w:val="00B45125"/>
    <w:rsid w:val="00B45319"/>
    <w:rsid w:val="00B4540D"/>
    <w:rsid w:val="00B46041"/>
    <w:rsid w:val="00B4668D"/>
    <w:rsid w:val="00B46997"/>
    <w:rsid w:val="00B46BAA"/>
    <w:rsid w:val="00B46DC1"/>
    <w:rsid w:val="00B46E23"/>
    <w:rsid w:val="00B46E35"/>
    <w:rsid w:val="00B47044"/>
    <w:rsid w:val="00B47699"/>
    <w:rsid w:val="00B50518"/>
    <w:rsid w:val="00B5051E"/>
    <w:rsid w:val="00B529E8"/>
    <w:rsid w:val="00B52B5F"/>
    <w:rsid w:val="00B52C00"/>
    <w:rsid w:val="00B52D9C"/>
    <w:rsid w:val="00B531DD"/>
    <w:rsid w:val="00B53430"/>
    <w:rsid w:val="00B5359B"/>
    <w:rsid w:val="00B5399F"/>
    <w:rsid w:val="00B53EC2"/>
    <w:rsid w:val="00B54956"/>
    <w:rsid w:val="00B54CEA"/>
    <w:rsid w:val="00B55014"/>
    <w:rsid w:val="00B5508F"/>
    <w:rsid w:val="00B556D2"/>
    <w:rsid w:val="00B55EE2"/>
    <w:rsid w:val="00B5626C"/>
    <w:rsid w:val="00B56311"/>
    <w:rsid w:val="00B5658D"/>
    <w:rsid w:val="00B569F5"/>
    <w:rsid w:val="00B56D0B"/>
    <w:rsid w:val="00B577E7"/>
    <w:rsid w:val="00B579CC"/>
    <w:rsid w:val="00B57A33"/>
    <w:rsid w:val="00B57D80"/>
    <w:rsid w:val="00B601B8"/>
    <w:rsid w:val="00B60572"/>
    <w:rsid w:val="00B60992"/>
    <w:rsid w:val="00B60A3C"/>
    <w:rsid w:val="00B60B22"/>
    <w:rsid w:val="00B60D5E"/>
    <w:rsid w:val="00B610FD"/>
    <w:rsid w:val="00B62232"/>
    <w:rsid w:val="00B626B5"/>
    <w:rsid w:val="00B62C55"/>
    <w:rsid w:val="00B62E22"/>
    <w:rsid w:val="00B6360F"/>
    <w:rsid w:val="00B63958"/>
    <w:rsid w:val="00B63D3A"/>
    <w:rsid w:val="00B6466C"/>
    <w:rsid w:val="00B649CF"/>
    <w:rsid w:val="00B653A2"/>
    <w:rsid w:val="00B655B4"/>
    <w:rsid w:val="00B66310"/>
    <w:rsid w:val="00B667EE"/>
    <w:rsid w:val="00B66B33"/>
    <w:rsid w:val="00B66E6B"/>
    <w:rsid w:val="00B66F56"/>
    <w:rsid w:val="00B675DB"/>
    <w:rsid w:val="00B67D33"/>
    <w:rsid w:val="00B700A2"/>
    <w:rsid w:val="00B703EF"/>
    <w:rsid w:val="00B70661"/>
    <w:rsid w:val="00B70BF3"/>
    <w:rsid w:val="00B718A3"/>
    <w:rsid w:val="00B71DC2"/>
    <w:rsid w:val="00B721D3"/>
    <w:rsid w:val="00B7370C"/>
    <w:rsid w:val="00B73E69"/>
    <w:rsid w:val="00B7454D"/>
    <w:rsid w:val="00B7470C"/>
    <w:rsid w:val="00B74BD1"/>
    <w:rsid w:val="00B759E3"/>
    <w:rsid w:val="00B75A82"/>
    <w:rsid w:val="00B75B2E"/>
    <w:rsid w:val="00B75D75"/>
    <w:rsid w:val="00B75DC8"/>
    <w:rsid w:val="00B75E76"/>
    <w:rsid w:val="00B7710B"/>
    <w:rsid w:val="00B778F4"/>
    <w:rsid w:val="00B8068C"/>
    <w:rsid w:val="00B81ACD"/>
    <w:rsid w:val="00B82797"/>
    <w:rsid w:val="00B82D99"/>
    <w:rsid w:val="00B8348F"/>
    <w:rsid w:val="00B84592"/>
    <w:rsid w:val="00B845B9"/>
    <w:rsid w:val="00B849F5"/>
    <w:rsid w:val="00B84F13"/>
    <w:rsid w:val="00B85420"/>
    <w:rsid w:val="00B866E0"/>
    <w:rsid w:val="00B8719E"/>
    <w:rsid w:val="00B8765A"/>
    <w:rsid w:val="00B87BF3"/>
    <w:rsid w:val="00B901C1"/>
    <w:rsid w:val="00B90B35"/>
    <w:rsid w:val="00B914BD"/>
    <w:rsid w:val="00B916D9"/>
    <w:rsid w:val="00B918AC"/>
    <w:rsid w:val="00B91B27"/>
    <w:rsid w:val="00B91CFC"/>
    <w:rsid w:val="00B91F87"/>
    <w:rsid w:val="00B9205E"/>
    <w:rsid w:val="00B9265B"/>
    <w:rsid w:val="00B926EC"/>
    <w:rsid w:val="00B9277A"/>
    <w:rsid w:val="00B92F9C"/>
    <w:rsid w:val="00B933A8"/>
    <w:rsid w:val="00B934CA"/>
    <w:rsid w:val="00B937D4"/>
    <w:rsid w:val="00B93893"/>
    <w:rsid w:val="00B939C2"/>
    <w:rsid w:val="00B94840"/>
    <w:rsid w:val="00B94B0C"/>
    <w:rsid w:val="00B94CBB"/>
    <w:rsid w:val="00B9504D"/>
    <w:rsid w:val="00B95584"/>
    <w:rsid w:val="00B95C38"/>
    <w:rsid w:val="00B961F0"/>
    <w:rsid w:val="00B965FC"/>
    <w:rsid w:val="00B96972"/>
    <w:rsid w:val="00B96A71"/>
    <w:rsid w:val="00B96D93"/>
    <w:rsid w:val="00BA0130"/>
    <w:rsid w:val="00BA064A"/>
    <w:rsid w:val="00BA0B2B"/>
    <w:rsid w:val="00BA0FA2"/>
    <w:rsid w:val="00BA12E1"/>
    <w:rsid w:val="00BA1397"/>
    <w:rsid w:val="00BA1690"/>
    <w:rsid w:val="00BA191E"/>
    <w:rsid w:val="00BA1A5A"/>
    <w:rsid w:val="00BA2557"/>
    <w:rsid w:val="00BA2B51"/>
    <w:rsid w:val="00BA2EF7"/>
    <w:rsid w:val="00BA31FC"/>
    <w:rsid w:val="00BA33A5"/>
    <w:rsid w:val="00BA4201"/>
    <w:rsid w:val="00BA478E"/>
    <w:rsid w:val="00BA4CE7"/>
    <w:rsid w:val="00BA5583"/>
    <w:rsid w:val="00BA580F"/>
    <w:rsid w:val="00BA5ACB"/>
    <w:rsid w:val="00BA61A6"/>
    <w:rsid w:val="00BA677A"/>
    <w:rsid w:val="00BA7552"/>
    <w:rsid w:val="00BA7953"/>
    <w:rsid w:val="00BA7E0A"/>
    <w:rsid w:val="00BB09FC"/>
    <w:rsid w:val="00BB1120"/>
    <w:rsid w:val="00BB125D"/>
    <w:rsid w:val="00BB12D4"/>
    <w:rsid w:val="00BB14D5"/>
    <w:rsid w:val="00BB18B6"/>
    <w:rsid w:val="00BB2559"/>
    <w:rsid w:val="00BB25D6"/>
    <w:rsid w:val="00BB28B5"/>
    <w:rsid w:val="00BB2A09"/>
    <w:rsid w:val="00BB2CD3"/>
    <w:rsid w:val="00BB2DB0"/>
    <w:rsid w:val="00BB3165"/>
    <w:rsid w:val="00BB414E"/>
    <w:rsid w:val="00BB4665"/>
    <w:rsid w:val="00BB481B"/>
    <w:rsid w:val="00BB5AC7"/>
    <w:rsid w:val="00BB6B2F"/>
    <w:rsid w:val="00BB6D72"/>
    <w:rsid w:val="00BB72F1"/>
    <w:rsid w:val="00BB73A7"/>
    <w:rsid w:val="00BC05A4"/>
    <w:rsid w:val="00BC066D"/>
    <w:rsid w:val="00BC0675"/>
    <w:rsid w:val="00BC12B3"/>
    <w:rsid w:val="00BC1568"/>
    <w:rsid w:val="00BC1BAA"/>
    <w:rsid w:val="00BC1C1A"/>
    <w:rsid w:val="00BC2884"/>
    <w:rsid w:val="00BC28CD"/>
    <w:rsid w:val="00BC298E"/>
    <w:rsid w:val="00BC2C00"/>
    <w:rsid w:val="00BC3B53"/>
    <w:rsid w:val="00BC3B96"/>
    <w:rsid w:val="00BC3DBD"/>
    <w:rsid w:val="00BC4514"/>
    <w:rsid w:val="00BC45E6"/>
    <w:rsid w:val="00BC49F9"/>
    <w:rsid w:val="00BC4AE3"/>
    <w:rsid w:val="00BC58C8"/>
    <w:rsid w:val="00BC5B24"/>
    <w:rsid w:val="00BC5B28"/>
    <w:rsid w:val="00BC64C7"/>
    <w:rsid w:val="00BC6C4C"/>
    <w:rsid w:val="00BC7134"/>
    <w:rsid w:val="00BC71CE"/>
    <w:rsid w:val="00BC74B6"/>
    <w:rsid w:val="00BC78F0"/>
    <w:rsid w:val="00BD0233"/>
    <w:rsid w:val="00BD0A2C"/>
    <w:rsid w:val="00BD1453"/>
    <w:rsid w:val="00BD1517"/>
    <w:rsid w:val="00BD187A"/>
    <w:rsid w:val="00BD2370"/>
    <w:rsid w:val="00BD2D73"/>
    <w:rsid w:val="00BD313E"/>
    <w:rsid w:val="00BD38B4"/>
    <w:rsid w:val="00BD3932"/>
    <w:rsid w:val="00BD39C9"/>
    <w:rsid w:val="00BD3B31"/>
    <w:rsid w:val="00BD4597"/>
    <w:rsid w:val="00BD47F4"/>
    <w:rsid w:val="00BD48D0"/>
    <w:rsid w:val="00BD49E9"/>
    <w:rsid w:val="00BD4AF9"/>
    <w:rsid w:val="00BD5C0A"/>
    <w:rsid w:val="00BD6426"/>
    <w:rsid w:val="00BD6A1E"/>
    <w:rsid w:val="00BD6B9A"/>
    <w:rsid w:val="00BD76A1"/>
    <w:rsid w:val="00BD7726"/>
    <w:rsid w:val="00BE0199"/>
    <w:rsid w:val="00BE050D"/>
    <w:rsid w:val="00BE050F"/>
    <w:rsid w:val="00BE0698"/>
    <w:rsid w:val="00BE11BF"/>
    <w:rsid w:val="00BE13A6"/>
    <w:rsid w:val="00BE13F1"/>
    <w:rsid w:val="00BE19A9"/>
    <w:rsid w:val="00BE1E48"/>
    <w:rsid w:val="00BE2058"/>
    <w:rsid w:val="00BE2819"/>
    <w:rsid w:val="00BE305C"/>
    <w:rsid w:val="00BE3683"/>
    <w:rsid w:val="00BE38C3"/>
    <w:rsid w:val="00BE38E6"/>
    <w:rsid w:val="00BE3F88"/>
    <w:rsid w:val="00BE43ED"/>
    <w:rsid w:val="00BE453C"/>
    <w:rsid w:val="00BE4756"/>
    <w:rsid w:val="00BE4849"/>
    <w:rsid w:val="00BE4CBB"/>
    <w:rsid w:val="00BE5A9B"/>
    <w:rsid w:val="00BE5ED9"/>
    <w:rsid w:val="00BE60E8"/>
    <w:rsid w:val="00BE6D9D"/>
    <w:rsid w:val="00BE74D9"/>
    <w:rsid w:val="00BE74EE"/>
    <w:rsid w:val="00BE7872"/>
    <w:rsid w:val="00BE7B41"/>
    <w:rsid w:val="00BE7CED"/>
    <w:rsid w:val="00BF0046"/>
    <w:rsid w:val="00BF01F6"/>
    <w:rsid w:val="00BF074A"/>
    <w:rsid w:val="00BF08EC"/>
    <w:rsid w:val="00BF1319"/>
    <w:rsid w:val="00BF1488"/>
    <w:rsid w:val="00BF1526"/>
    <w:rsid w:val="00BF17D8"/>
    <w:rsid w:val="00BF1929"/>
    <w:rsid w:val="00BF1EF4"/>
    <w:rsid w:val="00BF21E7"/>
    <w:rsid w:val="00BF2392"/>
    <w:rsid w:val="00BF32B5"/>
    <w:rsid w:val="00BF43EE"/>
    <w:rsid w:val="00BF443B"/>
    <w:rsid w:val="00BF4641"/>
    <w:rsid w:val="00BF48F4"/>
    <w:rsid w:val="00BF51EB"/>
    <w:rsid w:val="00BF520B"/>
    <w:rsid w:val="00BF5809"/>
    <w:rsid w:val="00BF58DC"/>
    <w:rsid w:val="00BF5BEE"/>
    <w:rsid w:val="00BF5ED9"/>
    <w:rsid w:val="00BF6811"/>
    <w:rsid w:val="00BF687F"/>
    <w:rsid w:val="00BF727E"/>
    <w:rsid w:val="00BF7591"/>
    <w:rsid w:val="00BF79E9"/>
    <w:rsid w:val="00BF7AC2"/>
    <w:rsid w:val="00C00F07"/>
    <w:rsid w:val="00C00F6C"/>
    <w:rsid w:val="00C01015"/>
    <w:rsid w:val="00C010BC"/>
    <w:rsid w:val="00C011E5"/>
    <w:rsid w:val="00C013F0"/>
    <w:rsid w:val="00C0140A"/>
    <w:rsid w:val="00C014E8"/>
    <w:rsid w:val="00C01BD3"/>
    <w:rsid w:val="00C01E5B"/>
    <w:rsid w:val="00C01F00"/>
    <w:rsid w:val="00C0292C"/>
    <w:rsid w:val="00C02BB0"/>
    <w:rsid w:val="00C02D3A"/>
    <w:rsid w:val="00C02DC1"/>
    <w:rsid w:val="00C03F99"/>
    <w:rsid w:val="00C04273"/>
    <w:rsid w:val="00C044C2"/>
    <w:rsid w:val="00C04A6D"/>
    <w:rsid w:val="00C04A85"/>
    <w:rsid w:val="00C04C00"/>
    <w:rsid w:val="00C04F3D"/>
    <w:rsid w:val="00C04FFE"/>
    <w:rsid w:val="00C05305"/>
    <w:rsid w:val="00C05F50"/>
    <w:rsid w:val="00C05FD5"/>
    <w:rsid w:val="00C0642E"/>
    <w:rsid w:val="00C06478"/>
    <w:rsid w:val="00C06720"/>
    <w:rsid w:val="00C0675D"/>
    <w:rsid w:val="00C06FDE"/>
    <w:rsid w:val="00C07339"/>
    <w:rsid w:val="00C07C13"/>
    <w:rsid w:val="00C07FBB"/>
    <w:rsid w:val="00C10279"/>
    <w:rsid w:val="00C1045C"/>
    <w:rsid w:val="00C1057C"/>
    <w:rsid w:val="00C10893"/>
    <w:rsid w:val="00C10DC1"/>
    <w:rsid w:val="00C1122B"/>
    <w:rsid w:val="00C117C7"/>
    <w:rsid w:val="00C12159"/>
    <w:rsid w:val="00C12220"/>
    <w:rsid w:val="00C125D2"/>
    <w:rsid w:val="00C13143"/>
    <w:rsid w:val="00C132CD"/>
    <w:rsid w:val="00C13AE1"/>
    <w:rsid w:val="00C13E37"/>
    <w:rsid w:val="00C144CC"/>
    <w:rsid w:val="00C144CD"/>
    <w:rsid w:val="00C151B1"/>
    <w:rsid w:val="00C15478"/>
    <w:rsid w:val="00C15894"/>
    <w:rsid w:val="00C1589D"/>
    <w:rsid w:val="00C15A91"/>
    <w:rsid w:val="00C15A9B"/>
    <w:rsid w:val="00C15FF8"/>
    <w:rsid w:val="00C16051"/>
    <w:rsid w:val="00C1647B"/>
    <w:rsid w:val="00C166AD"/>
    <w:rsid w:val="00C168D1"/>
    <w:rsid w:val="00C1715B"/>
    <w:rsid w:val="00C17283"/>
    <w:rsid w:val="00C17477"/>
    <w:rsid w:val="00C17B3F"/>
    <w:rsid w:val="00C17D13"/>
    <w:rsid w:val="00C17E70"/>
    <w:rsid w:val="00C20197"/>
    <w:rsid w:val="00C206F1"/>
    <w:rsid w:val="00C20E3A"/>
    <w:rsid w:val="00C217E1"/>
    <w:rsid w:val="00C219B1"/>
    <w:rsid w:val="00C21CD9"/>
    <w:rsid w:val="00C22007"/>
    <w:rsid w:val="00C22076"/>
    <w:rsid w:val="00C2222F"/>
    <w:rsid w:val="00C2280D"/>
    <w:rsid w:val="00C22C78"/>
    <w:rsid w:val="00C22D4F"/>
    <w:rsid w:val="00C2323E"/>
    <w:rsid w:val="00C23433"/>
    <w:rsid w:val="00C2343C"/>
    <w:rsid w:val="00C23994"/>
    <w:rsid w:val="00C23E9E"/>
    <w:rsid w:val="00C2424C"/>
    <w:rsid w:val="00C25311"/>
    <w:rsid w:val="00C2550B"/>
    <w:rsid w:val="00C26EE2"/>
    <w:rsid w:val="00C26F61"/>
    <w:rsid w:val="00C27C57"/>
    <w:rsid w:val="00C27CBF"/>
    <w:rsid w:val="00C30194"/>
    <w:rsid w:val="00C302C9"/>
    <w:rsid w:val="00C307A5"/>
    <w:rsid w:val="00C308A0"/>
    <w:rsid w:val="00C310AF"/>
    <w:rsid w:val="00C31298"/>
    <w:rsid w:val="00C31353"/>
    <w:rsid w:val="00C313D9"/>
    <w:rsid w:val="00C31703"/>
    <w:rsid w:val="00C3207F"/>
    <w:rsid w:val="00C32093"/>
    <w:rsid w:val="00C3238E"/>
    <w:rsid w:val="00C32828"/>
    <w:rsid w:val="00C32B1C"/>
    <w:rsid w:val="00C32C37"/>
    <w:rsid w:val="00C331BC"/>
    <w:rsid w:val="00C33F12"/>
    <w:rsid w:val="00C34532"/>
    <w:rsid w:val="00C3546A"/>
    <w:rsid w:val="00C3605A"/>
    <w:rsid w:val="00C363C3"/>
    <w:rsid w:val="00C36715"/>
    <w:rsid w:val="00C36717"/>
    <w:rsid w:val="00C36B49"/>
    <w:rsid w:val="00C36BA2"/>
    <w:rsid w:val="00C37233"/>
    <w:rsid w:val="00C375BF"/>
    <w:rsid w:val="00C37A14"/>
    <w:rsid w:val="00C4015B"/>
    <w:rsid w:val="00C402D6"/>
    <w:rsid w:val="00C40353"/>
    <w:rsid w:val="00C405FC"/>
    <w:rsid w:val="00C4062F"/>
    <w:rsid w:val="00C40A52"/>
    <w:rsid w:val="00C40C60"/>
    <w:rsid w:val="00C4116A"/>
    <w:rsid w:val="00C41935"/>
    <w:rsid w:val="00C41C9F"/>
    <w:rsid w:val="00C41CBF"/>
    <w:rsid w:val="00C423D3"/>
    <w:rsid w:val="00C4294E"/>
    <w:rsid w:val="00C42ECF"/>
    <w:rsid w:val="00C4386F"/>
    <w:rsid w:val="00C439FD"/>
    <w:rsid w:val="00C43C89"/>
    <w:rsid w:val="00C43CB9"/>
    <w:rsid w:val="00C43FE6"/>
    <w:rsid w:val="00C442D1"/>
    <w:rsid w:val="00C445FE"/>
    <w:rsid w:val="00C4480F"/>
    <w:rsid w:val="00C44841"/>
    <w:rsid w:val="00C45ABA"/>
    <w:rsid w:val="00C463A6"/>
    <w:rsid w:val="00C466EB"/>
    <w:rsid w:val="00C47027"/>
    <w:rsid w:val="00C47645"/>
    <w:rsid w:val="00C47833"/>
    <w:rsid w:val="00C4791F"/>
    <w:rsid w:val="00C47AD3"/>
    <w:rsid w:val="00C50163"/>
    <w:rsid w:val="00C50334"/>
    <w:rsid w:val="00C50473"/>
    <w:rsid w:val="00C507BC"/>
    <w:rsid w:val="00C50C9D"/>
    <w:rsid w:val="00C50E23"/>
    <w:rsid w:val="00C50F9A"/>
    <w:rsid w:val="00C51373"/>
    <w:rsid w:val="00C51882"/>
    <w:rsid w:val="00C5258E"/>
    <w:rsid w:val="00C5266E"/>
    <w:rsid w:val="00C52997"/>
    <w:rsid w:val="00C52F2A"/>
    <w:rsid w:val="00C530C9"/>
    <w:rsid w:val="00C534CC"/>
    <w:rsid w:val="00C53727"/>
    <w:rsid w:val="00C53873"/>
    <w:rsid w:val="00C53D5C"/>
    <w:rsid w:val="00C544B8"/>
    <w:rsid w:val="00C5458A"/>
    <w:rsid w:val="00C54620"/>
    <w:rsid w:val="00C54889"/>
    <w:rsid w:val="00C54E47"/>
    <w:rsid w:val="00C55482"/>
    <w:rsid w:val="00C55496"/>
    <w:rsid w:val="00C55D83"/>
    <w:rsid w:val="00C561BD"/>
    <w:rsid w:val="00C57227"/>
    <w:rsid w:val="00C572C6"/>
    <w:rsid w:val="00C57464"/>
    <w:rsid w:val="00C60001"/>
    <w:rsid w:val="00C6044E"/>
    <w:rsid w:val="00C60801"/>
    <w:rsid w:val="00C61160"/>
    <w:rsid w:val="00C61368"/>
    <w:rsid w:val="00C6151B"/>
    <w:rsid w:val="00C6165F"/>
    <w:rsid w:val="00C619A7"/>
    <w:rsid w:val="00C61A4F"/>
    <w:rsid w:val="00C61B53"/>
    <w:rsid w:val="00C61CC0"/>
    <w:rsid w:val="00C624F1"/>
    <w:rsid w:val="00C625A4"/>
    <w:rsid w:val="00C627C1"/>
    <w:rsid w:val="00C6296C"/>
    <w:rsid w:val="00C62B4F"/>
    <w:rsid w:val="00C6366B"/>
    <w:rsid w:val="00C63676"/>
    <w:rsid w:val="00C63853"/>
    <w:rsid w:val="00C6432F"/>
    <w:rsid w:val="00C64A4A"/>
    <w:rsid w:val="00C6587C"/>
    <w:rsid w:val="00C660CB"/>
    <w:rsid w:val="00C66427"/>
    <w:rsid w:val="00C6676A"/>
    <w:rsid w:val="00C669BB"/>
    <w:rsid w:val="00C66CFD"/>
    <w:rsid w:val="00C66D4C"/>
    <w:rsid w:val="00C66DE1"/>
    <w:rsid w:val="00C671CD"/>
    <w:rsid w:val="00C6738B"/>
    <w:rsid w:val="00C67551"/>
    <w:rsid w:val="00C6764B"/>
    <w:rsid w:val="00C67A99"/>
    <w:rsid w:val="00C67E7D"/>
    <w:rsid w:val="00C70734"/>
    <w:rsid w:val="00C70E0D"/>
    <w:rsid w:val="00C71F0C"/>
    <w:rsid w:val="00C72179"/>
    <w:rsid w:val="00C721A0"/>
    <w:rsid w:val="00C7242C"/>
    <w:rsid w:val="00C72624"/>
    <w:rsid w:val="00C734D6"/>
    <w:rsid w:val="00C739FF"/>
    <w:rsid w:val="00C73B26"/>
    <w:rsid w:val="00C73D5F"/>
    <w:rsid w:val="00C73D83"/>
    <w:rsid w:val="00C7404F"/>
    <w:rsid w:val="00C74064"/>
    <w:rsid w:val="00C74C13"/>
    <w:rsid w:val="00C752C7"/>
    <w:rsid w:val="00C758A5"/>
    <w:rsid w:val="00C75A20"/>
    <w:rsid w:val="00C75DF2"/>
    <w:rsid w:val="00C7641F"/>
    <w:rsid w:val="00C766D5"/>
    <w:rsid w:val="00C76704"/>
    <w:rsid w:val="00C7688D"/>
    <w:rsid w:val="00C76D7E"/>
    <w:rsid w:val="00C77346"/>
    <w:rsid w:val="00C777EA"/>
    <w:rsid w:val="00C8018A"/>
    <w:rsid w:val="00C80464"/>
    <w:rsid w:val="00C805C7"/>
    <w:rsid w:val="00C80A3E"/>
    <w:rsid w:val="00C80B13"/>
    <w:rsid w:val="00C80C2A"/>
    <w:rsid w:val="00C81084"/>
    <w:rsid w:val="00C811AE"/>
    <w:rsid w:val="00C815F1"/>
    <w:rsid w:val="00C81628"/>
    <w:rsid w:val="00C81A4E"/>
    <w:rsid w:val="00C824F1"/>
    <w:rsid w:val="00C82AFE"/>
    <w:rsid w:val="00C82E73"/>
    <w:rsid w:val="00C83011"/>
    <w:rsid w:val="00C83374"/>
    <w:rsid w:val="00C83DBC"/>
    <w:rsid w:val="00C840DB"/>
    <w:rsid w:val="00C842E1"/>
    <w:rsid w:val="00C84B3E"/>
    <w:rsid w:val="00C84E1E"/>
    <w:rsid w:val="00C85069"/>
    <w:rsid w:val="00C85143"/>
    <w:rsid w:val="00C855B2"/>
    <w:rsid w:val="00C85671"/>
    <w:rsid w:val="00C85824"/>
    <w:rsid w:val="00C85B85"/>
    <w:rsid w:val="00C85CB4"/>
    <w:rsid w:val="00C86156"/>
    <w:rsid w:val="00C862DB"/>
    <w:rsid w:val="00C871EA"/>
    <w:rsid w:val="00C8783D"/>
    <w:rsid w:val="00C87E37"/>
    <w:rsid w:val="00C90062"/>
    <w:rsid w:val="00C900D7"/>
    <w:rsid w:val="00C90B1E"/>
    <w:rsid w:val="00C90B93"/>
    <w:rsid w:val="00C91168"/>
    <w:rsid w:val="00C92427"/>
    <w:rsid w:val="00C92C4B"/>
    <w:rsid w:val="00C93705"/>
    <w:rsid w:val="00C952AD"/>
    <w:rsid w:val="00C95970"/>
    <w:rsid w:val="00C95D0E"/>
    <w:rsid w:val="00C96385"/>
    <w:rsid w:val="00C96D7E"/>
    <w:rsid w:val="00C96E7A"/>
    <w:rsid w:val="00C97C80"/>
    <w:rsid w:val="00C97DC3"/>
    <w:rsid w:val="00CA02CD"/>
    <w:rsid w:val="00CA0BF4"/>
    <w:rsid w:val="00CA0DE5"/>
    <w:rsid w:val="00CA13F2"/>
    <w:rsid w:val="00CA18B9"/>
    <w:rsid w:val="00CA194C"/>
    <w:rsid w:val="00CA1B16"/>
    <w:rsid w:val="00CA2549"/>
    <w:rsid w:val="00CA2807"/>
    <w:rsid w:val="00CA29D8"/>
    <w:rsid w:val="00CA2AB0"/>
    <w:rsid w:val="00CA2BB3"/>
    <w:rsid w:val="00CA34DA"/>
    <w:rsid w:val="00CA3819"/>
    <w:rsid w:val="00CA3B8D"/>
    <w:rsid w:val="00CA3BB5"/>
    <w:rsid w:val="00CA4635"/>
    <w:rsid w:val="00CA47D3"/>
    <w:rsid w:val="00CA4CD7"/>
    <w:rsid w:val="00CA4FEE"/>
    <w:rsid w:val="00CA52F9"/>
    <w:rsid w:val="00CA5406"/>
    <w:rsid w:val="00CA5669"/>
    <w:rsid w:val="00CA58B7"/>
    <w:rsid w:val="00CA5E8F"/>
    <w:rsid w:val="00CA6533"/>
    <w:rsid w:val="00CA65C0"/>
    <w:rsid w:val="00CA6784"/>
    <w:rsid w:val="00CA6A25"/>
    <w:rsid w:val="00CA6A3F"/>
    <w:rsid w:val="00CA6F44"/>
    <w:rsid w:val="00CA71C0"/>
    <w:rsid w:val="00CA71D0"/>
    <w:rsid w:val="00CA777B"/>
    <w:rsid w:val="00CA7C99"/>
    <w:rsid w:val="00CA7DD6"/>
    <w:rsid w:val="00CB082E"/>
    <w:rsid w:val="00CB0A71"/>
    <w:rsid w:val="00CB0B2D"/>
    <w:rsid w:val="00CB0C67"/>
    <w:rsid w:val="00CB0CD9"/>
    <w:rsid w:val="00CB0E59"/>
    <w:rsid w:val="00CB21F8"/>
    <w:rsid w:val="00CB2694"/>
    <w:rsid w:val="00CB39D6"/>
    <w:rsid w:val="00CB3AC7"/>
    <w:rsid w:val="00CB3B7A"/>
    <w:rsid w:val="00CB3C3F"/>
    <w:rsid w:val="00CB509F"/>
    <w:rsid w:val="00CB51F3"/>
    <w:rsid w:val="00CB56CA"/>
    <w:rsid w:val="00CB6636"/>
    <w:rsid w:val="00CB67CD"/>
    <w:rsid w:val="00CB6997"/>
    <w:rsid w:val="00CB6D05"/>
    <w:rsid w:val="00CB70C1"/>
    <w:rsid w:val="00CB78EF"/>
    <w:rsid w:val="00CB79D4"/>
    <w:rsid w:val="00CC05E6"/>
    <w:rsid w:val="00CC07B2"/>
    <w:rsid w:val="00CC07E9"/>
    <w:rsid w:val="00CC0A5E"/>
    <w:rsid w:val="00CC0C7E"/>
    <w:rsid w:val="00CC11CD"/>
    <w:rsid w:val="00CC14A4"/>
    <w:rsid w:val="00CC21EE"/>
    <w:rsid w:val="00CC2594"/>
    <w:rsid w:val="00CC25D1"/>
    <w:rsid w:val="00CC3CEF"/>
    <w:rsid w:val="00CC454D"/>
    <w:rsid w:val="00CC5216"/>
    <w:rsid w:val="00CC5288"/>
    <w:rsid w:val="00CC5480"/>
    <w:rsid w:val="00CC5561"/>
    <w:rsid w:val="00CC5B51"/>
    <w:rsid w:val="00CC621A"/>
    <w:rsid w:val="00CC6290"/>
    <w:rsid w:val="00CC6947"/>
    <w:rsid w:val="00CC6CDF"/>
    <w:rsid w:val="00CC7109"/>
    <w:rsid w:val="00CD2054"/>
    <w:rsid w:val="00CD233D"/>
    <w:rsid w:val="00CD2436"/>
    <w:rsid w:val="00CD2CF9"/>
    <w:rsid w:val="00CD3499"/>
    <w:rsid w:val="00CD362D"/>
    <w:rsid w:val="00CD367D"/>
    <w:rsid w:val="00CD3FEC"/>
    <w:rsid w:val="00CD4A96"/>
    <w:rsid w:val="00CD534D"/>
    <w:rsid w:val="00CD5B38"/>
    <w:rsid w:val="00CD5B72"/>
    <w:rsid w:val="00CD5E8A"/>
    <w:rsid w:val="00CD608F"/>
    <w:rsid w:val="00CD663F"/>
    <w:rsid w:val="00CD6D2D"/>
    <w:rsid w:val="00CE048E"/>
    <w:rsid w:val="00CE0BB5"/>
    <w:rsid w:val="00CE0CFE"/>
    <w:rsid w:val="00CE0FD1"/>
    <w:rsid w:val="00CE101D"/>
    <w:rsid w:val="00CE1814"/>
    <w:rsid w:val="00CE1A1E"/>
    <w:rsid w:val="00CE1A95"/>
    <w:rsid w:val="00CE1C84"/>
    <w:rsid w:val="00CE2248"/>
    <w:rsid w:val="00CE2B48"/>
    <w:rsid w:val="00CE2CCF"/>
    <w:rsid w:val="00CE3858"/>
    <w:rsid w:val="00CE38D6"/>
    <w:rsid w:val="00CE3DB6"/>
    <w:rsid w:val="00CE467B"/>
    <w:rsid w:val="00CE5055"/>
    <w:rsid w:val="00CE5918"/>
    <w:rsid w:val="00CE5F84"/>
    <w:rsid w:val="00CE69D9"/>
    <w:rsid w:val="00CE6BEA"/>
    <w:rsid w:val="00CE7041"/>
    <w:rsid w:val="00CE7A35"/>
    <w:rsid w:val="00CF04C2"/>
    <w:rsid w:val="00CF053F"/>
    <w:rsid w:val="00CF06CD"/>
    <w:rsid w:val="00CF08B6"/>
    <w:rsid w:val="00CF08EE"/>
    <w:rsid w:val="00CF09FE"/>
    <w:rsid w:val="00CF0E3C"/>
    <w:rsid w:val="00CF12FB"/>
    <w:rsid w:val="00CF1846"/>
    <w:rsid w:val="00CF1A17"/>
    <w:rsid w:val="00CF1B1A"/>
    <w:rsid w:val="00CF1EFC"/>
    <w:rsid w:val="00CF1FB2"/>
    <w:rsid w:val="00CF20F0"/>
    <w:rsid w:val="00CF2977"/>
    <w:rsid w:val="00CF2DB4"/>
    <w:rsid w:val="00CF350D"/>
    <w:rsid w:val="00CF35E7"/>
    <w:rsid w:val="00CF35FA"/>
    <w:rsid w:val="00CF362D"/>
    <w:rsid w:val="00CF36A7"/>
    <w:rsid w:val="00CF38A6"/>
    <w:rsid w:val="00CF3AA8"/>
    <w:rsid w:val="00CF4546"/>
    <w:rsid w:val="00CF52EF"/>
    <w:rsid w:val="00CF54A1"/>
    <w:rsid w:val="00CF5734"/>
    <w:rsid w:val="00CF5CF1"/>
    <w:rsid w:val="00CF65AC"/>
    <w:rsid w:val="00CF692F"/>
    <w:rsid w:val="00CF6BA3"/>
    <w:rsid w:val="00CF6E02"/>
    <w:rsid w:val="00CF7014"/>
    <w:rsid w:val="00D00104"/>
    <w:rsid w:val="00D001CE"/>
    <w:rsid w:val="00D00251"/>
    <w:rsid w:val="00D00BBC"/>
    <w:rsid w:val="00D01651"/>
    <w:rsid w:val="00D0182C"/>
    <w:rsid w:val="00D01A74"/>
    <w:rsid w:val="00D01D26"/>
    <w:rsid w:val="00D02274"/>
    <w:rsid w:val="00D022B2"/>
    <w:rsid w:val="00D029B7"/>
    <w:rsid w:val="00D03219"/>
    <w:rsid w:val="00D03376"/>
    <w:rsid w:val="00D03643"/>
    <w:rsid w:val="00D0375A"/>
    <w:rsid w:val="00D03DD6"/>
    <w:rsid w:val="00D03E35"/>
    <w:rsid w:val="00D044C4"/>
    <w:rsid w:val="00D044C6"/>
    <w:rsid w:val="00D044E4"/>
    <w:rsid w:val="00D0451C"/>
    <w:rsid w:val="00D045B0"/>
    <w:rsid w:val="00D0485F"/>
    <w:rsid w:val="00D04908"/>
    <w:rsid w:val="00D04B95"/>
    <w:rsid w:val="00D0505F"/>
    <w:rsid w:val="00D05D54"/>
    <w:rsid w:val="00D05DC5"/>
    <w:rsid w:val="00D0609E"/>
    <w:rsid w:val="00D0665F"/>
    <w:rsid w:val="00D071C9"/>
    <w:rsid w:val="00D07624"/>
    <w:rsid w:val="00D07675"/>
    <w:rsid w:val="00D078E1"/>
    <w:rsid w:val="00D07B23"/>
    <w:rsid w:val="00D10035"/>
    <w:rsid w:val="00D10051"/>
    <w:rsid w:val="00D100E9"/>
    <w:rsid w:val="00D103E0"/>
    <w:rsid w:val="00D105D9"/>
    <w:rsid w:val="00D128C0"/>
    <w:rsid w:val="00D130AF"/>
    <w:rsid w:val="00D1380F"/>
    <w:rsid w:val="00D13B51"/>
    <w:rsid w:val="00D13BA8"/>
    <w:rsid w:val="00D14709"/>
    <w:rsid w:val="00D15559"/>
    <w:rsid w:val="00D1582A"/>
    <w:rsid w:val="00D15E35"/>
    <w:rsid w:val="00D163D5"/>
    <w:rsid w:val="00D1649A"/>
    <w:rsid w:val="00D16544"/>
    <w:rsid w:val="00D1665A"/>
    <w:rsid w:val="00D166FF"/>
    <w:rsid w:val="00D16B92"/>
    <w:rsid w:val="00D17942"/>
    <w:rsid w:val="00D17971"/>
    <w:rsid w:val="00D1798D"/>
    <w:rsid w:val="00D20507"/>
    <w:rsid w:val="00D20DA7"/>
    <w:rsid w:val="00D2111B"/>
    <w:rsid w:val="00D2165F"/>
    <w:rsid w:val="00D21E4B"/>
    <w:rsid w:val="00D22441"/>
    <w:rsid w:val="00D22464"/>
    <w:rsid w:val="00D2284C"/>
    <w:rsid w:val="00D22ABD"/>
    <w:rsid w:val="00D23413"/>
    <w:rsid w:val="00D23522"/>
    <w:rsid w:val="00D239A0"/>
    <w:rsid w:val="00D2408E"/>
    <w:rsid w:val="00D24E42"/>
    <w:rsid w:val="00D25577"/>
    <w:rsid w:val="00D260BB"/>
    <w:rsid w:val="00D264BB"/>
    <w:rsid w:val="00D264D6"/>
    <w:rsid w:val="00D2692A"/>
    <w:rsid w:val="00D271CA"/>
    <w:rsid w:val="00D2721B"/>
    <w:rsid w:val="00D303D6"/>
    <w:rsid w:val="00D3044C"/>
    <w:rsid w:val="00D308DB"/>
    <w:rsid w:val="00D30933"/>
    <w:rsid w:val="00D30EBB"/>
    <w:rsid w:val="00D313B5"/>
    <w:rsid w:val="00D31ACC"/>
    <w:rsid w:val="00D320F7"/>
    <w:rsid w:val="00D32784"/>
    <w:rsid w:val="00D327D7"/>
    <w:rsid w:val="00D32906"/>
    <w:rsid w:val="00D329F7"/>
    <w:rsid w:val="00D32CBE"/>
    <w:rsid w:val="00D32F78"/>
    <w:rsid w:val="00D32F86"/>
    <w:rsid w:val="00D33070"/>
    <w:rsid w:val="00D33082"/>
    <w:rsid w:val="00D33BF0"/>
    <w:rsid w:val="00D33DE0"/>
    <w:rsid w:val="00D34481"/>
    <w:rsid w:val="00D34A89"/>
    <w:rsid w:val="00D35231"/>
    <w:rsid w:val="00D35DF4"/>
    <w:rsid w:val="00D36001"/>
    <w:rsid w:val="00D36447"/>
    <w:rsid w:val="00D36501"/>
    <w:rsid w:val="00D36C96"/>
    <w:rsid w:val="00D3725C"/>
    <w:rsid w:val="00D375AB"/>
    <w:rsid w:val="00D37D27"/>
    <w:rsid w:val="00D37F0A"/>
    <w:rsid w:val="00D40384"/>
    <w:rsid w:val="00D403BB"/>
    <w:rsid w:val="00D409E9"/>
    <w:rsid w:val="00D40A3A"/>
    <w:rsid w:val="00D40DBD"/>
    <w:rsid w:val="00D411F7"/>
    <w:rsid w:val="00D4147A"/>
    <w:rsid w:val="00D416D1"/>
    <w:rsid w:val="00D4171C"/>
    <w:rsid w:val="00D42006"/>
    <w:rsid w:val="00D42716"/>
    <w:rsid w:val="00D42770"/>
    <w:rsid w:val="00D427C5"/>
    <w:rsid w:val="00D4284F"/>
    <w:rsid w:val="00D42946"/>
    <w:rsid w:val="00D43175"/>
    <w:rsid w:val="00D431F9"/>
    <w:rsid w:val="00D43780"/>
    <w:rsid w:val="00D43F8B"/>
    <w:rsid w:val="00D43FAF"/>
    <w:rsid w:val="00D443ED"/>
    <w:rsid w:val="00D45031"/>
    <w:rsid w:val="00D4520F"/>
    <w:rsid w:val="00D45255"/>
    <w:rsid w:val="00D455B9"/>
    <w:rsid w:val="00D45812"/>
    <w:rsid w:val="00D45CA6"/>
    <w:rsid w:val="00D46113"/>
    <w:rsid w:val="00D4617B"/>
    <w:rsid w:val="00D4624F"/>
    <w:rsid w:val="00D46A72"/>
    <w:rsid w:val="00D46CB7"/>
    <w:rsid w:val="00D46DB5"/>
    <w:rsid w:val="00D46DC8"/>
    <w:rsid w:val="00D46E1B"/>
    <w:rsid w:val="00D46FE9"/>
    <w:rsid w:val="00D4700D"/>
    <w:rsid w:val="00D47138"/>
    <w:rsid w:val="00D47EF9"/>
    <w:rsid w:val="00D50189"/>
    <w:rsid w:val="00D5038E"/>
    <w:rsid w:val="00D5047A"/>
    <w:rsid w:val="00D505F9"/>
    <w:rsid w:val="00D50DF3"/>
    <w:rsid w:val="00D516BE"/>
    <w:rsid w:val="00D518ED"/>
    <w:rsid w:val="00D51E1A"/>
    <w:rsid w:val="00D52772"/>
    <w:rsid w:val="00D5286F"/>
    <w:rsid w:val="00D52A23"/>
    <w:rsid w:val="00D52E59"/>
    <w:rsid w:val="00D52FD9"/>
    <w:rsid w:val="00D53567"/>
    <w:rsid w:val="00D5362B"/>
    <w:rsid w:val="00D53AFE"/>
    <w:rsid w:val="00D5423B"/>
    <w:rsid w:val="00D547A6"/>
    <w:rsid w:val="00D54E6A"/>
    <w:rsid w:val="00D54F4E"/>
    <w:rsid w:val="00D55048"/>
    <w:rsid w:val="00D557F4"/>
    <w:rsid w:val="00D55A86"/>
    <w:rsid w:val="00D55AE3"/>
    <w:rsid w:val="00D56166"/>
    <w:rsid w:val="00D56E01"/>
    <w:rsid w:val="00D56F50"/>
    <w:rsid w:val="00D57640"/>
    <w:rsid w:val="00D576B3"/>
    <w:rsid w:val="00D57A56"/>
    <w:rsid w:val="00D57BEA"/>
    <w:rsid w:val="00D6005A"/>
    <w:rsid w:val="00D6039E"/>
    <w:rsid w:val="00D604B3"/>
    <w:rsid w:val="00D60BA4"/>
    <w:rsid w:val="00D60BB7"/>
    <w:rsid w:val="00D60DAA"/>
    <w:rsid w:val="00D60E3E"/>
    <w:rsid w:val="00D61ADB"/>
    <w:rsid w:val="00D61DA4"/>
    <w:rsid w:val="00D62419"/>
    <w:rsid w:val="00D62F4C"/>
    <w:rsid w:val="00D634B0"/>
    <w:rsid w:val="00D634DD"/>
    <w:rsid w:val="00D63F63"/>
    <w:rsid w:val="00D65219"/>
    <w:rsid w:val="00D66828"/>
    <w:rsid w:val="00D66E56"/>
    <w:rsid w:val="00D66FD9"/>
    <w:rsid w:val="00D67036"/>
    <w:rsid w:val="00D675F9"/>
    <w:rsid w:val="00D67627"/>
    <w:rsid w:val="00D67F07"/>
    <w:rsid w:val="00D70802"/>
    <w:rsid w:val="00D70B4D"/>
    <w:rsid w:val="00D70BAE"/>
    <w:rsid w:val="00D70F25"/>
    <w:rsid w:val="00D71CB7"/>
    <w:rsid w:val="00D72883"/>
    <w:rsid w:val="00D72CD4"/>
    <w:rsid w:val="00D73861"/>
    <w:rsid w:val="00D73D39"/>
    <w:rsid w:val="00D73F0B"/>
    <w:rsid w:val="00D7417A"/>
    <w:rsid w:val="00D74A2C"/>
    <w:rsid w:val="00D7597F"/>
    <w:rsid w:val="00D76146"/>
    <w:rsid w:val="00D76403"/>
    <w:rsid w:val="00D7646C"/>
    <w:rsid w:val="00D76BC0"/>
    <w:rsid w:val="00D76C0E"/>
    <w:rsid w:val="00D76D2F"/>
    <w:rsid w:val="00D77720"/>
    <w:rsid w:val="00D777EE"/>
    <w:rsid w:val="00D77870"/>
    <w:rsid w:val="00D77A45"/>
    <w:rsid w:val="00D80092"/>
    <w:rsid w:val="00D80977"/>
    <w:rsid w:val="00D80B83"/>
    <w:rsid w:val="00D80CCE"/>
    <w:rsid w:val="00D811B4"/>
    <w:rsid w:val="00D81248"/>
    <w:rsid w:val="00D8258C"/>
    <w:rsid w:val="00D836B9"/>
    <w:rsid w:val="00D83CB5"/>
    <w:rsid w:val="00D840F7"/>
    <w:rsid w:val="00D846F5"/>
    <w:rsid w:val="00D84C4F"/>
    <w:rsid w:val="00D84FE6"/>
    <w:rsid w:val="00D8580B"/>
    <w:rsid w:val="00D85A6B"/>
    <w:rsid w:val="00D85B4D"/>
    <w:rsid w:val="00D8630B"/>
    <w:rsid w:val="00D86CC6"/>
    <w:rsid w:val="00D86EEA"/>
    <w:rsid w:val="00D87D03"/>
    <w:rsid w:val="00D90301"/>
    <w:rsid w:val="00D906CC"/>
    <w:rsid w:val="00D90ABF"/>
    <w:rsid w:val="00D90FD4"/>
    <w:rsid w:val="00D9175C"/>
    <w:rsid w:val="00D919A6"/>
    <w:rsid w:val="00D91B86"/>
    <w:rsid w:val="00D92127"/>
    <w:rsid w:val="00D92422"/>
    <w:rsid w:val="00D92B09"/>
    <w:rsid w:val="00D92E55"/>
    <w:rsid w:val="00D92F78"/>
    <w:rsid w:val="00D93590"/>
    <w:rsid w:val="00D9360B"/>
    <w:rsid w:val="00D93803"/>
    <w:rsid w:val="00D938E0"/>
    <w:rsid w:val="00D938F2"/>
    <w:rsid w:val="00D93F50"/>
    <w:rsid w:val="00D94743"/>
    <w:rsid w:val="00D95266"/>
    <w:rsid w:val="00D95551"/>
    <w:rsid w:val="00D95C88"/>
    <w:rsid w:val="00D95D77"/>
    <w:rsid w:val="00D96082"/>
    <w:rsid w:val="00D96B9D"/>
    <w:rsid w:val="00D97081"/>
    <w:rsid w:val="00D974F2"/>
    <w:rsid w:val="00D97563"/>
    <w:rsid w:val="00D9771F"/>
    <w:rsid w:val="00D979F3"/>
    <w:rsid w:val="00D97A51"/>
    <w:rsid w:val="00D97B2E"/>
    <w:rsid w:val="00D97E7B"/>
    <w:rsid w:val="00D97FB6"/>
    <w:rsid w:val="00DA024A"/>
    <w:rsid w:val="00DA0960"/>
    <w:rsid w:val="00DA0DE1"/>
    <w:rsid w:val="00DA0FE0"/>
    <w:rsid w:val="00DA1190"/>
    <w:rsid w:val="00DA14BF"/>
    <w:rsid w:val="00DA1564"/>
    <w:rsid w:val="00DA229F"/>
    <w:rsid w:val="00DA241E"/>
    <w:rsid w:val="00DA2519"/>
    <w:rsid w:val="00DA38B6"/>
    <w:rsid w:val="00DA4748"/>
    <w:rsid w:val="00DA4DB1"/>
    <w:rsid w:val="00DA506C"/>
    <w:rsid w:val="00DA53F4"/>
    <w:rsid w:val="00DA58FF"/>
    <w:rsid w:val="00DA5BB6"/>
    <w:rsid w:val="00DA6CEE"/>
    <w:rsid w:val="00DA718F"/>
    <w:rsid w:val="00DA75F8"/>
    <w:rsid w:val="00DA7A69"/>
    <w:rsid w:val="00DB01D8"/>
    <w:rsid w:val="00DB042C"/>
    <w:rsid w:val="00DB0FFF"/>
    <w:rsid w:val="00DB1052"/>
    <w:rsid w:val="00DB12BE"/>
    <w:rsid w:val="00DB1B51"/>
    <w:rsid w:val="00DB1B82"/>
    <w:rsid w:val="00DB2938"/>
    <w:rsid w:val="00DB3075"/>
    <w:rsid w:val="00DB3382"/>
    <w:rsid w:val="00DB34F2"/>
    <w:rsid w:val="00DB3676"/>
    <w:rsid w:val="00DB36FE"/>
    <w:rsid w:val="00DB37B7"/>
    <w:rsid w:val="00DB38D7"/>
    <w:rsid w:val="00DB38F7"/>
    <w:rsid w:val="00DB3AF2"/>
    <w:rsid w:val="00DB40B6"/>
    <w:rsid w:val="00DB455B"/>
    <w:rsid w:val="00DB4D4E"/>
    <w:rsid w:val="00DB533A"/>
    <w:rsid w:val="00DB5D6E"/>
    <w:rsid w:val="00DB60AE"/>
    <w:rsid w:val="00DB6307"/>
    <w:rsid w:val="00DB66AB"/>
    <w:rsid w:val="00DB69A6"/>
    <w:rsid w:val="00DB709A"/>
    <w:rsid w:val="00DB769E"/>
    <w:rsid w:val="00DC0058"/>
    <w:rsid w:val="00DC0DE8"/>
    <w:rsid w:val="00DC0E54"/>
    <w:rsid w:val="00DC18FD"/>
    <w:rsid w:val="00DC1A40"/>
    <w:rsid w:val="00DC21D3"/>
    <w:rsid w:val="00DC29B5"/>
    <w:rsid w:val="00DC2A34"/>
    <w:rsid w:val="00DC3129"/>
    <w:rsid w:val="00DC3789"/>
    <w:rsid w:val="00DC38E0"/>
    <w:rsid w:val="00DC40A8"/>
    <w:rsid w:val="00DC42D6"/>
    <w:rsid w:val="00DC42FA"/>
    <w:rsid w:val="00DC5A79"/>
    <w:rsid w:val="00DC61A6"/>
    <w:rsid w:val="00DC65B1"/>
    <w:rsid w:val="00DC7008"/>
    <w:rsid w:val="00DD133F"/>
    <w:rsid w:val="00DD148F"/>
    <w:rsid w:val="00DD1583"/>
    <w:rsid w:val="00DD1598"/>
    <w:rsid w:val="00DD1A79"/>
    <w:rsid w:val="00DD1DCD"/>
    <w:rsid w:val="00DD22F6"/>
    <w:rsid w:val="00DD27E5"/>
    <w:rsid w:val="00DD2C73"/>
    <w:rsid w:val="00DD2EA8"/>
    <w:rsid w:val="00DD320A"/>
    <w:rsid w:val="00DD338F"/>
    <w:rsid w:val="00DD387B"/>
    <w:rsid w:val="00DD3973"/>
    <w:rsid w:val="00DD3A9B"/>
    <w:rsid w:val="00DD4339"/>
    <w:rsid w:val="00DD46E6"/>
    <w:rsid w:val="00DD474E"/>
    <w:rsid w:val="00DD4C1B"/>
    <w:rsid w:val="00DD4C38"/>
    <w:rsid w:val="00DD5281"/>
    <w:rsid w:val="00DD554D"/>
    <w:rsid w:val="00DD5797"/>
    <w:rsid w:val="00DD5C95"/>
    <w:rsid w:val="00DD5F5D"/>
    <w:rsid w:val="00DD6089"/>
    <w:rsid w:val="00DD66F2"/>
    <w:rsid w:val="00DD681D"/>
    <w:rsid w:val="00DD69D3"/>
    <w:rsid w:val="00DD7549"/>
    <w:rsid w:val="00DD77A8"/>
    <w:rsid w:val="00DE0081"/>
    <w:rsid w:val="00DE0D5B"/>
    <w:rsid w:val="00DE21B9"/>
    <w:rsid w:val="00DE228D"/>
    <w:rsid w:val="00DE2343"/>
    <w:rsid w:val="00DE2834"/>
    <w:rsid w:val="00DE2DE8"/>
    <w:rsid w:val="00DE33AA"/>
    <w:rsid w:val="00DE35BE"/>
    <w:rsid w:val="00DE35FB"/>
    <w:rsid w:val="00DE3A5B"/>
    <w:rsid w:val="00DE3C0A"/>
    <w:rsid w:val="00DE3DEE"/>
    <w:rsid w:val="00DE3FE0"/>
    <w:rsid w:val="00DE40DD"/>
    <w:rsid w:val="00DE4901"/>
    <w:rsid w:val="00DE52B1"/>
    <w:rsid w:val="00DE5471"/>
    <w:rsid w:val="00DE578A"/>
    <w:rsid w:val="00DE5A04"/>
    <w:rsid w:val="00DE5AB5"/>
    <w:rsid w:val="00DE5C6D"/>
    <w:rsid w:val="00DE5E11"/>
    <w:rsid w:val="00DE60DD"/>
    <w:rsid w:val="00DE6A70"/>
    <w:rsid w:val="00DF01C1"/>
    <w:rsid w:val="00DF01CE"/>
    <w:rsid w:val="00DF03C8"/>
    <w:rsid w:val="00DF0878"/>
    <w:rsid w:val="00DF0AF1"/>
    <w:rsid w:val="00DF1818"/>
    <w:rsid w:val="00DF1D0E"/>
    <w:rsid w:val="00DF1FDC"/>
    <w:rsid w:val="00DF2583"/>
    <w:rsid w:val="00DF292F"/>
    <w:rsid w:val="00DF2AD0"/>
    <w:rsid w:val="00DF2BE1"/>
    <w:rsid w:val="00DF3722"/>
    <w:rsid w:val="00DF3AFC"/>
    <w:rsid w:val="00DF3FC2"/>
    <w:rsid w:val="00DF4408"/>
    <w:rsid w:val="00DF4793"/>
    <w:rsid w:val="00DF4C8A"/>
    <w:rsid w:val="00DF4FBD"/>
    <w:rsid w:val="00DF50A4"/>
    <w:rsid w:val="00DF5124"/>
    <w:rsid w:val="00DF5147"/>
    <w:rsid w:val="00DF54D9"/>
    <w:rsid w:val="00DF66CF"/>
    <w:rsid w:val="00DF6998"/>
    <w:rsid w:val="00DF6BE5"/>
    <w:rsid w:val="00DF6C35"/>
    <w:rsid w:val="00DF7283"/>
    <w:rsid w:val="00DF7390"/>
    <w:rsid w:val="00DF751A"/>
    <w:rsid w:val="00E00409"/>
    <w:rsid w:val="00E007BD"/>
    <w:rsid w:val="00E00A71"/>
    <w:rsid w:val="00E0154F"/>
    <w:rsid w:val="00E019BA"/>
    <w:rsid w:val="00E01A59"/>
    <w:rsid w:val="00E02389"/>
    <w:rsid w:val="00E02770"/>
    <w:rsid w:val="00E032C5"/>
    <w:rsid w:val="00E0407C"/>
    <w:rsid w:val="00E04835"/>
    <w:rsid w:val="00E04E28"/>
    <w:rsid w:val="00E05094"/>
    <w:rsid w:val="00E0545E"/>
    <w:rsid w:val="00E05A3B"/>
    <w:rsid w:val="00E05A9C"/>
    <w:rsid w:val="00E066C1"/>
    <w:rsid w:val="00E06DE7"/>
    <w:rsid w:val="00E07E42"/>
    <w:rsid w:val="00E103B4"/>
    <w:rsid w:val="00E10B1D"/>
    <w:rsid w:val="00E10B89"/>
    <w:rsid w:val="00E10DC6"/>
    <w:rsid w:val="00E1118A"/>
    <w:rsid w:val="00E112A2"/>
    <w:rsid w:val="00E112DA"/>
    <w:rsid w:val="00E1189E"/>
    <w:rsid w:val="00E11934"/>
    <w:rsid w:val="00E11F8E"/>
    <w:rsid w:val="00E126D5"/>
    <w:rsid w:val="00E12BEC"/>
    <w:rsid w:val="00E13263"/>
    <w:rsid w:val="00E1381D"/>
    <w:rsid w:val="00E13968"/>
    <w:rsid w:val="00E13BFA"/>
    <w:rsid w:val="00E14106"/>
    <w:rsid w:val="00E146FF"/>
    <w:rsid w:val="00E14C4C"/>
    <w:rsid w:val="00E14FBF"/>
    <w:rsid w:val="00E15881"/>
    <w:rsid w:val="00E1613F"/>
    <w:rsid w:val="00E16A8F"/>
    <w:rsid w:val="00E17227"/>
    <w:rsid w:val="00E21DE3"/>
    <w:rsid w:val="00E21F73"/>
    <w:rsid w:val="00E220EC"/>
    <w:rsid w:val="00E223EC"/>
    <w:rsid w:val="00E22CDA"/>
    <w:rsid w:val="00E22DD6"/>
    <w:rsid w:val="00E2305F"/>
    <w:rsid w:val="00E23406"/>
    <w:rsid w:val="00E23FCF"/>
    <w:rsid w:val="00E249EC"/>
    <w:rsid w:val="00E2541D"/>
    <w:rsid w:val="00E25ABB"/>
    <w:rsid w:val="00E25E02"/>
    <w:rsid w:val="00E26462"/>
    <w:rsid w:val="00E264F9"/>
    <w:rsid w:val="00E26A14"/>
    <w:rsid w:val="00E26E38"/>
    <w:rsid w:val="00E26F2E"/>
    <w:rsid w:val="00E26F41"/>
    <w:rsid w:val="00E2705A"/>
    <w:rsid w:val="00E2721D"/>
    <w:rsid w:val="00E273C5"/>
    <w:rsid w:val="00E277A2"/>
    <w:rsid w:val="00E27EAD"/>
    <w:rsid w:val="00E3065A"/>
    <w:rsid w:val="00E307D1"/>
    <w:rsid w:val="00E3098F"/>
    <w:rsid w:val="00E30C8C"/>
    <w:rsid w:val="00E32351"/>
    <w:rsid w:val="00E32584"/>
    <w:rsid w:val="00E32824"/>
    <w:rsid w:val="00E32A6C"/>
    <w:rsid w:val="00E33151"/>
    <w:rsid w:val="00E332DB"/>
    <w:rsid w:val="00E33668"/>
    <w:rsid w:val="00E33794"/>
    <w:rsid w:val="00E3397A"/>
    <w:rsid w:val="00E340CB"/>
    <w:rsid w:val="00E343BB"/>
    <w:rsid w:val="00E345FA"/>
    <w:rsid w:val="00E347F7"/>
    <w:rsid w:val="00E34A47"/>
    <w:rsid w:val="00E353A0"/>
    <w:rsid w:val="00E35F9A"/>
    <w:rsid w:val="00E364D6"/>
    <w:rsid w:val="00E36BD8"/>
    <w:rsid w:val="00E37095"/>
    <w:rsid w:val="00E3731D"/>
    <w:rsid w:val="00E375C3"/>
    <w:rsid w:val="00E37E19"/>
    <w:rsid w:val="00E4082A"/>
    <w:rsid w:val="00E4097E"/>
    <w:rsid w:val="00E415DF"/>
    <w:rsid w:val="00E419A5"/>
    <w:rsid w:val="00E41C0A"/>
    <w:rsid w:val="00E41CB5"/>
    <w:rsid w:val="00E41CC9"/>
    <w:rsid w:val="00E43534"/>
    <w:rsid w:val="00E44097"/>
    <w:rsid w:val="00E4433F"/>
    <w:rsid w:val="00E452FD"/>
    <w:rsid w:val="00E45BEB"/>
    <w:rsid w:val="00E45E9F"/>
    <w:rsid w:val="00E45F7D"/>
    <w:rsid w:val="00E4600F"/>
    <w:rsid w:val="00E461E9"/>
    <w:rsid w:val="00E46494"/>
    <w:rsid w:val="00E464FD"/>
    <w:rsid w:val="00E46807"/>
    <w:rsid w:val="00E46A2B"/>
    <w:rsid w:val="00E4703D"/>
    <w:rsid w:val="00E47159"/>
    <w:rsid w:val="00E47596"/>
    <w:rsid w:val="00E476BE"/>
    <w:rsid w:val="00E49D0F"/>
    <w:rsid w:val="00E500EB"/>
    <w:rsid w:val="00E50253"/>
    <w:rsid w:val="00E506B1"/>
    <w:rsid w:val="00E5099F"/>
    <w:rsid w:val="00E509DC"/>
    <w:rsid w:val="00E512CF"/>
    <w:rsid w:val="00E51469"/>
    <w:rsid w:val="00E514A8"/>
    <w:rsid w:val="00E515FB"/>
    <w:rsid w:val="00E51A2F"/>
    <w:rsid w:val="00E51ACC"/>
    <w:rsid w:val="00E52C0E"/>
    <w:rsid w:val="00E52CEA"/>
    <w:rsid w:val="00E53647"/>
    <w:rsid w:val="00E53917"/>
    <w:rsid w:val="00E53BD8"/>
    <w:rsid w:val="00E544B9"/>
    <w:rsid w:val="00E5507B"/>
    <w:rsid w:val="00E558AB"/>
    <w:rsid w:val="00E56820"/>
    <w:rsid w:val="00E56DFA"/>
    <w:rsid w:val="00E57644"/>
    <w:rsid w:val="00E57C63"/>
    <w:rsid w:val="00E57F06"/>
    <w:rsid w:val="00E57F34"/>
    <w:rsid w:val="00E60211"/>
    <w:rsid w:val="00E60515"/>
    <w:rsid w:val="00E60DC8"/>
    <w:rsid w:val="00E6132A"/>
    <w:rsid w:val="00E61809"/>
    <w:rsid w:val="00E618D8"/>
    <w:rsid w:val="00E618FE"/>
    <w:rsid w:val="00E62668"/>
    <w:rsid w:val="00E630F6"/>
    <w:rsid w:val="00E634E3"/>
    <w:rsid w:val="00E64010"/>
    <w:rsid w:val="00E64305"/>
    <w:rsid w:val="00E64A93"/>
    <w:rsid w:val="00E65146"/>
    <w:rsid w:val="00E659D1"/>
    <w:rsid w:val="00E66716"/>
    <w:rsid w:val="00E7060E"/>
    <w:rsid w:val="00E70A35"/>
    <w:rsid w:val="00E70BFA"/>
    <w:rsid w:val="00E71008"/>
    <w:rsid w:val="00E71797"/>
    <w:rsid w:val="00E717C4"/>
    <w:rsid w:val="00E7253F"/>
    <w:rsid w:val="00E72F8D"/>
    <w:rsid w:val="00E737C3"/>
    <w:rsid w:val="00E741E8"/>
    <w:rsid w:val="00E741F6"/>
    <w:rsid w:val="00E74317"/>
    <w:rsid w:val="00E749F2"/>
    <w:rsid w:val="00E750F3"/>
    <w:rsid w:val="00E7561A"/>
    <w:rsid w:val="00E758FD"/>
    <w:rsid w:val="00E76B6F"/>
    <w:rsid w:val="00E76EBF"/>
    <w:rsid w:val="00E7776A"/>
    <w:rsid w:val="00E77948"/>
    <w:rsid w:val="00E77E18"/>
    <w:rsid w:val="00E77F89"/>
    <w:rsid w:val="00E80186"/>
    <w:rsid w:val="00E80330"/>
    <w:rsid w:val="00E806C5"/>
    <w:rsid w:val="00E80E71"/>
    <w:rsid w:val="00E81E86"/>
    <w:rsid w:val="00E82492"/>
    <w:rsid w:val="00E82597"/>
    <w:rsid w:val="00E82AA9"/>
    <w:rsid w:val="00E82DFD"/>
    <w:rsid w:val="00E8305B"/>
    <w:rsid w:val="00E83190"/>
    <w:rsid w:val="00E834BE"/>
    <w:rsid w:val="00E835F9"/>
    <w:rsid w:val="00E83A80"/>
    <w:rsid w:val="00E84250"/>
    <w:rsid w:val="00E842F1"/>
    <w:rsid w:val="00E84CC1"/>
    <w:rsid w:val="00E84ECA"/>
    <w:rsid w:val="00E850D3"/>
    <w:rsid w:val="00E853D6"/>
    <w:rsid w:val="00E8543A"/>
    <w:rsid w:val="00E85534"/>
    <w:rsid w:val="00E86598"/>
    <w:rsid w:val="00E866B9"/>
    <w:rsid w:val="00E868E2"/>
    <w:rsid w:val="00E869DB"/>
    <w:rsid w:val="00E86B2D"/>
    <w:rsid w:val="00E86ED7"/>
    <w:rsid w:val="00E8719D"/>
    <w:rsid w:val="00E876B9"/>
    <w:rsid w:val="00E87849"/>
    <w:rsid w:val="00E8798A"/>
    <w:rsid w:val="00E87E65"/>
    <w:rsid w:val="00E904E3"/>
    <w:rsid w:val="00E90B39"/>
    <w:rsid w:val="00E90C69"/>
    <w:rsid w:val="00E90FB3"/>
    <w:rsid w:val="00E91FC7"/>
    <w:rsid w:val="00E92212"/>
    <w:rsid w:val="00E92ADE"/>
    <w:rsid w:val="00E92EED"/>
    <w:rsid w:val="00E9304B"/>
    <w:rsid w:val="00E93333"/>
    <w:rsid w:val="00E937BB"/>
    <w:rsid w:val="00E9415C"/>
    <w:rsid w:val="00E94E30"/>
    <w:rsid w:val="00E94E32"/>
    <w:rsid w:val="00E95759"/>
    <w:rsid w:val="00E95FAF"/>
    <w:rsid w:val="00E9696E"/>
    <w:rsid w:val="00E96AC9"/>
    <w:rsid w:val="00E96E8E"/>
    <w:rsid w:val="00E96ECF"/>
    <w:rsid w:val="00E97325"/>
    <w:rsid w:val="00E97380"/>
    <w:rsid w:val="00EA0561"/>
    <w:rsid w:val="00EA0BCC"/>
    <w:rsid w:val="00EA0BEC"/>
    <w:rsid w:val="00EA0C2E"/>
    <w:rsid w:val="00EA0E05"/>
    <w:rsid w:val="00EA15AB"/>
    <w:rsid w:val="00EA178D"/>
    <w:rsid w:val="00EA1FF2"/>
    <w:rsid w:val="00EA21FB"/>
    <w:rsid w:val="00EA2608"/>
    <w:rsid w:val="00EA3607"/>
    <w:rsid w:val="00EA4067"/>
    <w:rsid w:val="00EA4242"/>
    <w:rsid w:val="00EA49E7"/>
    <w:rsid w:val="00EA6014"/>
    <w:rsid w:val="00EA7692"/>
    <w:rsid w:val="00EA7E53"/>
    <w:rsid w:val="00EB00EF"/>
    <w:rsid w:val="00EB02C7"/>
    <w:rsid w:val="00EB039D"/>
    <w:rsid w:val="00EB04E8"/>
    <w:rsid w:val="00EB0C3B"/>
    <w:rsid w:val="00EB1A96"/>
    <w:rsid w:val="00EB1C0C"/>
    <w:rsid w:val="00EB2A16"/>
    <w:rsid w:val="00EB2AD2"/>
    <w:rsid w:val="00EB2B8A"/>
    <w:rsid w:val="00EB2CE2"/>
    <w:rsid w:val="00EB3352"/>
    <w:rsid w:val="00EB34F9"/>
    <w:rsid w:val="00EB3C62"/>
    <w:rsid w:val="00EB443E"/>
    <w:rsid w:val="00EB49A0"/>
    <w:rsid w:val="00EB4AA1"/>
    <w:rsid w:val="00EB4E4C"/>
    <w:rsid w:val="00EB5980"/>
    <w:rsid w:val="00EB5C24"/>
    <w:rsid w:val="00EB5F9D"/>
    <w:rsid w:val="00EB715F"/>
    <w:rsid w:val="00EB71B2"/>
    <w:rsid w:val="00EB7E57"/>
    <w:rsid w:val="00EC01D0"/>
    <w:rsid w:val="00EC02AD"/>
    <w:rsid w:val="00EC0C77"/>
    <w:rsid w:val="00EC0CF5"/>
    <w:rsid w:val="00EC0D6A"/>
    <w:rsid w:val="00EC0DFF"/>
    <w:rsid w:val="00EC0E4E"/>
    <w:rsid w:val="00EC0FDC"/>
    <w:rsid w:val="00EC10B1"/>
    <w:rsid w:val="00EC17FC"/>
    <w:rsid w:val="00EC1B5D"/>
    <w:rsid w:val="00EC1CDA"/>
    <w:rsid w:val="00EC1EA1"/>
    <w:rsid w:val="00EC237D"/>
    <w:rsid w:val="00EC2918"/>
    <w:rsid w:val="00EC2A6C"/>
    <w:rsid w:val="00EC316F"/>
    <w:rsid w:val="00EC3194"/>
    <w:rsid w:val="00EC43DD"/>
    <w:rsid w:val="00EC4893"/>
    <w:rsid w:val="00EC4D0E"/>
    <w:rsid w:val="00EC4E2B"/>
    <w:rsid w:val="00EC5434"/>
    <w:rsid w:val="00EC54EE"/>
    <w:rsid w:val="00EC55D8"/>
    <w:rsid w:val="00EC5EE1"/>
    <w:rsid w:val="00ED00CA"/>
    <w:rsid w:val="00ED02BB"/>
    <w:rsid w:val="00ED072A"/>
    <w:rsid w:val="00ED0B0E"/>
    <w:rsid w:val="00ED0D57"/>
    <w:rsid w:val="00ED1B97"/>
    <w:rsid w:val="00ED1F3B"/>
    <w:rsid w:val="00ED2187"/>
    <w:rsid w:val="00ED23FD"/>
    <w:rsid w:val="00ED25BA"/>
    <w:rsid w:val="00ED2617"/>
    <w:rsid w:val="00ED26B9"/>
    <w:rsid w:val="00ED26D8"/>
    <w:rsid w:val="00ED2F1C"/>
    <w:rsid w:val="00ED2FEE"/>
    <w:rsid w:val="00ED4561"/>
    <w:rsid w:val="00ED487B"/>
    <w:rsid w:val="00ED4915"/>
    <w:rsid w:val="00ED4BE8"/>
    <w:rsid w:val="00ED5379"/>
    <w:rsid w:val="00ED539E"/>
    <w:rsid w:val="00ED56A6"/>
    <w:rsid w:val="00ED679C"/>
    <w:rsid w:val="00ED687B"/>
    <w:rsid w:val="00ED6925"/>
    <w:rsid w:val="00EE02A6"/>
    <w:rsid w:val="00EE07FB"/>
    <w:rsid w:val="00EE0BFF"/>
    <w:rsid w:val="00EE111B"/>
    <w:rsid w:val="00EE1281"/>
    <w:rsid w:val="00EE1A20"/>
    <w:rsid w:val="00EE2074"/>
    <w:rsid w:val="00EE23C0"/>
    <w:rsid w:val="00EE244D"/>
    <w:rsid w:val="00EE24A8"/>
    <w:rsid w:val="00EE2B5E"/>
    <w:rsid w:val="00EE2EEB"/>
    <w:rsid w:val="00EE3CF8"/>
    <w:rsid w:val="00EE3FA6"/>
    <w:rsid w:val="00EE4356"/>
    <w:rsid w:val="00EE4748"/>
    <w:rsid w:val="00EE4809"/>
    <w:rsid w:val="00EE4A1F"/>
    <w:rsid w:val="00EE4C2D"/>
    <w:rsid w:val="00EE4F3C"/>
    <w:rsid w:val="00EE569D"/>
    <w:rsid w:val="00EE59D0"/>
    <w:rsid w:val="00EE5F1A"/>
    <w:rsid w:val="00EE65B8"/>
    <w:rsid w:val="00EE6E0B"/>
    <w:rsid w:val="00EE7821"/>
    <w:rsid w:val="00EF05C1"/>
    <w:rsid w:val="00EF06BB"/>
    <w:rsid w:val="00EF103F"/>
    <w:rsid w:val="00EF1929"/>
    <w:rsid w:val="00EF1ABE"/>
    <w:rsid w:val="00EF1B5A"/>
    <w:rsid w:val="00EF1BB3"/>
    <w:rsid w:val="00EF1DBF"/>
    <w:rsid w:val="00EF2385"/>
    <w:rsid w:val="00EF24FB"/>
    <w:rsid w:val="00EF2C08"/>
    <w:rsid w:val="00EF2CCA"/>
    <w:rsid w:val="00EF2F32"/>
    <w:rsid w:val="00EF38AD"/>
    <w:rsid w:val="00EF41B7"/>
    <w:rsid w:val="00EF481E"/>
    <w:rsid w:val="00EF4838"/>
    <w:rsid w:val="00EF486D"/>
    <w:rsid w:val="00EF495B"/>
    <w:rsid w:val="00EF4BF2"/>
    <w:rsid w:val="00EF5178"/>
    <w:rsid w:val="00EF5320"/>
    <w:rsid w:val="00EF57E1"/>
    <w:rsid w:val="00EF5E80"/>
    <w:rsid w:val="00EF60DC"/>
    <w:rsid w:val="00EF738E"/>
    <w:rsid w:val="00F004DD"/>
    <w:rsid w:val="00F00C01"/>
    <w:rsid w:val="00F00E2C"/>
    <w:rsid w:val="00F00F54"/>
    <w:rsid w:val="00F01603"/>
    <w:rsid w:val="00F0172E"/>
    <w:rsid w:val="00F0215D"/>
    <w:rsid w:val="00F025D4"/>
    <w:rsid w:val="00F02E98"/>
    <w:rsid w:val="00F03060"/>
    <w:rsid w:val="00F030B6"/>
    <w:rsid w:val="00F03460"/>
    <w:rsid w:val="00F03963"/>
    <w:rsid w:val="00F03DEA"/>
    <w:rsid w:val="00F042B2"/>
    <w:rsid w:val="00F0453A"/>
    <w:rsid w:val="00F06183"/>
    <w:rsid w:val="00F06370"/>
    <w:rsid w:val="00F06614"/>
    <w:rsid w:val="00F0699D"/>
    <w:rsid w:val="00F06D2C"/>
    <w:rsid w:val="00F06FF0"/>
    <w:rsid w:val="00F102C5"/>
    <w:rsid w:val="00F104EC"/>
    <w:rsid w:val="00F11068"/>
    <w:rsid w:val="00F11887"/>
    <w:rsid w:val="00F11C8F"/>
    <w:rsid w:val="00F11CF3"/>
    <w:rsid w:val="00F11D92"/>
    <w:rsid w:val="00F12453"/>
    <w:rsid w:val="00F1256D"/>
    <w:rsid w:val="00F12A60"/>
    <w:rsid w:val="00F12F32"/>
    <w:rsid w:val="00F1333E"/>
    <w:rsid w:val="00F13A4E"/>
    <w:rsid w:val="00F13CFB"/>
    <w:rsid w:val="00F14455"/>
    <w:rsid w:val="00F14477"/>
    <w:rsid w:val="00F14BC0"/>
    <w:rsid w:val="00F15AD5"/>
    <w:rsid w:val="00F15C86"/>
    <w:rsid w:val="00F15E12"/>
    <w:rsid w:val="00F168A5"/>
    <w:rsid w:val="00F16EE5"/>
    <w:rsid w:val="00F17180"/>
    <w:rsid w:val="00F172BB"/>
    <w:rsid w:val="00F17303"/>
    <w:rsid w:val="00F17371"/>
    <w:rsid w:val="00F17963"/>
    <w:rsid w:val="00F17B10"/>
    <w:rsid w:val="00F17C08"/>
    <w:rsid w:val="00F211F4"/>
    <w:rsid w:val="00F21202"/>
    <w:rsid w:val="00F2133B"/>
    <w:rsid w:val="00F2150A"/>
    <w:rsid w:val="00F21908"/>
    <w:rsid w:val="00F21A9E"/>
    <w:rsid w:val="00F21ACC"/>
    <w:rsid w:val="00F21BEF"/>
    <w:rsid w:val="00F21C9E"/>
    <w:rsid w:val="00F22860"/>
    <w:rsid w:val="00F22A2A"/>
    <w:rsid w:val="00F2315B"/>
    <w:rsid w:val="00F233A9"/>
    <w:rsid w:val="00F23838"/>
    <w:rsid w:val="00F246B1"/>
    <w:rsid w:val="00F2488A"/>
    <w:rsid w:val="00F24DB5"/>
    <w:rsid w:val="00F25011"/>
    <w:rsid w:val="00F255F7"/>
    <w:rsid w:val="00F2594E"/>
    <w:rsid w:val="00F25E49"/>
    <w:rsid w:val="00F26340"/>
    <w:rsid w:val="00F26CF5"/>
    <w:rsid w:val="00F26D72"/>
    <w:rsid w:val="00F27F9D"/>
    <w:rsid w:val="00F3011F"/>
    <w:rsid w:val="00F302B7"/>
    <w:rsid w:val="00F30648"/>
    <w:rsid w:val="00F30803"/>
    <w:rsid w:val="00F30BBB"/>
    <w:rsid w:val="00F30EF1"/>
    <w:rsid w:val="00F30F8F"/>
    <w:rsid w:val="00F311B8"/>
    <w:rsid w:val="00F31439"/>
    <w:rsid w:val="00F31ABB"/>
    <w:rsid w:val="00F31EB3"/>
    <w:rsid w:val="00F327BA"/>
    <w:rsid w:val="00F328E1"/>
    <w:rsid w:val="00F3298E"/>
    <w:rsid w:val="00F32B55"/>
    <w:rsid w:val="00F32DE5"/>
    <w:rsid w:val="00F3347F"/>
    <w:rsid w:val="00F33739"/>
    <w:rsid w:val="00F337DD"/>
    <w:rsid w:val="00F33C7A"/>
    <w:rsid w:val="00F34010"/>
    <w:rsid w:val="00F341A4"/>
    <w:rsid w:val="00F342AC"/>
    <w:rsid w:val="00F34402"/>
    <w:rsid w:val="00F34805"/>
    <w:rsid w:val="00F34A12"/>
    <w:rsid w:val="00F3510C"/>
    <w:rsid w:val="00F35381"/>
    <w:rsid w:val="00F353DE"/>
    <w:rsid w:val="00F35A9E"/>
    <w:rsid w:val="00F35C8B"/>
    <w:rsid w:val="00F35EE4"/>
    <w:rsid w:val="00F36442"/>
    <w:rsid w:val="00F36534"/>
    <w:rsid w:val="00F366FD"/>
    <w:rsid w:val="00F367DD"/>
    <w:rsid w:val="00F36E96"/>
    <w:rsid w:val="00F37EA0"/>
    <w:rsid w:val="00F37F1F"/>
    <w:rsid w:val="00F4008D"/>
    <w:rsid w:val="00F40482"/>
    <w:rsid w:val="00F404AC"/>
    <w:rsid w:val="00F409B5"/>
    <w:rsid w:val="00F4120E"/>
    <w:rsid w:val="00F41A6F"/>
    <w:rsid w:val="00F420E5"/>
    <w:rsid w:val="00F42978"/>
    <w:rsid w:val="00F42E45"/>
    <w:rsid w:val="00F4335C"/>
    <w:rsid w:val="00F438BB"/>
    <w:rsid w:val="00F4395C"/>
    <w:rsid w:val="00F446D1"/>
    <w:rsid w:val="00F450EF"/>
    <w:rsid w:val="00F458A6"/>
    <w:rsid w:val="00F459C2"/>
    <w:rsid w:val="00F45A25"/>
    <w:rsid w:val="00F46042"/>
    <w:rsid w:val="00F460F8"/>
    <w:rsid w:val="00F469A2"/>
    <w:rsid w:val="00F4707A"/>
    <w:rsid w:val="00F471AE"/>
    <w:rsid w:val="00F4729A"/>
    <w:rsid w:val="00F47413"/>
    <w:rsid w:val="00F502F8"/>
    <w:rsid w:val="00F50436"/>
    <w:rsid w:val="00F50783"/>
    <w:rsid w:val="00F50C3E"/>
    <w:rsid w:val="00F50C67"/>
    <w:rsid w:val="00F50D1E"/>
    <w:rsid w:val="00F50F86"/>
    <w:rsid w:val="00F511BE"/>
    <w:rsid w:val="00F51619"/>
    <w:rsid w:val="00F51ED3"/>
    <w:rsid w:val="00F5202E"/>
    <w:rsid w:val="00F52593"/>
    <w:rsid w:val="00F531BA"/>
    <w:rsid w:val="00F53441"/>
    <w:rsid w:val="00F53525"/>
    <w:rsid w:val="00F53CDC"/>
    <w:rsid w:val="00F53F91"/>
    <w:rsid w:val="00F54BBA"/>
    <w:rsid w:val="00F54CF3"/>
    <w:rsid w:val="00F54F55"/>
    <w:rsid w:val="00F55620"/>
    <w:rsid w:val="00F55CCF"/>
    <w:rsid w:val="00F560D2"/>
    <w:rsid w:val="00F57514"/>
    <w:rsid w:val="00F575F8"/>
    <w:rsid w:val="00F6070C"/>
    <w:rsid w:val="00F60860"/>
    <w:rsid w:val="00F60AFD"/>
    <w:rsid w:val="00F60DEF"/>
    <w:rsid w:val="00F614B6"/>
    <w:rsid w:val="00F61569"/>
    <w:rsid w:val="00F61A72"/>
    <w:rsid w:val="00F623DC"/>
    <w:rsid w:val="00F62B67"/>
    <w:rsid w:val="00F62C84"/>
    <w:rsid w:val="00F632A6"/>
    <w:rsid w:val="00F6340A"/>
    <w:rsid w:val="00F63668"/>
    <w:rsid w:val="00F63AE4"/>
    <w:rsid w:val="00F63BA1"/>
    <w:rsid w:val="00F63CB1"/>
    <w:rsid w:val="00F6459F"/>
    <w:rsid w:val="00F647E1"/>
    <w:rsid w:val="00F64B41"/>
    <w:rsid w:val="00F64C1B"/>
    <w:rsid w:val="00F64C74"/>
    <w:rsid w:val="00F64F77"/>
    <w:rsid w:val="00F652FE"/>
    <w:rsid w:val="00F654C0"/>
    <w:rsid w:val="00F65579"/>
    <w:rsid w:val="00F6678D"/>
    <w:rsid w:val="00F668C2"/>
    <w:rsid w:val="00F66CFE"/>
    <w:rsid w:val="00F66D7A"/>
    <w:rsid w:val="00F66DED"/>
    <w:rsid w:val="00F66F13"/>
    <w:rsid w:val="00F670A8"/>
    <w:rsid w:val="00F67A9E"/>
    <w:rsid w:val="00F67DEB"/>
    <w:rsid w:val="00F67DF1"/>
    <w:rsid w:val="00F67E90"/>
    <w:rsid w:val="00F67ED2"/>
    <w:rsid w:val="00F7052E"/>
    <w:rsid w:val="00F70687"/>
    <w:rsid w:val="00F70864"/>
    <w:rsid w:val="00F710A9"/>
    <w:rsid w:val="00F71E7E"/>
    <w:rsid w:val="00F731A8"/>
    <w:rsid w:val="00F731D2"/>
    <w:rsid w:val="00F73785"/>
    <w:rsid w:val="00F73851"/>
    <w:rsid w:val="00F73B09"/>
    <w:rsid w:val="00F73FA9"/>
    <w:rsid w:val="00F74073"/>
    <w:rsid w:val="00F744AB"/>
    <w:rsid w:val="00F7452B"/>
    <w:rsid w:val="00F749C8"/>
    <w:rsid w:val="00F75447"/>
    <w:rsid w:val="00F755AF"/>
    <w:rsid w:val="00F75603"/>
    <w:rsid w:val="00F75839"/>
    <w:rsid w:val="00F760E8"/>
    <w:rsid w:val="00F7610F"/>
    <w:rsid w:val="00F765C8"/>
    <w:rsid w:val="00F76848"/>
    <w:rsid w:val="00F76C10"/>
    <w:rsid w:val="00F76F76"/>
    <w:rsid w:val="00F773AF"/>
    <w:rsid w:val="00F7787F"/>
    <w:rsid w:val="00F77964"/>
    <w:rsid w:val="00F803EB"/>
    <w:rsid w:val="00F8074B"/>
    <w:rsid w:val="00F807D6"/>
    <w:rsid w:val="00F80DC7"/>
    <w:rsid w:val="00F8110A"/>
    <w:rsid w:val="00F813EB"/>
    <w:rsid w:val="00F815A2"/>
    <w:rsid w:val="00F81E6A"/>
    <w:rsid w:val="00F82713"/>
    <w:rsid w:val="00F8282D"/>
    <w:rsid w:val="00F833C3"/>
    <w:rsid w:val="00F84437"/>
    <w:rsid w:val="00F845B4"/>
    <w:rsid w:val="00F846DF"/>
    <w:rsid w:val="00F84C57"/>
    <w:rsid w:val="00F851D4"/>
    <w:rsid w:val="00F8530F"/>
    <w:rsid w:val="00F859B9"/>
    <w:rsid w:val="00F859C6"/>
    <w:rsid w:val="00F85FD4"/>
    <w:rsid w:val="00F85FF4"/>
    <w:rsid w:val="00F86E78"/>
    <w:rsid w:val="00F8713B"/>
    <w:rsid w:val="00F87601"/>
    <w:rsid w:val="00F87777"/>
    <w:rsid w:val="00F90015"/>
    <w:rsid w:val="00F90229"/>
    <w:rsid w:val="00F90A62"/>
    <w:rsid w:val="00F916F6"/>
    <w:rsid w:val="00F91F2B"/>
    <w:rsid w:val="00F921CD"/>
    <w:rsid w:val="00F92307"/>
    <w:rsid w:val="00F93690"/>
    <w:rsid w:val="00F93BEE"/>
    <w:rsid w:val="00F93CD5"/>
    <w:rsid w:val="00F93F9E"/>
    <w:rsid w:val="00F94FC9"/>
    <w:rsid w:val="00F953DA"/>
    <w:rsid w:val="00F9577D"/>
    <w:rsid w:val="00F95914"/>
    <w:rsid w:val="00F95B80"/>
    <w:rsid w:val="00F962DE"/>
    <w:rsid w:val="00F96545"/>
    <w:rsid w:val="00F96828"/>
    <w:rsid w:val="00F97118"/>
    <w:rsid w:val="00F97530"/>
    <w:rsid w:val="00FA016B"/>
    <w:rsid w:val="00FA01EA"/>
    <w:rsid w:val="00FA02A0"/>
    <w:rsid w:val="00FA0484"/>
    <w:rsid w:val="00FA09DA"/>
    <w:rsid w:val="00FA0BB7"/>
    <w:rsid w:val="00FA0F84"/>
    <w:rsid w:val="00FA1312"/>
    <w:rsid w:val="00FA1662"/>
    <w:rsid w:val="00FA206F"/>
    <w:rsid w:val="00FA246C"/>
    <w:rsid w:val="00FA2A2C"/>
    <w:rsid w:val="00FA2AFC"/>
    <w:rsid w:val="00FA2CD7"/>
    <w:rsid w:val="00FA32BA"/>
    <w:rsid w:val="00FA38DC"/>
    <w:rsid w:val="00FA416F"/>
    <w:rsid w:val="00FA450B"/>
    <w:rsid w:val="00FA4976"/>
    <w:rsid w:val="00FA4CDB"/>
    <w:rsid w:val="00FA5247"/>
    <w:rsid w:val="00FA5935"/>
    <w:rsid w:val="00FA595A"/>
    <w:rsid w:val="00FA61B9"/>
    <w:rsid w:val="00FA6575"/>
    <w:rsid w:val="00FA68F0"/>
    <w:rsid w:val="00FA6967"/>
    <w:rsid w:val="00FA6C48"/>
    <w:rsid w:val="00FA72B5"/>
    <w:rsid w:val="00FA7A7B"/>
    <w:rsid w:val="00FA7CE9"/>
    <w:rsid w:val="00FA7DFE"/>
    <w:rsid w:val="00FB0297"/>
    <w:rsid w:val="00FB06ED"/>
    <w:rsid w:val="00FB0A9D"/>
    <w:rsid w:val="00FB0D25"/>
    <w:rsid w:val="00FB10AD"/>
    <w:rsid w:val="00FB1728"/>
    <w:rsid w:val="00FB24BA"/>
    <w:rsid w:val="00FB2EB1"/>
    <w:rsid w:val="00FB2F17"/>
    <w:rsid w:val="00FB31FF"/>
    <w:rsid w:val="00FB3639"/>
    <w:rsid w:val="00FB3BBA"/>
    <w:rsid w:val="00FB415E"/>
    <w:rsid w:val="00FB58E9"/>
    <w:rsid w:val="00FB5F8E"/>
    <w:rsid w:val="00FB6345"/>
    <w:rsid w:val="00FB6BFB"/>
    <w:rsid w:val="00FB6D6B"/>
    <w:rsid w:val="00FB6E20"/>
    <w:rsid w:val="00FC0091"/>
    <w:rsid w:val="00FC0B85"/>
    <w:rsid w:val="00FC0DB5"/>
    <w:rsid w:val="00FC15D2"/>
    <w:rsid w:val="00FC17FD"/>
    <w:rsid w:val="00FC1D57"/>
    <w:rsid w:val="00FC1E39"/>
    <w:rsid w:val="00FC207F"/>
    <w:rsid w:val="00FC2311"/>
    <w:rsid w:val="00FC2510"/>
    <w:rsid w:val="00FC3165"/>
    <w:rsid w:val="00FC36AB"/>
    <w:rsid w:val="00FC3C41"/>
    <w:rsid w:val="00FC3EDF"/>
    <w:rsid w:val="00FC4300"/>
    <w:rsid w:val="00FC531B"/>
    <w:rsid w:val="00FC5EB9"/>
    <w:rsid w:val="00FC6BB8"/>
    <w:rsid w:val="00FC6D6E"/>
    <w:rsid w:val="00FC7E1E"/>
    <w:rsid w:val="00FC7F66"/>
    <w:rsid w:val="00FD055C"/>
    <w:rsid w:val="00FD0D26"/>
    <w:rsid w:val="00FD0DB6"/>
    <w:rsid w:val="00FD17CF"/>
    <w:rsid w:val="00FD19F0"/>
    <w:rsid w:val="00FD1A61"/>
    <w:rsid w:val="00FD2180"/>
    <w:rsid w:val="00FD288B"/>
    <w:rsid w:val="00FD2B01"/>
    <w:rsid w:val="00FD2CC4"/>
    <w:rsid w:val="00FD372C"/>
    <w:rsid w:val="00FD4230"/>
    <w:rsid w:val="00FD4461"/>
    <w:rsid w:val="00FD5313"/>
    <w:rsid w:val="00FD5542"/>
    <w:rsid w:val="00FD5776"/>
    <w:rsid w:val="00FD5B3B"/>
    <w:rsid w:val="00FD6590"/>
    <w:rsid w:val="00FD6711"/>
    <w:rsid w:val="00FD67F2"/>
    <w:rsid w:val="00FD6B31"/>
    <w:rsid w:val="00FD6EA5"/>
    <w:rsid w:val="00FD70C8"/>
    <w:rsid w:val="00FD74A4"/>
    <w:rsid w:val="00FD7D14"/>
    <w:rsid w:val="00FE0004"/>
    <w:rsid w:val="00FE006F"/>
    <w:rsid w:val="00FE0428"/>
    <w:rsid w:val="00FE058F"/>
    <w:rsid w:val="00FE1305"/>
    <w:rsid w:val="00FE188C"/>
    <w:rsid w:val="00FE1CB6"/>
    <w:rsid w:val="00FE216D"/>
    <w:rsid w:val="00FE22F1"/>
    <w:rsid w:val="00FE2538"/>
    <w:rsid w:val="00FE2B8C"/>
    <w:rsid w:val="00FE2D28"/>
    <w:rsid w:val="00FE3C5C"/>
    <w:rsid w:val="00FE3D23"/>
    <w:rsid w:val="00FE3DBE"/>
    <w:rsid w:val="00FE486B"/>
    <w:rsid w:val="00FE4AA2"/>
    <w:rsid w:val="00FE4D75"/>
    <w:rsid w:val="00FE4F08"/>
    <w:rsid w:val="00FE5972"/>
    <w:rsid w:val="00FE5994"/>
    <w:rsid w:val="00FE5F1E"/>
    <w:rsid w:val="00FE6882"/>
    <w:rsid w:val="00FE6B6F"/>
    <w:rsid w:val="00FE75BF"/>
    <w:rsid w:val="00FE7F06"/>
    <w:rsid w:val="00FE7F13"/>
    <w:rsid w:val="00FE7F23"/>
    <w:rsid w:val="00FF002C"/>
    <w:rsid w:val="00FF05ED"/>
    <w:rsid w:val="00FF0A5D"/>
    <w:rsid w:val="00FF129C"/>
    <w:rsid w:val="00FF192E"/>
    <w:rsid w:val="00FF1B00"/>
    <w:rsid w:val="00FF27EA"/>
    <w:rsid w:val="00FF2C87"/>
    <w:rsid w:val="00FF3007"/>
    <w:rsid w:val="00FF4153"/>
    <w:rsid w:val="00FF455F"/>
    <w:rsid w:val="00FF4778"/>
    <w:rsid w:val="00FF4F80"/>
    <w:rsid w:val="00FF51E2"/>
    <w:rsid w:val="00FF55A8"/>
    <w:rsid w:val="00FF593A"/>
    <w:rsid w:val="00FF62CA"/>
    <w:rsid w:val="00FF64CA"/>
    <w:rsid w:val="00FF6554"/>
    <w:rsid w:val="00FF7455"/>
    <w:rsid w:val="00FF74EB"/>
    <w:rsid w:val="00FF77F9"/>
    <w:rsid w:val="00FF7AF4"/>
    <w:rsid w:val="01461879"/>
    <w:rsid w:val="014FAE6E"/>
    <w:rsid w:val="0173A7D1"/>
    <w:rsid w:val="01780635"/>
    <w:rsid w:val="019E3A50"/>
    <w:rsid w:val="01AD7A6B"/>
    <w:rsid w:val="023C1C5E"/>
    <w:rsid w:val="02D8F08A"/>
    <w:rsid w:val="03404E94"/>
    <w:rsid w:val="037336E7"/>
    <w:rsid w:val="03CF32CF"/>
    <w:rsid w:val="044AD462"/>
    <w:rsid w:val="049328FB"/>
    <w:rsid w:val="04C9EE62"/>
    <w:rsid w:val="05A6527D"/>
    <w:rsid w:val="05DA495F"/>
    <w:rsid w:val="05E5DEF8"/>
    <w:rsid w:val="05F5F93B"/>
    <w:rsid w:val="069DA723"/>
    <w:rsid w:val="06B5FF09"/>
    <w:rsid w:val="06B69E3A"/>
    <w:rsid w:val="070ABBC2"/>
    <w:rsid w:val="07C56DE3"/>
    <w:rsid w:val="08042587"/>
    <w:rsid w:val="0849596F"/>
    <w:rsid w:val="08B92AD6"/>
    <w:rsid w:val="08F58F0A"/>
    <w:rsid w:val="09758221"/>
    <w:rsid w:val="097B83C0"/>
    <w:rsid w:val="09A0FA91"/>
    <w:rsid w:val="0A6AA92A"/>
    <w:rsid w:val="0AB29F76"/>
    <w:rsid w:val="0AE1B9E5"/>
    <w:rsid w:val="0AE3D6D2"/>
    <w:rsid w:val="0B01B451"/>
    <w:rsid w:val="0C0DCAA9"/>
    <w:rsid w:val="0C350491"/>
    <w:rsid w:val="0C8E1D44"/>
    <w:rsid w:val="0CA27C3B"/>
    <w:rsid w:val="0CD6D68C"/>
    <w:rsid w:val="0CD9CA4A"/>
    <w:rsid w:val="0D22390F"/>
    <w:rsid w:val="0D4B7BEB"/>
    <w:rsid w:val="0D4C049D"/>
    <w:rsid w:val="0D94945D"/>
    <w:rsid w:val="0DE05AF7"/>
    <w:rsid w:val="0E42ED49"/>
    <w:rsid w:val="0F968108"/>
    <w:rsid w:val="0FB3CEE2"/>
    <w:rsid w:val="0FEA28C3"/>
    <w:rsid w:val="10678F63"/>
    <w:rsid w:val="1068780C"/>
    <w:rsid w:val="107BED80"/>
    <w:rsid w:val="10AA2696"/>
    <w:rsid w:val="11582BD5"/>
    <w:rsid w:val="115A3DC2"/>
    <w:rsid w:val="116DAD96"/>
    <w:rsid w:val="1233EF83"/>
    <w:rsid w:val="128056E0"/>
    <w:rsid w:val="12E11189"/>
    <w:rsid w:val="1392A570"/>
    <w:rsid w:val="13CA659C"/>
    <w:rsid w:val="13E2D206"/>
    <w:rsid w:val="13E688DF"/>
    <w:rsid w:val="1401FAAB"/>
    <w:rsid w:val="1407E35E"/>
    <w:rsid w:val="147054CE"/>
    <w:rsid w:val="1489A02E"/>
    <w:rsid w:val="148FF8BF"/>
    <w:rsid w:val="1567CF63"/>
    <w:rsid w:val="15BC226D"/>
    <w:rsid w:val="1633A3D9"/>
    <w:rsid w:val="1644CC58"/>
    <w:rsid w:val="173C0F8F"/>
    <w:rsid w:val="1751779D"/>
    <w:rsid w:val="179A3FBB"/>
    <w:rsid w:val="179BEABC"/>
    <w:rsid w:val="17C873E0"/>
    <w:rsid w:val="18A474D1"/>
    <w:rsid w:val="18C30860"/>
    <w:rsid w:val="1970A1EB"/>
    <w:rsid w:val="1A0C8A5C"/>
    <w:rsid w:val="1B245CDD"/>
    <w:rsid w:val="1B8F17EC"/>
    <w:rsid w:val="1BBEC877"/>
    <w:rsid w:val="1C06A728"/>
    <w:rsid w:val="1C3F5998"/>
    <w:rsid w:val="1C850636"/>
    <w:rsid w:val="1CAA4475"/>
    <w:rsid w:val="1D325810"/>
    <w:rsid w:val="1D4BA300"/>
    <w:rsid w:val="1D6C6770"/>
    <w:rsid w:val="1DDC22C1"/>
    <w:rsid w:val="1E14CB43"/>
    <w:rsid w:val="1E484C3B"/>
    <w:rsid w:val="1E488CB5"/>
    <w:rsid w:val="1ECE679E"/>
    <w:rsid w:val="1EE10DB9"/>
    <w:rsid w:val="1F1B09F8"/>
    <w:rsid w:val="1F81FA24"/>
    <w:rsid w:val="1FB76259"/>
    <w:rsid w:val="1FED9F19"/>
    <w:rsid w:val="207A0D3F"/>
    <w:rsid w:val="21064542"/>
    <w:rsid w:val="21F513A5"/>
    <w:rsid w:val="2214EAFD"/>
    <w:rsid w:val="22862C4B"/>
    <w:rsid w:val="22A2DEDE"/>
    <w:rsid w:val="22BA04A1"/>
    <w:rsid w:val="239CCE64"/>
    <w:rsid w:val="23F08F9F"/>
    <w:rsid w:val="24D594F0"/>
    <w:rsid w:val="25518694"/>
    <w:rsid w:val="2584C125"/>
    <w:rsid w:val="259D0F9F"/>
    <w:rsid w:val="2601FCE4"/>
    <w:rsid w:val="265749DE"/>
    <w:rsid w:val="267EDFD8"/>
    <w:rsid w:val="26C7C3C5"/>
    <w:rsid w:val="27385B69"/>
    <w:rsid w:val="277ADEE3"/>
    <w:rsid w:val="27815920"/>
    <w:rsid w:val="279B8616"/>
    <w:rsid w:val="27CC8EAA"/>
    <w:rsid w:val="27F94313"/>
    <w:rsid w:val="27FA53BA"/>
    <w:rsid w:val="281E48FA"/>
    <w:rsid w:val="2888CE35"/>
    <w:rsid w:val="28D598D1"/>
    <w:rsid w:val="28D7335E"/>
    <w:rsid w:val="28E31C06"/>
    <w:rsid w:val="291E4566"/>
    <w:rsid w:val="294CA388"/>
    <w:rsid w:val="297A9BFC"/>
    <w:rsid w:val="2A0FCFF3"/>
    <w:rsid w:val="2A25D9BC"/>
    <w:rsid w:val="2A84CD82"/>
    <w:rsid w:val="2ACC6147"/>
    <w:rsid w:val="2B0C5919"/>
    <w:rsid w:val="2B9380E7"/>
    <w:rsid w:val="2B957292"/>
    <w:rsid w:val="2BC79E3F"/>
    <w:rsid w:val="2BDCC76F"/>
    <w:rsid w:val="2BDE440B"/>
    <w:rsid w:val="2BE32666"/>
    <w:rsid w:val="2BFEEA4F"/>
    <w:rsid w:val="2C483A1B"/>
    <w:rsid w:val="2CF79280"/>
    <w:rsid w:val="2D2F976D"/>
    <w:rsid w:val="2D331EB7"/>
    <w:rsid w:val="2DD84507"/>
    <w:rsid w:val="2DFC32C3"/>
    <w:rsid w:val="2DFDF8BB"/>
    <w:rsid w:val="2E380E2B"/>
    <w:rsid w:val="2E8BD47C"/>
    <w:rsid w:val="2EFFE999"/>
    <w:rsid w:val="2F011690"/>
    <w:rsid w:val="3004BE30"/>
    <w:rsid w:val="3063B57C"/>
    <w:rsid w:val="30BA8953"/>
    <w:rsid w:val="31AB44E7"/>
    <w:rsid w:val="3234A26C"/>
    <w:rsid w:val="32B905C2"/>
    <w:rsid w:val="32F3DDD3"/>
    <w:rsid w:val="33D1AA95"/>
    <w:rsid w:val="341CC1D9"/>
    <w:rsid w:val="3480EBEF"/>
    <w:rsid w:val="34BFC0D8"/>
    <w:rsid w:val="34E93D61"/>
    <w:rsid w:val="350FF487"/>
    <w:rsid w:val="352E259A"/>
    <w:rsid w:val="3541AFDC"/>
    <w:rsid w:val="355E6D85"/>
    <w:rsid w:val="35CF8AD0"/>
    <w:rsid w:val="35D28970"/>
    <w:rsid w:val="35F1BFBA"/>
    <w:rsid w:val="37187FE7"/>
    <w:rsid w:val="372648D9"/>
    <w:rsid w:val="375734F5"/>
    <w:rsid w:val="376108A3"/>
    <w:rsid w:val="37924218"/>
    <w:rsid w:val="37EA0C18"/>
    <w:rsid w:val="38F96425"/>
    <w:rsid w:val="39AAD386"/>
    <w:rsid w:val="39AD534B"/>
    <w:rsid w:val="39D86577"/>
    <w:rsid w:val="3A6138D4"/>
    <w:rsid w:val="3A675670"/>
    <w:rsid w:val="3C08897E"/>
    <w:rsid w:val="3CBA3246"/>
    <w:rsid w:val="3CCAE306"/>
    <w:rsid w:val="3CF916E9"/>
    <w:rsid w:val="3CFD0999"/>
    <w:rsid w:val="3D33540A"/>
    <w:rsid w:val="3D8FB9C8"/>
    <w:rsid w:val="3D9BC4F6"/>
    <w:rsid w:val="3DD0C81F"/>
    <w:rsid w:val="3DE46077"/>
    <w:rsid w:val="3DE9F0BF"/>
    <w:rsid w:val="3E0C037E"/>
    <w:rsid w:val="3E4D455F"/>
    <w:rsid w:val="3EB38517"/>
    <w:rsid w:val="3EC7224C"/>
    <w:rsid w:val="3EE3C8EA"/>
    <w:rsid w:val="3F398E2D"/>
    <w:rsid w:val="3F7BAF63"/>
    <w:rsid w:val="3F92AE55"/>
    <w:rsid w:val="40223DFF"/>
    <w:rsid w:val="403DC92A"/>
    <w:rsid w:val="405B11CE"/>
    <w:rsid w:val="4077C2D7"/>
    <w:rsid w:val="407A8D55"/>
    <w:rsid w:val="4096E67A"/>
    <w:rsid w:val="40E63A57"/>
    <w:rsid w:val="4113CCFD"/>
    <w:rsid w:val="411BFEE2"/>
    <w:rsid w:val="412A2FD8"/>
    <w:rsid w:val="41783AC5"/>
    <w:rsid w:val="417D01BC"/>
    <w:rsid w:val="41A93ED5"/>
    <w:rsid w:val="41AE6320"/>
    <w:rsid w:val="41D83A9E"/>
    <w:rsid w:val="41FC0A0C"/>
    <w:rsid w:val="4234E753"/>
    <w:rsid w:val="424B0CCC"/>
    <w:rsid w:val="42D1120D"/>
    <w:rsid w:val="42DB462E"/>
    <w:rsid w:val="42E0C6F3"/>
    <w:rsid w:val="4313398F"/>
    <w:rsid w:val="431E068F"/>
    <w:rsid w:val="4323D133"/>
    <w:rsid w:val="4336D984"/>
    <w:rsid w:val="436FC815"/>
    <w:rsid w:val="43ADF05C"/>
    <w:rsid w:val="43E82DC0"/>
    <w:rsid w:val="43F6D84C"/>
    <w:rsid w:val="44FDD5CC"/>
    <w:rsid w:val="450586E4"/>
    <w:rsid w:val="4521F949"/>
    <w:rsid w:val="4522D73B"/>
    <w:rsid w:val="456C02C5"/>
    <w:rsid w:val="4574B1B9"/>
    <w:rsid w:val="45CF43B7"/>
    <w:rsid w:val="4647E341"/>
    <w:rsid w:val="475FAD12"/>
    <w:rsid w:val="47827C69"/>
    <w:rsid w:val="47C288A0"/>
    <w:rsid w:val="47F35CC5"/>
    <w:rsid w:val="48337CBC"/>
    <w:rsid w:val="48861BA6"/>
    <w:rsid w:val="48CACA38"/>
    <w:rsid w:val="48D31675"/>
    <w:rsid w:val="4941A6C3"/>
    <w:rsid w:val="49629C16"/>
    <w:rsid w:val="49B9963B"/>
    <w:rsid w:val="49CB4CF6"/>
    <w:rsid w:val="49D8FC52"/>
    <w:rsid w:val="4A0AA6F2"/>
    <w:rsid w:val="4A42FFA3"/>
    <w:rsid w:val="4AC97254"/>
    <w:rsid w:val="4B010F91"/>
    <w:rsid w:val="4B24ABEE"/>
    <w:rsid w:val="4B3F336F"/>
    <w:rsid w:val="4C051230"/>
    <w:rsid w:val="4C1A0372"/>
    <w:rsid w:val="4C4567A1"/>
    <w:rsid w:val="4C6B5F3B"/>
    <w:rsid w:val="4CF0B692"/>
    <w:rsid w:val="4D349340"/>
    <w:rsid w:val="4DB553FE"/>
    <w:rsid w:val="4E67AF99"/>
    <w:rsid w:val="4EA6F668"/>
    <w:rsid w:val="4EDD221D"/>
    <w:rsid w:val="4F3834A4"/>
    <w:rsid w:val="4F9233B8"/>
    <w:rsid w:val="4FD082BA"/>
    <w:rsid w:val="5017E098"/>
    <w:rsid w:val="50553494"/>
    <w:rsid w:val="50BA90B4"/>
    <w:rsid w:val="50FED674"/>
    <w:rsid w:val="5157924D"/>
    <w:rsid w:val="517B5C71"/>
    <w:rsid w:val="517DBEC4"/>
    <w:rsid w:val="521A67CE"/>
    <w:rsid w:val="526AA2BB"/>
    <w:rsid w:val="527C5099"/>
    <w:rsid w:val="52945C76"/>
    <w:rsid w:val="52970BF6"/>
    <w:rsid w:val="52BEB741"/>
    <w:rsid w:val="52CFFD7A"/>
    <w:rsid w:val="52DC08D7"/>
    <w:rsid w:val="533ED00F"/>
    <w:rsid w:val="535221BF"/>
    <w:rsid w:val="5371E83C"/>
    <w:rsid w:val="53B3577B"/>
    <w:rsid w:val="545940C3"/>
    <w:rsid w:val="548BA2CD"/>
    <w:rsid w:val="55234D56"/>
    <w:rsid w:val="5556E37D"/>
    <w:rsid w:val="55D9DAE3"/>
    <w:rsid w:val="55F7A091"/>
    <w:rsid w:val="569EA94A"/>
    <w:rsid w:val="56A7F319"/>
    <w:rsid w:val="56B93324"/>
    <w:rsid w:val="56D43442"/>
    <w:rsid w:val="57C95E86"/>
    <w:rsid w:val="57D58814"/>
    <w:rsid w:val="58C4E9F3"/>
    <w:rsid w:val="59874FC8"/>
    <w:rsid w:val="59881365"/>
    <w:rsid w:val="59BD43F7"/>
    <w:rsid w:val="5A0B5303"/>
    <w:rsid w:val="5A2D5BC3"/>
    <w:rsid w:val="5A5A6DDE"/>
    <w:rsid w:val="5B47E729"/>
    <w:rsid w:val="5B766125"/>
    <w:rsid w:val="5C386C20"/>
    <w:rsid w:val="5C529270"/>
    <w:rsid w:val="5D4D951B"/>
    <w:rsid w:val="5DBF1908"/>
    <w:rsid w:val="5DF3B9BE"/>
    <w:rsid w:val="5E1BD1EF"/>
    <w:rsid w:val="5E3BF6CC"/>
    <w:rsid w:val="5E539F69"/>
    <w:rsid w:val="5EA26148"/>
    <w:rsid w:val="5EC5FEFF"/>
    <w:rsid w:val="5EE3A0E2"/>
    <w:rsid w:val="5F32A788"/>
    <w:rsid w:val="5F69773C"/>
    <w:rsid w:val="5F818FB6"/>
    <w:rsid w:val="5FBF8AF6"/>
    <w:rsid w:val="5FE702F3"/>
    <w:rsid w:val="603E2E05"/>
    <w:rsid w:val="60401774"/>
    <w:rsid w:val="604899AD"/>
    <w:rsid w:val="6106E383"/>
    <w:rsid w:val="6145EA61"/>
    <w:rsid w:val="61F95DF4"/>
    <w:rsid w:val="62264A44"/>
    <w:rsid w:val="622A5D23"/>
    <w:rsid w:val="62B1968E"/>
    <w:rsid w:val="62E67560"/>
    <w:rsid w:val="62F486CD"/>
    <w:rsid w:val="6375605E"/>
    <w:rsid w:val="63E01D31"/>
    <w:rsid w:val="64133374"/>
    <w:rsid w:val="644207A8"/>
    <w:rsid w:val="645FB7D5"/>
    <w:rsid w:val="64A51F87"/>
    <w:rsid w:val="64E35A6D"/>
    <w:rsid w:val="651492D2"/>
    <w:rsid w:val="6537237F"/>
    <w:rsid w:val="654A0089"/>
    <w:rsid w:val="655B635D"/>
    <w:rsid w:val="6584F6CE"/>
    <w:rsid w:val="6585062F"/>
    <w:rsid w:val="65BCD32A"/>
    <w:rsid w:val="66247D19"/>
    <w:rsid w:val="663F1CF6"/>
    <w:rsid w:val="66DFD43B"/>
    <w:rsid w:val="66FECAA4"/>
    <w:rsid w:val="6740D3D0"/>
    <w:rsid w:val="677794B0"/>
    <w:rsid w:val="6782F2C5"/>
    <w:rsid w:val="67A3ACFB"/>
    <w:rsid w:val="67AAA796"/>
    <w:rsid w:val="67B67EE0"/>
    <w:rsid w:val="68FD08B4"/>
    <w:rsid w:val="6A3536E2"/>
    <w:rsid w:val="6AEBC0BD"/>
    <w:rsid w:val="6AFB2EE1"/>
    <w:rsid w:val="6B007FF4"/>
    <w:rsid w:val="6B32E11F"/>
    <w:rsid w:val="6B42D93D"/>
    <w:rsid w:val="6B7192F1"/>
    <w:rsid w:val="6BE091B5"/>
    <w:rsid w:val="6C1CB7CB"/>
    <w:rsid w:val="6C1D3E40"/>
    <w:rsid w:val="6C31972D"/>
    <w:rsid w:val="6C38F964"/>
    <w:rsid w:val="6C52355E"/>
    <w:rsid w:val="6D43C604"/>
    <w:rsid w:val="6EBE411E"/>
    <w:rsid w:val="6ED240A2"/>
    <w:rsid w:val="6F3DBEEC"/>
    <w:rsid w:val="6FB44CAA"/>
    <w:rsid w:val="6FDAA770"/>
    <w:rsid w:val="701D701B"/>
    <w:rsid w:val="703E34F4"/>
    <w:rsid w:val="70CB77A5"/>
    <w:rsid w:val="70E18ED2"/>
    <w:rsid w:val="7115802C"/>
    <w:rsid w:val="711581E6"/>
    <w:rsid w:val="716834CC"/>
    <w:rsid w:val="71689FCA"/>
    <w:rsid w:val="71760B0E"/>
    <w:rsid w:val="717753B3"/>
    <w:rsid w:val="7236D725"/>
    <w:rsid w:val="7281DA00"/>
    <w:rsid w:val="728C0AE5"/>
    <w:rsid w:val="732A4746"/>
    <w:rsid w:val="73842028"/>
    <w:rsid w:val="739A01B7"/>
    <w:rsid w:val="74211390"/>
    <w:rsid w:val="74906BB4"/>
    <w:rsid w:val="74BC08C6"/>
    <w:rsid w:val="74CBEE35"/>
    <w:rsid w:val="74ECA905"/>
    <w:rsid w:val="75114D7E"/>
    <w:rsid w:val="7519F743"/>
    <w:rsid w:val="754F60E1"/>
    <w:rsid w:val="75570C19"/>
    <w:rsid w:val="7584558B"/>
    <w:rsid w:val="75A20E8F"/>
    <w:rsid w:val="75D3479C"/>
    <w:rsid w:val="760C11B7"/>
    <w:rsid w:val="760F0D1B"/>
    <w:rsid w:val="7640A16A"/>
    <w:rsid w:val="76713053"/>
    <w:rsid w:val="76FD59FD"/>
    <w:rsid w:val="77FB3C23"/>
    <w:rsid w:val="7853B530"/>
    <w:rsid w:val="785F1E42"/>
    <w:rsid w:val="78675450"/>
    <w:rsid w:val="78717E4F"/>
    <w:rsid w:val="78DCD61F"/>
    <w:rsid w:val="7A67842B"/>
    <w:rsid w:val="7AD2CDB9"/>
    <w:rsid w:val="7AFF9C8F"/>
    <w:rsid w:val="7B64C3EA"/>
    <w:rsid w:val="7BA6F9E7"/>
    <w:rsid w:val="7BAD1931"/>
    <w:rsid w:val="7BFE56E2"/>
    <w:rsid w:val="7C6BD4EB"/>
    <w:rsid w:val="7C8F3EB7"/>
    <w:rsid w:val="7CC21946"/>
    <w:rsid w:val="7CF4128D"/>
    <w:rsid w:val="7D3CE95F"/>
    <w:rsid w:val="7D7178AF"/>
    <w:rsid w:val="7DDBD9CC"/>
    <w:rsid w:val="7DE3B34F"/>
    <w:rsid w:val="7E6DD597"/>
    <w:rsid w:val="7EA4BC4B"/>
    <w:rsid w:val="7F0E92D8"/>
    <w:rsid w:val="7FC407B7"/>
    <w:rsid w:val="7FC6F46A"/>
    <w:rsid w:val="7FD599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6C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25164"/>
    <w:pPr>
      <w:keepNext/>
      <w:keepLines/>
      <w:spacing w:before="80" w:after="40" w:line="240" w:lineRule="auto"/>
      <w:outlineLvl w:val="4"/>
    </w:pPr>
    <w:rPr>
      <w:rFonts w:asciiTheme="minorHAnsi" w:eastAsiaTheme="majorEastAsia" w:hAnsiTheme="minorHAnsi" w:cstheme="majorBidi"/>
      <w:color w:val="365F91" w:themeColor="accent1" w:themeShade="BF"/>
      <w:sz w:val="24"/>
      <w:lang w:eastAsia="en-US"/>
    </w:rPr>
  </w:style>
  <w:style w:type="paragraph" w:styleId="Kop6">
    <w:name w:val="heading 6"/>
    <w:basedOn w:val="Standaard"/>
    <w:next w:val="Standaard"/>
    <w:link w:val="Kop6Char"/>
    <w:uiPriority w:val="9"/>
    <w:semiHidden/>
    <w:unhideWhenUsed/>
    <w:qFormat/>
    <w:rsid w:val="00A25164"/>
    <w:pPr>
      <w:keepNext/>
      <w:keepLines/>
      <w:spacing w:before="40" w:line="240" w:lineRule="auto"/>
      <w:outlineLvl w:val="5"/>
    </w:pPr>
    <w:rPr>
      <w:rFonts w:asciiTheme="minorHAnsi" w:eastAsiaTheme="majorEastAsia" w:hAnsiTheme="minorHAnsi" w:cstheme="majorBidi"/>
      <w:i/>
      <w:iCs/>
      <w:color w:val="595959" w:themeColor="text1" w:themeTint="A6"/>
      <w:sz w:val="24"/>
      <w:lang w:eastAsia="en-US"/>
    </w:rPr>
  </w:style>
  <w:style w:type="paragraph" w:styleId="Kop7">
    <w:name w:val="heading 7"/>
    <w:basedOn w:val="Standaard"/>
    <w:next w:val="Standaard"/>
    <w:link w:val="Kop7Char"/>
    <w:uiPriority w:val="9"/>
    <w:semiHidden/>
    <w:unhideWhenUsed/>
    <w:qFormat/>
    <w:rsid w:val="00A25164"/>
    <w:pPr>
      <w:keepNext/>
      <w:keepLines/>
      <w:spacing w:before="40" w:line="240" w:lineRule="auto"/>
      <w:outlineLvl w:val="6"/>
    </w:pPr>
    <w:rPr>
      <w:rFonts w:asciiTheme="minorHAnsi" w:eastAsiaTheme="majorEastAsia" w:hAnsiTheme="minorHAnsi" w:cstheme="majorBidi"/>
      <w:color w:val="595959" w:themeColor="text1" w:themeTint="A6"/>
      <w:sz w:val="24"/>
      <w:lang w:eastAsia="en-US"/>
    </w:rPr>
  </w:style>
  <w:style w:type="paragraph" w:styleId="Kop8">
    <w:name w:val="heading 8"/>
    <w:basedOn w:val="Standaard"/>
    <w:next w:val="Standaard"/>
    <w:link w:val="Kop8Char"/>
    <w:uiPriority w:val="9"/>
    <w:semiHidden/>
    <w:unhideWhenUsed/>
    <w:qFormat/>
    <w:rsid w:val="00A25164"/>
    <w:pPr>
      <w:keepNext/>
      <w:keepLines/>
      <w:spacing w:line="240" w:lineRule="auto"/>
      <w:outlineLvl w:val="7"/>
    </w:pPr>
    <w:rPr>
      <w:rFonts w:asciiTheme="minorHAnsi" w:eastAsiaTheme="majorEastAsia" w:hAnsiTheme="minorHAnsi" w:cstheme="majorBidi"/>
      <w:i/>
      <w:iCs/>
      <w:color w:val="272727" w:themeColor="text1" w:themeTint="D8"/>
      <w:sz w:val="24"/>
      <w:lang w:eastAsia="en-US"/>
    </w:rPr>
  </w:style>
  <w:style w:type="paragraph" w:styleId="Kop9">
    <w:name w:val="heading 9"/>
    <w:basedOn w:val="Standaard"/>
    <w:next w:val="Standaard"/>
    <w:link w:val="Kop9Char"/>
    <w:uiPriority w:val="9"/>
    <w:semiHidden/>
    <w:unhideWhenUsed/>
    <w:qFormat/>
    <w:rsid w:val="00A25164"/>
    <w:pPr>
      <w:keepNext/>
      <w:keepLines/>
      <w:spacing w:line="240" w:lineRule="auto"/>
      <w:outlineLvl w:val="8"/>
    </w:pPr>
    <w:rPr>
      <w:rFonts w:asciiTheme="minorHAnsi" w:eastAsiaTheme="majorEastAsia" w:hAnsiTheme="minorHAnsi" w:cstheme="majorBidi"/>
      <w:color w:val="272727" w:themeColor="text1" w:themeTint="D8"/>
      <w:sz w:val="24"/>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uiPriority w:val="9"/>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uiPriority w:val="9"/>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A25164"/>
    <w:rPr>
      <w:rFonts w:asciiTheme="minorHAnsi" w:eastAsiaTheme="majorEastAsia" w:hAnsiTheme="minorHAnsi" w:cstheme="majorBidi"/>
      <w:color w:val="365F91" w:themeColor="accent1" w:themeShade="BF"/>
      <w:sz w:val="24"/>
      <w:szCs w:val="24"/>
      <w:lang w:val="nl-NL"/>
    </w:rPr>
  </w:style>
  <w:style w:type="character" w:customStyle="1" w:styleId="Kop6Char">
    <w:name w:val="Kop 6 Char"/>
    <w:basedOn w:val="Standaardalinea-lettertype"/>
    <w:link w:val="Kop6"/>
    <w:uiPriority w:val="9"/>
    <w:semiHidden/>
    <w:rsid w:val="00A25164"/>
    <w:rPr>
      <w:rFonts w:asciiTheme="minorHAnsi" w:eastAsiaTheme="majorEastAsia" w:hAnsiTheme="minorHAnsi" w:cstheme="majorBidi"/>
      <w:i/>
      <w:iCs/>
      <w:color w:val="595959" w:themeColor="text1" w:themeTint="A6"/>
      <w:sz w:val="24"/>
      <w:szCs w:val="24"/>
      <w:lang w:val="nl-NL"/>
    </w:rPr>
  </w:style>
  <w:style w:type="character" w:customStyle="1" w:styleId="Kop7Char">
    <w:name w:val="Kop 7 Char"/>
    <w:basedOn w:val="Standaardalinea-lettertype"/>
    <w:link w:val="Kop7"/>
    <w:uiPriority w:val="9"/>
    <w:semiHidden/>
    <w:rsid w:val="00A25164"/>
    <w:rPr>
      <w:rFonts w:asciiTheme="minorHAnsi" w:eastAsiaTheme="majorEastAsia" w:hAnsiTheme="minorHAnsi" w:cstheme="majorBidi"/>
      <w:color w:val="595959" w:themeColor="text1" w:themeTint="A6"/>
      <w:sz w:val="24"/>
      <w:szCs w:val="24"/>
      <w:lang w:val="nl-NL"/>
    </w:rPr>
  </w:style>
  <w:style w:type="character" w:customStyle="1" w:styleId="Kop8Char">
    <w:name w:val="Kop 8 Char"/>
    <w:basedOn w:val="Standaardalinea-lettertype"/>
    <w:link w:val="Kop8"/>
    <w:uiPriority w:val="9"/>
    <w:semiHidden/>
    <w:rsid w:val="00A25164"/>
    <w:rPr>
      <w:rFonts w:asciiTheme="minorHAnsi" w:eastAsiaTheme="majorEastAsia" w:hAnsiTheme="minorHAnsi" w:cstheme="majorBidi"/>
      <w:i/>
      <w:iCs/>
      <w:color w:val="272727" w:themeColor="text1" w:themeTint="D8"/>
      <w:sz w:val="24"/>
      <w:szCs w:val="24"/>
      <w:lang w:val="nl-NL"/>
    </w:rPr>
  </w:style>
  <w:style w:type="character" w:customStyle="1" w:styleId="Kop9Char">
    <w:name w:val="Kop 9 Char"/>
    <w:basedOn w:val="Standaardalinea-lettertype"/>
    <w:link w:val="Kop9"/>
    <w:uiPriority w:val="9"/>
    <w:semiHidden/>
    <w:rsid w:val="00A25164"/>
    <w:rPr>
      <w:rFonts w:asciiTheme="minorHAnsi" w:eastAsiaTheme="majorEastAsia" w:hAnsiTheme="minorHAnsi" w:cstheme="majorBidi"/>
      <w:color w:val="272727" w:themeColor="text1" w:themeTint="D8"/>
      <w:sz w:val="24"/>
      <w:szCs w:val="24"/>
      <w:lang w:val="nl-NL"/>
    </w:rPr>
  </w:style>
  <w:style w:type="paragraph" w:styleId="Koptekst">
    <w:name w:val="header"/>
    <w:basedOn w:val="Standaard"/>
    <w:link w:val="KoptekstChar"/>
    <w:uiPriority w:val="99"/>
    <w:rsid w:val="00023E9A"/>
    <w:pPr>
      <w:tabs>
        <w:tab w:val="center" w:pos="4536"/>
        <w:tab w:val="right" w:pos="9072"/>
      </w:tabs>
    </w:pPr>
  </w:style>
  <w:style w:type="character" w:customStyle="1" w:styleId="KoptekstChar">
    <w:name w:val="Koptekst Char"/>
    <w:basedOn w:val="Standaardalinea-lettertype"/>
    <w:link w:val="Koptekst"/>
    <w:uiPriority w:val="99"/>
    <w:rsid w:val="00841CD9"/>
    <w:rPr>
      <w:rFonts w:ascii="Verdana" w:eastAsia="Times New Roman" w:hAnsi="Verdana" w:cs="Times New Roman"/>
      <w:sz w:val="18"/>
      <w:szCs w:val="24"/>
      <w:lang w:val="nl-NL" w:eastAsia="nl-NL"/>
    </w:rPr>
  </w:style>
  <w:style w:type="paragraph" w:styleId="Voettekst">
    <w:name w:val="footer"/>
    <w:basedOn w:val="Standaard"/>
    <w:link w:val="VoettekstChar"/>
    <w:uiPriority w:val="99"/>
    <w:rsid w:val="00023E9A"/>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table" w:styleId="Tabelraster">
    <w:name w:val="Table Grid"/>
    <w:basedOn w:val="Standaardtabel"/>
    <w:uiPriority w:val="39"/>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uiPriority w:val="99"/>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Citaat">
    <w:name w:val="Quote"/>
    <w:basedOn w:val="Standaard"/>
    <w:next w:val="Standaard"/>
    <w:link w:val="CitaatChar"/>
    <w:uiPriority w:val="29"/>
    <w:qFormat/>
    <w:rsid w:val="00A25164"/>
    <w:pPr>
      <w:spacing w:before="160" w:after="160" w:line="240" w:lineRule="auto"/>
      <w:jc w:val="center"/>
    </w:pPr>
    <w:rPr>
      <w:rFonts w:asciiTheme="minorHAnsi" w:eastAsiaTheme="minorHAnsi" w:hAnsiTheme="minorHAnsi" w:cstheme="minorBidi"/>
      <w:i/>
      <w:iCs/>
      <w:color w:val="404040" w:themeColor="text1" w:themeTint="BF"/>
      <w:sz w:val="24"/>
      <w:lang w:eastAsia="en-US"/>
    </w:rPr>
  </w:style>
  <w:style w:type="character" w:customStyle="1" w:styleId="CitaatChar">
    <w:name w:val="Citaat Char"/>
    <w:basedOn w:val="Standaardalinea-lettertype"/>
    <w:link w:val="Citaat"/>
    <w:uiPriority w:val="29"/>
    <w:rsid w:val="00A25164"/>
    <w:rPr>
      <w:rFonts w:asciiTheme="minorHAnsi" w:eastAsiaTheme="minorHAnsi" w:hAnsiTheme="minorHAnsi" w:cstheme="minorBidi"/>
      <w:i/>
      <w:iCs/>
      <w:color w:val="404040" w:themeColor="text1" w:themeTint="BF"/>
      <w:sz w:val="24"/>
      <w:szCs w:val="24"/>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A25164"/>
    <w:pPr>
      <w:spacing w:line="240" w:lineRule="auto"/>
      <w:ind w:left="720"/>
      <w:contextualSpacing/>
    </w:pPr>
    <w:rPr>
      <w:rFonts w:asciiTheme="minorHAnsi" w:eastAsiaTheme="minorHAnsi" w:hAnsiTheme="minorHAnsi" w:cstheme="minorBidi"/>
      <w:sz w:val="24"/>
      <w:lang w:eastAsia="en-US"/>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A25164"/>
    <w:rPr>
      <w:rFonts w:asciiTheme="minorHAnsi" w:eastAsiaTheme="minorHAnsi" w:hAnsiTheme="minorHAnsi" w:cstheme="minorBidi"/>
      <w:sz w:val="24"/>
      <w:szCs w:val="24"/>
      <w:lang w:val="nl-NL"/>
    </w:rPr>
  </w:style>
  <w:style w:type="character" w:styleId="Intensievebenadrukking">
    <w:name w:val="Intense Emphasis"/>
    <w:basedOn w:val="Standaardalinea-lettertype"/>
    <w:uiPriority w:val="21"/>
    <w:qFormat/>
    <w:rsid w:val="00A25164"/>
    <w:rPr>
      <w:i/>
      <w:iCs/>
      <w:color w:val="365F91" w:themeColor="accent1" w:themeShade="BF"/>
    </w:rPr>
  </w:style>
  <w:style w:type="paragraph" w:styleId="Duidelijkcitaat">
    <w:name w:val="Intense Quote"/>
    <w:basedOn w:val="Standaard"/>
    <w:next w:val="Standaard"/>
    <w:link w:val="DuidelijkcitaatChar"/>
    <w:uiPriority w:val="30"/>
    <w:qFormat/>
    <w:rsid w:val="00A25164"/>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HAnsi" w:hAnsiTheme="minorHAnsi" w:cstheme="minorBidi"/>
      <w:i/>
      <w:iCs/>
      <w:color w:val="365F91" w:themeColor="accent1" w:themeShade="BF"/>
      <w:sz w:val="24"/>
      <w:lang w:eastAsia="en-US"/>
    </w:rPr>
  </w:style>
  <w:style w:type="character" w:customStyle="1" w:styleId="DuidelijkcitaatChar">
    <w:name w:val="Duidelijk citaat Char"/>
    <w:basedOn w:val="Standaardalinea-lettertype"/>
    <w:link w:val="Duidelijkcitaat"/>
    <w:uiPriority w:val="30"/>
    <w:rsid w:val="00A25164"/>
    <w:rPr>
      <w:rFonts w:asciiTheme="minorHAnsi" w:eastAsiaTheme="minorHAnsi" w:hAnsiTheme="minorHAnsi" w:cstheme="minorBidi"/>
      <w:i/>
      <w:iCs/>
      <w:color w:val="365F91" w:themeColor="accent1" w:themeShade="BF"/>
      <w:sz w:val="24"/>
      <w:szCs w:val="24"/>
      <w:lang w:val="nl-NL"/>
    </w:rPr>
  </w:style>
  <w:style w:type="character" w:styleId="Intensieveverwijzing">
    <w:name w:val="Intense Reference"/>
    <w:basedOn w:val="Standaardalinea-lettertype"/>
    <w:uiPriority w:val="32"/>
    <w:qFormat/>
    <w:rsid w:val="00A25164"/>
    <w:rPr>
      <w:b/>
      <w:bCs/>
      <w:smallCaps/>
      <w:color w:val="365F91" w:themeColor="accent1" w:themeShade="BF"/>
      <w:spacing w:val="5"/>
    </w:rPr>
  </w:style>
  <w:style w:type="character" w:customStyle="1" w:styleId="apple-converted-space">
    <w:name w:val="apple-converted-space"/>
    <w:basedOn w:val="Standaardalinea-lettertype"/>
    <w:rsid w:val="00A25164"/>
  </w:style>
  <w:style w:type="character" w:customStyle="1" w:styleId="outlook-search-highlight">
    <w:name w:val="outlook-search-highlight"/>
    <w:basedOn w:val="Standaardalinea-lettertype"/>
    <w:rsid w:val="00A25164"/>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A25164"/>
    <w:rPr>
      <w:vertAlign w:val="superscript"/>
    </w:rPr>
  </w:style>
  <w:style w:type="character" w:styleId="Onopgelostemelding">
    <w:name w:val="Unresolved Mention"/>
    <w:basedOn w:val="Standaardalinea-lettertype"/>
    <w:uiPriority w:val="99"/>
    <w:semiHidden/>
    <w:unhideWhenUsed/>
    <w:rsid w:val="00A25164"/>
    <w:rPr>
      <w:color w:val="605E5C"/>
      <w:shd w:val="clear" w:color="auto" w:fill="E1DFDD"/>
    </w:rPr>
  </w:style>
  <w:style w:type="paragraph" w:styleId="Revisie">
    <w:name w:val="Revision"/>
    <w:hidden/>
    <w:uiPriority w:val="99"/>
    <w:semiHidden/>
    <w:rsid w:val="00A25164"/>
    <w:rPr>
      <w:rFonts w:asciiTheme="minorHAnsi" w:eastAsiaTheme="minorHAnsi" w:hAnsiTheme="minorHAnsi" w:cstheme="minorBidi"/>
      <w:sz w:val="24"/>
      <w:szCs w:val="24"/>
      <w:lang w:val="nl-NL"/>
    </w:rPr>
  </w:style>
  <w:style w:type="character" w:styleId="Vermelding">
    <w:name w:val="Mention"/>
    <w:basedOn w:val="Standaardalinea-lettertype"/>
    <w:uiPriority w:val="99"/>
    <w:unhideWhenUsed/>
    <w:rsid w:val="00A25164"/>
    <w:rPr>
      <w:color w:val="2B579A"/>
      <w:shd w:val="clear" w:color="auto" w:fill="E1DFDD"/>
    </w:rPr>
  </w:style>
  <w:style w:type="character" w:customStyle="1" w:styleId="TekstopmerkingChar6">
    <w:name w:val="Tekst opmerking Char6"/>
    <w:basedOn w:val="Standaardalinea-lettertype"/>
    <w:uiPriority w:val="99"/>
    <w:semiHidden/>
    <w:rsid w:val="00A25164"/>
    <w:rPr>
      <w:sz w:val="20"/>
      <w:szCs w:val="20"/>
    </w:rPr>
  </w:style>
  <w:style w:type="character" w:customStyle="1" w:styleId="CommentReference1">
    <w:name w:val="Comment Reference1"/>
    <w:basedOn w:val="Standaardalinea-lettertype"/>
    <w:uiPriority w:val="99"/>
    <w:semiHidden/>
    <w:unhideWhenUsed/>
    <w:rsid w:val="00A25164"/>
    <w:rPr>
      <w:sz w:val="16"/>
      <w:szCs w:val="16"/>
    </w:rPr>
  </w:style>
  <w:style w:type="paragraph" w:styleId="Geenafstand">
    <w:name w:val="No Spacing"/>
    <w:uiPriority w:val="1"/>
    <w:qFormat/>
    <w:rsid w:val="00A25164"/>
    <w:rPr>
      <w:rFonts w:asciiTheme="minorHAnsi" w:eastAsiaTheme="minorHAnsi" w:hAnsiTheme="minorHAnsi" w:cstheme="minorBidi"/>
      <w:kern w:val="2"/>
      <w:sz w:val="22"/>
      <w:szCs w:val="22"/>
      <w:lang w:val="nl-NL"/>
      <w14:ligatures w14:val="standardContextual"/>
    </w:rPr>
  </w:style>
  <w:style w:type="paragraph" w:customStyle="1" w:styleId="paragraph">
    <w:name w:val="paragraph"/>
    <w:basedOn w:val="Standaard"/>
    <w:rsid w:val="00A25164"/>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A25164"/>
  </w:style>
  <w:style w:type="paragraph" w:customStyle="1" w:styleId="p1">
    <w:name w:val="p1"/>
    <w:basedOn w:val="Standaard"/>
    <w:rsid w:val="00A25164"/>
    <w:pPr>
      <w:spacing w:line="240" w:lineRule="auto"/>
    </w:pPr>
    <w:rPr>
      <w:color w:val="000000"/>
      <w:sz w:val="14"/>
      <w:szCs w:val="14"/>
    </w:rPr>
  </w:style>
  <w:style w:type="table" w:styleId="Rastertabel4-Accent1">
    <w:name w:val="Grid Table 4 Accent 1"/>
    <w:basedOn w:val="Standaardtabel"/>
    <w:uiPriority w:val="49"/>
    <w:rsid w:val="00A2516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ekstopmerkingChar1">
    <w:name w:val="Tekst opmerking Char1"/>
    <w:basedOn w:val="Standaardalinea-lettertype"/>
    <w:uiPriority w:val="99"/>
    <w:rsid w:val="00A25164"/>
    <w:rPr>
      <w:sz w:val="20"/>
      <w:szCs w:val="20"/>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C57464"/>
    <w:rPr>
      <w:b/>
      <w:bCs/>
    </w:rPr>
  </w:style>
  <w:style w:type="character" w:customStyle="1" w:styleId="OnderwerpvanopmerkingChar">
    <w:name w:val="Onderwerp van opmerking Char"/>
    <w:basedOn w:val="TekstopmerkingChar"/>
    <w:link w:val="Onderwerpvanopmerking"/>
    <w:uiPriority w:val="99"/>
    <w:semiHidden/>
    <w:rsid w:val="00C57464"/>
    <w:rPr>
      <w:rFonts w:ascii="Verdana" w:hAnsi="Verdana"/>
      <w:b/>
      <w:bCs/>
      <w:lang w:val="nl-NL" w:eastAsia="nl-NL"/>
    </w:rPr>
  </w:style>
  <w:style w:type="paragraph" w:customStyle="1" w:styleId="CommentText1">
    <w:name w:val="Comment Text1"/>
    <w:basedOn w:val="Standaard"/>
    <w:uiPriority w:val="99"/>
    <w:unhideWhenUsed/>
    <w:rsid w:val="00801B5E"/>
    <w:pPr>
      <w:spacing w:line="240" w:lineRule="auto"/>
    </w:pPr>
    <w:rPr>
      <w:sz w:val="20"/>
      <w:szCs w:val="20"/>
    </w:rPr>
  </w:style>
  <w:style w:type="character" w:customStyle="1" w:styleId="CommentReference2">
    <w:name w:val="Comment Reference2"/>
    <w:basedOn w:val="Standaardalinea-lettertype"/>
    <w:semiHidden/>
    <w:unhideWhenUsed/>
    <w:rsid w:val="00801B5E"/>
    <w:rPr>
      <w:sz w:val="16"/>
      <w:szCs w:val="16"/>
    </w:rPr>
  </w:style>
  <w:style w:type="paragraph" w:customStyle="1" w:styleId="CommentSubject1">
    <w:name w:val="Comment Subject1"/>
    <w:basedOn w:val="CommentText1"/>
    <w:next w:val="CommentText1"/>
    <w:uiPriority w:val="99"/>
    <w:semiHidden/>
    <w:unhideWhenUsed/>
    <w:rsid w:val="00801B5E"/>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www.gateterminal.com/commercial" TargetMode="External"/><Relationship Id="rId13" Type="http://schemas.openxmlformats.org/officeDocument/2006/relationships/hyperlink" Target="https://energy.ec.europa.eu/topics/energy-security/security-gas-supply/preventive-action-plans-and-emergency-plans_en" TargetMode="External"/><Relationship Id="rId18" Type="http://schemas.openxmlformats.org/officeDocument/2006/relationships/hyperlink" Target="https://www.mase.gov.it/portale/documents/d/guest/m_amte-mase-registro_ufficiale_i_-0003861-12-01-2026-1-pdf" TargetMode="External"/><Relationship Id="rId3" Type="http://schemas.openxmlformats.org/officeDocument/2006/relationships/hyperlink" Target="http://www.gasunietransportservices.nl/nieuws/gts-publiceert-weerbaarheidsanalyse" TargetMode="External"/><Relationship Id="rId21" Type="http://schemas.openxmlformats.org/officeDocument/2006/relationships/hyperlink" Target="https://www.cores.es/es/seguridad-suministro/gas-natural" TargetMode="External"/><Relationship Id="rId7" Type="http://schemas.openxmlformats.org/officeDocument/2006/relationships/hyperlink" Target="http://www.eemsenergyterminal.com" TargetMode="External"/><Relationship Id="rId12" Type="http://schemas.openxmlformats.org/officeDocument/2006/relationships/hyperlink" Target="http://www.acer.europa.eu/monitoring/MMR/LNG_market_developments_2026" TargetMode="External"/><Relationship Id="rId17" Type="http://schemas.openxmlformats.org/officeDocument/2006/relationships/hyperlink" Target="https://www.husa.hu/en/stockpiling-of-energy-sources/" TargetMode="External"/><Relationship Id="rId2" Type="http://schemas.openxmlformats.org/officeDocument/2006/relationships/hyperlink" Target="https://ce.nl/wp-content/uploads/2025/11/CE-Delft_250228_Strategische_kussengasreserves_Def.pdf" TargetMode="External"/><Relationship Id="rId16" Type="http://schemas.openxmlformats.org/officeDocument/2006/relationships/hyperlink" Target="https://varudekeskus.ee/en/estonian-stockpiling-agency/national-stockpiles/fuel-stocks/strategic-natural-gas-stocks" TargetMode="External"/><Relationship Id="rId20" Type="http://schemas.openxmlformats.org/officeDocument/2006/relationships/hyperlink" Target="https://www.aggm.at/en/security-of-supply/strategic-gas-reserve/" TargetMode="External"/><Relationship Id="rId1" Type="http://schemas.openxmlformats.org/officeDocument/2006/relationships/hyperlink" Target="http://www.pbl.nl/publicaties/klimaat-en-energieverkenning-2026" TargetMode="External"/><Relationship Id="rId6" Type="http://schemas.openxmlformats.org/officeDocument/2006/relationships/hyperlink" Target="http://www.gasunietransportservices.nl/gasmarkt/leveringszekerheid-gas/visie-2024" TargetMode="External"/><Relationship Id="rId11" Type="http://schemas.openxmlformats.org/officeDocument/2006/relationships/hyperlink" Target="https://zeelandenergyterminal.com/open-season/" TargetMode="External"/><Relationship Id="rId5" Type="http://schemas.openxmlformats.org/officeDocument/2006/relationships/hyperlink" Target="https://eur01.safelinks.protection.outlook.com/?url=https%3A%2F%2Fwww.nogat.com%2Fnl%2Fnieuws%2Fnogat-start-pre-feed-fase-van-project-nornet-voor-de-eerste-directe-gasverbinding-tussen-noorwegen-en-nederland%2F&amp;data=05%7C02%7Cm.kuenen%40minezk.nl%7C841b0bf70c7f4b3542b608df08180b7f%7C1321633ef6b944e2a44f59b9d264ecb7%7C0%7C0%7C639238571493240426%7CUnknown%7CTWFpbGZsb3d8eyJFbXB0eU1hcGkiOnRydWUsIlYiOiIwLjAuMDAwMCIsIlAiOiJXaW4zMiIsIkFOIjoiTWFpbCIsIldUIjoyfQ%3D%3D%7C0%7C%7C%7C&amp;sdata=erhdOHJjm09XE8F9Q5J7wfXab2aFaEDhcdL7gnwGAi4%3D&amp;reserved=0" TargetMode="External"/><Relationship Id="rId15" Type="http://schemas.openxmlformats.org/officeDocument/2006/relationships/hyperlink" Target="https://www.iea.org/about/oil-security-and-emergency-response" TargetMode="External"/><Relationship Id="rId10" Type="http://schemas.openxmlformats.org/officeDocument/2006/relationships/hyperlink" Target="http://www.eemsenergyterminal.com/nl/laatste-nieuws/capaciteit-geboekt-voor-verlenging-eemsenergyterminal" TargetMode="External"/><Relationship Id="rId19" Type="http://schemas.openxmlformats.org/officeDocument/2006/relationships/hyperlink" Target="https://eur01.safelinks.protection.outlook.com/?url=https%3A%2F%2Flikumi.lv%2Fta%2Fen%2Fen%2Fid%2F49833-energy-law&amp;data=05%7C02%7Cj.s.nooren%40minezk.nl%7C561f5c8091c547eab0f208def77e33f2%7C1321633ef6b944e2a44f59b9d264ecb7%7C0%7C0%7C639220318592502521%7CUnknown%7CTWFpbGZsb3d8eyJFbXB0eU1hcGkiOnRydWUsIlYiOiIwLjAuMDAwMCIsIlAiOiJXaW4zMiIsIkFOIjoiTWFpbCIsIldUIjoyfQ%3D%3D%7C0%7C%7C%7C&amp;sdata=vV3XRZXf7ECtnSruMP2zJVr9YyGbt%2FFquxYYf9zMI1c%3D&amp;reserved=0" TargetMode="External"/><Relationship Id="rId4" Type="http://schemas.openxmlformats.org/officeDocument/2006/relationships/hyperlink" Target="https://www.acer.europa.eu/sites/default/files/documents/Publications/ACER-LNG-Monitoring-Report-2026.pdf" TargetMode="External"/><Relationship Id="rId9" Type="http://schemas.openxmlformats.org/officeDocument/2006/relationships/hyperlink" Target="http://www.eemsenergyterminal.com/nl/laatste-nieuws/laatste-bcm-door-engie-gecontracteerd-eemsenergyterminal-in-eemshaven-volledig-uitverkocht" TargetMode="External"/><Relationship Id="rId14" Type="http://schemas.openxmlformats.org/officeDocument/2006/relationships/hyperlink" Target="https://www.consilium.europa.eu/nl/infographics/where-does-the-eu-s-gas-come-from/"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18476</ap:Words>
  <ap:Characters>101618</ap:Characters>
  <ap:DocSecurity>0</ap:DocSecurity>
  <ap:Lines>846</ap:Lines>
  <ap:Paragraphs>239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119855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2026-09-24T17:58:00.0000000Z</dcterms:created>
  <dcterms:modified xsi:type="dcterms:W3CDTF">2026-09-24T17:58:00.0000000Z</dcterms:modified>
  <dc:description>------------------------</dc:description>
  <version/>
  <category/>
</coreProperties>
</file>