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91481" w:rsidR="00B24AEB" w:rsidP="00B24AEB" w:rsidRDefault="00B24AEB" w14:paraId="638A151C" w14:textId="25F6300A">
      <w:pPr>
        <w:spacing w:line="276" w:lineRule="auto"/>
        <w:rPr>
          <w:sz w:val="20"/>
          <w:szCs w:val="20"/>
        </w:rPr>
      </w:pPr>
      <w:r>
        <w:rPr>
          <w:sz w:val="20"/>
          <w:szCs w:val="20"/>
        </w:rPr>
        <w:t xml:space="preserve">Geachte </w:t>
      </w:r>
      <w:r w:rsidR="00CE236F">
        <w:rPr>
          <w:sz w:val="20"/>
          <w:szCs w:val="20"/>
        </w:rPr>
        <w:t>V</w:t>
      </w:r>
      <w:r>
        <w:rPr>
          <w:sz w:val="20"/>
          <w:szCs w:val="20"/>
        </w:rPr>
        <w:t>oorzitter,</w:t>
      </w:r>
    </w:p>
    <w:p w:rsidRPr="002200CA" w:rsidR="00B24AEB" w:rsidP="00B24AEB" w:rsidRDefault="00B24AEB" w14:paraId="4358B973" w14:textId="77777777">
      <w:pPr>
        <w:spacing w:line="276" w:lineRule="auto"/>
        <w:rPr>
          <w:b/>
          <w:bCs/>
          <w:sz w:val="20"/>
          <w:szCs w:val="20"/>
        </w:rPr>
      </w:pPr>
    </w:p>
    <w:p w:rsidR="00B24AEB" w:rsidP="00B24AEB" w:rsidRDefault="00B24AEB" w14:paraId="3DCF484B" w14:textId="77777777">
      <w:pPr>
        <w:spacing w:line="276" w:lineRule="auto"/>
        <w:rPr>
          <w:szCs w:val="18"/>
        </w:rPr>
      </w:pPr>
      <w:r>
        <w:rPr>
          <w:szCs w:val="18"/>
        </w:rPr>
        <w:t xml:space="preserve">Op 4 juli 2025 is de Kamer geïnformeerd over het besluit van het vorige kabinet om een niet-bindend bod uit te brengen op de aandelen in ZEH Energy B.V. (hierna: ZEH Energy), de vennootschap die 70% van de aandelen houdt in de </w:t>
      </w:r>
      <w:r w:rsidRPr="00BB78D8">
        <w:rPr>
          <w:szCs w:val="18"/>
        </w:rPr>
        <w:t>N.V. Elektriciteits Produktiemaatschappij Zuid-Nederland</w:t>
      </w:r>
      <w:r>
        <w:t xml:space="preserve"> </w:t>
      </w:r>
      <w:r>
        <w:rPr>
          <w:szCs w:val="18"/>
        </w:rPr>
        <w:t xml:space="preserve">(EPZ), de exploitant van de kerncentrale Borssele (KCB). Daarnaast zijn op dat moment ook de gesprekken met Energy Resources Holding B.V. (ERH) gestart, de vennootschap die de overige 30% van de aandelen in EPZ houdt. ERH is volledig in eigendom van het Duitse energiebedrijf RWE AG. Het doel van de overname van de aandelen van ZEH en van de gesprekken met ERH is om de kerncentrale Borssele ná 2033 open te kunnen houden. </w:t>
      </w:r>
    </w:p>
    <w:p w:rsidR="00B24AEB" w:rsidP="00B24AEB" w:rsidRDefault="00B24AEB" w14:paraId="62F39F2B" w14:textId="77777777">
      <w:pPr>
        <w:spacing w:line="276" w:lineRule="auto"/>
        <w:rPr>
          <w:szCs w:val="18"/>
        </w:rPr>
      </w:pPr>
    </w:p>
    <w:p w:rsidR="00B24AEB" w:rsidP="00B24AEB" w:rsidRDefault="00B24AEB" w14:paraId="54154514" w14:textId="77777777">
      <w:pPr>
        <w:spacing w:line="276" w:lineRule="auto"/>
        <w:rPr>
          <w:rFonts w:eastAsia="Verdana" w:cs="Calibri"/>
          <w:szCs w:val="18"/>
        </w:rPr>
      </w:pPr>
      <w:r>
        <w:rPr>
          <w:szCs w:val="18"/>
        </w:rPr>
        <w:t xml:space="preserve">Ik ben verheugd de Kamer te kunnen melden dat een onderhandelaarsakkoord bereikt is met de moedermaatschappij van ZEH Energy, de Zeeuwse Energie Houdstermaatschappij B.V. (hierna: ZEH) over de overname en dat er afspraken zijn gemaakt met ERH over het toewerken naar bedrijfsduurverlenging (hierna: BDV) van de KCB ná 2033. </w:t>
      </w:r>
      <w:r w:rsidRPr="003A186E">
        <w:rPr>
          <w:rFonts w:eastAsia="Verdana" w:cs="Verdana"/>
          <w:color w:val="000000"/>
          <w:szCs w:val="18"/>
        </w:rPr>
        <w:t>Hiermee</w:t>
      </w:r>
      <w:r w:rsidRPr="006E194B">
        <w:rPr>
          <w:rFonts w:eastAsia="Verdana" w:cs="Calibri"/>
          <w:szCs w:val="18"/>
        </w:rPr>
        <w:t xml:space="preserve"> </w:t>
      </w:r>
      <w:r>
        <w:rPr>
          <w:rFonts w:eastAsia="Verdana" w:cs="Calibri"/>
          <w:szCs w:val="18"/>
        </w:rPr>
        <w:t>geef ik invulling aan spoor 1 van de routekaart k</w:t>
      </w:r>
      <w:r w:rsidRPr="006E194B">
        <w:rPr>
          <w:rFonts w:eastAsia="Verdana" w:cs="Calibri"/>
          <w:szCs w:val="18"/>
        </w:rPr>
        <w:t>ernenergie</w:t>
      </w:r>
      <w:r>
        <w:rPr>
          <w:rFonts w:eastAsia="Verdana" w:cs="Calibri"/>
          <w:szCs w:val="18"/>
        </w:rPr>
        <w:t>,</w:t>
      </w:r>
      <w:r w:rsidRPr="006E194B">
        <w:rPr>
          <w:rFonts w:eastAsia="Verdana" w:cs="Calibri"/>
          <w:szCs w:val="18"/>
        </w:rPr>
        <w:t xml:space="preserve"> waar</w:t>
      </w:r>
      <w:r>
        <w:rPr>
          <w:rFonts w:eastAsia="Verdana" w:cs="Calibri"/>
          <w:szCs w:val="18"/>
        </w:rPr>
        <w:t>mee</w:t>
      </w:r>
      <w:r w:rsidRPr="006E194B">
        <w:rPr>
          <w:rFonts w:eastAsia="Verdana" w:cs="Calibri"/>
          <w:szCs w:val="18"/>
        </w:rPr>
        <w:t xml:space="preserve"> </w:t>
      </w:r>
      <w:r>
        <w:rPr>
          <w:rFonts w:eastAsia="Verdana" w:cs="Calibri"/>
          <w:szCs w:val="18"/>
        </w:rPr>
        <w:t xml:space="preserve">een stap gezet wordt om </w:t>
      </w:r>
      <w:r w:rsidRPr="006E194B">
        <w:rPr>
          <w:rFonts w:eastAsia="Verdana" w:cs="Calibri"/>
          <w:szCs w:val="18"/>
        </w:rPr>
        <w:t xml:space="preserve">de </w:t>
      </w:r>
      <w:r>
        <w:rPr>
          <w:rFonts w:eastAsia="Verdana" w:cs="Calibri"/>
          <w:szCs w:val="18"/>
        </w:rPr>
        <w:t xml:space="preserve">ambities van het kabinet voor </w:t>
      </w:r>
      <w:r w:rsidRPr="006E194B">
        <w:rPr>
          <w:rFonts w:eastAsia="Verdana" w:cs="Calibri"/>
          <w:szCs w:val="18"/>
        </w:rPr>
        <w:t xml:space="preserve">7 GW kernenergie in 2050 </w:t>
      </w:r>
      <w:r>
        <w:rPr>
          <w:rFonts w:eastAsia="Verdana" w:cs="Calibri"/>
          <w:szCs w:val="18"/>
        </w:rPr>
        <w:t xml:space="preserve">te realiseren. Hierbij geldt dat met deze overname geen besluit wordt genomen over het langer open houden van de KCB na 2033. Een definitief besluit is pas voorzien over enkele jaren. </w:t>
      </w:r>
    </w:p>
    <w:p w:rsidR="00B24AEB" w:rsidP="00B24AEB" w:rsidRDefault="00B24AEB" w14:paraId="4F07F651" w14:textId="77777777">
      <w:pPr>
        <w:spacing w:line="276" w:lineRule="auto"/>
        <w:rPr>
          <w:szCs w:val="18"/>
        </w:rPr>
      </w:pPr>
    </w:p>
    <w:p w:rsidR="00B24AEB" w:rsidP="00B24AEB" w:rsidRDefault="00B24AEB" w14:paraId="7F816A66" w14:textId="77777777">
      <w:pPr>
        <w:spacing w:line="276" w:lineRule="auto"/>
        <w:rPr>
          <w:b/>
          <w:bCs/>
          <w:szCs w:val="18"/>
        </w:rPr>
      </w:pPr>
      <w:r>
        <w:rPr>
          <w:szCs w:val="18"/>
        </w:rPr>
        <w:t xml:space="preserve">Met deze brief breng ik u dit onderhandelaarsakkoord schriftelijk ter kennis en wordt </w:t>
      </w:r>
      <w:r w:rsidRPr="00831498">
        <w:rPr>
          <w:szCs w:val="18"/>
        </w:rPr>
        <w:t>invulling gegeven aan de vereiste informatievoorziening in het kader van de voorhangprocedure conform artikel 4.7, eerste lid, van de Comptabiliteitswet 2016 (CW)</w:t>
      </w:r>
      <w:r>
        <w:rPr>
          <w:szCs w:val="18"/>
        </w:rPr>
        <w:t xml:space="preserve">. Het kabinet zal niet eerder overgaan tot het daadwerkelijk overnemen van de aandelen dan na afronding van deze voorhangprocedure. Daarnaast ga ik in op de afspraken die ik met ERH heb gemaakt. </w:t>
      </w:r>
    </w:p>
    <w:p w:rsidR="00B24AEB" w:rsidP="00B24AEB" w:rsidRDefault="00B24AEB" w14:paraId="22DBB741" w14:textId="77777777">
      <w:pPr>
        <w:spacing w:line="276" w:lineRule="auto"/>
        <w:rPr>
          <w:rFonts w:eastAsia="Calibri"/>
          <w:b/>
          <w:bCs/>
          <w:szCs w:val="18"/>
        </w:rPr>
      </w:pPr>
    </w:p>
    <w:p w:rsidR="00CF4F40" w:rsidP="00CF4F40" w:rsidRDefault="00B24AEB" w14:paraId="11FEC588" w14:textId="4535299D">
      <w:pPr>
        <w:spacing w:line="276" w:lineRule="auto"/>
        <w:rPr>
          <w:rFonts w:eastAsia="Calibri"/>
          <w:szCs w:val="18"/>
        </w:rPr>
      </w:pPr>
      <w:r w:rsidRPr="0070252A">
        <w:rPr>
          <w:rFonts w:eastAsia="Calibri"/>
          <w:i/>
          <w:iCs/>
          <w:szCs w:val="18"/>
        </w:rPr>
        <w:t>Publiek belang van overname</w:t>
      </w:r>
      <w:r w:rsidRPr="0070252A">
        <w:rPr>
          <w:rFonts w:eastAsia="Calibri"/>
          <w:i/>
          <w:iCs/>
          <w:szCs w:val="18"/>
        </w:rPr>
        <w:br/>
      </w:r>
      <w:r w:rsidRPr="0070252A">
        <w:rPr>
          <w:rFonts w:eastAsia="Verdana" w:cs="Verdana"/>
          <w:color w:val="000000"/>
          <w:szCs w:val="18"/>
        </w:rPr>
        <w:t>Kernenergie draagt bij aan een stabiel, CO</w:t>
      </w:r>
      <w:r w:rsidRPr="0069753B">
        <w:rPr>
          <w:rFonts w:eastAsia="Verdana" w:cs="Verdana"/>
          <w:color w:val="000000"/>
          <w:szCs w:val="18"/>
          <w:vertAlign w:val="subscript"/>
        </w:rPr>
        <w:t>2</w:t>
      </w:r>
      <w:r w:rsidRPr="0070252A">
        <w:rPr>
          <w:rFonts w:eastAsia="Verdana" w:cs="Verdana"/>
          <w:color w:val="000000"/>
          <w:szCs w:val="18"/>
        </w:rPr>
        <w:t xml:space="preserve">-vrij en divers energiesysteem, is niet weersafhankelijk en vermindert daarmee de behoefte aan flexibel vermogen en opslag, zoals ook in het Nationaal Plan Energiesysteem (NPE) is aangegeven. </w:t>
      </w:r>
      <w:r>
        <w:rPr>
          <w:rFonts w:eastAsia="Verdana" w:cs="Verdana"/>
          <w:color w:val="000000"/>
          <w:szCs w:val="18"/>
        </w:rPr>
        <w:t>H</w:t>
      </w:r>
      <w:r w:rsidRPr="0070252A">
        <w:rPr>
          <w:rFonts w:eastAsia="Verdana" w:cs="Verdana"/>
          <w:color w:val="000000"/>
          <w:szCs w:val="18"/>
        </w:rPr>
        <w:t xml:space="preserve">et </w:t>
      </w:r>
      <w:r w:rsidRPr="0070252A">
        <w:rPr>
          <w:rFonts w:eastAsia="Verdana" w:cs="Verdana"/>
          <w:color w:val="000000"/>
          <w:szCs w:val="18"/>
        </w:rPr>
        <w:lastRenderedPageBreak/>
        <w:t xml:space="preserve">kabinet </w:t>
      </w:r>
      <w:r>
        <w:rPr>
          <w:rFonts w:eastAsia="Verdana" w:cs="Verdana"/>
          <w:color w:val="000000"/>
          <w:szCs w:val="18"/>
        </w:rPr>
        <w:t xml:space="preserve">is </w:t>
      </w:r>
      <w:r w:rsidRPr="0070252A">
        <w:rPr>
          <w:rFonts w:eastAsia="Verdana" w:cs="Verdana"/>
          <w:color w:val="000000"/>
          <w:szCs w:val="18"/>
        </w:rPr>
        <w:t>voornemens om de kerncentrale Borssele open te houden n</w:t>
      </w:r>
      <w:r>
        <w:rPr>
          <w:rFonts w:eastAsia="Verdana" w:cs="Verdana"/>
          <w:color w:val="000000"/>
          <w:szCs w:val="18"/>
        </w:rPr>
        <w:t>á de eerder beoogde sluiting in</w:t>
      </w:r>
      <w:r w:rsidRPr="0070252A">
        <w:rPr>
          <w:rFonts w:eastAsia="Verdana" w:cs="Verdana"/>
          <w:color w:val="000000"/>
          <w:szCs w:val="18"/>
        </w:rPr>
        <w:t xml:space="preserve"> 2033. Verlenging van de </w:t>
      </w:r>
      <w:r w:rsidRPr="003A186E">
        <w:rPr>
          <w:rFonts w:eastAsia="Verdana" w:cs="Verdana"/>
          <w:color w:val="000000"/>
          <w:szCs w:val="18"/>
        </w:rPr>
        <w:t>bedrijfsduur van de KCB betekent het behoud van 485 MW</w:t>
      </w:r>
      <w:r w:rsidRPr="003A186E">
        <w:rPr>
          <w:rFonts w:eastAsia="Verdana" w:cs="Verdana"/>
          <w:color w:val="000000"/>
          <w:szCs w:val="18"/>
          <w:vertAlign w:val="subscript"/>
        </w:rPr>
        <w:t>e</w:t>
      </w:r>
      <w:r w:rsidRPr="003A186E">
        <w:rPr>
          <w:rFonts w:eastAsia="Verdana" w:cs="Verdana"/>
          <w:color w:val="000000"/>
          <w:szCs w:val="18"/>
        </w:rPr>
        <w:t xml:space="preserve"> vermogen aan CO</w:t>
      </w:r>
      <w:r w:rsidRPr="003A186E">
        <w:rPr>
          <w:rFonts w:eastAsia="Verdana" w:cs="Verdana"/>
          <w:color w:val="000000"/>
          <w:szCs w:val="18"/>
          <w:vertAlign w:val="subscript"/>
        </w:rPr>
        <w:t>2</w:t>
      </w:r>
      <w:r w:rsidRPr="003A186E">
        <w:rPr>
          <w:rFonts w:eastAsia="Verdana" w:cs="Verdana"/>
          <w:color w:val="000000"/>
          <w:szCs w:val="18"/>
        </w:rPr>
        <w:t>-vrije elektriciteit ná 2033. Daarnaast kan het openhouden van de KCB bijdragen aan borgen van specifieke</w:t>
      </w:r>
      <w:r w:rsidRPr="0070252A">
        <w:rPr>
          <w:rFonts w:eastAsia="Verdana" w:cs="Verdana"/>
          <w:color w:val="000000"/>
          <w:szCs w:val="18"/>
        </w:rPr>
        <w:t xml:space="preserve"> nucleaire kennis en ervaring die nodig is voor het realiseren van nieuwe kerncentrales</w:t>
      </w:r>
      <w:r>
        <w:rPr>
          <w:rFonts w:eastAsia="Verdana" w:cs="Verdana"/>
          <w:color w:val="000000"/>
          <w:szCs w:val="18"/>
        </w:rPr>
        <w:t xml:space="preserve"> en</w:t>
      </w:r>
      <w:r w:rsidRPr="0070252A">
        <w:rPr>
          <w:rFonts w:eastAsia="Verdana" w:cs="Verdana"/>
          <w:color w:val="000000"/>
          <w:szCs w:val="18"/>
        </w:rPr>
        <w:t xml:space="preserve"> </w:t>
      </w:r>
      <w:r w:rsidRPr="0070252A">
        <w:rPr>
          <w:rFonts w:eastAsia="Calibri"/>
          <w:szCs w:val="18"/>
        </w:rPr>
        <w:t>de exploitatie van een kerncentrale.</w:t>
      </w:r>
      <w:r w:rsidR="00CF4F40">
        <w:rPr>
          <w:rFonts w:eastAsia="Calibri"/>
          <w:szCs w:val="18"/>
        </w:rPr>
        <w:t xml:space="preserve"> </w:t>
      </w:r>
      <w:r w:rsidR="00CF4F40">
        <w:rPr>
          <w:rStyle w:val="eop"/>
          <w:rFonts w:cs="Segoe UI"/>
          <w:szCs w:val="18"/>
        </w:rPr>
        <w:t xml:space="preserve">Een nadere analyse van publieke belangenweging binnen de context van het afwegingskader in de Nota Deelnemingenbeleid Rijksoverheid 2022 vindt u in bijlage 1. </w:t>
      </w:r>
      <w:r w:rsidR="002252D5">
        <w:rPr>
          <w:rStyle w:val="eop"/>
          <w:rFonts w:cs="Segoe UI"/>
          <w:szCs w:val="18"/>
        </w:rPr>
        <w:t>Daarnaast is ook bijgevoegd het ingevulde kader ‘Beleidskeuzes uitgelegd (CW3.1)’.</w:t>
      </w:r>
    </w:p>
    <w:p w:rsidR="00B24AEB" w:rsidP="00B24AEB" w:rsidRDefault="00B24AEB" w14:paraId="6211F72D" w14:textId="75ECA9C7">
      <w:pPr>
        <w:spacing w:line="276" w:lineRule="auto"/>
        <w:rPr>
          <w:rFonts w:eastAsia="Calibri"/>
          <w:szCs w:val="18"/>
        </w:rPr>
      </w:pPr>
    </w:p>
    <w:p w:rsidRPr="004F7E02" w:rsidR="00B24AEB" w:rsidP="00B24AEB" w:rsidRDefault="00B24AEB" w14:paraId="6A121DC0" w14:textId="77777777">
      <w:pPr>
        <w:spacing w:line="276" w:lineRule="auto"/>
        <w:rPr>
          <w:rFonts w:eastAsia="Calibri"/>
          <w:i/>
          <w:iCs/>
          <w:szCs w:val="18"/>
        </w:rPr>
      </w:pPr>
      <w:r w:rsidRPr="004F7E02">
        <w:rPr>
          <w:rFonts w:eastAsia="Calibri"/>
          <w:i/>
          <w:iCs/>
          <w:szCs w:val="18"/>
        </w:rPr>
        <w:t xml:space="preserve">Overname </w:t>
      </w:r>
      <w:r>
        <w:rPr>
          <w:rFonts w:eastAsia="Calibri"/>
          <w:i/>
          <w:iCs/>
          <w:szCs w:val="18"/>
        </w:rPr>
        <w:t xml:space="preserve">100% </w:t>
      </w:r>
      <w:r w:rsidRPr="004F7E02">
        <w:rPr>
          <w:rFonts w:eastAsia="Calibri"/>
          <w:i/>
          <w:iCs/>
          <w:szCs w:val="18"/>
        </w:rPr>
        <w:t xml:space="preserve">aandelen </w:t>
      </w:r>
      <w:r>
        <w:rPr>
          <w:rFonts w:eastAsia="Calibri"/>
          <w:i/>
          <w:iCs/>
          <w:szCs w:val="18"/>
        </w:rPr>
        <w:t xml:space="preserve">in </w:t>
      </w:r>
      <w:r w:rsidRPr="004F7E02">
        <w:rPr>
          <w:rFonts w:eastAsia="Calibri"/>
          <w:i/>
          <w:iCs/>
          <w:szCs w:val="18"/>
        </w:rPr>
        <w:t>ZEH Energy</w:t>
      </w:r>
    </w:p>
    <w:p w:rsidR="00B24AEB" w:rsidP="00B24AEB" w:rsidRDefault="00B24AEB" w14:paraId="540C2E0F" w14:textId="5102DC75">
      <w:pPr>
        <w:spacing w:line="276" w:lineRule="auto"/>
        <w:rPr>
          <w:rFonts w:eastAsia="Calibri"/>
          <w:szCs w:val="18"/>
        </w:rPr>
      </w:pPr>
      <w:r w:rsidRPr="0070252A">
        <w:rPr>
          <w:rFonts w:eastAsia="Calibri"/>
          <w:szCs w:val="18"/>
        </w:rPr>
        <w:t>De aandelen in ZEH zijn vrijwel geheel in handen van de Zeeuwse decentrale overheden</w:t>
      </w:r>
      <w:r>
        <w:rPr>
          <w:rFonts w:eastAsia="Calibri"/>
          <w:szCs w:val="18"/>
        </w:rPr>
        <w:t>.</w:t>
      </w:r>
      <w:r w:rsidRPr="0070252A">
        <w:rPr>
          <w:rFonts w:eastAsia="Calibri"/>
          <w:szCs w:val="18"/>
        </w:rPr>
        <w:t xml:space="preserve"> De decentrale overheden hebben in hun aandeelhoudersstrategie opgenomen dat het de voorkeur heeft om het</w:t>
      </w:r>
      <w:r>
        <w:rPr>
          <w:rFonts w:eastAsia="Calibri"/>
          <w:szCs w:val="18"/>
        </w:rPr>
        <w:t xml:space="preserve"> (indirecte)</w:t>
      </w:r>
      <w:r w:rsidRPr="0070252A">
        <w:rPr>
          <w:rFonts w:eastAsia="Calibri"/>
          <w:szCs w:val="18"/>
        </w:rPr>
        <w:t xml:space="preserve"> 70% aandelenbelang in EPZ te verkopen aan de staat. Gegeven de duidelijke wens van de decentrale publieke aandeelhouders is een overname van </w:t>
      </w:r>
      <w:r>
        <w:rPr>
          <w:rFonts w:eastAsia="Calibri"/>
          <w:szCs w:val="18"/>
        </w:rPr>
        <w:t xml:space="preserve">aandelen </w:t>
      </w:r>
      <w:r w:rsidRPr="0070252A">
        <w:rPr>
          <w:rFonts w:eastAsia="Calibri"/>
          <w:szCs w:val="18"/>
        </w:rPr>
        <w:t xml:space="preserve">de meest doelmatige wijze om BDV </w:t>
      </w:r>
      <w:r>
        <w:rPr>
          <w:rFonts w:eastAsia="Calibri"/>
          <w:szCs w:val="18"/>
        </w:rPr>
        <w:t xml:space="preserve">mogelijk </w:t>
      </w:r>
      <w:r w:rsidRPr="0070252A">
        <w:rPr>
          <w:rFonts w:eastAsia="Calibri"/>
          <w:szCs w:val="18"/>
        </w:rPr>
        <w:t xml:space="preserve">te </w:t>
      </w:r>
      <w:r w:rsidRPr="004F7E02">
        <w:rPr>
          <w:rFonts w:eastAsia="Calibri"/>
          <w:szCs w:val="18"/>
        </w:rPr>
        <w:t xml:space="preserve">kunnen </w:t>
      </w:r>
      <w:r>
        <w:rPr>
          <w:rFonts w:eastAsia="Calibri"/>
          <w:szCs w:val="18"/>
        </w:rPr>
        <w:t>maken</w:t>
      </w:r>
      <w:r w:rsidRPr="004F7E02">
        <w:rPr>
          <w:rFonts w:eastAsia="Calibri"/>
          <w:szCs w:val="18"/>
        </w:rPr>
        <w:t xml:space="preserve">. Daarom zijn in juni 2024 verkennende gesprekken gestart en is in juli 2025 een niet-bindend bod uitgebracht op 100% van de aandelen in ZEH Energy. </w:t>
      </w:r>
    </w:p>
    <w:p w:rsidR="002252D5" w:rsidP="00B24AEB" w:rsidRDefault="002252D5" w14:paraId="17C668AC" w14:textId="77777777">
      <w:pPr>
        <w:spacing w:line="276" w:lineRule="auto"/>
        <w:rPr>
          <w:rFonts w:eastAsia="Calibri"/>
          <w:szCs w:val="18"/>
        </w:rPr>
      </w:pPr>
    </w:p>
    <w:p w:rsidRPr="00A525DD" w:rsidR="00B24AEB" w:rsidP="00B24AEB" w:rsidRDefault="00B24AEB" w14:paraId="724FD115" w14:textId="77777777">
      <w:pPr>
        <w:spacing w:line="276" w:lineRule="auto"/>
        <w:rPr>
          <w:b/>
          <w:bCs/>
          <w:szCs w:val="18"/>
        </w:rPr>
      </w:pPr>
      <w:r>
        <w:rPr>
          <w:rFonts w:eastAsia="Calibri"/>
          <w:szCs w:val="18"/>
        </w:rPr>
        <w:t xml:space="preserve">De reden voor de </w:t>
      </w:r>
      <w:r w:rsidRPr="004F7E02">
        <w:rPr>
          <w:rFonts w:eastAsia="Calibri"/>
          <w:szCs w:val="18"/>
        </w:rPr>
        <w:t>keuze</w:t>
      </w:r>
      <w:r>
        <w:rPr>
          <w:rFonts w:eastAsia="Calibri"/>
          <w:szCs w:val="18"/>
        </w:rPr>
        <w:t xml:space="preserve"> om in te zetten op het verkrijgen van de aandelen in ZEH Energy en niet uitsluitend op 70% van de aandelen in EPZ </w:t>
      </w:r>
      <w:r w:rsidRPr="004F7E02">
        <w:rPr>
          <w:rFonts w:eastAsia="Calibri"/>
          <w:szCs w:val="18"/>
        </w:rPr>
        <w:t>is de tollingovereenkomst</w:t>
      </w:r>
      <w:r>
        <w:rPr>
          <w:rFonts w:eastAsia="Calibri"/>
          <w:szCs w:val="18"/>
        </w:rPr>
        <w:t>,</w:t>
      </w:r>
      <w:r w:rsidRPr="004F7E02">
        <w:rPr>
          <w:rFonts w:eastAsia="Calibri"/>
          <w:szCs w:val="18"/>
        </w:rPr>
        <w:t xml:space="preserve"> die is gesloten tussen EPZ en haar aandeelhouders. Op basis van de </w:t>
      </w:r>
      <w:r>
        <w:rPr>
          <w:rFonts w:eastAsia="Calibri"/>
          <w:szCs w:val="18"/>
        </w:rPr>
        <w:t>tollingovereenkomst</w:t>
      </w:r>
      <w:r w:rsidRPr="004F7E02">
        <w:rPr>
          <w:rFonts w:eastAsia="Calibri"/>
          <w:szCs w:val="18"/>
        </w:rPr>
        <w:t xml:space="preserve"> krijgen de aandeelhouders naar rato van hun aandelenbelang de beschikking over de productiecapaciteit van de KCB. De aandeelhouders betalen hiervoor een vergoeding aan EPZ die onafhankelijk is van de elektriciteitsprijs: de tolprijs. Dit betekent dat de aandeelhouders de door de KCB geproduceerde elektriciteit verhandelen en dat het marktrisico van de elektriciteitsmarkt niet bij EPZ, maar bij de aandeelhouders ligt.</w:t>
      </w:r>
      <w:r w:rsidRPr="00A525DD">
        <w:rPr>
          <w:rFonts w:eastAsia="Calibri"/>
          <w:szCs w:val="18"/>
        </w:rPr>
        <w:t xml:space="preserve"> Vanwege deze structuur heeft het de voorkeur om ZEH Energy over te nemen. Overname van de aandelen direct in EPZ </w:t>
      </w:r>
      <w:r>
        <w:rPr>
          <w:rFonts w:eastAsia="Calibri"/>
          <w:szCs w:val="18"/>
        </w:rPr>
        <w:t xml:space="preserve">is niet wenselijk, want dat </w:t>
      </w:r>
      <w:r w:rsidRPr="00A525DD">
        <w:rPr>
          <w:rFonts w:eastAsia="Calibri"/>
          <w:szCs w:val="18"/>
        </w:rPr>
        <w:t xml:space="preserve">zou betekenen dat deze handelsactiviteiten </w:t>
      </w:r>
      <w:r>
        <w:rPr>
          <w:rFonts w:eastAsia="Calibri"/>
          <w:szCs w:val="18"/>
        </w:rPr>
        <w:t>op een andere wijze</w:t>
      </w:r>
      <w:r w:rsidRPr="00A525DD">
        <w:rPr>
          <w:rFonts w:eastAsia="Calibri"/>
          <w:szCs w:val="18"/>
        </w:rPr>
        <w:t xml:space="preserve"> georganiseerd zouden moeten worden</w:t>
      </w:r>
      <w:r>
        <w:rPr>
          <w:rFonts w:eastAsia="Calibri"/>
          <w:szCs w:val="18"/>
        </w:rPr>
        <w:t>, omdat deze niet bij het ministerie van EZK kunnen worden ondergebracht</w:t>
      </w:r>
      <w:r w:rsidRPr="00A525DD">
        <w:rPr>
          <w:rFonts w:eastAsia="Calibri"/>
          <w:szCs w:val="18"/>
        </w:rPr>
        <w:t>.</w:t>
      </w:r>
      <w:r>
        <w:rPr>
          <w:rFonts w:eastAsia="Calibri"/>
          <w:szCs w:val="18"/>
        </w:rPr>
        <w:t xml:space="preserve"> Daarom is gekozen om aan te sluiten bij de bestaande werkwijze en de energiehandel in de bestaande deelneming te laten.</w:t>
      </w:r>
    </w:p>
    <w:p w:rsidRPr="00A525DD" w:rsidR="00B24AEB" w:rsidP="00B24AEB" w:rsidRDefault="00B24AEB" w14:paraId="7B151873" w14:textId="77777777">
      <w:pPr>
        <w:spacing w:line="276" w:lineRule="auto"/>
        <w:rPr>
          <w:b/>
          <w:bCs/>
          <w:szCs w:val="18"/>
        </w:rPr>
      </w:pPr>
    </w:p>
    <w:p w:rsidRPr="0070252A" w:rsidR="00B24AEB" w:rsidP="00B24AEB" w:rsidRDefault="00B24AEB" w14:paraId="7357DD80" w14:textId="77777777">
      <w:pPr>
        <w:spacing w:line="276" w:lineRule="auto"/>
        <w:rPr>
          <w:i/>
          <w:iCs/>
          <w:szCs w:val="18"/>
        </w:rPr>
      </w:pPr>
      <w:r w:rsidRPr="0070252A">
        <w:rPr>
          <w:i/>
          <w:iCs/>
          <w:szCs w:val="18"/>
        </w:rPr>
        <w:t>Due diligence</w:t>
      </w:r>
    </w:p>
    <w:p w:rsidRPr="0070252A" w:rsidR="00B24AEB" w:rsidP="00B24AEB" w:rsidRDefault="00B24AEB" w14:paraId="0CD95CBB" w14:textId="77777777">
      <w:pPr>
        <w:spacing w:line="276" w:lineRule="auto"/>
        <w:rPr>
          <w:szCs w:val="18"/>
        </w:rPr>
      </w:pPr>
      <w:r w:rsidRPr="0070252A">
        <w:rPr>
          <w:szCs w:val="18"/>
        </w:rPr>
        <w:t xml:space="preserve">Na het uitbrengen van het niet-bindend bod </w:t>
      </w:r>
      <w:r>
        <w:rPr>
          <w:szCs w:val="18"/>
        </w:rPr>
        <w:t xml:space="preserve">in juli 2025 </w:t>
      </w:r>
      <w:r w:rsidRPr="0070252A">
        <w:rPr>
          <w:szCs w:val="18"/>
        </w:rPr>
        <w:t>is een uitgebreid due diligence (DD) onderzoek uitgevoerd, met behulp van technisch</w:t>
      </w:r>
      <w:r>
        <w:rPr>
          <w:szCs w:val="18"/>
        </w:rPr>
        <w:t>e</w:t>
      </w:r>
      <w:r w:rsidRPr="0070252A">
        <w:rPr>
          <w:szCs w:val="18"/>
        </w:rPr>
        <w:t>, commerci</w:t>
      </w:r>
      <w:r>
        <w:rPr>
          <w:szCs w:val="18"/>
        </w:rPr>
        <w:t>ële</w:t>
      </w:r>
      <w:r w:rsidRPr="0070252A">
        <w:rPr>
          <w:szCs w:val="18"/>
        </w:rPr>
        <w:t>, financi</w:t>
      </w:r>
      <w:r>
        <w:rPr>
          <w:szCs w:val="18"/>
        </w:rPr>
        <w:t>ë</w:t>
      </w:r>
      <w:r w:rsidRPr="0070252A">
        <w:rPr>
          <w:szCs w:val="18"/>
        </w:rPr>
        <w:t>l</w:t>
      </w:r>
      <w:r>
        <w:rPr>
          <w:szCs w:val="18"/>
        </w:rPr>
        <w:t>e</w:t>
      </w:r>
      <w:r w:rsidRPr="0070252A">
        <w:rPr>
          <w:szCs w:val="18"/>
        </w:rPr>
        <w:t>/fiscal</w:t>
      </w:r>
      <w:r>
        <w:rPr>
          <w:szCs w:val="18"/>
        </w:rPr>
        <w:t>e</w:t>
      </w:r>
      <w:r w:rsidRPr="0070252A">
        <w:rPr>
          <w:szCs w:val="18"/>
        </w:rPr>
        <w:t xml:space="preserve"> en juridisch</w:t>
      </w:r>
      <w:r>
        <w:rPr>
          <w:szCs w:val="18"/>
        </w:rPr>
        <w:t>e</w:t>
      </w:r>
      <w:r w:rsidRPr="0070252A">
        <w:rPr>
          <w:szCs w:val="18"/>
        </w:rPr>
        <w:t xml:space="preserve"> adviseur</w:t>
      </w:r>
      <w:r>
        <w:rPr>
          <w:szCs w:val="18"/>
        </w:rPr>
        <w:t>s</w:t>
      </w:r>
      <w:r w:rsidRPr="0070252A">
        <w:rPr>
          <w:szCs w:val="18"/>
        </w:rPr>
        <w:t xml:space="preserve">. De conclusie van de DD is er dat geen risico’s zijn verbonden aan de kerncentrale die een </w:t>
      </w:r>
      <w:r>
        <w:rPr>
          <w:szCs w:val="18"/>
        </w:rPr>
        <w:t xml:space="preserve">aandelentransactie </w:t>
      </w:r>
      <w:r w:rsidRPr="0070252A">
        <w:rPr>
          <w:szCs w:val="18"/>
        </w:rPr>
        <w:t>onmogelijk zouden maken en dat de KCB goed gepositioneerd is voor een voortgezette veilige en betrouwbare bedrijfsvoering. De twee belangrijkste</w:t>
      </w:r>
      <w:r>
        <w:rPr>
          <w:szCs w:val="18"/>
        </w:rPr>
        <w:t>,</w:t>
      </w:r>
      <w:r w:rsidRPr="0070252A">
        <w:rPr>
          <w:szCs w:val="18"/>
        </w:rPr>
        <w:t xml:space="preserve"> geïdentificeerde risico’s zijn (1) het mogelijk moeten vervangen van verouderde onderdelen van de KCB en de daarmee gepaard gaande onzekerheid over de benodigde jaarlijkse investeringen en (2) onzekerheden met betrekking tot de </w:t>
      </w:r>
      <w:r w:rsidRPr="0070252A">
        <w:rPr>
          <w:szCs w:val="18"/>
        </w:rPr>
        <w:lastRenderedPageBreak/>
        <w:t>ontmantelingskosten. Deze risico’s zijn meegenomen in de waardering. Op basis van de DD is een nieuwe waardering gemaakt van de aandelen</w:t>
      </w:r>
      <w:r>
        <w:rPr>
          <w:szCs w:val="18"/>
        </w:rPr>
        <w:t xml:space="preserve">. </w:t>
      </w:r>
    </w:p>
    <w:p w:rsidR="00B24AEB" w:rsidP="00B24AEB" w:rsidRDefault="00B24AEB" w14:paraId="09C734B3" w14:textId="77777777">
      <w:pPr>
        <w:spacing w:line="276" w:lineRule="auto"/>
        <w:rPr>
          <w:szCs w:val="18"/>
        </w:rPr>
      </w:pPr>
    </w:p>
    <w:p w:rsidR="00B24AEB" w:rsidP="00B24AEB" w:rsidRDefault="00B24AEB" w14:paraId="3A3D646F" w14:textId="2B42392C">
      <w:pPr>
        <w:spacing w:line="276" w:lineRule="auto"/>
        <w:rPr>
          <w:i/>
          <w:iCs/>
          <w:szCs w:val="18"/>
        </w:rPr>
      </w:pPr>
      <w:r>
        <w:rPr>
          <w:i/>
          <w:iCs/>
          <w:szCs w:val="18"/>
        </w:rPr>
        <w:t>Onderhandelaarsakkoord</w:t>
      </w:r>
    </w:p>
    <w:p w:rsidRPr="002252D5" w:rsidR="00B24AEB" w:rsidP="002252D5" w:rsidRDefault="00B24AEB" w14:paraId="720E0433" w14:textId="2DBF2055">
      <w:pPr>
        <w:pStyle w:val="Geenafstand"/>
        <w:spacing w:line="276" w:lineRule="auto"/>
        <w:rPr>
          <w:rFonts w:ascii="Verdana" w:hAnsi="Verdana" w:eastAsia="Calibri"/>
          <w:sz w:val="18"/>
          <w:szCs w:val="18"/>
        </w:rPr>
      </w:pPr>
      <w:r w:rsidRPr="002252D5">
        <w:rPr>
          <w:rFonts w:ascii="Verdana" w:hAnsi="Verdana" w:eastAsia="Calibri"/>
          <w:sz w:val="18"/>
          <w:szCs w:val="18"/>
        </w:rPr>
        <w:t>Er is een akkoord bereikt over de overname van de aandelen voor een prijs van 115,7 miljoen euro.</w:t>
      </w:r>
      <w:r w:rsidRPr="002252D5" w:rsidR="009D545E">
        <w:rPr>
          <w:rFonts w:ascii="Verdana" w:hAnsi="Verdana" w:eastAsia="Calibri"/>
          <w:sz w:val="18"/>
          <w:szCs w:val="18"/>
        </w:rPr>
        <w:t xml:space="preserve"> </w:t>
      </w:r>
      <w:r w:rsidR="002252D5">
        <w:rPr>
          <w:rFonts w:ascii="Verdana" w:hAnsi="Verdana" w:eastAsia="Calibri"/>
          <w:sz w:val="18"/>
          <w:szCs w:val="18"/>
        </w:rPr>
        <w:t>Voor meer inzicht in</w:t>
      </w:r>
      <w:r w:rsidR="00A269E7">
        <w:rPr>
          <w:rFonts w:ascii="Verdana" w:hAnsi="Verdana" w:eastAsia="Calibri"/>
          <w:sz w:val="18"/>
          <w:szCs w:val="18"/>
        </w:rPr>
        <w:t xml:space="preserve"> de wijze waarop</w:t>
      </w:r>
      <w:r w:rsidR="002252D5">
        <w:rPr>
          <w:rFonts w:ascii="Verdana" w:hAnsi="Verdana" w:eastAsia="Calibri"/>
          <w:sz w:val="18"/>
          <w:szCs w:val="18"/>
        </w:rPr>
        <w:t xml:space="preserve"> de waardering van de aandelen</w:t>
      </w:r>
      <w:r w:rsidR="00A269E7">
        <w:rPr>
          <w:rFonts w:ascii="Verdana" w:hAnsi="Verdana" w:eastAsia="Calibri"/>
          <w:sz w:val="18"/>
          <w:szCs w:val="18"/>
        </w:rPr>
        <w:t xml:space="preserve"> tot stand is gekomen</w:t>
      </w:r>
      <w:r w:rsidR="002252D5">
        <w:rPr>
          <w:rFonts w:ascii="Verdana" w:hAnsi="Verdana" w:eastAsia="Calibri"/>
          <w:sz w:val="18"/>
          <w:szCs w:val="18"/>
        </w:rPr>
        <w:t xml:space="preserve"> verwijs ik naar de Kamerbrief die op 4 juli 2025 onder geheimhouding met uw Kamer is gedeeld. </w:t>
      </w:r>
      <w:r w:rsidRPr="002252D5">
        <w:rPr>
          <w:rFonts w:ascii="Verdana" w:hAnsi="Verdana" w:eastAsia="Calibri"/>
          <w:sz w:val="18"/>
          <w:szCs w:val="18"/>
        </w:rPr>
        <w:t xml:space="preserve">De waardering van de aandelen is </w:t>
      </w:r>
      <w:r w:rsidRPr="002252D5" w:rsidR="009D545E">
        <w:rPr>
          <w:rFonts w:ascii="Verdana" w:hAnsi="Verdana" w:eastAsia="Calibri"/>
          <w:sz w:val="18"/>
          <w:szCs w:val="18"/>
        </w:rPr>
        <w:t xml:space="preserve">daarnaast </w:t>
      </w:r>
      <w:r w:rsidRPr="002252D5">
        <w:rPr>
          <w:rFonts w:ascii="Verdana" w:hAnsi="Verdana" w:eastAsia="Calibri"/>
          <w:sz w:val="18"/>
          <w:szCs w:val="18"/>
        </w:rPr>
        <w:t>op basis van een locked-box principe met als effectieve datum 1 januari 2026. Dit betekent dat de staat ná overname met terugwerkende kracht economisch eigenaar wordt van ZEH Energy vanaf 1 januari 2026. Alle kosten en opbrengsten ná die datum zijn voor rekening en risico van de staat. ZEH ontvangt een rentevergoeding van 5% op de aandelenwaarde met een maximum van 5 miljoen euro over de periode tussen 1 januari 2026 en het moment van aandelenoverdracht. Deze rentevergoeding is onderdeel van de locked-box omdat de verkoper pas op een later moment de beschikking krijgt over de overnamesom dan de effectieve datum. Om de stabiliteit van de onderneming te borgen is het nodig om weerstandsvermogen aan te houden om periodes met minder inkomsten en doorlopende kosten door te kunnen komen, bijvoorbeeld bij langdurige ongeplande stilstand van de kerncentrale. ZEH zorgt er daarom voor dat op 1 januari 2026 in totaal 119 miljoen euro aan weerstandsvermogen aanwezig is binnen ZEH Energy en EPZ. Dit weerstandsvermogen is onderdeel van de transactie en ZEH wordt hiervoor cash-for-cash gecompenseerd.</w:t>
      </w:r>
      <w:r w:rsidRPr="002252D5" w:rsidR="002252D5">
        <w:rPr>
          <w:rFonts w:ascii="Verdana" w:hAnsi="Verdana" w:eastAsia="Calibri"/>
          <w:sz w:val="18"/>
          <w:szCs w:val="18"/>
        </w:rPr>
        <w:t xml:space="preserve"> </w:t>
      </w:r>
      <w:r w:rsidRPr="002252D5">
        <w:rPr>
          <w:rFonts w:ascii="Verdana" w:hAnsi="Verdana" w:eastAsia="Calibri"/>
          <w:sz w:val="18"/>
          <w:szCs w:val="18"/>
        </w:rPr>
        <w:t>Op basis van de cijfers per 31 december 2025 blijkt dat er meer netto werkkapitaal aanwezig is binnen de onderneming dan noodzakelijk, waarvoor ZEH cash-voor-cash wordt gecompenseerd (3,9 miljoen euro). De totale overnamesom komt daarmee uit op maximaal 243,6 miljoen euro.</w:t>
      </w:r>
    </w:p>
    <w:p w:rsidR="00B24AEB" w:rsidP="00B24AEB" w:rsidRDefault="00B24AEB" w14:paraId="1EC3FEE2" w14:textId="77777777">
      <w:pPr>
        <w:spacing w:line="276" w:lineRule="auto"/>
        <w:rPr>
          <w:szCs w:val="18"/>
        </w:rPr>
      </w:pPr>
    </w:p>
    <w:p w:rsidR="00B24AEB" w:rsidP="00B24AEB" w:rsidRDefault="00B24AEB" w14:paraId="6015DC5F" w14:textId="77777777">
      <w:pPr>
        <w:spacing w:line="276" w:lineRule="auto"/>
        <w:rPr>
          <w:szCs w:val="18"/>
        </w:rPr>
      </w:pPr>
      <w:r>
        <w:rPr>
          <w:szCs w:val="18"/>
        </w:rPr>
        <w:t xml:space="preserve">Door een onafhankelijke, derde partij is een </w:t>
      </w:r>
      <w:r w:rsidRPr="00F50793">
        <w:rPr>
          <w:i/>
          <w:iCs/>
          <w:szCs w:val="18"/>
        </w:rPr>
        <w:t>fairness opinion</w:t>
      </w:r>
      <w:r>
        <w:rPr>
          <w:i/>
          <w:iCs/>
          <w:szCs w:val="18"/>
        </w:rPr>
        <w:t xml:space="preserve"> </w:t>
      </w:r>
      <w:r>
        <w:rPr>
          <w:szCs w:val="18"/>
        </w:rPr>
        <w:t>uitgevoerd op de overnameprijs om te toetsen of de staat een marktconforme en eerlijke prijs betaalt voor de aandelen. Dat wordt bevestigd door het uitgevoerde onderzoek.</w:t>
      </w:r>
    </w:p>
    <w:p w:rsidR="00B24AEB" w:rsidP="00B24AEB" w:rsidRDefault="00B24AEB" w14:paraId="41B41229" w14:textId="77777777">
      <w:pPr>
        <w:spacing w:line="276" w:lineRule="auto"/>
        <w:rPr>
          <w:i/>
          <w:iCs/>
          <w:szCs w:val="18"/>
        </w:rPr>
      </w:pPr>
    </w:p>
    <w:p w:rsidRPr="002C5E8F" w:rsidR="00B24AEB" w:rsidP="00B24AEB" w:rsidRDefault="00B24AEB" w14:paraId="34298D15" w14:textId="77777777">
      <w:pPr>
        <w:spacing w:line="276" w:lineRule="auto"/>
        <w:rPr>
          <w:i/>
          <w:iCs/>
          <w:szCs w:val="18"/>
        </w:rPr>
      </w:pPr>
      <w:r w:rsidRPr="002C5E8F">
        <w:rPr>
          <w:i/>
          <w:iCs/>
          <w:szCs w:val="18"/>
        </w:rPr>
        <w:t>Financiële dekking</w:t>
      </w:r>
    </w:p>
    <w:p w:rsidR="00B24AEB" w:rsidP="00B24AEB" w:rsidRDefault="00B24AEB" w14:paraId="39161E78" w14:textId="296A0059">
      <w:pPr>
        <w:spacing w:line="276" w:lineRule="auto"/>
        <w:rPr>
          <w:szCs w:val="18"/>
        </w:rPr>
      </w:pPr>
      <w:r>
        <w:rPr>
          <w:szCs w:val="18"/>
        </w:rPr>
        <w:t xml:space="preserve">Het Centraal Bureau voor de Statistiek (CBS) heeft in 2025 de voorgenomen overname beoordeeld en is tot de conclusie gekomen dat </w:t>
      </w:r>
      <w:r w:rsidRPr="006A49B2">
        <w:rPr>
          <w:szCs w:val="18"/>
        </w:rPr>
        <w:t xml:space="preserve">de overname </w:t>
      </w:r>
      <w:r>
        <w:rPr>
          <w:szCs w:val="18"/>
        </w:rPr>
        <w:t xml:space="preserve">beoordeeld kan worden als financiële transactie. De totale overnamesom zal daarom, conform begrotingsregels, niet-saldorelevant worden verwerkt binnen de begroting. </w:t>
      </w:r>
      <w:r w:rsidRPr="00ED203B">
        <w:rPr>
          <w:szCs w:val="18"/>
        </w:rPr>
        <w:t>De financiële verwerking volgt in een begrotingsstuk dat aan uw Kamer wordt voorgelegd</w:t>
      </w:r>
      <w:r w:rsidR="002252D5">
        <w:rPr>
          <w:szCs w:val="18"/>
        </w:rPr>
        <w:t xml:space="preserve"> ter goedkeuring</w:t>
      </w:r>
      <w:r>
        <w:rPr>
          <w:szCs w:val="18"/>
        </w:rPr>
        <w:t xml:space="preserve">. </w:t>
      </w:r>
    </w:p>
    <w:p w:rsidR="00B24AEB" w:rsidP="00B24AEB" w:rsidRDefault="00B24AEB" w14:paraId="209BB225" w14:textId="77777777">
      <w:pPr>
        <w:spacing w:line="276" w:lineRule="auto"/>
        <w:rPr>
          <w:i/>
          <w:iCs/>
          <w:szCs w:val="18"/>
        </w:rPr>
      </w:pPr>
    </w:p>
    <w:p w:rsidR="00B24AEB" w:rsidP="00B24AEB" w:rsidRDefault="00B24AEB" w14:paraId="100DF309" w14:textId="77777777">
      <w:pPr>
        <w:spacing w:line="276" w:lineRule="auto"/>
        <w:rPr>
          <w:i/>
          <w:iCs/>
          <w:szCs w:val="18"/>
        </w:rPr>
      </w:pPr>
      <w:r>
        <w:rPr>
          <w:i/>
          <w:iCs/>
          <w:szCs w:val="18"/>
        </w:rPr>
        <w:t>Staatssteun</w:t>
      </w:r>
    </w:p>
    <w:p w:rsidR="00B24AEB" w:rsidP="00B24AEB" w:rsidRDefault="00B24AEB" w14:paraId="02315F97" w14:textId="77777777">
      <w:pPr>
        <w:spacing w:line="276" w:lineRule="auto"/>
        <w:rPr>
          <w:szCs w:val="18"/>
        </w:rPr>
      </w:pPr>
      <w:r>
        <w:rPr>
          <w:szCs w:val="18"/>
        </w:rPr>
        <w:t xml:space="preserve">Er </w:t>
      </w:r>
      <w:r w:rsidRPr="00CF292E">
        <w:rPr>
          <w:szCs w:val="18"/>
        </w:rPr>
        <w:t xml:space="preserve">is met de Europese Commissie (EC) gesproken over de overname van de aandelen </w:t>
      </w:r>
      <w:r>
        <w:rPr>
          <w:szCs w:val="18"/>
        </w:rPr>
        <w:t xml:space="preserve">van ZEH Energy B.V. </w:t>
      </w:r>
      <w:r w:rsidRPr="00CF292E">
        <w:rPr>
          <w:szCs w:val="18"/>
        </w:rPr>
        <w:t xml:space="preserve">en de staatssteunaspecten die daarbij spelen. De EC heeft aangegeven geen problemen te zien bij de overdracht van aandelen tussen publieke partijen, in dit geval van decentrale overheden naar de </w:t>
      </w:r>
      <w:r>
        <w:rPr>
          <w:szCs w:val="18"/>
        </w:rPr>
        <w:t>s</w:t>
      </w:r>
      <w:r w:rsidRPr="00CF292E">
        <w:rPr>
          <w:szCs w:val="18"/>
        </w:rPr>
        <w:t>taat</w:t>
      </w:r>
      <w:r>
        <w:rPr>
          <w:szCs w:val="18"/>
        </w:rPr>
        <w:t xml:space="preserve"> of een volledig door de staat gehouden entiteit</w:t>
      </w:r>
      <w:r w:rsidRPr="00CF292E">
        <w:rPr>
          <w:szCs w:val="18"/>
        </w:rPr>
        <w:t xml:space="preserve">. De EC speelt geen rol bij het beoordelen van </w:t>
      </w:r>
      <w:r>
        <w:rPr>
          <w:szCs w:val="18"/>
        </w:rPr>
        <w:t>transacties tussen</w:t>
      </w:r>
      <w:r w:rsidRPr="00CF292E">
        <w:rPr>
          <w:szCs w:val="18"/>
        </w:rPr>
        <w:t xml:space="preserve"> verschillende overheidslagen.</w:t>
      </w:r>
    </w:p>
    <w:p w:rsidRPr="002C5E8F" w:rsidR="00B24AEB" w:rsidP="00B24AEB" w:rsidRDefault="00B24AEB" w14:paraId="3F59AB91" w14:textId="77777777">
      <w:pPr>
        <w:spacing w:line="276" w:lineRule="auto"/>
        <w:rPr>
          <w:i/>
          <w:iCs/>
          <w:szCs w:val="18"/>
        </w:rPr>
      </w:pPr>
      <w:r w:rsidRPr="002C5E8F">
        <w:rPr>
          <w:i/>
          <w:iCs/>
          <w:szCs w:val="18"/>
        </w:rPr>
        <w:lastRenderedPageBreak/>
        <w:t>Afspraken met ERH</w:t>
      </w:r>
    </w:p>
    <w:p w:rsidRPr="00C90895" w:rsidR="00B24AEB" w:rsidP="00B24AEB" w:rsidRDefault="00B24AEB" w14:paraId="6E17AD5E" w14:textId="3424E0E4">
      <w:pPr>
        <w:pStyle w:val="Geenafstand"/>
        <w:spacing w:line="276" w:lineRule="auto"/>
        <w:rPr>
          <w:rFonts w:ascii="Verdana" w:hAnsi="Verdana" w:eastAsia="Calibri"/>
          <w:sz w:val="18"/>
          <w:szCs w:val="18"/>
        </w:rPr>
      </w:pPr>
      <w:r w:rsidRPr="00C90895">
        <w:rPr>
          <w:rFonts w:ascii="Verdana" w:hAnsi="Verdana" w:eastAsia="Calibri"/>
          <w:sz w:val="18"/>
          <w:szCs w:val="18"/>
        </w:rPr>
        <w:t xml:space="preserve">Met ERH is een intentieverklaring overeengekomen waarin is opgenomen dat de </w:t>
      </w:r>
      <w:r>
        <w:rPr>
          <w:rFonts w:ascii="Verdana" w:hAnsi="Verdana" w:eastAsia="Calibri"/>
          <w:sz w:val="18"/>
          <w:szCs w:val="18"/>
        </w:rPr>
        <w:t>s</w:t>
      </w:r>
      <w:r w:rsidRPr="00C90895">
        <w:rPr>
          <w:rFonts w:ascii="Verdana" w:hAnsi="Verdana" w:eastAsia="Calibri"/>
          <w:sz w:val="18"/>
          <w:szCs w:val="18"/>
        </w:rPr>
        <w:t xml:space="preserve">taat en ERH zich zullen inzetten om toe te werken naar een finaal investeringsbesluit om de BDV uit te voeren en de KCB langer open te houden. In de intentieverklaring zijn daarbij voorwaarden opgenomen, waaraan voldaan moet worden voordat dit besluit genomen kan worden, zoals een gewijzigde Kernenergiewet en het verlenen van de vergunning door de ANVS. </w:t>
      </w:r>
    </w:p>
    <w:p w:rsidR="00B24AEB" w:rsidP="00B24AEB" w:rsidRDefault="00B24AEB" w14:paraId="1D62EB3B" w14:textId="77777777">
      <w:pPr>
        <w:pStyle w:val="Geenafstand"/>
        <w:spacing w:line="276" w:lineRule="auto"/>
        <w:rPr>
          <w:rFonts w:ascii="Verdana" w:hAnsi="Verdana" w:eastAsia="Calibri"/>
          <w:sz w:val="18"/>
          <w:szCs w:val="18"/>
        </w:rPr>
      </w:pPr>
      <w:r w:rsidRPr="00C90895">
        <w:rPr>
          <w:rFonts w:ascii="Verdana" w:hAnsi="Verdana" w:eastAsia="Calibri"/>
          <w:sz w:val="18"/>
          <w:szCs w:val="18"/>
        </w:rPr>
        <w:t>Onderdeel van de afspraken is ook dat wordt toegewerkt naar een commercieel model, waarbij tevens zal worden bezien of een Contract for Difference (CfD) of een vergelijkbaar instrument een rol kan spelen om daarmee te komen tot een solide businesscase voor BDV.</w:t>
      </w:r>
    </w:p>
    <w:p w:rsidRPr="00C90895" w:rsidR="00B24AEB" w:rsidP="00B24AEB" w:rsidRDefault="00B24AEB" w14:paraId="7C1317CE" w14:textId="77777777">
      <w:pPr>
        <w:pStyle w:val="Geenafstand"/>
        <w:spacing w:line="276" w:lineRule="auto"/>
        <w:rPr>
          <w:rFonts w:ascii="Verdana" w:hAnsi="Verdana" w:eastAsia="Calibri"/>
          <w:sz w:val="18"/>
          <w:szCs w:val="18"/>
        </w:rPr>
      </w:pPr>
    </w:p>
    <w:p w:rsidR="00B24AEB" w:rsidP="00B24AEB" w:rsidRDefault="00B24AEB" w14:paraId="76E7087A" w14:textId="77777777">
      <w:pPr>
        <w:pStyle w:val="Geenafstand"/>
        <w:spacing w:line="276" w:lineRule="auto"/>
        <w:rPr>
          <w:rFonts w:ascii="Verdana" w:hAnsi="Verdana" w:eastAsia="Calibri"/>
          <w:sz w:val="18"/>
          <w:szCs w:val="18"/>
        </w:rPr>
      </w:pPr>
      <w:r w:rsidRPr="00C90895">
        <w:rPr>
          <w:rFonts w:ascii="Verdana" w:hAnsi="Verdana" w:eastAsia="Calibri"/>
          <w:sz w:val="18"/>
          <w:szCs w:val="18"/>
        </w:rPr>
        <w:t xml:space="preserve">Het uiteindelijke besluit om wel of niet in te stemmen met BDV is een zelfstandig besluit van beide aandeelhouders. De aandeelhouders van EPZ kunnen niet gedwongen worden om in te stemmen met BDV. Wel is opgenomen dat als één van de aandeelhouders van EPZ niet kan instemmen met BDV, de </w:t>
      </w:r>
      <w:r>
        <w:rPr>
          <w:rFonts w:ascii="Verdana" w:hAnsi="Verdana" w:eastAsia="Calibri"/>
          <w:sz w:val="18"/>
          <w:szCs w:val="18"/>
        </w:rPr>
        <w:t>s</w:t>
      </w:r>
      <w:r w:rsidRPr="00C90895">
        <w:rPr>
          <w:rFonts w:ascii="Verdana" w:hAnsi="Verdana" w:eastAsia="Calibri"/>
          <w:sz w:val="18"/>
          <w:szCs w:val="18"/>
        </w:rPr>
        <w:t>taat en ERH in overleg zullen treden om alternatieve oplossingen te verkennen die voor beide partijen aanvaardbaar zijn. Daarnaast zullen partijen gezamenlijk werken aan een langetermijnstrategie voor EPZ. De langetermijnstrategie heeft betrekking op mogelijke toekomstige (nucleaire) activiteiten binnen EPZ in aanvulling op de voorbereidingen voor BDV.</w:t>
      </w:r>
    </w:p>
    <w:p w:rsidR="00B24AEB" w:rsidP="00B24AEB" w:rsidRDefault="00B24AEB" w14:paraId="183D2C8E" w14:textId="77777777">
      <w:pPr>
        <w:pStyle w:val="Geenafstand"/>
        <w:spacing w:line="276" w:lineRule="auto"/>
        <w:rPr>
          <w:rFonts w:ascii="Verdana" w:hAnsi="Verdana"/>
          <w:sz w:val="18"/>
          <w:szCs w:val="18"/>
        </w:rPr>
      </w:pPr>
    </w:p>
    <w:p w:rsidRPr="00B43D56" w:rsidR="00B24AEB" w:rsidP="00B24AEB" w:rsidRDefault="00B24AEB" w14:paraId="7DE2FD5A" w14:textId="77777777">
      <w:pPr>
        <w:pStyle w:val="Geenafstand"/>
        <w:spacing w:line="276" w:lineRule="auto"/>
        <w:rPr>
          <w:rFonts w:ascii="Verdana" w:hAnsi="Verdana"/>
          <w:i/>
          <w:iCs/>
          <w:sz w:val="18"/>
          <w:szCs w:val="18"/>
        </w:rPr>
      </w:pPr>
      <w:r w:rsidRPr="00B43D56">
        <w:rPr>
          <w:rFonts w:ascii="Verdana" w:hAnsi="Verdana"/>
          <w:i/>
          <w:iCs/>
          <w:sz w:val="18"/>
          <w:szCs w:val="18"/>
        </w:rPr>
        <w:t>Subsidie haalbaarheidsonderzoeken BDV</w:t>
      </w:r>
    </w:p>
    <w:p w:rsidR="00B24AEB" w:rsidP="00B24AEB" w:rsidRDefault="00B24AEB" w14:paraId="081E67A0" w14:textId="6939EBEE">
      <w:pPr>
        <w:pStyle w:val="Geenafstand"/>
        <w:spacing w:line="276" w:lineRule="auto"/>
        <w:rPr>
          <w:rFonts w:ascii="Verdana" w:hAnsi="Verdana"/>
          <w:sz w:val="18"/>
          <w:szCs w:val="18"/>
        </w:rPr>
      </w:pPr>
      <w:r w:rsidRPr="00C52FCE">
        <w:rPr>
          <w:rFonts w:ascii="Verdana" w:hAnsi="Verdana"/>
          <w:sz w:val="18"/>
          <w:szCs w:val="18"/>
        </w:rPr>
        <w:t xml:space="preserve">Ik heb </w:t>
      </w:r>
      <w:r>
        <w:rPr>
          <w:rFonts w:ascii="Verdana" w:hAnsi="Verdana"/>
          <w:sz w:val="18"/>
          <w:szCs w:val="18"/>
        </w:rPr>
        <w:t xml:space="preserve">eerder </w:t>
      </w:r>
      <w:r w:rsidRPr="00C52FCE">
        <w:rPr>
          <w:rFonts w:ascii="Verdana" w:hAnsi="Verdana"/>
          <w:sz w:val="18"/>
          <w:szCs w:val="18"/>
        </w:rPr>
        <w:t xml:space="preserve">aan de Kamer gemeld dat </w:t>
      </w:r>
      <w:r>
        <w:rPr>
          <w:rFonts w:ascii="Verdana" w:hAnsi="Verdana"/>
          <w:sz w:val="18"/>
          <w:szCs w:val="18"/>
        </w:rPr>
        <w:t xml:space="preserve">EPZ voor </w:t>
      </w:r>
      <w:r w:rsidRPr="00C52FCE">
        <w:rPr>
          <w:rFonts w:ascii="Verdana" w:hAnsi="Verdana"/>
          <w:sz w:val="18"/>
          <w:szCs w:val="18"/>
        </w:rPr>
        <w:t xml:space="preserve">de </w:t>
      </w:r>
      <w:r>
        <w:rPr>
          <w:rFonts w:ascii="Verdana" w:hAnsi="Verdana"/>
          <w:sz w:val="18"/>
          <w:szCs w:val="18"/>
        </w:rPr>
        <w:t xml:space="preserve">haalbaarheidsonderzoeken voor </w:t>
      </w:r>
      <w:r w:rsidR="002252D5">
        <w:rPr>
          <w:rFonts w:ascii="Verdana" w:hAnsi="Verdana"/>
          <w:sz w:val="18"/>
          <w:szCs w:val="18"/>
        </w:rPr>
        <w:t>BDV</w:t>
      </w:r>
      <w:r>
        <w:rPr>
          <w:rFonts w:ascii="Verdana" w:hAnsi="Verdana"/>
          <w:sz w:val="18"/>
          <w:szCs w:val="18"/>
        </w:rPr>
        <w:t xml:space="preserve"> een aanvraag voor ophoging van de subsidie heeft gedaan van de reeds toegekende 11,3 miljoen euro tot 32,9 miljoen euro. Een deel van deze ophoging (14,5 miljoen euro) ziet toe op de haalbaarheidsstudies, waarvoor ik vóór het verlenen van een ophoging van de subsidie deze wijziging vooraf voor goedkeuring moet voorleggen aan de Europese Commissie in verband met staatsteunaspecten. </w:t>
      </w:r>
      <w:r w:rsidRPr="00C52FCE">
        <w:rPr>
          <w:rFonts w:ascii="Verdana" w:hAnsi="Verdana"/>
          <w:sz w:val="18"/>
          <w:szCs w:val="18"/>
        </w:rPr>
        <w:t xml:space="preserve">EPZ zal </w:t>
      </w:r>
      <w:r>
        <w:rPr>
          <w:rFonts w:ascii="Verdana" w:hAnsi="Verdana"/>
          <w:sz w:val="18"/>
          <w:szCs w:val="18"/>
        </w:rPr>
        <w:t>het andere</w:t>
      </w:r>
      <w:r w:rsidRPr="00C52FCE">
        <w:rPr>
          <w:rFonts w:ascii="Verdana" w:hAnsi="Verdana"/>
          <w:sz w:val="18"/>
          <w:szCs w:val="18"/>
        </w:rPr>
        <w:t xml:space="preserve"> deel van de </w:t>
      </w:r>
      <w:r>
        <w:rPr>
          <w:rFonts w:ascii="Verdana" w:hAnsi="Verdana"/>
          <w:sz w:val="18"/>
          <w:szCs w:val="18"/>
        </w:rPr>
        <w:t>voorbereidings</w:t>
      </w:r>
      <w:r w:rsidRPr="00C52FCE">
        <w:rPr>
          <w:rFonts w:ascii="Verdana" w:hAnsi="Verdana"/>
          <w:sz w:val="18"/>
          <w:szCs w:val="18"/>
        </w:rPr>
        <w:t>kosten voor BDV voor rekening nemen</w:t>
      </w:r>
      <w:r>
        <w:rPr>
          <w:rFonts w:ascii="Verdana" w:hAnsi="Verdana"/>
          <w:sz w:val="18"/>
          <w:szCs w:val="18"/>
        </w:rPr>
        <w:t xml:space="preserve">, waarmee indirect </w:t>
      </w:r>
      <w:r w:rsidRPr="00C52FCE">
        <w:rPr>
          <w:rFonts w:ascii="Verdana" w:hAnsi="Verdana"/>
          <w:sz w:val="18"/>
          <w:szCs w:val="18"/>
        </w:rPr>
        <w:t>30% van de</w:t>
      </w:r>
      <w:r>
        <w:rPr>
          <w:rFonts w:ascii="Verdana" w:hAnsi="Verdana"/>
          <w:sz w:val="18"/>
          <w:szCs w:val="18"/>
        </w:rPr>
        <w:t>ze</w:t>
      </w:r>
      <w:r w:rsidRPr="00C52FCE">
        <w:rPr>
          <w:rFonts w:ascii="Verdana" w:hAnsi="Verdana"/>
          <w:sz w:val="18"/>
          <w:szCs w:val="18"/>
        </w:rPr>
        <w:t xml:space="preserve"> kosten neerslaa</w:t>
      </w:r>
      <w:r>
        <w:rPr>
          <w:rFonts w:ascii="Verdana" w:hAnsi="Verdana"/>
          <w:sz w:val="18"/>
          <w:szCs w:val="18"/>
        </w:rPr>
        <w:t>t</w:t>
      </w:r>
      <w:r w:rsidRPr="00C52FCE">
        <w:rPr>
          <w:rFonts w:ascii="Verdana" w:hAnsi="Verdana"/>
          <w:sz w:val="18"/>
          <w:szCs w:val="18"/>
        </w:rPr>
        <w:t xml:space="preserve"> bij </w:t>
      </w:r>
      <w:r>
        <w:rPr>
          <w:rFonts w:ascii="Verdana" w:hAnsi="Verdana"/>
          <w:sz w:val="18"/>
          <w:szCs w:val="18"/>
        </w:rPr>
        <w:t>ERH</w:t>
      </w:r>
      <w:r w:rsidRPr="00C52FCE">
        <w:rPr>
          <w:rFonts w:ascii="Verdana" w:hAnsi="Verdana"/>
          <w:sz w:val="18"/>
          <w:szCs w:val="18"/>
        </w:rPr>
        <w:t xml:space="preserve">. </w:t>
      </w:r>
    </w:p>
    <w:p w:rsidR="00B24AEB" w:rsidP="00B24AEB" w:rsidRDefault="00B24AEB" w14:paraId="117A1768" w14:textId="77777777">
      <w:pPr>
        <w:pStyle w:val="Geenafstand"/>
        <w:spacing w:line="276" w:lineRule="auto"/>
        <w:rPr>
          <w:rFonts w:ascii="Verdana" w:hAnsi="Verdana"/>
          <w:sz w:val="18"/>
          <w:szCs w:val="18"/>
        </w:rPr>
      </w:pPr>
    </w:p>
    <w:p w:rsidRPr="00814B54" w:rsidR="00B24AEB" w:rsidP="00B24AEB" w:rsidRDefault="00B24AEB" w14:paraId="13E09FB0" w14:textId="292F803A">
      <w:pPr>
        <w:pStyle w:val="Geenafstand"/>
        <w:spacing w:line="276" w:lineRule="auto"/>
        <w:rPr>
          <w:rFonts w:ascii="Verdana" w:hAnsi="Verdana"/>
          <w:i/>
          <w:iCs/>
          <w:sz w:val="18"/>
          <w:szCs w:val="18"/>
        </w:rPr>
      </w:pPr>
      <w:r w:rsidRPr="00814B54">
        <w:rPr>
          <w:rFonts w:ascii="Verdana" w:hAnsi="Verdana"/>
          <w:i/>
          <w:iCs/>
          <w:sz w:val="18"/>
          <w:szCs w:val="18"/>
        </w:rPr>
        <w:t>Publiek</w:t>
      </w:r>
      <w:r w:rsidR="00DC2802">
        <w:rPr>
          <w:rFonts w:ascii="Verdana" w:hAnsi="Verdana"/>
          <w:i/>
          <w:iCs/>
          <w:sz w:val="18"/>
          <w:szCs w:val="18"/>
        </w:rPr>
        <w:t>e</w:t>
      </w:r>
      <w:r w:rsidRPr="00814B54">
        <w:rPr>
          <w:rFonts w:ascii="Verdana" w:hAnsi="Verdana"/>
          <w:i/>
          <w:iCs/>
          <w:sz w:val="18"/>
          <w:szCs w:val="18"/>
        </w:rPr>
        <w:t xml:space="preserve"> belangen decentrale overheden </w:t>
      </w:r>
      <w:r>
        <w:rPr>
          <w:rFonts w:ascii="Verdana" w:hAnsi="Verdana"/>
          <w:i/>
          <w:iCs/>
          <w:sz w:val="18"/>
          <w:szCs w:val="18"/>
        </w:rPr>
        <w:t xml:space="preserve">rond </w:t>
      </w:r>
      <w:r w:rsidRPr="00814B54">
        <w:rPr>
          <w:rFonts w:ascii="Verdana" w:hAnsi="Verdana"/>
          <w:i/>
          <w:iCs/>
          <w:sz w:val="18"/>
          <w:szCs w:val="18"/>
        </w:rPr>
        <w:t>de KCB</w:t>
      </w:r>
    </w:p>
    <w:p w:rsidRPr="00814B54" w:rsidR="00B24AEB" w:rsidP="00B24AEB" w:rsidRDefault="00B24AEB" w14:paraId="2B5AF18A" w14:textId="7ABB9E98">
      <w:pPr>
        <w:spacing w:after="160" w:line="259" w:lineRule="auto"/>
        <w:rPr>
          <w:szCs w:val="18"/>
        </w:rPr>
      </w:pPr>
      <w:r w:rsidRPr="00814B54">
        <w:rPr>
          <w:szCs w:val="18"/>
        </w:rPr>
        <w:t xml:space="preserve">Met de provincie Zeeland en de gemeente Borsele is gesproken over de publieke belangen rond de KCB. </w:t>
      </w:r>
      <w:r w:rsidR="000542D9">
        <w:rPr>
          <w:szCs w:val="18"/>
        </w:rPr>
        <w:t xml:space="preserve">In de bijlage </w:t>
      </w:r>
      <w:r w:rsidR="00CC6C54">
        <w:rPr>
          <w:szCs w:val="18"/>
        </w:rPr>
        <w:t>e</w:t>
      </w:r>
      <w:r w:rsidR="000542D9">
        <w:rPr>
          <w:szCs w:val="18"/>
        </w:rPr>
        <w:t>e</w:t>
      </w:r>
      <w:r w:rsidR="00CC6C54">
        <w:rPr>
          <w:szCs w:val="18"/>
        </w:rPr>
        <w:t>n</w:t>
      </w:r>
      <w:r w:rsidR="000542D9">
        <w:rPr>
          <w:szCs w:val="18"/>
        </w:rPr>
        <w:t xml:space="preserve"> brief die ik in dit kader aan de provincie en de gemeente heb gestuurd. </w:t>
      </w:r>
      <w:r w:rsidRPr="00814B54">
        <w:rPr>
          <w:szCs w:val="18"/>
        </w:rPr>
        <w:t>Met de verkoop van de aandelen van ZEH Energy B.V. verandert de positie van de decentrale overheden. De decentrale overheden kunnen niet langer als</w:t>
      </w:r>
      <w:r>
        <w:rPr>
          <w:szCs w:val="18"/>
        </w:rPr>
        <w:t xml:space="preserve"> (indirect)</w:t>
      </w:r>
      <w:r w:rsidRPr="00814B54">
        <w:rPr>
          <w:szCs w:val="18"/>
        </w:rPr>
        <w:t xml:space="preserve"> aandeelhouder invloed uitoefenen op de koers van EPZ, terwijl publieke belangen zoals veiligheid, informatievoorziening</w:t>
      </w:r>
      <w:r>
        <w:rPr>
          <w:szCs w:val="18"/>
        </w:rPr>
        <w:t>, maatschappelijke betrokkenheid</w:t>
      </w:r>
      <w:r w:rsidRPr="00814B54">
        <w:rPr>
          <w:szCs w:val="18"/>
        </w:rPr>
        <w:t xml:space="preserve"> en de inzet van het terrein van EPZ wel belangrijk blijven voor gemeente en provincie. </w:t>
      </w:r>
    </w:p>
    <w:p w:rsidRPr="00814B54" w:rsidR="00B24AEB" w:rsidP="00B24AEB" w:rsidRDefault="00B24AEB" w14:paraId="5AF1035D" w14:textId="77777777">
      <w:pPr>
        <w:spacing w:after="160" w:line="259" w:lineRule="auto"/>
        <w:rPr>
          <w:szCs w:val="18"/>
        </w:rPr>
      </w:pPr>
      <w:r w:rsidRPr="00814B54">
        <w:rPr>
          <w:szCs w:val="18"/>
        </w:rPr>
        <w:t>Na de aandelenoverdracht zullen EZK</w:t>
      </w:r>
      <w:r>
        <w:rPr>
          <w:szCs w:val="18"/>
        </w:rPr>
        <w:t>, de</w:t>
      </w:r>
      <w:r w:rsidRPr="00814B54">
        <w:rPr>
          <w:szCs w:val="18"/>
        </w:rPr>
        <w:t xml:space="preserve"> provincie en gemeente </w:t>
      </w:r>
      <w:r>
        <w:rPr>
          <w:szCs w:val="18"/>
        </w:rPr>
        <w:t xml:space="preserve">Borsele </w:t>
      </w:r>
      <w:r w:rsidRPr="00814B54">
        <w:rPr>
          <w:szCs w:val="18"/>
        </w:rPr>
        <w:t xml:space="preserve">in gesprek blijven over deze publieke belangen rond de KCB. Met EPZ zelf worden afspraken gemaakt om de informatievoorziening voor </w:t>
      </w:r>
      <w:r>
        <w:rPr>
          <w:szCs w:val="18"/>
        </w:rPr>
        <w:t xml:space="preserve">de </w:t>
      </w:r>
      <w:r w:rsidRPr="00814B54">
        <w:rPr>
          <w:szCs w:val="18"/>
        </w:rPr>
        <w:t xml:space="preserve">provincie en gemeente Borsele over de veiligheid en andere relevante onderwerpen, alsmede bestaande overleggen zo veel mogelijk in stand te houden. </w:t>
      </w:r>
    </w:p>
    <w:p w:rsidR="00B24AEB" w:rsidP="00B24AEB" w:rsidRDefault="00B24AEB" w14:paraId="6B1AE485" w14:textId="29E35760">
      <w:pPr>
        <w:spacing w:after="160" w:line="259" w:lineRule="auto"/>
        <w:rPr>
          <w:szCs w:val="18"/>
        </w:rPr>
      </w:pPr>
      <w:r w:rsidRPr="00814B54">
        <w:rPr>
          <w:szCs w:val="18"/>
        </w:rPr>
        <w:lastRenderedPageBreak/>
        <w:t xml:space="preserve">Met </w:t>
      </w:r>
      <w:r>
        <w:rPr>
          <w:szCs w:val="18"/>
        </w:rPr>
        <w:t>ERH</w:t>
      </w:r>
      <w:r w:rsidRPr="00814B54">
        <w:rPr>
          <w:szCs w:val="18"/>
        </w:rPr>
        <w:t xml:space="preserve"> </w:t>
      </w:r>
      <w:r>
        <w:rPr>
          <w:szCs w:val="18"/>
        </w:rPr>
        <w:t>zijn</w:t>
      </w:r>
      <w:r w:rsidRPr="00814B54">
        <w:rPr>
          <w:szCs w:val="18"/>
        </w:rPr>
        <w:t xml:space="preserve"> </w:t>
      </w:r>
      <w:r>
        <w:rPr>
          <w:szCs w:val="18"/>
        </w:rPr>
        <w:t xml:space="preserve">zoals aangegeven </w:t>
      </w:r>
      <w:r w:rsidRPr="00814B54">
        <w:rPr>
          <w:szCs w:val="18"/>
        </w:rPr>
        <w:t>af</w:t>
      </w:r>
      <w:r>
        <w:rPr>
          <w:szCs w:val="18"/>
        </w:rPr>
        <w:t xml:space="preserve">spraken gemaakt </w:t>
      </w:r>
      <w:r w:rsidRPr="00814B54">
        <w:rPr>
          <w:szCs w:val="18"/>
        </w:rPr>
        <w:t xml:space="preserve">om een lange termijn strategie voor EPZ uit te werken, naast </w:t>
      </w:r>
      <w:r w:rsidR="002252D5">
        <w:rPr>
          <w:szCs w:val="18"/>
        </w:rPr>
        <w:t>BDV</w:t>
      </w:r>
      <w:r w:rsidRPr="00814B54">
        <w:rPr>
          <w:szCs w:val="18"/>
        </w:rPr>
        <w:t xml:space="preserve">. Het is aan beide aandeelhouders en EPZ </w:t>
      </w:r>
      <w:r>
        <w:rPr>
          <w:szCs w:val="18"/>
        </w:rPr>
        <w:t xml:space="preserve">om op basis van de bestaande governance </w:t>
      </w:r>
      <w:r w:rsidRPr="00814B54">
        <w:rPr>
          <w:szCs w:val="18"/>
        </w:rPr>
        <w:t>de koers voor EPZ te bepalen, bijvoorbeeld over de mogelijke inzet van het terrein. Als publiek aandeelhouder zal EZK ook provincie en gemeente hierbij betrekken.</w:t>
      </w:r>
      <w:r w:rsidR="000542D9">
        <w:rPr>
          <w:szCs w:val="18"/>
        </w:rPr>
        <w:t xml:space="preserve">  </w:t>
      </w:r>
    </w:p>
    <w:p w:rsidR="00CF4F40" w:rsidP="00CF4F40" w:rsidRDefault="00CF4F40" w14:paraId="354FA0D0" w14:textId="77777777">
      <w:pPr>
        <w:pStyle w:val="Geenafstand"/>
        <w:spacing w:line="276" w:lineRule="auto"/>
        <w:rPr>
          <w:rFonts w:ascii="Verdana" w:hAnsi="Verdana"/>
          <w:i/>
          <w:iCs/>
          <w:sz w:val="18"/>
          <w:szCs w:val="18"/>
        </w:rPr>
      </w:pPr>
      <w:r>
        <w:rPr>
          <w:rFonts w:ascii="Verdana" w:hAnsi="Verdana"/>
          <w:i/>
          <w:iCs/>
          <w:sz w:val="18"/>
          <w:szCs w:val="18"/>
        </w:rPr>
        <w:t>Aandelen onderbrengen bij NEO NL</w:t>
      </w:r>
    </w:p>
    <w:p w:rsidRPr="004F6D8C" w:rsidR="00DC2802" w:rsidP="00DC2802" w:rsidRDefault="00DC2802" w14:paraId="5F903CDC" w14:textId="69904C3B">
      <w:pPr>
        <w:pStyle w:val="Geenafstand"/>
        <w:spacing w:line="276" w:lineRule="auto"/>
        <w:rPr>
          <w:rFonts w:ascii="Verdana" w:hAnsi="Verdana"/>
          <w:sz w:val="18"/>
          <w:szCs w:val="18"/>
        </w:rPr>
      </w:pPr>
      <w:r w:rsidRPr="004F6D8C">
        <w:rPr>
          <w:rFonts w:ascii="Verdana" w:hAnsi="Verdana"/>
          <w:sz w:val="18"/>
          <w:szCs w:val="18"/>
        </w:rPr>
        <w:t xml:space="preserve">Met de aandelenoverdracht zal de staat ZEH Energy als dochteronderneming bij de beleidsdeelneming Nucleaire Energie Organisatie Nederland </w:t>
      </w:r>
      <w:r w:rsidR="002252D5">
        <w:rPr>
          <w:rFonts w:ascii="Verdana" w:hAnsi="Verdana"/>
          <w:sz w:val="18"/>
          <w:szCs w:val="18"/>
        </w:rPr>
        <w:t xml:space="preserve">(NEO NL) </w:t>
      </w:r>
      <w:r w:rsidRPr="004F6D8C">
        <w:rPr>
          <w:rFonts w:ascii="Verdana" w:hAnsi="Verdana"/>
          <w:sz w:val="18"/>
          <w:szCs w:val="18"/>
        </w:rPr>
        <w:t xml:space="preserve">onderbrengen. </w:t>
      </w:r>
      <w:r>
        <w:rPr>
          <w:rFonts w:ascii="Verdana" w:hAnsi="Verdana"/>
          <w:sz w:val="18"/>
          <w:szCs w:val="18"/>
        </w:rPr>
        <w:t xml:space="preserve">Bij de oprichting van NEO NL in februari jongstleden heeft de staat al op deze aandelenoverdracht geanticipeerd door hier in de statutaire doelstelling van NEO NL in te voorzien. </w:t>
      </w:r>
      <w:r w:rsidRPr="004F6D8C">
        <w:rPr>
          <w:rFonts w:ascii="Verdana" w:hAnsi="Verdana"/>
          <w:sz w:val="18"/>
          <w:szCs w:val="18"/>
        </w:rPr>
        <w:t xml:space="preserve">ZEH Energy krijgt daarmee een </w:t>
      </w:r>
      <w:r>
        <w:rPr>
          <w:rFonts w:ascii="Verdana" w:hAnsi="Verdana"/>
          <w:sz w:val="18"/>
          <w:szCs w:val="18"/>
        </w:rPr>
        <w:t>band</w:t>
      </w:r>
      <w:r w:rsidRPr="004F6D8C">
        <w:rPr>
          <w:rFonts w:ascii="Verdana" w:hAnsi="Verdana"/>
          <w:sz w:val="18"/>
          <w:szCs w:val="18"/>
        </w:rPr>
        <w:t xml:space="preserve"> </w:t>
      </w:r>
      <w:r>
        <w:rPr>
          <w:rFonts w:ascii="Verdana" w:hAnsi="Verdana"/>
          <w:sz w:val="18"/>
          <w:szCs w:val="18"/>
        </w:rPr>
        <w:t>met</w:t>
      </w:r>
      <w:r w:rsidRPr="004F6D8C">
        <w:rPr>
          <w:rFonts w:ascii="Verdana" w:hAnsi="Verdana"/>
          <w:sz w:val="18"/>
          <w:szCs w:val="18"/>
        </w:rPr>
        <w:t xml:space="preserve"> de onderneming die tot doel heeft in Nederland nucleaire energie tot verdere ontwikkeling te brengen.</w:t>
      </w:r>
      <w:r>
        <w:rPr>
          <w:rFonts w:ascii="Verdana" w:hAnsi="Verdana"/>
          <w:sz w:val="18"/>
          <w:szCs w:val="18"/>
        </w:rPr>
        <w:t xml:space="preserve"> </w:t>
      </w:r>
    </w:p>
    <w:p w:rsidR="00CF4F40" w:rsidP="00B24AEB" w:rsidRDefault="00CF4F40" w14:paraId="5228046D" w14:textId="77777777">
      <w:pPr>
        <w:pStyle w:val="Geenafstand"/>
        <w:spacing w:line="276" w:lineRule="auto"/>
        <w:rPr>
          <w:rFonts w:ascii="Verdana" w:hAnsi="Verdana"/>
          <w:i/>
          <w:iCs/>
          <w:sz w:val="18"/>
          <w:szCs w:val="18"/>
        </w:rPr>
      </w:pPr>
    </w:p>
    <w:p w:rsidRPr="00C3513A" w:rsidR="00B24AEB" w:rsidP="00B24AEB" w:rsidRDefault="00B24AEB" w14:paraId="01BDA513" w14:textId="01526CE3">
      <w:pPr>
        <w:pStyle w:val="Geenafstand"/>
        <w:spacing w:line="276" w:lineRule="auto"/>
        <w:rPr>
          <w:rFonts w:ascii="Verdana" w:hAnsi="Verdana"/>
          <w:i/>
          <w:iCs/>
          <w:sz w:val="18"/>
          <w:szCs w:val="18"/>
        </w:rPr>
      </w:pPr>
      <w:r w:rsidRPr="00C3513A">
        <w:rPr>
          <w:rFonts w:ascii="Verdana" w:hAnsi="Verdana"/>
          <w:i/>
          <w:iCs/>
          <w:sz w:val="18"/>
          <w:szCs w:val="18"/>
        </w:rPr>
        <w:t>Tot slot</w:t>
      </w:r>
    </w:p>
    <w:p w:rsidRPr="00C3513A" w:rsidR="00B24AEB" w:rsidP="00B24AEB" w:rsidRDefault="00B24AEB" w14:paraId="63728CF6" w14:textId="0A6A0238">
      <w:pPr>
        <w:pStyle w:val="Geenafstand"/>
        <w:spacing w:line="276" w:lineRule="auto"/>
        <w:rPr>
          <w:rFonts w:ascii="Verdana" w:hAnsi="Verdana"/>
          <w:sz w:val="18"/>
          <w:szCs w:val="18"/>
        </w:rPr>
      </w:pPr>
      <w:r>
        <w:rPr>
          <w:rFonts w:ascii="Verdana" w:hAnsi="Verdana"/>
          <w:sz w:val="18"/>
          <w:szCs w:val="18"/>
        </w:rPr>
        <w:t>Samengevat kom ik tot de conclusie dat met de overname van de aandelen in ZEH Energy, en daarmee 70% van de aandelen in EPZ, een belangrijke stap wordt gezet om h</w:t>
      </w:r>
      <w:r w:rsidRPr="00C3513A">
        <w:rPr>
          <w:rFonts w:ascii="Verdana" w:hAnsi="Verdana"/>
          <w:sz w:val="18"/>
          <w:szCs w:val="18"/>
        </w:rPr>
        <w:t xml:space="preserve">et realiseren van </w:t>
      </w:r>
      <w:r w:rsidR="002252D5">
        <w:rPr>
          <w:rFonts w:ascii="Verdana" w:hAnsi="Verdana"/>
          <w:sz w:val="18"/>
          <w:szCs w:val="18"/>
        </w:rPr>
        <w:t>BDV</w:t>
      </w:r>
      <w:r>
        <w:rPr>
          <w:rFonts w:ascii="Verdana" w:hAnsi="Verdana"/>
          <w:sz w:val="18"/>
          <w:szCs w:val="18"/>
        </w:rPr>
        <w:t xml:space="preserve"> </w:t>
      </w:r>
      <w:r w:rsidRPr="00C3513A">
        <w:rPr>
          <w:rFonts w:ascii="Verdana" w:hAnsi="Verdana"/>
          <w:sz w:val="18"/>
          <w:szCs w:val="18"/>
        </w:rPr>
        <w:t>mogelijk</w:t>
      </w:r>
      <w:r>
        <w:rPr>
          <w:rFonts w:ascii="Verdana" w:hAnsi="Verdana"/>
          <w:sz w:val="18"/>
          <w:szCs w:val="18"/>
        </w:rPr>
        <w:t xml:space="preserve"> te maken</w:t>
      </w:r>
      <w:r w:rsidRPr="00C3513A">
        <w:rPr>
          <w:rFonts w:ascii="Verdana" w:hAnsi="Verdana"/>
          <w:sz w:val="18"/>
          <w:szCs w:val="18"/>
        </w:rPr>
        <w:t xml:space="preserve">. </w:t>
      </w:r>
      <w:r>
        <w:rPr>
          <w:rFonts w:ascii="Verdana" w:hAnsi="Verdana"/>
          <w:sz w:val="18"/>
          <w:szCs w:val="18"/>
        </w:rPr>
        <w:t>Met d</w:t>
      </w:r>
      <w:r w:rsidRPr="00C3513A">
        <w:rPr>
          <w:rFonts w:ascii="Verdana" w:hAnsi="Verdana"/>
          <w:sz w:val="18"/>
          <w:szCs w:val="18"/>
        </w:rPr>
        <w:t xml:space="preserve">e overname </w:t>
      </w:r>
      <w:r>
        <w:rPr>
          <w:rFonts w:ascii="Verdana" w:hAnsi="Verdana"/>
          <w:sz w:val="18"/>
          <w:szCs w:val="18"/>
        </w:rPr>
        <w:t xml:space="preserve">kan tevens </w:t>
      </w:r>
      <w:r w:rsidRPr="00C3513A">
        <w:rPr>
          <w:rFonts w:ascii="Verdana" w:hAnsi="Verdana"/>
          <w:sz w:val="18"/>
          <w:szCs w:val="18"/>
        </w:rPr>
        <w:t>word</w:t>
      </w:r>
      <w:r>
        <w:rPr>
          <w:rFonts w:ascii="Verdana" w:hAnsi="Verdana"/>
          <w:sz w:val="18"/>
          <w:szCs w:val="18"/>
        </w:rPr>
        <w:t>en</w:t>
      </w:r>
      <w:r w:rsidRPr="00C3513A">
        <w:rPr>
          <w:rFonts w:ascii="Verdana" w:hAnsi="Verdana"/>
          <w:sz w:val="18"/>
          <w:szCs w:val="18"/>
        </w:rPr>
        <w:t xml:space="preserve"> voldaan aan de expliciete wens van de decentrale</w:t>
      </w:r>
      <w:r>
        <w:rPr>
          <w:rFonts w:ascii="Verdana" w:hAnsi="Verdana"/>
          <w:sz w:val="18"/>
          <w:szCs w:val="18"/>
        </w:rPr>
        <w:t>,</w:t>
      </w:r>
      <w:r w:rsidRPr="00C3513A">
        <w:rPr>
          <w:rFonts w:ascii="Verdana" w:hAnsi="Verdana"/>
          <w:sz w:val="18"/>
          <w:szCs w:val="18"/>
        </w:rPr>
        <w:t xml:space="preserve"> publieke aandeelhouders van ZEH om de aandelen in EPZ te verkopen aan de </w:t>
      </w:r>
      <w:r>
        <w:rPr>
          <w:rFonts w:ascii="Verdana" w:hAnsi="Verdana"/>
          <w:sz w:val="18"/>
          <w:szCs w:val="18"/>
        </w:rPr>
        <w:t>s</w:t>
      </w:r>
      <w:r w:rsidRPr="00C3513A">
        <w:rPr>
          <w:rFonts w:ascii="Verdana" w:hAnsi="Verdana"/>
          <w:sz w:val="18"/>
          <w:szCs w:val="18"/>
        </w:rPr>
        <w:t>taat.</w:t>
      </w:r>
      <w:r>
        <w:rPr>
          <w:rFonts w:ascii="Verdana" w:hAnsi="Verdana"/>
          <w:sz w:val="18"/>
          <w:szCs w:val="18"/>
        </w:rPr>
        <w:t xml:space="preserve"> </w:t>
      </w:r>
      <w:r w:rsidR="00CF4F40">
        <w:rPr>
          <w:rFonts w:ascii="Verdana" w:hAnsi="Verdana"/>
          <w:sz w:val="18"/>
          <w:szCs w:val="18"/>
        </w:rPr>
        <w:t xml:space="preserve">De blijvende betrokkenheid </w:t>
      </w:r>
      <w:r w:rsidRPr="00C3513A" w:rsidR="00CF4F40">
        <w:rPr>
          <w:rFonts w:ascii="Verdana" w:hAnsi="Verdana"/>
          <w:sz w:val="18"/>
          <w:szCs w:val="18"/>
        </w:rPr>
        <w:t xml:space="preserve">van ERH </w:t>
      </w:r>
      <w:r w:rsidR="00CF4F40">
        <w:rPr>
          <w:rFonts w:ascii="Verdana" w:hAnsi="Verdana"/>
          <w:sz w:val="18"/>
          <w:szCs w:val="18"/>
        </w:rPr>
        <w:t>als 30% aandeelhouder in EPZ</w:t>
      </w:r>
      <w:r w:rsidRPr="00C3513A" w:rsidR="00CF4F40">
        <w:rPr>
          <w:rFonts w:ascii="Verdana" w:hAnsi="Verdana"/>
          <w:sz w:val="18"/>
          <w:szCs w:val="18"/>
        </w:rPr>
        <w:t xml:space="preserve"> zorgt</w:t>
      </w:r>
      <w:r w:rsidR="00CF4F40">
        <w:rPr>
          <w:rFonts w:ascii="Verdana" w:hAnsi="Verdana"/>
          <w:sz w:val="18"/>
          <w:szCs w:val="18"/>
        </w:rPr>
        <w:t xml:space="preserve"> daarnaast</w:t>
      </w:r>
      <w:r w:rsidRPr="00C3513A" w:rsidR="00CF4F40">
        <w:rPr>
          <w:rFonts w:ascii="Verdana" w:hAnsi="Verdana"/>
          <w:sz w:val="18"/>
          <w:szCs w:val="18"/>
        </w:rPr>
        <w:t xml:space="preserve"> voor de</w:t>
      </w:r>
      <w:r w:rsidR="00CF4F40">
        <w:rPr>
          <w:rFonts w:ascii="Verdana" w:hAnsi="Verdana"/>
          <w:sz w:val="18"/>
          <w:szCs w:val="18"/>
        </w:rPr>
        <w:t xml:space="preserve"> continuïteit in</w:t>
      </w:r>
      <w:r w:rsidRPr="00C3513A" w:rsidR="00CF4F40">
        <w:rPr>
          <w:rFonts w:ascii="Verdana" w:hAnsi="Verdana"/>
          <w:sz w:val="18"/>
          <w:szCs w:val="18"/>
        </w:rPr>
        <w:t xml:space="preserve"> inbreng van commerciële en nucleaire expertise</w:t>
      </w:r>
      <w:r w:rsidR="00CF4F40">
        <w:rPr>
          <w:rFonts w:ascii="Verdana" w:hAnsi="Verdana"/>
          <w:sz w:val="18"/>
          <w:szCs w:val="18"/>
        </w:rPr>
        <w:t>.</w:t>
      </w:r>
      <w:r w:rsidRPr="00D03F14">
        <w:rPr>
          <w:rFonts w:ascii="Verdana" w:hAnsi="Verdana"/>
          <w:sz w:val="18"/>
          <w:szCs w:val="18"/>
        </w:rPr>
        <w:t xml:space="preserve"> </w:t>
      </w:r>
    </w:p>
    <w:p w:rsidR="00B24AEB" w:rsidP="00B24AEB" w:rsidRDefault="00B24AEB" w14:paraId="3C96A903" w14:textId="77777777">
      <w:pPr>
        <w:spacing w:line="276" w:lineRule="auto"/>
        <w:rPr>
          <w:szCs w:val="18"/>
        </w:rPr>
      </w:pPr>
    </w:p>
    <w:p w:rsidR="00B24AEB" w:rsidP="00B24AEB" w:rsidRDefault="00B24AEB" w14:paraId="7ADEBB4B" w14:textId="1693255D">
      <w:pPr>
        <w:spacing w:line="276" w:lineRule="auto"/>
        <w:rPr>
          <w:szCs w:val="18"/>
        </w:rPr>
      </w:pPr>
      <w:r>
        <w:rPr>
          <w:szCs w:val="18"/>
        </w:rPr>
        <w:t>De aandeelhouders van ZEH (de decentrale Zeeuwse overheden) zullen moeten instemmen met de overname. Hierbij geldt dat voor dit besluit geen unanimiteit vereist is. Als onder andere aan deze opschortende voorwaarden is voldaan, kan de koopovereenkomst worden getekend en kunnen de aandelen overgedragen worden. De verwachting is dat de aandelenoverdracht rond 1</w:t>
      </w:r>
      <w:r w:rsidRPr="00062379">
        <w:rPr>
          <w:szCs w:val="18"/>
        </w:rPr>
        <w:t xml:space="preserve"> </w:t>
      </w:r>
      <w:r>
        <w:rPr>
          <w:szCs w:val="18"/>
        </w:rPr>
        <w:t xml:space="preserve">december </w:t>
      </w:r>
      <w:r w:rsidRPr="00062379">
        <w:rPr>
          <w:szCs w:val="18"/>
        </w:rPr>
        <w:t>2026</w:t>
      </w:r>
      <w:r>
        <w:rPr>
          <w:szCs w:val="18"/>
        </w:rPr>
        <w:t xml:space="preserve"> zal plaatsvinden</w:t>
      </w:r>
      <w:r w:rsidR="00CC6C54">
        <w:rPr>
          <w:szCs w:val="18"/>
        </w:rPr>
        <w:t>, uiteraard onder de voorwaarde dat de voorhangprocedure is afgerond</w:t>
      </w:r>
      <w:r w:rsidRPr="002252D5" w:rsidR="002252D5">
        <w:rPr>
          <w:szCs w:val="18"/>
        </w:rPr>
        <w:t xml:space="preserve"> </w:t>
      </w:r>
      <w:r w:rsidR="002252D5">
        <w:rPr>
          <w:szCs w:val="18"/>
        </w:rPr>
        <w:t>en is ingestemd met de aanpassing van de rijksbegroting.</w:t>
      </w:r>
    </w:p>
    <w:p w:rsidRPr="002822CA" w:rsidR="00340ECA" w:rsidP="002822CA" w:rsidRDefault="00340ECA" w14:paraId="2DDD0029" w14:textId="77777777"/>
    <w:p w:rsidR="004425CC" w:rsidP="00810C93" w:rsidRDefault="00BF1D2B" w14:paraId="369159AF" w14:textId="6533DD3A">
      <w:r w:rsidRPr="00B24AEB">
        <w:t>Hoogachtend,</w:t>
      </w:r>
    </w:p>
    <w:p w:rsidRPr="00B24AEB" w:rsidR="003F567B" w:rsidP="006662F6" w:rsidRDefault="003F567B" w14:paraId="012A6293" w14:textId="77777777"/>
    <w:p w:rsidRPr="00B24AEB" w:rsidR="003F567B" w:rsidP="006662F6" w:rsidRDefault="003F567B" w14:paraId="52144644" w14:textId="77777777"/>
    <w:p w:rsidR="003F567B" w:rsidP="006662F6" w:rsidRDefault="003F567B" w14:paraId="6ED886A1" w14:textId="77777777"/>
    <w:p w:rsidRPr="00B24AEB" w:rsidR="00CE236F" w:rsidP="006662F6" w:rsidRDefault="00CE236F" w14:paraId="6777FE14" w14:textId="77777777"/>
    <w:p w:rsidRPr="00C7163E" w:rsidR="006662F6" w:rsidP="006662F6" w:rsidRDefault="00BF1D2B" w14:paraId="03B1B153" w14:textId="77777777">
      <w:r w:rsidRPr="00B24AEB">
        <w:t>Jo-Annes de Bat</w:t>
      </w:r>
    </w:p>
    <w:p w:rsidRPr="00C7163E" w:rsidR="006662F6" w:rsidRDefault="00BF1D2B" w14:paraId="52EC60BE" w14:textId="77777777">
      <w:pPr>
        <w:rPr>
          <w:szCs w:val="18"/>
        </w:rPr>
      </w:pPr>
      <w:r>
        <w:rPr>
          <w:szCs w:val="18"/>
        </w:rPr>
        <w:t>Staatssecretaris</w:t>
      </w:r>
      <w:r w:rsidR="00C7163E">
        <w:rPr>
          <w:szCs w:val="18"/>
        </w:rPr>
        <w:t xml:space="preserve"> van Klimaat en Groene Groei</w:t>
      </w:r>
    </w:p>
    <w:p w:rsidR="006B3C17" w:rsidP="00810C93" w:rsidRDefault="006B3C17" w14:paraId="51483D94" w14:textId="77777777"/>
    <w:p w:rsidR="006B3C17" w:rsidP="00810C93" w:rsidRDefault="006B3C17" w14:paraId="5B6F2776" w14:textId="77777777"/>
    <w:p w:rsidR="00E758FD" w:rsidP="00810C93" w:rsidRDefault="00E758FD" w14:paraId="5249CBC2" w14:textId="77777777"/>
    <w:p w:rsidR="000639A7" w:rsidP="00810C93" w:rsidRDefault="000639A7" w14:paraId="741AAEE9" w14:textId="77777777"/>
    <w:p w:rsidR="00BD2D73" w:rsidP="00810C93" w:rsidRDefault="00BD2D73" w14:paraId="3EB50DE4" w14:textId="77777777"/>
    <w:sectPr w:rsidR="00BD2D73"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6C1BE" w14:textId="77777777" w:rsidR="00246D17" w:rsidRDefault="00246D17">
      <w:r>
        <w:separator/>
      </w:r>
    </w:p>
    <w:p w14:paraId="620366DF" w14:textId="77777777" w:rsidR="00246D17" w:rsidRDefault="00246D17"/>
  </w:endnote>
  <w:endnote w:type="continuationSeparator" w:id="0">
    <w:p w14:paraId="69FEE783" w14:textId="77777777" w:rsidR="00246D17" w:rsidRDefault="00246D17">
      <w:r>
        <w:continuationSeparator/>
      </w:r>
    </w:p>
    <w:p w14:paraId="73047A95" w14:textId="77777777" w:rsidR="00246D17" w:rsidRDefault="00246D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01C4A"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B32949" w14:paraId="11514420" w14:textId="77777777" w:rsidTr="00CA6A25">
      <w:trPr>
        <w:trHeight w:hRule="exact" w:val="240"/>
      </w:trPr>
      <w:tc>
        <w:tcPr>
          <w:tcW w:w="7601" w:type="dxa"/>
        </w:tcPr>
        <w:p w14:paraId="452A0E56" w14:textId="77777777" w:rsidR="00527BD4" w:rsidRDefault="00527BD4" w:rsidP="003F1F6B">
          <w:pPr>
            <w:pStyle w:val="Huisstijl-Rubricering"/>
          </w:pPr>
        </w:p>
      </w:tc>
      <w:tc>
        <w:tcPr>
          <w:tcW w:w="2156" w:type="dxa"/>
        </w:tcPr>
        <w:p w14:paraId="7974CFB5" w14:textId="05103D60" w:rsidR="00527BD4" w:rsidRPr="00645414" w:rsidRDefault="00BF1D2B"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2C6DF7">
            <w:t>5</w:t>
          </w:r>
          <w:r w:rsidR="004425CC">
            <w:fldChar w:fldCharType="end"/>
          </w:r>
        </w:p>
      </w:tc>
    </w:tr>
  </w:tbl>
  <w:p w14:paraId="75AF2C5B"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B32949" w14:paraId="410A535A" w14:textId="77777777" w:rsidTr="00CA6A25">
      <w:trPr>
        <w:trHeight w:hRule="exact" w:val="240"/>
      </w:trPr>
      <w:tc>
        <w:tcPr>
          <w:tcW w:w="7601" w:type="dxa"/>
        </w:tcPr>
        <w:p w14:paraId="7B8121C7" w14:textId="77777777" w:rsidR="00527BD4" w:rsidRDefault="00527BD4" w:rsidP="008C356D">
          <w:pPr>
            <w:pStyle w:val="Huisstijl-Rubricering"/>
          </w:pPr>
        </w:p>
      </w:tc>
      <w:tc>
        <w:tcPr>
          <w:tcW w:w="2170" w:type="dxa"/>
        </w:tcPr>
        <w:p w14:paraId="23F9CBC0" w14:textId="5708B9DE" w:rsidR="00527BD4" w:rsidRPr="00ED539E" w:rsidRDefault="00BF1D2B"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A13FBD">
            <w:fldChar w:fldCharType="begin"/>
          </w:r>
          <w:r>
            <w:instrText xml:space="preserve"> SECTIONPAGES   \* MERGEFORMAT </w:instrText>
          </w:r>
          <w:r w:rsidR="00A13FBD">
            <w:fldChar w:fldCharType="separate"/>
          </w:r>
          <w:r w:rsidR="002C6DF7">
            <w:t>5</w:t>
          </w:r>
          <w:r w:rsidR="00A13FBD">
            <w:fldChar w:fldCharType="end"/>
          </w:r>
        </w:p>
      </w:tc>
    </w:tr>
  </w:tbl>
  <w:p w14:paraId="442C6BED" w14:textId="77777777" w:rsidR="00527BD4" w:rsidRPr="00BC3B53" w:rsidRDefault="00527BD4" w:rsidP="008C356D">
    <w:pPr>
      <w:pStyle w:val="Voettekst"/>
      <w:spacing w:line="240" w:lineRule="auto"/>
      <w:rPr>
        <w:sz w:val="2"/>
        <w:szCs w:val="2"/>
      </w:rPr>
    </w:pPr>
  </w:p>
  <w:p w14:paraId="773540D4"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84EF3" w14:textId="77777777" w:rsidR="00246D17" w:rsidRDefault="00246D17">
      <w:r>
        <w:separator/>
      </w:r>
    </w:p>
    <w:p w14:paraId="2A19A5A8" w14:textId="77777777" w:rsidR="00246D17" w:rsidRDefault="00246D17"/>
  </w:footnote>
  <w:footnote w:type="continuationSeparator" w:id="0">
    <w:p w14:paraId="33774776" w14:textId="77777777" w:rsidR="00246D17" w:rsidRDefault="00246D17">
      <w:r>
        <w:continuationSeparator/>
      </w:r>
    </w:p>
    <w:p w14:paraId="01FD574F" w14:textId="77777777" w:rsidR="00246D17" w:rsidRDefault="00246D1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B32949" w14:paraId="6D97B9F2" w14:textId="77777777" w:rsidTr="00A50CF6">
      <w:tc>
        <w:tcPr>
          <w:tcW w:w="2156" w:type="dxa"/>
        </w:tcPr>
        <w:p w14:paraId="65684E7B" w14:textId="77777777" w:rsidR="00527BD4" w:rsidRPr="005819CE" w:rsidRDefault="00BF1D2B" w:rsidP="00A50CF6">
          <w:pPr>
            <w:pStyle w:val="Huisstijl-Adres"/>
            <w:rPr>
              <w:b/>
            </w:rPr>
          </w:pPr>
          <w:r>
            <w:rPr>
              <w:b/>
            </w:rPr>
            <w:t>Directoraat-generaal Klimaat en Energie</w:t>
          </w:r>
          <w:r w:rsidRPr="005819CE">
            <w:rPr>
              <w:b/>
            </w:rPr>
            <w:br/>
          </w:r>
        </w:p>
      </w:tc>
    </w:tr>
    <w:tr w:rsidR="00B32949" w14:paraId="5E8E5611" w14:textId="77777777" w:rsidTr="00A50CF6">
      <w:trPr>
        <w:trHeight w:hRule="exact" w:val="200"/>
      </w:trPr>
      <w:tc>
        <w:tcPr>
          <w:tcW w:w="2156" w:type="dxa"/>
        </w:tcPr>
        <w:p w14:paraId="70C55D04" w14:textId="77777777" w:rsidR="00527BD4" w:rsidRPr="005819CE" w:rsidRDefault="00527BD4" w:rsidP="00A50CF6"/>
      </w:tc>
    </w:tr>
    <w:tr w:rsidR="00B32949" w14:paraId="60B230B5" w14:textId="77777777" w:rsidTr="00502512">
      <w:trPr>
        <w:trHeight w:hRule="exact" w:val="774"/>
      </w:trPr>
      <w:tc>
        <w:tcPr>
          <w:tcW w:w="2156" w:type="dxa"/>
        </w:tcPr>
        <w:p w14:paraId="1588AE82" w14:textId="77777777" w:rsidR="00527BD4" w:rsidRDefault="00BF1D2B" w:rsidP="003A5290">
          <w:pPr>
            <w:pStyle w:val="Huisstijl-Kopje"/>
          </w:pPr>
          <w:r>
            <w:t>Ons kenmerk</w:t>
          </w:r>
        </w:p>
        <w:p w14:paraId="379B6D05" w14:textId="77777777" w:rsidR="00527BD4" w:rsidRPr="005819CE" w:rsidRDefault="00BF1D2B" w:rsidP="004425CC">
          <w:pPr>
            <w:pStyle w:val="Huisstijl-Kopje"/>
          </w:pPr>
          <w:r>
            <w:rPr>
              <w:b w:val="0"/>
            </w:rPr>
            <w:t>KGG_DGKE</w:t>
          </w:r>
          <w:r w:rsidRPr="00502512">
            <w:rPr>
              <w:b w:val="0"/>
            </w:rPr>
            <w:t xml:space="preserve"> / </w:t>
          </w:r>
          <w:r>
            <w:rPr>
              <w:b w:val="0"/>
            </w:rPr>
            <w:t>108347525</w:t>
          </w:r>
        </w:p>
      </w:tc>
    </w:tr>
  </w:tbl>
  <w:p w14:paraId="2F036C11" w14:textId="77777777" w:rsidR="00527BD4" w:rsidRDefault="00527BD4" w:rsidP="008C356D">
    <w:pPr>
      <w:pStyle w:val="Koptekst"/>
      <w:rPr>
        <w:rFonts w:cs="Verdana-Bold"/>
        <w:b/>
        <w:bCs/>
        <w:smallCaps/>
        <w:szCs w:val="18"/>
      </w:rPr>
    </w:pPr>
  </w:p>
  <w:p w14:paraId="315599A0" w14:textId="77777777" w:rsidR="00527BD4" w:rsidRDefault="00527BD4" w:rsidP="008C356D"/>
  <w:p w14:paraId="3BF3539C" w14:textId="77777777" w:rsidR="00527BD4" w:rsidRPr="00740712" w:rsidRDefault="00527BD4" w:rsidP="008C356D"/>
  <w:p w14:paraId="00DB6244" w14:textId="77777777" w:rsidR="00527BD4" w:rsidRPr="00217880" w:rsidRDefault="00527BD4" w:rsidP="008C356D">
    <w:pPr>
      <w:spacing w:line="0" w:lineRule="atLeast"/>
      <w:rPr>
        <w:sz w:val="2"/>
        <w:szCs w:val="2"/>
      </w:rPr>
    </w:pPr>
  </w:p>
  <w:p w14:paraId="6298A8CC" w14:textId="77777777" w:rsidR="00527BD4" w:rsidRDefault="00527BD4" w:rsidP="004F44C2"/>
  <w:p w14:paraId="3880293F" w14:textId="77777777" w:rsidR="00CE236F" w:rsidRDefault="00CE236F" w:rsidP="004F44C2"/>
  <w:p w14:paraId="6D3F8B4D" w14:textId="77777777" w:rsidR="00CE236F" w:rsidRPr="00740712" w:rsidRDefault="00CE236F" w:rsidP="004F44C2"/>
  <w:p w14:paraId="1590954B"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B32949" w14:paraId="5BD3963C" w14:textId="77777777" w:rsidTr="00751A6A">
      <w:trPr>
        <w:trHeight w:val="2636"/>
      </w:trPr>
      <w:tc>
        <w:tcPr>
          <w:tcW w:w="737" w:type="dxa"/>
        </w:tcPr>
        <w:p w14:paraId="72C2A420" w14:textId="77777777" w:rsidR="00527BD4" w:rsidRDefault="00527BD4" w:rsidP="00D0609E">
          <w:pPr>
            <w:framePr w:w="6340" w:h="2750" w:hRule="exact" w:hSpace="180" w:wrap="around" w:vAnchor="page" w:hAnchor="text" w:x="3873" w:y="-140"/>
            <w:spacing w:line="240" w:lineRule="auto"/>
          </w:pPr>
        </w:p>
      </w:tc>
      <w:tc>
        <w:tcPr>
          <w:tcW w:w="5156" w:type="dxa"/>
        </w:tcPr>
        <w:p w14:paraId="301F58DC" w14:textId="77777777" w:rsidR="00527BD4" w:rsidRDefault="00BF1D2B" w:rsidP="00651CEE">
          <w:pPr>
            <w:framePr w:w="6340" w:h="2750" w:hRule="exact" w:hSpace="180" w:wrap="around" w:vAnchor="page" w:hAnchor="text" w:x="3873" w:y="-140"/>
            <w:spacing w:line="240" w:lineRule="auto"/>
          </w:pPr>
          <w:r>
            <w:t xml:space="preserve">   </w:t>
          </w:r>
          <w:r w:rsidRPr="00922290">
            <w:rPr>
              <w:sz w:val="2"/>
              <w:szCs w:val="2"/>
            </w:rPr>
            <w:t xml:space="preserve"> </w:t>
          </w:r>
          <w:r>
            <w:rPr>
              <w:noProof/>
            </w:rPr>
            <w:drawing>
              <wp:inline distT="0" distB="0" distL="0" distR="0" wp14:anchorId="6728F692" wp14:editId="2988319B">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3DA0C5DD" w14:textId="77777777" w:rsidR="007269E3" w:rsidRDefault="007269E3" w:rsidP="00651CEE">
          <w:pPr>
            <w:framePr w:w="6340" w:h="2750" w:hRule="exact" w:hSpace="180" w:wrap="around" w:vAnchor="page" w:hAnchor="text" w:x="3873" w:y="-140"/>
            <w:spacing w:line="240" w:lineRule="auto"/>
          </w:pPr>
        </w:p>
      </w:tc>
    </w:tr>
  </w:tbl>
  <w:p w14:paraId="5F376BAA" w14:textId="77777777" w:rsidR="00527BD4" w:rsidRDefault="00527BD4" w:rsidP="00D0609E">
    <w:pPr>
      <w:framePr w:w="6340" w:h="2750" w:hRule="exact" w:hSpace="180" w:wrap="around" w:vAnchor="page" w:hAnchor="text" w:x="3873" w:y="-140"/>
    </w:pPr>
  </w:p>
  <w:p w14:paraId="6C2A39DD"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B32949" w:rsidRPr="00CE236F" w14:paraId="71002FED" w14:textId="77777777" w:rsidTr="00A50CF6">
      <w:tc>
        <w:tcPr>
          <w:tcW w:w="2160" w:type="dxa"/>
        </w:tcPr>
        <w:p w14:paraId="2AFABCB6" w14:textId="77777777" w:rsidR="00527BD4" w:rsidRPr="005819CE" w:rsidRDefault="00BF1D2B" w:rsidP="00A50CF6">
          <w:pPr>
            <w:pStyle w:val="Huisstijl-Adres"/>
            <w:rPr>
              <w:b/>
            </w:rPr>
          </w:pPr>
          <w:r>
            <w:rPr>
              <w:b/>
            </w:rPr>
            <w:t>Directoraat-generaal Klimaat en Energie</w:t>
          </w:r>
          <w:r w:rsidRPr="005819CE">
            <w:rPr>
              <w:b/>
            </w:rPr>
            <w:br/>
          </w:r>
        </w:p>
        <w:p w14:paraId="70265B78" w14:textId="77777777" w:rsidR="00527BD4" w:rsidRPr="00BE5ED9" w:rsidRDefault="00BF1D2B" w:rsidP="00A50CF6">
          <w:pPr>
            <w:pStyle w:val="Huisstijl-Adres"/>
          </w:pPr>
          <w:r>
            <w:rPr>
              <w:b/>
            </w:rPr>
            <w:t>Bezoekadres</w:t>
          </w:r>
          <w:r>
            <w:rPr>
              <w:b/>
            </w:rPr>
            <w:br/>
          </w:r>
          <w:r>
            <w:t>Bezuidenhoutseweg 73</w:t>
          </w:r>
          <w:r w:rsidRPr="005819CE">
            <w:br/>
          </w:r>
          <w:r>
            <w:t>2594 AC Den Haag</w:t>
          </w:r>
        </w:p>
        <w:p w14:paraId="0A900422" w14:textId="77777777" w:rsidR="00EF495B" w:rsidRDefault="00BF1D2B" w:rsidP="0098788A">
          <w:pPr>
            <w:pStyle w:val="Huisstijl-Adres"/>
          </w:pPr>
          <w:r>
            <w:rPr>
              <w:b/>
            </w:rPr>
            <w:t>Postadres</w:t>
          </w:r>
          <w:r>
            <w:rPr>
              <w:b/>
            </w:rPr>
            <w:br/>
          </w:r>
          <w:r>
            <w:t>Postbus 20401</w:t>
          </w:r>
          <w:r w:rsidRPr="005819CE">
            <w:br/>
            <w:t>2500 E</w:t>
          </w:r>
          <w:r>
            <w:t>K</w:t>
          </w:r>
          <w:r w:rsidRPr="005819CE">
            <w:t xml:space="preserve"> Den Haag</w:t>
          </w:r>
        </w:p>
        <w:p w14:paraId="51FB3171" w14:textId="77777777" w:rsidR="00EF495B" w:rsidRPr="005B3814" w:rsidRDefault="00BF1D2B" w:rsidP="0098788A">
          <w:pPr>
            <w:pStyle w:val="Huisstijl-Adres"/>
          </w:pPr>
          <w:r>
            <w:rPr>
              <w:b/>
            </w:rPr>
            <w:t>Overheidsidentificatienr</w:t>
          </w:r>
          <w:r>
            <w:rPr>
              <w:b/>
            </w:rPr>
            <w:br/>
          </w:r>
          <w:r w:rsidRPr="005B3814">
            <w:t>00000001003214369000</w:t>
          </w:r>
        </w:p>
        <w:p w14:paraId="4C72F3CF" w14:textId="5F29E0E0" w:rsidR="00527BD4" w:rsidRPr="00CE236F" w:rsidRDefault="00BF1D2B"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B32949" w:rsidRPr="00CE236F" w14:paraId="1ACC6672" w14:textId="77777777" w:rsidTr="00A50CF6">
      <w:trPr>
        <w:trHeight w:hRule="exact" w:val="200"/>
      </w:trPr>
      <w:tc>
        <w:tcPr>
          <w:tcW w:w="2160" w:type="dxa"/>
        </w:tcPr>
        <w:p w14:paraId="2F3B8E3C" w14:textId="77777777" w:rsidR="00527BD4" w:rsidRPr="00F94D86" w:rsidRDefault="00527BD4" w:rsidP="00A50CF6"/>
      </w:tc>
    </w:tr>
    <w:tr w:rsidR="00B32949" w14:paraId="6929A028" w14:textId="77777777" w:rsidTr="00A50CF6">
      <w:tc>
        <w:tcPr>
          <w:tcW w:w="2160" w:type="dxa"/>
        </w:tcPr>
        <w:p w14:paraId="2E82E44E" w14:textId="77777777" w:rsidR="000C0163" w:rsidRPr="005819CE" w:rsidRDefault="00BF1D2B" w:rsidP="000C0163">
          <w:pPr>
            <w:pStyle w:val="Huisstijl-Kopje"/>
          </w:pPr>
          <w:r>
            <w:t>Ons kenmerk</w:t>
          </w:r>
          <w:r w:rsidRPr="005819CE">
            <w:t xml:space="preserve"> </w:t>
          </w:r>
        </w:p>
        <w:p w14:paraId="6E7D4359" w14:textId="77777777" w:rsidR="000C0163" w:rsidRPr="005819CE" w:rsidRDefault="00BF1D2B" w:rsidP="000C0163">
          <w:pPr>
            <w:pStyle w:val="Huisstijl-Gegeven"/>
          </w:pPr>
          <w:r>
            <w:t>KGG_DGKE</w:t>
          </w:r>
          <w:r w:rsidR="00926AE2">
            <w:t xml:space="preserve"> / </w:t>
          </w:r>
          <w:r>
            <w:t>108347525</w:t>
          </w:r>
        </w:p>
        <w:p w14:paraId="0E9211E4" w14:textId="77777777" w:rsidR="00527BD4" w:rsidRDefault="00BF1D2B" w:rsidP="00A50CF6">
          <w:pPr>
            <w:pStyle w:val="Huisstijl-Kopje"/>
          </w:pPr>
          <w:r>
            <w:t>Bijlage(n)</w:t>
          </w:r>
        </w:p>
        <w:p w14:paraId="0476DA29" w14:textId="31FAD1AE" w:rsidR="00CE236F" w:rsidRPr="00CE236F" w:rsidRDefault="00CE236F" w:rsidP="00A50CF6">
          <w:pPr>
            <w:pStyle w:val="Huisstijl-Kopje"/>
            <w:rPr>
              <w:b w:val="0"/>
              <w:bCs/>
            </w:rPr>
          </w:pPr>
          <w:r w:rsidRPr="00CE236F">
            <w:rPr>
              <w:b w:val="0"/>
              <w:bCs/>
            </w:rPr>
            <w:t>3</w:t>
          </w:r>
        </w:p>
        <w:p w14:paraId="14C51E57" w14:textId="77777777" w:rsidR="00527BD4" w:rsidRPr="005819CE" w:rsidRDefault="00527BD4" w:rsidP="00A50CF6">
          <w:pPr>
            <w:pStyle w:val="Huisstijl-Gegeven"/>
          </w:pPr>
        </w:p>
      </w:tc>
    </w:tr>
  </w:tbl>
  <w:p w14:paraId="7CF21357"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B32949" w14:paraId="51149B40" w14:textId="77777777" w:rsidTr="007610AA">
      <w:trPr>
        <w:trHeight w:val="400"/>
      </w:trPr>
      <w:tc>
        <w:tcPr>
          <w:tcW w:w="7520" w:type="dxa"/>
          <w:gridSpan w:val="2"/>
        </w:tcPr>
        <w:p w14:paraId="6DDCF7A0" w14:textId="77777777" w:rsidR="00527BD4" w:rsidRPr="00BC3B53" w:rsidRDefault="00BF1D2B" w:rsidP="00A50CF6">
          <w:pPr>
            <w:pStyle w:val="Huisstijl-Retouradres"/>
          </w:pPr>
          <w:r>
            <w:t>&gt; Retouradres Postbus 20401 2500 EK Den Haag</w:t>
          </w:r>
        </w:p>
      </w:tc>
    </w:tr>
    <w:tr w:rsidR="00B32949" w14:paraId="4EECDDBF" w14:textId="77777777" w:rsidTr="007610AA">
      <w:tc>
        <w:tcPr>
          <w:tcW w:w="7520" w:type="dxa"/>
          <w:gridSpan w:val="2"/>
        </w:tcPr>
        <w:p w14:paraId="1E94D645" w14:textId="77777777" w:rsidR="00527BD4" w:rsidRPr="00983E8F" w:rsidRDefault="00527BD4" w:rsidP="00A50CF6">
          <w:pPr>
            <w:pStyle w:val="Huisstijl-Rubricering"/>
          </w:pPr>
        </w:p>
      </w:tc>
    </w:tr>
    <w:tr w:rsidR="00B32949" w14:paraId="480AF988" w14:textId="77777777" w:rsidTr="007610AA">
      <w:trPr>
        <w:trHeight w:hRule="exact" w:val="2440"/>
      </w:trPr>
      <w:tc>
        <w:tcPr>
          <w:tcW w:w="7520" w:type="dxa"/>
          <w:gridSpan w:val="2"/>
        </w:tcPr>
        <w:p w14:paraId="7003C991" w14:textId="77777777" w:rsidR="00527BD4" w:rsidRDefault="00BF1D2B" w:rsidP="00A50CF6">
          <w:pPr>
            <w:pStyle w:val="Huisstijl-NAW"/>
          </w:pPr>
          <w:r>
            <w:t xml:space="preserve">De Voorzitter van de Tweede Kamer </w:t>
          </w:r>
        </w:p>
        <w:p w14:paraId="5C58B011" w14:textId="77777777" w:rsidR="00B32949" w:rsidRDefault="00BF1D2B">
          <w:pPr>
            <w:pStyle w:val="Huisstijl-NAW"/>
          </w:pPr>
          <w:r>
            <w:t>der Staten-Generaal</w:t>
          </w:r>
        </w:p>
        <w:p w14:paraId="516767B2" w14:textId="77777777" w:rsidR="00B32949" w:rsidRDefault="00BF1D2B">
          <w:pPr>
            <w:pStyle w:val="Huisstijl-NAW"/>
          </w:pPr>
          <w:r>
            <w:t>Prinses Irenestraat 6</w:t>
          </w:r>
        </w:p>
        <w:p w14:paraId="07020A9C" w14:textId="77777777" w:rsidR="00B32949" w:rsidRDefault="00BF1D2B">
          <w:pPr>
            <w:pStyle w:val="Huisstijl-NAW"/>
          </w:pPr>
          <w:r>
            <w:t>2595 BD  DEN HAAG</w:t>
          </w:r>
        </w:p>
        <w:p w14:paraId="745DA835" w14:textId="77777777" w:rsidR="00B32949" w:rsidRDefault="00B32949">
          <w:pPr>
            <w:pStyle w:val="Huisstijl-NAW"/>
          </w:pPr>
        </w:p>
      </w:tc>
    </w:tr>
    <w:tr w:rsidR="00B32949" w14:paraId="562F34A0" w14:textId="77777777" w:rsidTr="007610AA">
      <w:trPr>
        <w:trHeight w:hRule="exact" w:val="400"/>
      </w:trPr>
      <w:tc>
        <w:tcPr>
          <w:tcW w:w="7520" w:type="dxa"/>
          <w:gridSpan w:val="2"/>
        </w:tcPr>
        <w:p w14:paraId="6813AF0B"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B32949" w14:paraId="29A3153B" w14:textId="77777777" w:rsidTr="007610AA">
      <w:trPr>
        <w:trHeight w:val="240"/>
      </w:trPr>
      <w:tc>
        <w:tcPr>
          <w:tcW w:w="900" w:type="dxa"/>
        </w:tcPr>
        <w:p w14:paraId="6C02D316" w14:textId="77777777" w:rsidR="00527BD4" w:rsidRPr="007709EF" w:rsidRDefault="00BF1D2B" w:rsidP="00A50CF6">
          <w:pPr>
            <w:rPr>
              <w:szCs w:val="18"/>
            </w:rPr>
          </w:pPr>
          <w:r>
            <w:rPr>
              <w:szCs w:val="18"/>
            </w:rPr>
            <w:t>Datum</w:t>
          </w:r>
        </w:p>
      </w:tc>
      <w:tc>
        <w:tcPr>
          <w:tcW w:w="6620" w:type="dxa"/>
        </w:tcPr>
        <w:p w14:paraId="4368E196" w14:textId="07CE0197" w:rsidR="00527BD4" w:rsidRPr="007709EF" w:rsidRDefault="00F94D86" w:rsidP="00A50CF6">
          <w:r>
            <w:t>23 september 2026</w:t>
          </w:r>
        </w:p>
      </w:tc>
    </w:tr>
    <w:tr w:rsidR="00B32949" w14:paraId="7C7644E0" w14:textId="77777777" w:rsidTr="007610AA">
      <w:trPr>
        <w:trHeight w:val="240"/>
      </w:trPr>
      <w:tc>
        <w:tcPr>
          <w:tcW w:w="900" w:type="dxa"/>
        </w:tcPr>
        <w:p w14:paraId="707234D3" w14:textId="77777777" w:rsidR="00527BD4" w:rsidRPr="007709EF" w:rsidRDefault="00BF1D2B" w:rsidP="00A50CF6">
          <w:pPr>
            <w:rPr>
              <w:szCs w:val="18"/>
            </w:rPr>
          </w:pPr>
          <w:r>
            <w:rPr>
              <w:szCs w:val="18"/>
            </w:rPr>
            <w:t>Betreft</w:t>
          </w:r>
        </w:p>
      </w:tc>
      <w:tc>
        <w:tcPr>
          <w:tcW w:w="6620" w:type="dxa"/>
        </w:tcPr>
        <w:p w14:paraId="68616BED" w14:textId="77777777" w:rsidR="00527BD4" w:rsidRPr="007709EF" w:rsidRDefault="00BF1D2B" w:rsidP="00A50CF6">
          <w:r>
            <w:t xml:space="preserve">Onderhandelaarsakkoord overname ZEH Energy </w:t>
          </w:r>
        </w:p>
      </w:tc>
    </w:tr>
  </w:tbl>
  <w:p w14:paraId="603D4726"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E1E4832E">
      <w:start w:val="1"/>
      <w:numFmt w:val="bullet"/>
      <w:pStyle w:val="Lijstopsomteken"/>
      <w:lvlText w:val="•"/>
      <w:lvlJc w:val="left"/>
      <w:pPr>
        <w:tabs>
          <w:tab w:val="num" w:pos="227"/>
        </w:tabs>
        <w:ind w:left="227" w:hanging="227"/>
      </w:pPr>
      <w:rPr>
        <w:rFonts w:ascii="Verdana" w:hAnsi="Verdana" w:hint="default"/>
        <w:sz w:val="18"/>
        <w:szCs w:val="18"/>
      </w:rPr>
    </w:lvl>
    <w:lvl w:ilvl="1" w:tplc="071AE38C" w:tentative="1">
      <w:start w:val="1"/>
      <w:numFmt w:val="bullet"/>
      <w:lvlText w:val="o"/>
      <w:lvlJc w:val="left"/>
      <w:pPr>
        <w:tabs>
          <w:tab w:val="num" w:pos="1440"/>
        </w:tabs>
        <w:ind w:left="1440" w:hanging="360"/>
      </w:pPr>
      <w:rPr>
        <w:rFonts w:ascii="Courier New" w:hAnsi="Courier New" w:cs="Courier New" w:hint="default"/>
      </w:rPr>
    </w:lvl>
    <w:lvl w:ilvl="2" w:tplc="F87C4B18" w:tentative="1">
      <w:start w:val="1"/>
      <w:numFmt w:val="bullet"/>
      <w:lvlText w:val=""/>
      <w:lvlJc w:val="left"/>
      <w:pPr>
        <w:tabs>
          <w:tab w:val="num" w:pos="2160"/>
        </w:tabs>
        <w:ind w:left="2160" w:hanging="360"/>
      </w:pPr>
      <w:rPr>
        <w:rFonts w:ascii="Wingdings" w:hAnsi="Wingdings" w:hint="default"/>
      </w:rPr>
    </w:lvl>
    <w:lvl w:ilvl="3" w:tplc="42D67F6E" w:tentative="1">
      <w:start w:val="1"/>
      <w:numFmt w:val="bullet"/>
      <w:lvlText w:val=""/>
      <w:lvlJc w:val="left"/>
      <w:pPr>
        <w:tabs>
          <w:tab w:val="num" w:pos="2880"/>
        </w:tabs>
        <w:ind w:left="2880" w:hanging="360"/>
      </w:pPr>
      <w:rPr>
        <w:rFonts w:ascii="Symbol" w:hAnsi="Symbol" w:hint="default"/>
      </w:rPr>
    </w:lvl>
    <w:lvl w:ilvl="4" w:tplc="180C041A" w:tentative="1">
      <w:start w:val="1"/>
      <w:numFmt w:val="bullet"/>
      <w:lvlText w:val="o"/>
      <w:lvlJc w:val="left"/>
      <w:pPr>
        <w:tabs>
          <w:tab w:val="num" w:pos="3600"/>
        </w:tabs>
        <w:ind w:left="3600" w:hanging="360"/>
      </w:pPr>
      <w:rPr>
        <w:rFonts w:ascii="Courier New" w:hAnsi="Courier New" w:cs="Courier New" w:hint="default"/>
      </w:rPr>
    </w:lvl>
    <w:lvl w:ilvl="5" w:tplc="A47008A0" w:tentative="1">
      <w:start w:val="1"/>
      <w:numFmt w:val="bullet"/>
      <w:lvlText w:val=""/>
      <w:lvlJc w:val="left"/>
      <w:pPr>
        <w:tabs>
          <w:tab w:val="num" w:pos="4320"/>
        </w:tabs>
        <w:ind w:left="4320" w:hanging="360"/>
      </w:pPr>
      <w:rPr>
        <w:rFonts w:ascii="Wingdings" w:hAnsi="Wingdings" w:hint="default"/>
      </w:rPr>
    </w:lvl>
    <w:lvl w:ilvl="6" w:tplc="36F4C0BA" w:tentative="1">
      <w:start w:val="1"/>
      <w:numFmt w:val="bullet"/>
      <w:lvlText w:val=""/>
      <w:lvlJc w:val="left"/>
      <w:pPr>
        <w:tabs>
          <w:tab w:val="num" w:pos="5040"/>
        </w:tabs>
        <w:ind w:left="5040" w:hanging="360"/>
      </w:pPr>
      <w:rPr>
        <w:rFonts w:ascii="Symbol" w:hAnsi="Symbol" w:hint="default"/>
      </w:rPr>
    </w:lvl>
    <w:lvl w:ilvl="7" w:tplc="3BA0D4F6" w:tentative="1">
      <w:start w:val="1"/>
      <w:numFmt w:val="bullet"/>
      <w:lvlText w:val="o"/>
      <w:lvlJc w:val="left"/>
      <w:pPr>
        <w:tabs>
          <w:tab w:val="num" w:pos="5760"/>
        </w:tabs>
        <w:ind w:left="5760" w:hanging="360"/>
      </w:pPr>
      <w:rPr>
        <w:rFonts w:ascii="Courier New" w:hAnsi="Courier New" w:cs="Courier New" w:hint="default"/>
      </w:rPr>
    </w:lvl>
    <w:lvl w:ilvl="8" w:tplc="6744F22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D7F0C6EC">
      <w:start w:val="1"/>
      <w:numFmt w:val="bullet"/>
      <w:pStyle w:val="Lijstopsomteken2"/>
      <w:lvlText w:val="–"/>
      <w:lvlJc w:val="left"/>
      <w:pPr>
        <w:tabs>
          <w:tab w:val="num" w:pos="227"/>
        </w:tabs>
        <w:ind w:left="227" w:firstLine="0"/>
      </w:pPr>
      <w:rPr>
        <w:rFonts w:ascii="Verdana" w:hAnsi="Verdana" w:hint="default"/>
      </w:rPr>
    </w:lvl>
    <w:lvl w:ilvl="1" w:tplc="00646114" w:tentative="1">
      <w:start w:val="1"/>
      <w:numFmt w:val="bullet"/>
      <w:lvlText w:val="o"/>
      <w:lvlJc w:val="left"/>
      <w:pPr>
        <w:tabs>
          <w:tab w:val="num" w:pos="1440"/>
        </w:tabs>
        <w:ind w:left="1440" w:hanging="360"/>
      </w:pPr>
      <w:rPr>
        <w:rFonts w:ascii="Courier New" w:hAnsi="Courier New" w:cs="Courier New" w:hint="default"/>
      </w:rPr>
    </w:lvl>
    <w:lvl w:ilvl="2" w:tplc="CBC26BFC" w:tentative="1">
      <w:start w:val="1"/>
      <w:numFmt w:val="bullet"/>
      <w:lvlText w:val=""/>
      <w:lvlJc w:val="left"/>
      <w:pPr>
        <w:tabs>
          <w:tab w:val="num" w:pos="2160"/>
        </w:tabs>
        <w:ind w:left="2160" w:hanging="360"/>
      </w:pPr>
      <w:rPr>
        <w:rFonts w:ascii="Wingdings" w:hAnsi="Wingdings" w:hint="default"/>
      </w:rPr>
    </w:lvl>
    <w:lvl w:ilvl="3" w:tplc="3E0E3262" w:tentative="1">
      <w:start w:val="1"/>
      <w:numFmt w:val="bullet"/>
      <w:lvlText w:val=""/>
      <w:lvlJc w:val="left"/>
      <w:pPr>
        <w:tabs>
          <w:tab w:val="num" w:pos="2880"/>
        </w:tabs>
        <w:ind w:left="2880" w:hanging="360"/>
      </w:pPr>
      <w:rPr>
        <w:rFonts w:ascii="Symbol" w:hAnsi="Symbol" w:hint="default"/>
      </w:rPr>
    </w:lvl>
    <w:lvl w:ilvl="4" w:tplc="3D843EC4" w:tentative="1">
      <w:start w:val="1"/>
      <w:numFmt w:val="bullet"/>
      <w:lvlText w:val="o"/>
      <w:lvlJc w:val="left"/>
      <w:pPr>
        <w:tabs>
          <w:tab w:val="num" w:pos="3600"/>
        </w:tabs>
        <w:ind w:left="3600" w:hanging="360"/>
      </w:pPr>
      <w:rPr>
        <w:rFonts w:ascii="Courier New" w:hAnsi="Courier New" w:cs="Courier New" w:hint="default"/>
      </w:rPr>
    </w:lvl>
    <w:lvl w:ilvl="5" w:tplc="6F244AB4" w:tentative="1">
      <w:start w:val="1"/>
      <w:numFmt w:val="bullet"/>
      <w:lvlText w:val=""/>
      <w:lvlJc w:val="left"/>
      <w:pPr>
        <w:tabs>
          <w:tab w:val="num" w:pos="4320"/>
        </w:tabs>
        <w:ind w:left="4320" w:hanging="360"/>
      </w:pPr>
      <w:rPr>
        <w:rFonts w:ascii="Wingdings" w:hAnsi="Wingdings" w:hint="default"/>
      </w:rPr>
    </w:lvl>
    <w:lvl w:ilvl="6" w:tplc="54ACBB32" w:tentative="1">
      <w:start w:val="1"/>
      <w:numFmt w:val="bullet"/>
      <w:lvlText w:val=""/>
      <w:lvlJc w:val="left"/>
      <w:pPr>
        <w:tabs>
          <w:tab w:val="num" w:pos="5040"/>
        </w:tabs>
        <w:ind w:left="5040" w:hanging="360"/>
      </w:pPr>
      <w:rPr>
        <w:rFonts w:ascii="Symbol" w:hAnsi="Symbol" w:hint="default"/>
      </w:rPr>
    </w:lvl>
    <w:lvl w:ilvl="7" w:tplc="0024C020" w:tentative="1">
      <w:start w:val="1"/>
      <w:numFmt w:val="bullet"/>
      <w:lvlText w:val="o"/>
      <w:lvlJc w:val="left"/>
      <w:pPr>
        <w:tabs>
          <w:tab w:val="num" w:pos="5760"/>
        </w:tabs>
        <w:ind w:left="5760" w:hanging="360"/>
      </w:pPr>
      <w:rPr>
        <w:rFonts w:ascii="Courier New" w:hAnsi="Courier New" w:cs="Courier New" w:hint="default"/>
      </w:rPr>
    </w:lvl>
    <w:lvl w:ilvl="8" w:tplc="40428CA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368922138">
    <w:abstractNumId w:val="10"/>
  </w:num>
  <w:num w:numId="2" w16cid:durableId="1333138880">
    <w:abstractNumId w:val="7"/>
  </w:num>
  <w:num w:numId="3" w16cid:durableId="76750907">
    <w:abstractNumId w:val="6"/>
  </w:num>
  <w:num w:numId="4" w16cid:durableId="221530163">
    <w:abstractNumId w:val="5"/>
  </w:num>
  <w:num w:numId="5" w16cid:durableId="1187065106">
    <w:abstractNumId w:val="4"/>
  </w:num>
  <w:num w:numId="6" w16cid:durableId="903642820">
    <w:abstractNumId w:val="8"/>
  </w:num>
  <w:num w:numId="7" w16cid:durableId="494952538">
    <w:abstractNumId w:val="3"/>
  </w:num>
  <w:num w:numId="8" w16cid:durableId="1875849497">
    <w:abstractNumId w:val="2"/>
  </w:num>
  <w:num w:numId="9" w16cid:durableId="350306450">
    <w:abstractNumId w:val="1"/>
  </w:num>
  <w:num w:numId="10" w16cid:durableId="959726994">
    <w:abstractNumId w:val="0"/>
  </w:num>
  <w:num w:numId="11" w16cid:durableId="1218518709">
    <w:abstractNumId w:val="9"/>
  </w:num>
  <w:num w:numId="12" w16cid:durableId="1887254769">
    <w:abstractNumId w:val="11"/>
  </w:num>
  <w:num w:numId="13" w16cid:durableId="1089807970">
    <w:abstractNumId w:val="13"/>
  </w:num>
  <w:num w:numId="14" w16cid:durableId="2055424489">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408"/>
    <w:rsid w:val="000049FB"/>
    <w:rsid w:val="00013862"/>
    <w:rsid w:val="00013F6D"/>
    <w:rsid w:val="00016012"/>
    <w:rsid w:val="00020189"/>
    <w:rsid w:val="00020EE4"/>
    <w:rsid w:val="00023E9A"/>
    <w:rsid w:val="00033CDD"/>
    <w:rsid w:val="00034A84"/>
    <w:rsid w:val="00035E67"/>
    <w:rsid w:val="000366F3"/>
    <w:rsid w:val="000542D9"/>
    <w:rsid w:val="0006024D"/>
    <w:rsid w:val="000639A7"/>
    <w:rsid w:val="00071F28"/>
    <w:rsid w:val="00074079"/>
    <w:rsid w:val="00092799"/>
    <w:rsid w:val="00092C5F"/>
    <w:rsid w:val="00096680"/>
    <w:rsid w:val="000A0F36"/>
    <w:rsid w:val="000A174A"/>
    <w:rsid w:val="000A3E0A"/>
    <w:rsid w:val="000A65AC"/>
    <w:rsid w:val="000A7159"/>
    <w:rsid w:val="000B7281"/>
    <w:rsid w:val="000B7FAB"/>
    <w:rsid w:val="000C0163"/>
    <w:rsid w:val="000C1BA1"/>
    <w:rsid w:val="000C3EA9"/>
    <w:rsid w:val="000D0225"/>
    <w:rsid w:val="000E68C4"/>
    <w:rsid w:val="000E7895"/>
    <w:rsid w:val="000F161D"/>
    <w:rsid w:val="000F3CAA"/>
    <w:rsid w:val="00102ABB"/>
    <w:rsid w:val="00103FA5"/>
    <w:rsid w:val="00121BF0"/>
    <w:rsid w:val="00123704"/>
    <w:rsid w:val="001270C7"/>
    <w:rsid w:val="00132540"/>
    <w:rsid w:val="00133F0F"/>
    <w:rsid w:val="0014462A"/>
    <w:rsid w:val="0014786A"/>
    <w:rsid w:val="001516A4"/>
    <w:rsid w:val="00151E5F"/>
    <w:rsid w:val="00153E28"/>
    <w:rsid w:val="001569AB"/>
    <w:rsid w:val="00164D63"/>
    <w:rsid w:val="0016725C"/>
    <w:rsid w:val="001726F3"/>
    <w:rsid w:val="00173C51"/>
    <w:rsid w:val="00174CC2"/>
    <w:rsid w:val="00176CC6"/>
    <w:rsid w:val="00181BE4"/>
    <w:rsid w:val="00185576"/>
    <w:rsid w:val="00185951"/>
    <w:rsid w:val="00196B8B"/>
    <w:rsid w:val="001A2BEA"/>
    <w:rsid w:val="001A6D93"/>
    <w:rsid w:val="001C071E"/>
    <w:rsid w:val="001C32EC"/>
    <w:rsid w:val="001C38BD"/>
    <w:rsid w:val="001C4D5A"/>
    <w:rsid w:val="001D1272"/>
    <w:rsid w:val="001E34C6"/>
    <w:rsid w:val="001E5581"/>
    <w:rsid w:val="001F3C70"/>
    <w:rsid w:val="00200D88"/>
    <w:rsid w:val="00201F68"/>
    <w:rsid w:val="00212F2A"/>
    <w:rsid w:val="00214F2B"/>
    <w:rsid w:val="00217880"/>
    <w:rsid w:val="00222D66"/>
    <w:rsid w:val="00224A8A"/>
    <w:rsid w:val="002252D5"/>
    <w:rsid w:val="002309A8"/>
    <w:rsid w:val="002369BF"/>
    <w:rsid w:val="00236CFE"/>
    <w:rsid w:val="00241D72"/>
    <w:rsid w:val="002428E3"/>
    <w:rsid w:val="00243031"/>
    <w:rsid w:val="00246D17"/>
    <w:rsid w:val="002533D7"/>
    <w:rsid w:val="00260BAF"/>
    <w:rsid w:val="002650F7"/>
    <w:rsid w:val="00273F3B"/>
    <w:rsid w:val="00274DB7"/>
    <w:rsid w:val="00275984"/>
    <w:rsid w:val="00280F74"/>
    <w:rsid w:val="002822CA"/>
    <w:rsid w:val="00286998"/>
    <w:rsid w:val="00291AB7"/>
    <w:rsid w:val="00292EB2"/>
    <w:rsid w:val="0029422B"/>
    <w:rsid w:val="002A0938"/>
    <w:rsid w:val="002B153C"/>
    <w:rsid w:val="002B52FC"/>
    <w:rsid w:val="002C2830"/>
    <w:rsid w:val="002C6DF7"/>
    <w:rsid w:val="002D001A"/>
    <w:rsid w:val="002D28E2"/>
    <w:rsid w:val="002D317B"/>
    <w:rsid w:val="002D3587"/>
    <w:rsid w:val="002D502D"/>
    <w:rsid w:val="002E0F69"/>
    <w:rsid w:val="002F5147"/>
    <w:rsid w:val="002F7ABD"/>
    <w:rsid w:val="00312597"/>
    <w:rsid w:val="00327BA5"/>
    <w:rsid w:val="0033326F"/>
    <w:rsid w:val="00334154"/>
    <w:rsid w:val="003372C4"/>
    <w:rsid w:val="00340ECA"/>
    <w:rsid w:val="00341FA0"/>
    <w:rsid w:val="00344F3D"/>
    <w:rsid w:val="00345299"/>
    <w:rsid w:val="00345EF6"/>
    <w:rsid w:val="00351A8D"/>
    <w:rsid w:val="003526BB"/>
    <w:rsid w:val="00352BCF"/>
    <w:rsid w:val="00352DFB"/>
    <w:rsid w:val="00353932"/>
    <w:rsid w:val="00353B15"/>
    <w:rsid w:val="0035464B"/>
    <w:rsid w:val="00361A56"/>
    <w:rsid w:val="0036252A"/>
    <w:rsid w:val="00364D9D"/>
    <w:rsid w:val="00371048"/>
    <w:rsid w:val="0037396C"/>
    <w:rsid w:val="0037421D"/>
    <w:rsid w:val="00376093"/>
    <w:rsid w:val="00376743"/>
    <w:rsid w:val="003779BE"/>
    <w:rsid w:val="00383DA1"/>
    <w:rsid w:val="00385F30"/>
    <w:rsid w:val="00393696"/>
    <w:rsid w:val="00393963"/>
    <w:rsid w:val="00395575"/>
    <w:rsid w:val="00395672"/>
    <w:rsid w:val="00396A8F"/>
    <w:rsid w:val="003A06C8"/>
    <w:rsid w:val="003A0D7C"/>
    <w:rsid w:val="003A5290"/>
    <w:rsid w:val="003B0155"/>
    <w:rsid w:val="003B047E"/>
    <w:rsid w:val="003B7EE7"/>
    <w:rsid w:val="003C2CCB"/>
    <w:rsid w:val="003D39EC"/>
    <w:rsid w:val="003D5DED"/>
    <w:rsid w:val="003E3DD5"/>
    <w:rsid w:val="003F07C6"/>
    <w:rsid w:val="003F1F6B"/>
    <w:rsid w:val="003F3757"/>
    <w:rsid w:val="003F38BD"/>
    <w:rsid w:val="003F44B7"/>
    <w:rsid w:val="003F567B"/>
    <w:rsid w:val="004008E9"/>
    <w:rsid w:val="00413D48"/>
    <w:rsid w:val="00441AC2"/>
    <w:rsid w:val="0044249B"/>
    <w:rsid w:val="004425CC"/>
    <w:rsid w:val="00450043"/>
    <w:rsid w:val="0045023C"/>
    <w:rsid w:val="00450A76"/>
    <w:rsid w:val="00451A5B"/>
    <w:rsid w:val="00452BCD"/>
    <w:rsid w:val="00452CEA"/>
    <w:rsid w:val="00465B52"/>
    <w:rsid w:val="0046708E"/>
    <w:rsid w:val="00472A65"/>
    <w:rsid w:val="00474463"/>
    <w:rsid w:val="00474B75"/>
    <w:rsid w:val="00483F0B"/>
    <w:rsid w:val="00496319"/>
    <w:rsid w:val="00497279"/>
    <w:rsid w:val="004A163B"/>
    <w:rsid w:val="004A670A"/>
    <w:rsid w:val="004B5465"/>
    <w:rsid w:val="004B70F0"/>
    <w:rsid w:val="004C21A8"/>
    <w:rsid w:val="004D505E"/>
    <w:rsid w:val="004D72CA"/>
    <w:rsid w:val="004E2242"/>
    <w:rsid w:val="004E6FB0"/>
    <w:rsid w:val="004F42FF"/>
    <w:rsid w:val="004F44C2"/>
    <w:rsid w:val="00502512"/>
    <w:rsid w:val="00503FD2"/>
    <w:rsid w:val="00505262"/>
    <w:rsid w:val="00516022"/>
    <w:rsid w:val="00521CEE"/>
    <w:rsid w:val="00522D6C"/>
    <w:rsid w:val="00527BD4"/>
    <w:rsid w:val="005330E6"/>
    <w:rsid w:val="00537095"/>
    <w:rsid w:val="005403C8"/>
    <w:rsid w:val="005429DC"/>
    <w:rsid w:val="005565F9"/>
    <w:rsid w:val="00573041"/>
    <w:rsid w:val="00575B80"/>
    <w:rsid w:val="0057620F"/>
    <w:rsid w:val="005819CE"/>
    <w:rsid w:val="0058298D"/>
    <w:rsid w:val="00584C1A"/>
    <w:rsid w:val="00593C2B"/>
    <w:rsid w:val="00595231"/>
    <w:rsid w:val="00596166"/>
    <w:rsid w:val="00597F64"/>
    <w:rsid w:val="005A207F"/>
    <w:rsid w:val="005A2F35"/>
    <w:rsid w:val="005B3814"/>
    <w:rsid w:val="005B463E"/>
    <w:rsid w:val="005C34E1"/>
    <w:rsid w:val="005C3FE0"/>
    <w:rsid w:val="005C740C"/>
    <w:rsid w:val="005D625B"/>
    <w:rsid w:val="005D6FBD"/>
    <w:rsid w:val="005F62D3"/>
    <w:rsid w:val="005F6D11"/>
    <w:rsid w:val="005F7CD1"/>
    <w:rsid w:val="00600CF0"/>
    <w:rsid w:val="006048F4"/>
    <w:rsid w:val="0060660A"/>
    <w:rsid w:val="006066CF"/>
    <w:rsid w:val="00613B1D"/>
    <w:rsid w:val="00617A44"/>
    <w:rsid w:val="006202B6"/>
    <w:rsid w:val="00625CD0"/>
    <w:rsid w:val="0062627D"/>
    <w:rsid w:val="00627432"/>
    <w:rsid w:val="00642D1B"/>
    <w:rsid w:val="00643FAA"/>
    <w:rsid w:val="006448E4"/>
    <w:rsid w:val="00645414"/>
    <w:rsid w:val="00651CEE"/>
    <w:rsid w:val="00653606"/>
    <w:rsid w:val="006610E9"/>
    <w:rsid w:val="00661591"/>
    <w:rsid w:val="00664678"/>
    <w:rsid w:val="006662F6"/>
    <w:rsid w:val="0066632F"/>
    <w:rsid w:val="00674A89"/>
    <w:rsid w:val="00674F3D"/>
    <w:rsid w:val="00685545"/>
    <w:rsid w:val="006864B3"/>
    <w:rsid w:val="00692D64"/>
    <w:rsid w:val="006A013B"/>
    <w:rsid w:val="006A10F8"/>
    <w:rsid w:val="006A2100"/>
    <w:rsid w:val="006A5C3B"/>
    <w:rsid w:val="006A72E0"/>
    <w:rsid w:val="006B0BF3"/>
    <w:rsid w:val="006B3C17"/>
    <w:rsid w:val="006B4CA7"/>
    <w:rsid w:val="006B775E"/>
    <w:rsid w:val="006B7BC7"/>
    <w:rsid w:val="006C2535"/>
    <w:rsid w:val="006C441E"/>
    <w:rsid w:val="006C4B90"/>
    <w:rsid w:val="006D1016"/>
    <w:rsid w:val="006D17F2"/>
    <w:rsid w:val="006E3546"/>
    <w:rsid w:val="006E3FA9"/>
    <w:rsid w:val="006E7D82"/>
    <w:rsid w:val="006F038F"/>
    <w:rsid w:val="006F0F93"/>
    <w:rsid w:val="006F31F2"/>
    <w:rsid w:val="006F6840"/>
    <w:rsid w:val="006F7494"/>
    <w:rsid w:val="006F751F"/>
    <w:rsid w:val="00705433"/>
    <w:rsid w:val="00714DC5"/>
    <w:rsid w:val="00715237"/>
    <w:rsid w:val="00721AE1"/>
    <w:rsid w:val="007254A5"/>
    <w:rsid w:val="00725748"/>
    <w:rsid w:val="007269E3"/>
    <w:rsid w:val="00732F79"/>
    <w:rsid w:val="00735D88"/>
    <w:rsid w:val="0073720D"/>
    <w:rsid w:val="00737507"/>
    <w:rsid w:val="00740712"/>
    <w:rsid w:val="00742AB9"/>
    <w:rsid w:val="00746C31"/>
    <w:rsid w:val="00751A6A"/>
    <w:rsid w:val="00754FBF"/>
    <w:rsid w:val="007610AA"/>
    <w:rsid w:val="007709EF"/>
    <w:rsid w:val="00782701"/>
    <w:rsid w:val="00783559"/>
    <w:rsid w:val="0079551B"/>
    <w:rsid w:val="00797AA5"/>
    <w:rsid w:val="007A26BD"/>
    <w:rsid w:val="007A4105"/>
    <w:rsid w:val="007B4503"/>
    <w:rsid w:val="007C406E"/>
    <w:rsid w:val="007C5183"/>
    <w:rsid w:val="007C7573"/>
    <w:rsid w:val="007E2B20"/>
    <w:rsid w:val="007F1FE4"/>
    <w:rsid w:val="007F439C"/>
    <w:rsid w:val="007F5331"/>
    <w:rsid w:val="00800CCA"/>
    <w:rsid w:val="00806120"/>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6ACA"/>
    <w:rsid w:val="00842CD8"/>
    <w:rsid w:val="008431FA"/>
    <w:rsid w:val="00847444"/>
    <w:rsid w:val="008517C6"/>
    <w:rsid w:val="008547BA"/>
    <w:rsid w:val="008553C7"/>
    <w:rsid w:val="00857FEB"/>
    <w:rsid w:val="008601AF"/>
    <w:rsid w:val="008624E1"/>
    <w:rsid w:val="00872271"/>
    <w:rsid w:val="008738B5"/>
    <w:rsid w:val="00883137"/>
    <w:rsid w:val="0089117B"/>
    <w:rsid w:val="00894A3B"/>
    <w:rsid w:val="0089747F"/>
    <w:rsid w:val="008A1F5D"/>
    <w:rsid w:val="008A28F5"/>
    <w:rsid w:val="008B1198"/>
    <w:rsid w:val="008B3471"/>
    <w:rsid w:val="008B3929"/>
    <w:rsid w:val="008B4125"/>
    <w:rsid w:val="008B4CB3"/>
    <w:rsid w:val="008B567B"/>
    <w:rsid w:val="008B7B24"/>
    <w:rsid w:val="008C356D"/>
    <w:rsid w:val="008D43B5"/>
    <w:rsid w:val="008E0B3F"/>
    <w:rsid w:val="008E49AD"/>
    <w:rsid w:val="008E698E"/>
    <w:rsid w:val="008F2584"/>
    <w:rsid w:val="008F3246"/>
    <w:rsid w:val="008F3C1B"/>
    <w:rsid w:val="008F508C"/>
    <w:rsid w:val="00901BE9"/>
    <w:rsid w:val="0090271B"/>
    <w:rsid w:val="00906C2E"/>
    <w:rsid w:val="00910642"/>
    <w:rsid w:val="00910DDF"/>
    <w:rsid w:val="00922290"/>
    <w:rsid w:val="00926AE2"/>
    <w:rsid w:val="00930B13"/>
    <w:rsid w:val="009311C8"/>
    <w:rsid w:val="00933376"/>
    <w:rsid w:val="00933A2F"/>
    <w:rsid w:val="00936A4E"/>
    <w:rsid w:val="009716D8"/>
    <w:rsid w:val="009718F9"/>
    <w:rsid w:val="00971F42"/>
    <w:rsid w:val="00972FB9"/>
    <w:rsid w:val="00975112"/>
    <w:rsid w:val="00981768"/>
    <w:rsid w:val="00983893"/>
    <w:rsid w:val="00983E8F"/>
    <w:rsid w:val="0098788A"/>
    <w:rsid w:val="00994FDA"/>
    <w:rsid w:val="009A31BF"/>
    <w:rsid w:val="009A3B71"/>
    <w:rsid w:val="009A61BC"/>
    <w:rsid w:val="009B0138"/>
    <w:rsid w:val="009B0FE9"/>
    <w:rsid w:val="009B173A"/>
    <w:rsid w:val="009C3F20"/>
    <w:rsid w:val="009C7CA1"/>
    <w:rsid w:val="009D043D"/>
    <w:rsid w:val="009D545E"/>
    <w:rsid w:val="009E3C59"/>
    <w:rsid w:val="009F3259"/>
    <w:rsid w:val="00A037D5"/>
    <w:rsid w:val="00A056DE"/>
    <w:rsid w:val="00A128AD"/>
    <w:rsid w:val="00A13FBD"/>
    <w:rsid w:val="00A16D7E"/>
    <w:rsid w:val="00A21E76"/>
    <w:rsid w:val="00A23BC8"/>
    <w:rsid w:val="00A245F8"/>
    <w:rsid w:val="00A269E7"/>
    <w:rsid w:val="00A30E68"/>
    <w:rsid w:val="00A31933"/>
    <w:rsid w:val="00A329D2"/>
    <w:rsid w:val="00A34AA0"/>
    <w:rsid w:val="00A3715C"/>
    <w:rsid w:val="00A413B4"/>
    <w:rsid w:val="00A41FE2"/>
    <w:rsid w:val="00A46FEF"/>
    <w:rsid w:val="00A47948"/>
    <w:rsid w:val="00A50CF6"/>
    <w:rsid w:val="00A56946"/>
    <w:rsid w:val="00A6170E"/>
    <w:rsid w:val="00A63B8C"/>
    <w:rsid w:val="00A715F8"/>
    <w:rsid w:val="00A77F6F"/>
    <w:rsid w:val="00A831FD"/>
    <w:rsid w:val="00A83352"/>
    <w:rsid w:val="00A850A2"/>
    <w:rsid w:val="00A91FA3"/>
    <w:rsid w:val="00A927D3"/>
    <w:rsid w:val="00AA7FC9"/>
    <w:rsid w:val="00AB237D"/>
    <w:rsid w:val="00AB5933"/>
    <w:rsid w:val="00AD202F"/>
    <w:rsid w:val="00AE013D"/>
    <w:rsid w:val="00AE11B7"/>
    <w:rsid w:val="00AE7F68"/>
    <w:rsid w:val="00AF2321"/>
    <w:rsid w:val="00AF52F6"/>
    <w:rsid w:val="00AF52FD"/>
    <w:rsid w:val="00AF54A8"/>
    <w:rsid w:val="00AF7237"/>
    <w:rsid w:val="00B0043A"/>
    <w:rsid w:val="00B00D75"/>
    <w:rsid w:val="00B070CB"/>
    <w:rsid w:val="00B12456"/>
    <w:rsid w:val="00B145F0"/>
    <w:rsid w:val="00B24AEB"/>
    <w:rsid w:val="00B259C8"/>
    <w:rsid w:val="00B26CCF"/>
    <w:rsid w:val="00B30FC2"/>
    <w:rsid w:val="00B32949"/>
    <w:rsid w:val="00B331A2"/>
    <w:rsid w:val="00B425F0"/>
    <w:rsid w:val="00B42DFA"/>
    <w:rsid w:val="00B531DD"/>
    <w:rsid w:val="00B55014"/>
    <w:rsid w:val="00B62232"/>
    <w:rsid w:val="00B70BF3"/>
    <w:rsid w:val="00B71DC2"/>
    <w:rsid w:val="00B849F5"/>
    <w:rsid w:val="00B91CFC"/>
    <w:rsid w:val="00B93893"/>
    <w:rsid w:val="00BA1397"/>
    <w:rsid w:val="00BA7E0A"/>
    <w:rsid w:val="00BB78C7"/>
    <w:rsid w:val="00BC2C00"/>
    <w:rsid w:val="00BC3B53"/>
    <w:rsid w:val="00BC3B96"/>
    <w:rsid w:val="00BC4AE3"/>
    <w:rsid w:val="00BC5B28"/>
    <w:rsid w:val="00BD2370"/>
    <w:rsid w:val="00BD2D73"/>
    <w:rsid w:val="00BE3F88"/>
    <w:rsid w:val="00BE4756"/>
    <w:rsid w:val="00BE5ED9"/>
    <w:rsid w:val="00BE7B41"/>
    <w:rsid w:val="00BF1D2B"/>
    <w:rsid w:val="00C011E5"/>
    <w:rsid w:val="00C13AE1"/>
    <w:rsid w:val="00C15A91"/>
    <w:rsid w:val="00C206F1"/>
    <w:rsid w:val="00C217E1"/>
    <w:rsid w:val="00C219B1"/>
    <w:rsid w:val="00C4015B"/>
    <w:rsid w:val="00C40C60"/>
    <w:rsid w:val="00C43FE6"/>
    <w:rsid w:val="00C5258E"/>
    <w:rsid w:val="00C530C9"/>
    <w:rsid w:val="00C619A7"/>
    <w:rsid w:val="00C7163E"/>
    <w:rsid w:val="00C72073"/>
    <w:rsid w:val="00C73D5F"/>
    <w:rsid w:val="00C82AFE"/>
    <w:rsid w:val="00C83DBC"/>
    <w:rsid w:val="00C97C80"/>
    <w:rsid w:val="00CA47D3"/>
    <w:rsid w:val="00CA58B7"/>
    <w:rsid w:val="00CA6533"/>
    <w:rsid w:val="00CA6A25"/>
    <w:rsid w:val="00CA6A3F"/>
    <w:rsid w:val="00CA7C99"/>
    <w:rsid w:val="00CB0A71"/>
    <w:rsid w:val="00CC6290"/>
    <w:rsid w:val="00CC6947"/>
    <w:rsid w:val="00CC6C54"/>
    <w:rsid w:val="00CD233D"/>
    <w:rsid w:val="00CD3499"/>
    <w:rsid w:val="00CD362D"/>
    <w:rsid w:val="00CD4A96"/>
    <w:rsid w:val="00CE101D"/>
    <w:rsid w:val="00CE1814"/>
    <w:rsid w:val="00CE1A95"/>
    <w:rsid w:val="00CE1C84"/>
    <w:rsid w:val="00CE236F"/>
    <w:rsid w:val="00CE5055"/>
    <w:rsid w:val="00CF053F"/>
    <w:rsid w:val="00CF1A17"/>
    <w:rsid w:val="00CF4F40"/>
    <w:rsid w:val="00CF65AC"/>
    <w:rsid w:val="00D0375A"/>
    <w:rsid w:val="00D047C8"/>
    <w:rsid w:val="00D0609E"/>
    <w:rsid w:val="00D078E1"/>
    <w:rsid w:val="00D100E9"/>
    <w:rsid w:val="00D150BD"/>
    <w:rsid w:val="00D17942"/>
    <w:rsid w:val="00D21E4B"/>
    <w:rsid w:val="00D22441"/>
    <w:rsid w:val="00D23522"/>
    <w:rsid w:val="00D264D6"/>
    <w:rsid w:val="00D32F78"/>
    <w:rsid w:val="00D33BF0"/>
    <w:rsid w:val="00D33DE0"/>
    <w:rsid w:val="00D36447"/>
    <w:rsid w:val="00D516BE"/>
    <w:rsid w:val="00D5423B"/>
    <w:rsid w:val="00D54E6A"/>
    <w:rsid w:val="00D54F4E"/>
    <w:rsid w:val="00D56E01"/>
    <w:rsid w:val="00D57A56"/>
    <w:rsid w:val="00D604B3"/>
    <w:rsid w:val="00D60BA4"/>
    <w:rsid w:val="00D62419"/>
    <w:rsid w:val="00D73B81"/>
    <w:rsid w:val="00D77870"/>
    <w:rsid w:val="00D80977"/>
    <w:rsid w:val="00D80CCE"/>
    <w:rsid w:val="00D86EEA"/>
    <w:rsid w:val="00D87D03"/>
    <w:rsid w:val="00D9360B"/>
    <w:rsid w:val="00D95C88"/>
    <w:rsid w:val="00D97B2E"/>
    <w:rsid w:val="00DA241E"/>
    <w:rsid w:val="00DB36FE"/>
    <w:rsid w:val="00DB533A"/>
    <w:rsid w:val="00DB60AE"/>
    <w:rsid w:val="00DB6307"/>
    <w:rsid w:val="00DC2802"/>
    <w:rsid w:val="00DD1DCD"/>
    <w:rsid w:val="00DD338F"/>
    <w:rsid w:val="00DD66F2"/>
    <w:rsid w:val="00DE3FE0"/>
    <w:rsid w:val="00DE578A"/>
    <w:rsid w:val="00DF2583"/>
    <w:rsid w:val="00DF54D9"/>
    <w:rsid w:val="00DF7283"/>
    <w:rsid w:val="00E01A59"/>
    <w:rsid w:val="00E10DC6"/>
    <w:rsid w:val="00E11F8E"/>
    <w:rsid w:val="00E15881"/>
    <w:rsid w:val="00E16A8F"/>
    <w:rsid w:val="00E21DE3"/>
    <w:rsid w:val="00E273C5"/>
    <w:rsid w:val="00E307D1"/>
    <w:rsid w:val="00E350AD"/>
    <w:rsid w:val="00E3731D"/>
    <w:rsid w:val="00E51469"/>
    <w:rsid w:val="00E63484"/>
    <w:rsid w:val="00E634E3"/>
    <w:rsid w:val="00E717C4"/>
    <w:rsid w:val="00E758FD"/>
    <w:rsid w:val="00E77E18"/>
    <w:rsid w:val="00E77F89"/>
    <w:rsid w:val="00E80330"/>
    <w:rsid w:val="00E806C5"/>
    <w:rsid w:val="00E80E71"/>
    <w:rsid w:val="00E850D3"/>
    <w:rsid w:val="00E853D6"/>
    <w:rsid w:val="00E876B9"/>
    <w:rsid w:val="00EC0DFF"/>
    <w:rsid w:val="00EC237D"/>
    <w:rsid w:val="00EC2918"/>
    <w:rsid w:val="00EC4D0E"/>
    <w:rsid w:val="00EC4E2B"/>
    <w:rsid w:val="00ED072A"/>
    <w:rsid w:val="00ED539E"/>
    <w:rsid w:val="00EE4A1F"/>
    <w:rsid w:val="00EE4C2D"/>
    <w:rsid w:val="00EF1B5A"/>
    <w:rsid w:val="00EF24FB"/>
    <w:rsid w:val="00EF2CCA"/>
    <w:rsid w:val="00EF495B"/>
    <w:rsid w:val="00EF60DC"/>
    <w:rsid w:val="00F00F54"/>
    <w:rsid w:val="00F03963"/>
    <w:rsid w:val="00F11068"/>
    <w:rsid w:val="00F1256D"/>
    <w:rsid w:val="00F13A4E"/>
    <w:rsid w:val="00F172BB"/>
    <w:rsid w:val="00F17B10"/>
    <w:rsid w:val="00F21BEF"/>
    <w:rsid w:val="00F2315B"/>
    <w:rsid w:val="00F34805"/>
    <w:rsid w:val="00F41A6F"/>
    <w:rsid w:val="00F45A25"/>
    <w:rsid w:val="00F50F86"/>
    <w:rsid w:val="00F52593"/>
    <w:rsid w:val="00F53F91"/>
    <w:rsid w:val="00F61569"/>
    <w:rsid w:val="00F61A72"/>
    <w:rsid w:val="00F62B67"/>
    <w:rsid w:val="00F66D09"/>
    <w:rsid w:val="00F66F13"/>
    <w:rsid w:val="00F74073"/>
    <w:rsid w:val="00F75603"/>
    <w:rsid w:val="00F845B4"/>
    <w:rsid w:val="00F8713B"/>
    <w:rsid w:val="00F93F9E"/>
    <w:rsid w:val="00F94D86"/>
    <w:rsid w:val="00FA2CD7"/>
    <w:rsid w:val="00FB06ED"/>
    <w:rsid w:val="00FC2311"/>
    <w:rsid w:val="00FC3165"/>
    <w:rsid w:val="00FC36AB"/>
    <w:rsid w:val="00FC4300"/>
    <w:rsid w:val="00FC7F66"/>
    <w:rsid w:val="00FD2749"/>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B1B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paragraph" w:styleId="Geenafstand">
    <w:name w:val="No Spacing"/>
    <w:uiPriority w:val="1"/>
    <w:qFormat/>
    <w:rsid w:val="00B24AEB"/>
    <w:rPr>
      <w:rFonts w:asciiTheme="minorHAnsi" w:eastAsiaTheme="minorHAnsi" w:hAnsiTheme="minorHAnsi" w:cstheme="minorBidi"/>
      <w:kern w:val="2"/>
      <w:sz w:val="22"/>
      <w:szCs w:val="22"/>
      <w:lang w:val="nl-NL"/>
      <w14:ligatures w14:val="standardContextual"/>
    </w:rPr>
  </w:style>
  <w:style w:type="character" w:styleId="Verwijzingopmerking">
    <w:name w:val="annotation reference"/>
    <w:basedOn w:val="Standaardalinea-lettertype"/>
    <w:uiPriority w:val="99"/>
    <w:semiHidden/>
    <w:unhideWhenUsed/>
    <w:rsid w:val="00CF4F40"/>
    <w:rPr>
      <w:sz w:val="16"/>
      <w:szCs w:val="16"/>
    </w:rPr>
  </w:style>
  <w:style w:type="paragraph" w:styleId="Tekstopmerking">
    <w:name w:val="annotation text"/>
    <w:basedOn w:val="Standaard"/>
    <w:link w:val="TekstopmerkingChar"/>
    <w:uiPriority w:val="99"/>
    <w:unhideWhenUsed/>
    <w:rsid w:val="00CF4F40"/>
    <w:pPr>
      <w:spacing w:line="240" w:lineRule="auto"/>
    </w:pPr>
    <w:rPr>
      <w:rFonts w:asciiTheme="minorHAnsi" w:eastAsiaTheme="minorHAnsi" w:hAnsiTheme="minorHAnsi" w:cstheme="minorBidi"/>
      <w:kern w:val="2"/>
      <w:sz w:val="20"/>
      <w:szCs w:val="20"/>
      <w:lang w:eastAsia="en-US"/>
      <w14:ligatures w14:val="standardContextual"/>
    </w:rPr>
  </w:style>
  <w:style w:type="character" w:customStyle="1" w:styleId="TekstopmerkingChar">
    <w:name w:val="Tekst opmerking Char"/>
    <w:basedOn w:val="Standaardalinea-lettertype"/>
    <w:link w:val="Tekstopmerking"/>
    <w:uiPriority w:val="99"/>
    <w:rsid w:val="00CF4F40"/>
    <w:rPr>
      <w:rFonts w:asciiTheme="minorHAnsi" w:eastAsiaTheme="minorHAnsi" w:hAnsiTheme="minorHAnsi" w:cstheme="minorBidi"/>
      <w:kern w:val="2"/>
      <w:lang w:val="nl-NL"/>
      <w14:ligatures w14:val="standardContextual"/>
    </w:rPr>
  </w:style>
  <w:style w:type="character" w:customStyle="1" w:styleId="eop">
    <w:name w:val="eop"/>
    <w:basedOn w:val="Standaardalinea-lettertype"/>
    <w:rsid w:val="00CF4F40"/>
  </w:style>
  <w:style w:type="paragraph" w:styleId="Onderwerpvanopmerking">
    <w:name w:val="annotation subject"/>
    <w:basedOn w:val="Tekstopmerking"/>
    <w:next w:val="Tekstopmerking"/>
    <w:link w:val="OnderwerpvanopmerkingChar"/>
    <w:semiHidden/>
    <w:unhideWhenUsed/>
    <w:rsid w:val="00D047C8"/>
    <w:rPr>
      <w:rFonts w:ascii="Verdana" w:eastAsia="Times New Roman" w:hAnsi="Verdana" w:cs="Times New Roman"/>
      <w:b/>
      <w:bCs/>
      <w:kern w:val="0"/>
      <w:lang w:eastAsia="nl-NL"/>
      <w14:ligatures w14:val="none"/>
    </w:rPr>
  </w:style>
  <w:style w:type="character" w:customStyle="1" w:styleId="OnderwerpvanopmerkingChar">
    <w:name w:val="Onderwerp van opmerking Char"/>
    <w:basedOn w:val="TekstopmerkingChar"/>
    <w:link w:val="Onderwerpvanopmerking"/>
    <w:semiHidden/>
    <w:rsid w:val="00D047C8"/>
    <w:rPr>
      <w:rFonts w:ascii="Verdana" w:eastAsiaTheme="minorHAnsi" w:hAnsi="Verdana" w:cstheme="minorBidi"/>
      <w:b/>
      <w:bCs/>
      <w:kern w:val="2"/>
      <w:lang w:val="nl-NL" w:eastAsia="nl-NL"/>
      <w14:ligatures w14:val="standardContextual"/>
    </w:rPr>
  </w:style>
  <w:style w:type="paragraph" w:styleId="Revisie">
    <w:name w:val="Revision"/>
    <w:hidden/>
    <w:uiPriority w:val="99"/>
    <w:semiHidden/>
    <w:rsid w:val="009D545E"/>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5</ap:Pages>
  <ap:Words>2026</ap:Words>
  <ap:Characters>11144</ap:Characters>
  <ap:DocSecurity>0</ap:DocSecurity>
  <ap:Lines>92</ap:Lines>
  <ap:Paragraphs>26</ap:Paragraphs>
  <ap:ScaleCrop>false</ap:ScaleCrop>
  <ap:LinksUpToDate>false</ap:LinksUpToDate>
  <ap:CharactersWithSpaces>13144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2026-09-23T10:01:00.0000000Z</dcterms:created>
  <dcterms:modified xsi:type="dcterms:W3CDTF">2026-09-23T10:01:00.0000000Z</dcterms:modified>
  <dc:description>------------------------</dc:description>
  <dc:subject/>
  <keywords/>
  <version/>
  <category/>
</coreProperties>
</file>