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50828" w:rsidR="000E1C77" w:rsidRDefault="4EB997B0" w14:paraId="49B22771" w14:textId="77777777">
      <w:r w:rsidRPr="00E50828">
        <w:t>Geachte voorzitter,</w:t>
      </w:r>
    </w:p>
    <w:p w:rsidRPr="00E50828" w:rsidR="000E1C77" w:rsidRDefault="000E1C77" w14:paraId="49B22772" w14:textId="77777777"/>
    <w:p w:rsidRPr="00E50828" w:rsidR="001831C6" w:rsidP="001831C6" w:rsidRDefault="4EB997B0" w14:paraId="6ACF850B" w14:textId="62E7B09B">
      <w:r w:rsidRPr="00E50828">
        <w:t xml:space="preserve">Graag bied ik u hierbij de kabinetsreactie aan op het advies van de Commissie van advies inzake volkenrechtelijke vraagstukken (CAVV): 'Compensatie als rechtsherstel: de juridische praktijk van lump sums' (nr. 53). De CAVV heeft dit advies op mijn verzoek uitgebracht. </w:t>
      </w:r>
    </w:p>
    <w:p w:rsidRPr="00E50828" w:rsidR="001831C6" w:rsidP="001831C6" w:rsidRDefault="001831C6" w14:paraId="362FD4E2" w14:textId="77777777"/>
    <w:p w:rsidRPr="00E50828" w:rsidR="000E1C77" w:rsidP="001831C6" w:rsidRDefault="4EB997B0" w14:paraId="49B22774" w14:textId="6406AC81">
      <w:r w:rsidRPr="00E50828">
        <w:t>Het advies van 22 juni 2026 is als bijlage bijgevoegd.</w:t>
      </w:r>
    </w:p>
    <w:p w:rsidRPr="00E50828" w:rsidR="001831C6" w:rsidP="001831C6" w:rsidRDefault="001831C6" w14:paraId="0904D4A0" w14:textId="77777777"/>
    <w:p w:rsidRPr="00E50828" w:rsidR="001831C6" w:rsidP="001831C6" w:rsidRDefault="001831C6" w14:paraId="38A7474F" w14:textId="77777777"/>
    <w:p w:rsidRPr="00E50828" w:rsidR="001831C6" w:rsidP="001831C6" w:rsidRDefault="001831C6" w14:paraId="11FDE32B" w14:textId="77777777"/>
    <w:tbl>
      <w:tblPr>
        <w:tblStyle w:val="Tabelondertekening"/>
        <w:tblW w:w="7541" w:type="dxa"/>
        <w:tblInd w:w="0" w:type="dxa"/>
        <w:tblLayout w:type="fixed"/>
        <w:tblLook w:val="07E0" w:firstRow="1" w:lastRow="1" w:firstColumn="1" w:lastColumn="1" w:noHBand="1" w:noVBand="1"/>
      </w:tblPr>
      <w:tblGrid>
        <w:gridCol w:w="3620"/>
        <w:gridCol w:w="3921"/>
      </w:tblGrid>
      <w:tr w:rsidRPr="00E50828" w:rsidR="000E1C77" w:rsidTr="4EB997B0" w14:paraId="49B22777" w14:textId="77777777">
        <w:tc>
          <w:tcPr>
            <w:tcW w:w="3620" w:type="dxa"/>
          </w:tcPr>
          <w:p w:rsidRPr="00E50828" w:rsidR="000E1C77" w:rsidRDefault="4EB997B0" w14:paraId="49B22775" w14:textId="1B8B224B">
            <w:r w:rsidRPr="00E50828">
              <w:t>De minister van Buitenlandse Zaken,</w:t>
            </w:r>
            <w:r w:rsidRPr="00E50828" w:rsidR="0045581C">
              <w:br/>
            </w:r>
            <w:r w:rsidRPr="00E50828" w:rsidR="0045581C">
              <w:br/>
            </w:r>
            <w:r w:rsidRPr="00E50828" w:rsidR="0045581C">
              <w:br/>
            </w:r>
            <w:r w:rsidRPr="00E50828" w:rsidR="0045581C">
              <w:br/>
            </w:r>
            <w:r w:rsidRPr="00E50828" w:rsidR="0045581C">
              <w:br/>
            </w:r>
            <w:r w:rsidRPr="00E50828" w:rsidR="0045581C">
              <w:br/>
            </w:r>
            <w:r w:rsidRPr="00E50828">
              <w:t>T.B.W. Berendsen</w:t>
            </w:r>
          </w:p>
        </w:tc>
        <w:tc>
          <w:tcPr>
            <w:tcW w:w="3921" w:type="dxa"/>
          </w:tcPr>
          <w:p w:rsidRPr="00E50828" w:rsidR="000E1C77" w:rsidRDefault="000E1C77" w14:paraId="49B22776" w14:textId="77777777"/>
        </w:tc>
      </w:tr>
    </w:tbl>
    <w:p w:rsidRPr="00E50828" w:rsidR="000E1C77" w:rsidRDefault="000E1C77" w14:paraId="49B22778" w14:textId="77777777"/>
    <w:p w:rsidRPr="00E50828" w:rsidR="001831C6" w:rsidRDefault="001831C6" w14:paraId="01EB58D1" w14:textId="77777777"/>
    <w:p w:rsidRPr="00E50828" w:rsidR="001831C6" w:rsidRDefault="001831C6" w14:paraId="6BCC1346" w14:textId="77777777"/>
    <w:p w:rsidRPr="00E50828" w:rsidR="001831C6" w:rsidRDefault="001831C6" w14:paraId="64F9E096" w14:textId="77777777"/>
    <w:p w:rsidRPr="00E50828" w:rsidR="001831C6" w:rsidRDefault="001831C6" w14:paraId="1A003B25" w14:textId="77777777"/>
    <w:p w:rsidRPr="00E50828" w:rsidR="001831C6" w:rsidRDefault="001831C6" w14:paraId="43E3DDF6" w14:textId="77777777"/>
    <w:p w:rsidRPr="00E50828" w:rsidR="001831C6" w:rsidRDefault="001831C6" w14:paraId="4879A1C3" w14:textId="77777777"/>
    <w:p w:rsidRPr="00E50828" w:rsidR="001831C6" w:rsidRDefault="001831C6" w14:paraId="0A977677" w14:textId="77777777"/>
    <w:p w:rsidRPr="00E50828" w:rsidR="001831C6" w:rsidRDefault="001831C6" w14:paraId="295F4C1A" w14:textId="77777777"/>
    <w:p w:rsidRPr="00E50828" w:rsidR="001831C6" w:rsidRDefault="001831C6" w14:paraId="74ACF143" w14:textId="77777777"/>
    <w:p w:rsidRPr="00E50828" w:rsidR="001831C6" w:rsidRDefault="001831C6" w14:paraId="749059D0" w14:textId="77777777"/>
    <w:p w:rsidRPr="00E50828" w:rsidR="001831C6" w:rsidRDefault="001831C6" w14:paraId="0438ACAF" w14:textId="77777777"/>
    <w:p w:rsidRPr="00E50828" w:rsidR="001831C6" w:rsidRDefault="001831C6" w14:paraId="3B5783D6" w14:textId="77777777"/>
    <w:p w:rsidRPr="00E50828" w:rsidR="001831C6" w:rsidRDefault="001831C6" w14:paraId="1222E993" w14:textId="77777777"/>
    <w:p w:rsidRPr="00E50828" w:rsidR="001831C6" w:rsidRDefault="001831C6" w14:paraId="7CC6FF03" w14:textId="77777777"/>
    <w:p w:rsidRPr="00E50828" w:rsidR="001831C6" w:rsidRDefault="001831C6" w14:paraId="132EDA2B" w14:textId="77777777"/>
    <w:p w:rsidRPr="00E50828" w:rsidR="001831C6" w:rsidRDefault="001831C6" w14:paraId="179F9057" w14:textId="77777777"/>
    <w:p w:rsidRPr="00E50828" w:rsidR="001831C6" w:rsidP="4EB997B0" w:rsidRDefault="4EB997B0" w14:paraId="3DA2B1A9" w14:textId="77777777">
      <w:pPr>
        <w:autoSpaceDN/>
        <w:spacing w:after="160" w:line="259" w:lineRule="auto"/>
        <w:textAlignment w:val="auto"/>
        <w:rPr>
          <w:rFonts w:eastAsia="Calibri" w:cs="Times New Roman"/>
          <w:b/>
          <w:bCs/>
          <w:color w:val="auto"/>
          <w:lang w:eastAsia="en-US"/>
        </w:rPr>
      </w:pPr>
      <w:r w:rsidRPr="00E50828">
        <w:rPr>
          <w:rFonts w:eastAsia="Calibri" w:cs="Times New Roman"/>
          <w:b/>
          <w:bCs/>
          <w:color w:val="auto"/>
          <w:lang w:eastAsia="en-US"/>
        </w:rPr>
        <w:lastRenderedPageBreak/>
        <w:t xml:space="preserve">Kabinetsreactie op het CAVV advies ‘Compensatie als rechtsherstel: de juridische praktijk van </w:t>
      </w:r>
      <w:r w:rsidRPr="00E50828">
        <w:rPr>
          <w:rFonts w:eastAsia="Calibri" w:cs="Times New Roman"/>
          <w:b/>
          <w:bCs/>
          <w:i/>
          <w:iCs/>
          <w:color w:val="auto"/>
          <w:lang w:eastAsia="en-US"/>
        </w:rPr>
        <w:t>lump sums</w:t>
      </w:r>
      <w:r w:rsidRPr="00E50828">
        <w:rPr>
          <w:rFonts w:eastAsia="Calibri" w:cs="Times New Roman"/>
          <w:b/>
          <w:bCs/>
          <w:color w:val="auto"/>
          <w:lang w:eastAsia="en-US"/>
        </w:rPr>
        <w:t>’</w:t>
      </w:r>
    </w:p>
    <w:p w:rsidRPr="00E50828" w:rsidR="001831C6" w:rsidP="4EB997B0" w:rsidRDefault="4EB997B0" w14:paraId="25868207" w14:textId="77777777">
      <w:pPr>
        <w:autoSpaceDN/>
        <w:spacing w:after="160" w:line="259" w:lineRule="auto"/>
        <w:textAlignment w:val="auto"/>
        <w:rPr>
          <w:rFonts w:eastAsia="Calibri" w:cs="Times New Roman"/>
          <w:color w:val="auto"/>
          <w:lang w:eastAsia="en-US"/>
        </w:rPr>
      </w:pPr>
      <w:r w:rsidRPr="00E50828">
        <w:rPr>
          <w:rFonts w:eastAsia="Calibri" w:cs="Times New Roman"/>
          <w:color w:val="auto"/>
          <w:lang w:eastAsia="en-US"/>
        </w:rPr>
        <w:t xml:space="preserve">Op 22 juni 2026 bood de Commissie van Advies inzake Volkenrechtelijke Vraagstukken (CAVV) mij haar advies </w:t>
      </w:r>
      <w:r w:rsidRPr="00E50828">
        <w:rPr>
          <w:rFonts w:eastAsia="Calibri" w:cs="Times New Roman"/>
          <w:i/>
          <w:iCs/>
          <w:color w:val="auto"/>
          <w:lang w:eastAsia="en-US"/>
        </w:rPr>
        <w:t>Compensatie als rechtsherstel: de juridische praktijk van lump sums</w:t>
      </w:r>
      <w:r w:rsidRPr="00E50828">
        <w:rPr>
          <w:rFonts w:eastAsia="Calibri" w:cs="Times New Roman"/>
          <w:color w:val="auto"/>
          <w:lang w:eastAsia="en-US"/>
        </w:rPr>
        <w:t xml:space="preserve"> (bijlage 1) aan. Met waardering heeft de regering kennis genomen van dit advies, dat de CAVV op mijn verzoek heeft uitgebracht. </w:t>
      </w:r>
    </w:p>
    <w:p w:rsidRPr="00E50828" w:rsidR="001831C6" w:rsidP="4EB997B0" w:rsidRDefault="4EB997B0" w14:paraId="34371405" w14:textId="77777777">
      <w:pPr>
        <w:autoSpaceDN/>
        <w:spacing w:after="160" w:line="259" w:lineRule="auto"/>
        <w:textAlignment w:val="auto"/>
        <w:rPr>
          <w:rFonts w:eastAsia="Calibri" w:cs="Times New Roman"/>
          <w:color w:val="auto"/>
          <w:lang w:eastAsia="en-US"/>
        </w:rPr>
      </w:pPr>
      <w:r w:rsidRPr="00E50828">
        <w:rPr>
          <w:rFonts w:eastAsia="Calibri" w:cs="Times New Roman"/>
          <w:color w:val="auto"/>
          <w:lang w:eastAsia="en-US"/>
        </w:rPr>
        <w:t xml:space="preserve">In het advies analyseert de CAVV de internationale rechtspraktijk met betrekking tot het vaststellen van een </w:t>
      </w:r>
      <w:r w:rsidRPr="00E50828">
        <w:rPr>
          <w:rFonts w:eastAsia="Calibri" w:cs="Times New Roman"/>
          <w:i/>
          <w:iCs/>
          <w:color w:val="auto"/>
          <w:lang w:eastAsia="en-US"/>
        </w:rPr>
        <w:t>lump sum</w:t>
      </w:r>
      <w:r w:rsidRPr="00E50828">
        <w:rPr>
          <w:rFonts w:eastAsia="Calibri" w:cs="Times New Roman"/>
          <w:color w:val="auto"/>
          <w:lang w:eastAsia="en-US"/>
        </w:rPr>
        <w:t xml:space="preserve"> voor schade aan een groep individuen als gevolg van een internationaal onrechtmatige daad. Dit overzicht is van belang voor het formuleren van de inzet in de internationale procedures inzake het neerhalen van vlucht MH17 voor de door de Russische Federatie te betalen vergoeding van schade aan de nabestaanden van de slachtoffers. Ook is het advies interessant in het licht van het werk van de Commissie voor Internationaal Recht (ILC) van de Verenigde Naties op het gebied van compensatie als vorm van rechtsherstel. </w:t>
      </w:r>
    </w:p>
    <w:p w:rsidRPr="00E50828" w:rsidR="001831C6" w:rsidP="4EB997B0" w:rsidRDefault="4EB997B0" w14:paraId="4007D69D" w14:textId="2671A248">
      <w:pPr>
        <w:autoSpaceDN/>
        <w:spacing w:after="160" w:line="259" w:lineRule="auto"/>
        <w:textAlignment w:val="auto"/>
        <w:rPr>
          <w:rFonts w:eastAsia="Calibri" w:cs="Times New Roman"/>
          <w:color w:val="auto"/>
          <w:lang w:eastAsia="en-US"/>
        </w:rPr>
      </w:pPr>
      <w:r w:rsidRPr="00E50828">
        <w:rPr>
          <w:rFonts w:eastAsia="Calibri" w:cs="Times New Roman"/>
          <w:color w:val="auto"/>
          <w:lang w:eastAsia="en-US"/>
        </w:rPr>
        <w:t xml:space="preserve">Deel I van het advies schetst het huidig juridisch kader dat van toepassing is op </w:t>
      </w:r>
      <w:r w:rsidRPr="00E50828">
        <w:rPr>
          <w:rFonts w:eastAsia="Calibri" w:cs="Times New Roman"/>
          <w:i/>
          <w:iCs/>
          <w:color w:val="auto"/>
          <w:lang w:eastAsia="en-US"/>
        </w:rPr>
        <w:t>lump sum</w:t>
      </w:r>
      <w:r w:rsidRPr="00E50828">
        <w:rPr>
          <w:rFonts w:eastAsia="Calibri" w:cs="Times New Roman"/>
          <w:color w:val="auto"/>
          <w:lang w:eastAsia="en-US"/>
        </w:rPr>
        <w:t xml:space="preserve">-akkoorden. De CAVV stelt hierbij vast dat er zich een praktijk heeft ontwikkeld waarbij, in geval van een onrechtmatige daad met een groot aantal individuele vorderingen op de aansprakelijke staat, er </w:t>
      </w:r>
      <w:r w:rsidRPr="00E50828">
        <w:rPr>
          <w:rFonts w:eastAsia="Calibri" w:cs="Times New Roman"/>
          <w:i/>
          <w:iCs/>
          <w:color w:val="auto"/>
          <w:lang w:eastAsia="en-US"/>
        </w:rPr>
        <w:t>lump sum</w:t>
      </w:r>
      <w:r w:rsidRPr="00E50828">
        <w:rPr>
          <w:rFonts w:eastAsia="Calibri" w:cs="Times New Roman"/>
          <w:color w:val="auto"/>
          <w:lang w:eastAsia="en-US"/>
        </w:rPr>
        <w:t xml:space="preserve">-akkoorden worden gesloten voor het afdoen van die vorderingen. Hierbij geeft de CAVV aan dat de inhoud, omvang, en structuur van </w:t>
      </w:r>
      <w:r w:rsidRPr="00E50828">
        <w:rPr>
          <w:rFonts w:eastAsia="Calibri" w:cs="Times New Roman"/>
          <w:i/>
          <w:iCs/>
          <w:color w:val="auto"/>
          <w:lang w:eastAsia="en-US"/>
        </w:rPr>
        <w:t>lump sum</w:t>
      </w:r>
      <w:r w:rsidRPr="00E50828">
        <w:rPr>
          <w:rFonts w:eastAsia="Calibri" w:cs="Times New Roman"/>
          <w:color w:val="auto"/>
          <w:lang w:eastAsia="en-US"/>
        </w:rPr>
        <w:t xml:space="preserve">-akkoorden onder andere wordt bepaald in diplomatieke onderhandelingen, en dat de akkoorden in dat kader in beperkte mate juridisch zijn gestandaardiseerd. De CAVV stelt ook vast dat bij </w:t>
      </w:r>
      <w:r w:rsidRPr="00E50828">
        <w:rPr>
          <w:rFonts w:eastAsia="Calibri" w:cs="Times New Roman"/>
          <w:i/>
          <w:iCs/>
          <w:color w:val="auto"/>
          <w:lang w:eastAsia="en-US"/>
        </w:rPr>
        <w:t>lump sum</w:t>
      </w:r>
      <w:r w:rsidRPr="00E50828">
        <w:rPr>
          <w:rFonts w:eastAsia="Calibri" w:cs="Times New Roman"/>
          <w:color w:val="auto"/>
          <w:lang w:eastAsia="en-US"/>
        </w:rPr>
        <w:t xml:space="preserve">-akkoorden doorgaans de eisende staat afstand doet van alle vorderingen die verband houden met de schadeveroorzakende handeling. Indien een staat hierbij namens het individu afstand doet van vorderingen van dat individu, kan dat op gespannen voet komen te staan met mensenrechten. De CAVV adviseert dan ook om bij een </w:t>
      </w:r>
      <w:r w:rsidRPr="00E50828">
        <w:rPr>
          <w:rFonts w:eastAsia="Calibri" w:cs="Times New Roman"/>
          <w:i/>
          <w:iCs/>
          <w:color w:val="auto"/>
          <w:lang w:eastAsia="en-US"/>
        </w:rPr>
        <w:t>lump sum</w:t>
      </w:r>
      <w:r w:rsidRPr="00E50828">
        <w:rPr>
          <w:rFonts w:eastAsia="Calibri" w:cs="Times New Roman"/>
          <w:color w:val="auto"/>
          <w:lang w:eastAsia="en-US"/>
        </w:rPr>
        <w:t xml:space="preserve">-akkoord de zeggenschap over afstand van individuele vorderingen op de aansprakelijke staat bij het individu moet laten via een </w:t>
      </w:r>
      <w:r w:rsidRPr="00E50828">
        <w:rPr>
          <w:rFonts w:eastAsia="Calibri" w:cs="Times New Roman"/>
          <w:i/>
          <w:iCs/>
          <w:color w:val="auto"/>
          <w:lang w:eastAsia="en-US"/>
        </w:rPr>
        <w:t>opt-in/opt-out</w:t>
      </w:r>
      <w:r w:rsidRPr="00E50828">
        <w:rPr>
          <w:rFonts w:eastAsia="Calibri" w:cs="Times New Roman"/>
          <w:color w:val="auto"/>
          <w:lang w:eastAsia="en-US"/>
        </w:rPr>
        <w:t xml:space="preserve"> methode. Bij </w:t>
      </w:r>
      <w:r w:rsidRPr="00E50828">
        <w:rPr>
          <w:rFonts w:eastAsia="Calibri" w:cs="Times New Roman"/>
          <w:i/>
          <w:iCs/>
          <w:color w:val="auto"/>
          <w:lang w:eastAsia="en-US"/>
        </w:rPr>
        <w:t xml:space="preserve">opt-in </w:t>
      </w:r>
      <w:r w:rsidRPr="00E50828">
        <w:rPr>
          <w:rFonts w:eastAsia="Calibri" w:cs="Times New Roman"/>
          <w:color w:val="auto"/>
          <w:lang w:eastAsia="en-US"/>
        </w:rPr>
        <w:t xml:space="preserve">aanvaardt het individu de voorwaarden van het </w:t>
      </w:r>
      <w:r w:rsidRPr="00E50828">
        <w:rPr>
          <w:rFonts w:eastAsia="Calibri" w:cs="Times New Roman"/>
          <w:i/>
          <w:iCs/>
          <w:color w:val="auto"/>
          <w:lang w:eastAsia="en-US"/>
        </w:rPr>
        <w:t>lump sum</w:t>
      </w:r>
      <w:r w:rsidRPr="00E50828">
        <w:rPr>
          <w:rFonts w:eastAsia="Calibri" w:cs="Times New Roman"/>
          <w:color w:val="auto"/>
          <w:lang w:eastAsia="en-US"/>
        </w:rPr>
        <w:t>-akkoord en doet het individu zelf afstand van eventuele andere vorderingen.</w:t>
      </w:r>
      <w:r w:rsidRPr="00E50828">
        <w:rPr>
          <w:rFonts w:eastAsia="Calibri" w:cs="Times New Roman"/>
          <w:i/>
          <w:iCs/>
          <w:color w:val="auto"/>
          <w:lang w:eastAsia="en-US"/>
        </w:rPr>
        <w:t xml:space="preserve"> </w:t>
      </w:r>
      <w:r w:rsidRPr="00E50828">
        <w:rPr>
          <w:rFonts w:eastAsia="Calibri" w:cs="Times New Roman"/>
          <w:color w:val="auto"/>
          <w:lang w:eastAsia="en-US"/>
        </w:rPr>
        <w:t xml:space="preserve">In geval van </w:t>
      </w:r>
      <w:r w:rsidRPr="00E50828">
        <w:rPr>
          <w:rFonts w:eastAsia="Calibri" w:cs="Times New Roman"/>
          <w:i/>
          <w:iCs/>
          <w:color w:val="auto"/>
          <w:lang w:eastAsia="en-US"/>
        </w:rPr>
        <w:t xml:space="preserve">opt-out </w:t>
      </w:r>
      <w:r w:rsidRPr="00E50828">
        <w:rPr>
          <w:rFonts w:eastAsia="Calibri" w:cs="Times New Roman"/>
          <w:color w:val="auto"/>
          <w:lang w:eastAsia="en-US"/>
        </w:rPr>
        <w:t>ziet het individu af van een aanspraak op een vergoeding op basis van het</w:t>
      </w:r>
      <w:r w:rsidRPr="00E50828">
        <w:rPr>
          <w:rFonts w:eastAsia="Calibri" w:cs="Times New Roman"/>
          <w:i/>
          <w:iCs/>
          <w:color w:val="auto"/>
          <w:lang w:eastAsia="en-US"/>
        </w:rPr>
        <w:t xml:space="preserve"> lump-sum</w:t>
      </w:r>
      <w:r w:rsidRPr="00E50828">
        <w:rPr>
          <w:rFonts w:eastAsia="Calibri" w:cs="Times New Roman"/>
          <w:color w:val="auto"/>
          <w:lang w:eastAsia="en-US"/>
        </w:rPr>
        <w:t xml:space="preserve"> akkoord en behoudt het individu de mogelijkheid om elders een vordering tegen de aansprakelijke staat indienen. Het </w:t>
      </w:r>
      <w:r w:rsidR="007E41D2">
        <w:rPr>
          <w:rFonts w:eastAsia="Calibri" w:cs="Times New Roman"/>
          <w:color w:val="auto"/>
          <w:lang w:eastAsia="en-US"/>
        </w:rPr>
        <w:t>k</w:t>
      </w:r>
      <w:r w:rsidRPr="00E50828">
        <w:rPr>
          <w:rFonts w:eastAsia="Calibri" w:cs="Times New Roman"/>
          <w:color w:val="auto"/>
          <w:lang w:eastAsia="en-US"/>
        </w:rPr>
        <w:t>abinet onderschrijft deze aanbeveling.</w:t>
      </w:r>
    </w:p>
    <w:p w:rsidRPr="00E50828" w:rsidR="001831C6" w:rsidP="4EB997B0" w:rsidRDefault="4EB997B0" w14:paraId="07C113DD" w14:textId="4F97954E">
      <w:pPr>
        <w:autoSpaceDN/>
        <w:spacing w:after="160" w:line="259" w:lineRule="auto"/>
        <w:textAlignment w:val="auto"/>
        <w:rPr>
          <w:rFonts w:eastAsia="Calibri" w:cs="Times New Roman"/>
          <w:color w:val="auto"/>
          <w:lang w:eastAsia="en-US"/>
        </w:rPr>
      </w:pPr>
      <w:r w:rsidRPr="00E50828">
        <w:rPr>
          <w:rFonts w:eastAsia="Calibri" w:cs="Times New Roman"/>
          <w:color w:val="auto"/>
          <w:lang w:eastAsia="en-US"/>
        </w:rPr>
        <w:t xml:space="preserve">In deel II van het advies analyseert de CAVV verschillende </w:t>
      </w:r>
      <w:r w:rsidRPr="00E50828">
        <w:rPr>
          <w:rFonts w:eastAsia="Calibri" w:cs="Times New Roman"/>
          <w:i/>
          <w:iCs/>
          <w:color w:val="auto"/>
          <w:lang w:eastAsia="en-US"/>
        </w:rPr>
        <w:t>lump sum</w:t>
      </w:r>
      <w:r w:rsidRPr="00E50828">
        <w:rPr>
          <w:rFonts w:eastAsia="Calibri" w:cs="Times New Roman"/>
          <w:color w:val="auto"/>
          <w:lang w:eastAsia="en-US"/>
        </w:rPr>
        <w:t xml:space="preserve">-akkoorden waarin partijen compensatie overeen zijn gekomen. De CAVV heeft zich hierbij primair gericht op akkoorden die zijn gesloten in verband met het neerhalen van een vliegtuig of vergelijkbaar geweld tegen een schip en kon in dat kader vaststellen dat de afspraken in de meeste gevallen op een </w:t>
      </w:r>
      <w:r w:rsidRPr="00E50828">
        <w:rPr>
          <w:rFonts w:eastAsia="Calibri" w:cs="Times New Roman"/>
          <w:i/>
          <w:iCs/>
          <w:color w:val="auto"/>
          <w:lang w:eastAsia="en-US"/>
        </w:rPr>
        <w:t>ex gratia</w:t>
      </w:r>
      <w:r w:rsidRPr="00E50828">
        <w:rPr>
          <w:rFonts w:eastAsia="Calibri" w:cs="Times New Roman"/>
          <w:color w:val="auto"/>
          <w:lang w:eastAsia="en-US"/>
        </w:rPr>
        <w:t xml:space="preserve"> basis, dus zonder erkenning van aansprakelijkheid, zijn gemaakt. De CAVV stelt vast dat de akkoorden afspraken bevatten over gelijksoortige elementen. Zo omvatten zij meestal de hoogte van de vergoeding; de kring van gerechtigden; het verband tussen compensatie en de beëindiging van nationale of internationale procedures; en het mechanisme of de manier waarop het bedrag overgemaakt en/of verdeeld moet worden. De CAVV concludeert dat de verdeling van compensatie in de praktijk deels wordt overgelaten aan het nationale recht en adviseert hierbij dan ook om duidelijke nationale criteria te hanteren voor de compensatieverdeling. Het </w:t>
      </w:r>
      <w:r w:rsidR="007E41D2">
        <w:rPr>
          <w:rFonts w:eastAsia="Calibri" w:cs="Times New Roman"/>
          <w:color w:val="auto"/>
          <w:lang w:eastAsia="en-US"/>
        </w:rPr>
        <w:t>k</w:t>
      </w:r>
      <w:r w:rsidRPr="00E50828">
        <w:rPr>
          <w:rFonts w:eastAsia="Calibri" w:cs="Times New Roman"/>
          <w:color w:val="auto"/>
          <w:lang w:eastAsia="en-US"/>
        </w:rPr>
        <w:t xml:space="preserve">abinet kan zich vinden in deze advisering en zal daarmee rekening houden wanneer dat aan de orde is met inachtneming van eventuele criteria die voortvloeien uit gevoerde internationale procedures. </w:t>
      </w:r>
      <w:bookmarkStart w:name="_Hlk239941968" w:id="0"/>
      <w:bookmarkEnd w:id="0"/>
    </w:p>
    <w:p w:rsidRPr="00E50828" w:rsidR="001831C6" w:rsidP="4EB997B0" w:rsidRDefault="4EB997B0" w14:paraId="1523BC10" w14:textId="77777777">
      <w:pPr>
        <w:autoSpaceDN/>
        <w:spacing w:after="160" w:line="259" w:lineRule="auto"/>
        <w:textAlignment w:val="auto"/>
        <w:rPr>
          <w:rFonts w:eastAsia="Calibri" w:cs="Times New Roman"/>
          <w:color w:val="auto"/>
          <w:lang w:eastAsia="en-US"/>
        </w:rPr>
      </w:pPr>
      <w:r w:rsidRPr="00E50828">
        <w:rPr>
          <w:rFonts w:eastAsia="Calibri" w:cs="Times New Roman"/>
          <w:color w:val="auto"/>
          <w:lang w:eastAsia="en-US"/>
        </w:rPr>
        <w:lastRenderedPageBreak/>
        <w:t xml:space="preserve">Deel III van het advies gaat in op de compensatiepraktijk van internationale rechtscolleges, tribunalen en commissies, in het bijzonder die van het Internationaal Gerechtshof (IGH), het Internationaal Strafhof (ISH), de Eritrea-Ethiopië Claims Commissie (EECC), de VN Compensatie Commissie (UNCC) en het Europees Hof voor de Rechten van de Mens (EHRM). Uit deze praktijk concludeert de CAVV dat er geen consistente juridische methodologie voor het vaststellen van de hoogte van een </w:t>
      </w:r>
      <w:r w:rsidRPr="00E50828">
        <w:rPr>
          <w:rFonts w:eastAsia="Calibri" w:cs="Times New Roman"/>
          <w:i/>
          <w:iCs/>
          <w:color w:val="auto"/>
          <w:lang w:eastAsia="en-US"/>
        </w:rPr>
        <w:t>lump sum</w:t>
      </w:r>
      <w:r w:rsidRPr="00E50828">
        <w:rPr>
          <w:rFonts w:eastAsia="Calibri" w:cs="Times New Roman"/>
          <w:color w:val="auto"/>
          <w:lang w:eastAsia="en-US"/>
        </w:rPr>
        <w:t xml:space="preserve"> bestaat, en dat dit bedrag vaak wordt vastgesteld zonder transparante of uniforme criteria.  </w:t>
      </w:r>
    </w:p>
    <w:p w:rsidRPr="00E50828" w:rsidR="001831C6" w:rsidP="4EB997B0" w:rsidRDefault="4EB997B0" w14:paraId="16F25CD3" w14:textId="65913F88">
      <w:pPr>
        <w:autoSpaceDN/>
        <w:spacing w:after="160" w:line="259" w:lineRule="auto"/>
        <w:textAlignment w:val="auto"/>
        <w:rPr>
          <w:rFonts w:eastAsia="Calibri" w:cs="Times New Roman"/>
          <w:color w:val="auto"/>
          <w:lang w:eastAsia="en-US"/>
        </w:rPr>
      </w:pPr>
      <w:r w:rsidRPr="00E50828">
        <w:rPr>
          <w:rFonts w:eastAsia="Calibri" w:cs="Times New Roman"/>
          <w:color w:val="auto"/>
          <w:lang w:eastAsia="en-US"/>
        </w:rPr>
        <w:t xml:space="preserve">Het </w:t>
      </w:r>
      <w:r w:rsidR="007E41D2">
        <w:rPr>
          <w:rFonts w:eastAsia="Calibri" w:cs="Times New Roman"/>
          <w:color w:val="auto"/>
          <w:lang w:eastAsia="en-US"/>
        </w:rPr>
        <w:t>k</w:t>
      </w:r>
      <w:r w:rsidRPr="00E50828">
        <w:rPr>
          <w:rFonts w:eastAsia="Calibri" w:cs="Times New Roman"/>
          <w:color w:val="auto"/>
          <w:lang w:eastAsia="en-US"/>
        </w:rPr>
        <w:t xml:space="preserve">abinet ziet het advies van de CAVV als een relevante weergave van de juridische praktijk van </w:t>
      </w:r>
      <w:r w:rsidRPr="00E50828">
        <w:rPr>
          <w:rFonts w:eastAsia="Calibri" w:cs="Times New Roman"/>
          <w:i/>
          <w:iCs/>
          <w:color w:val="auto"/>
          <w:lang w:eastAsia="en-US"/>
        </w:rPr>
        <w:t>lump sums</w:t>
      </w:r>
      <w:r w:rsidRPr="00E50828">
        <w:rPr>
          <w:rFonts w:eastAsia="Calibri" w:cs="Times New Roman"/>
          <w:color w:val="auto"/>
          <w:lang w:eastAsia="en-US"/>
        </w:rPr>
        <w:t xml:space="preserve"> bij compensatie als vorm van rechtsherstel. Deze weergave kan van belang zijn voor de verschillende juridische procedures van het Koninkrijk der Nederlanden tegen de Russische Federatie inzake het neerhalen van vlucht MH17, nu in die procedures ook vergoeding van schade aan de orde komt die is geleden door de nabestaanden van de slachtoffers en die is veroorzaakt door de Russische Federatie. </w:t>
      </w:r>
    </w:p>
    <w:p w:rsidRPr="00E50828" w:rsidR="001831C6" w:rsidP="4EB997B0" w:rsidRDefault="4EB997B0" w14:paraId="6ADFC82B" w14:textId="77777777">
      <w:pPr>
        <w:autoSpaceDN/>
        <w:spacing w:after="160" w:line="259" w:lineRule="auto"/>
        <w:textAlignment w:val="auto"/>
        <w:rPr>
          <w:rFonts w:eastAsia="Calibri" w:cs="Times New Roman"/>
          <w:color w:val="auto"/>
          <w:lang w:eastAsia="en-US"/>
        </w:rPr>
      </w:pPr>
      <w:r w:rsidRPr="00E50828">
        <w:rPr>
          <w:rFonts w:eastAsia="Calibri" w:cs="Times New Roman"/>
          <w:color w:val="auto"/>
          <w:lang w:eastAsia="en-US"/>
        </w:rPr>
        <w:t xml:space="preserve">Op 12 mei 2025 heeft de Raad van de Internationale Burgerluchtvaartorganisatie (ICAO-Raad) besloten dat de Russische Federatie internationale verplichtingen heeft geschonden vanwege haar rol bij het neerhalen van vlucht MH17. Ook het Europees Hof voor de Rechten van de Mens oordeelde op 9 juli 2025 dat de Russische Federatie verantwoordelijk is voor mensenrechtenschendingen vanwege het neerhalen van vlucht MH17. </w:t>
      </w:r>
    </w:p>
    <w:p w:rsidRPr="00E50828" w:rsidR="001831C6" w:rsidP="4EB997B0" w:rsidRDefault="4EB997B0" w14:paraId="260EF855" w14:textId="65187346">
      <w:pPr>
        <w:autoSpaceDN/>
        <w:spacing w:after="160" w:line="259" w:lineRule="auto"/>
        <w:textAlignment w:val="auto"/>
        <w:rPr>
          <w:rFonts w:eastAsia="Calibri" w:cs="Times New Roman"/>
          <w:color w:val="auto"/>
          <w:lang w:eastAsia="en-US"/>
        </w:rPr>
      </w:pPr>
      <w:r w:rsidRPr="00E50828">
        <w:rPr>
          <w:rFonts w:eastAsia="Calibri" w:cs="Times New Roman"/>
          <w:color w:val="auto"/>
          <w:lang w:eastAsia="en-US"/>
        </w:rPr>
        <w:t xml:space="preserve">Monetaire compensatie als onderdeel van het rechtsherstel vormt een onderdeel van beide internationale procedures. Deze vergoeding zou kunnen plaatsvinden in de vorm van een berekening van de schade als gevolg van het overlijden van elk slachtoffer afzonderlijk of in de vorm van een </w:t>
      </w:r>
      <w:r w:rsidRPr="00E50828">
        <w:rPr>
          <w:rFonts w:eastAsia="Calibri" w:cs="Times New Roman"/>
          <w:i/>
          <w:iCs/>
          <w:color w:val="auto"/>
          <w:lang w:eastAsia="en-US"/>
        </w:rPr>
        <w:t>lump sum</w:t>
      </w:r>
      <w:r w:rsidRPr="00E50828">
        <w:rPr>
          <w:rFonts w:eastAsia="Calibri" w:cs="Times New Roman"/>
          <w:color w:val="auto"/>
          <w:lang w:eastAsia="en-US"/>
        </w:rPr>
        <w:t xml:space="preserve">. Voor het inzetten op een </w:t>
      </w:r>
      <w:r w:rsidRPr="00E50828">
        <w:rPr>
          <w:rFonts w:eastAsia="Calibri" w:cs="Times New Roman"/>
          <w:i/>
          <w:iCs/>
          <w:color w:val="auto"/>
          <w:lang w:eastAsia="en-US"/>
        </w:rPr>
        <w:t>lump sum</w:t>
      </w:r>
      <w:r w:rsidRPr="00E50828">
        <w:rPr>
          <w:rFonts w:eastAsia="Calibri" w:cs="Times New Roman"/>
          <w:color w:val="auto"/>
          <w:lang w:eastAsia="en-US"/>
        </w:rPr>
        <w:t xml:space="preserve"> bestaan precedenten, maar er bestaat geen eenduidig kader. Het advies van de CAVV geeft meer inzicht in de internationale rechtspraktijk omtrent dit vraagstuk en is daarmee waardevol voor het </w:t>
      </w:r>
      <w:r w:rsidR="007E41D2">
        <w:rPr>
          <w:rFonts w:eastAsia="Calibri" w:cs="Times New Roman"/>
          <w:color w:val="auto"/>
          <w:lang w:eastAsia="en-US"/>
        </w:rPr>
        <w:t>k</w:t>
      </w:r>
      <w:r w:rsidRPr="00E50828">
        <w:rPr>
          <w:rFonts w:eastAsia="Calibri" w:cs="Times New Roman"/>
          <w:color w:val="auto"/>
          <w:lang w:eastAsia="en-US"/>
        </w:rPr>
        <w:t xml:space="preserve">abinet indachtig de nog te formuleren inzet ten aanzien van compensatie in de internationale procedures inzake het neerhalen van vlucht MH17. </w:t>
      </w:r>
    </w:p>
    <w:p w:rsidRPr="00E50828" w:rsidR="001831C6" w:rsidP="4EB997B0" w:rsidRDefault="4EB997B0" w14:paraId="27599F22" w14:textId="27C81E5F">
      <w:pPr>
        <w:autoSpaceDN/>
        <w:spacing w:after="160" w:line="259" w:lineRule="auto"/>
        <w:textAlignment w:val="auto"/>
        <w:rPr>
          <w:rFonts w:eastAsia="Calibri" w:cs="Times New Roman"/>
          <w:color w:val="auto"/>
          <w:lang w:eastAsia="en-US"/>
        </w:rPr>
      </w:pPr>
      <w:bookmarkStart w:name="_Hlk238653465" w:id="1"/>
      <w:r w:rsidRPr="00E50828">
        <w:rPr>
          <w:rFonts w:eastAsia="Calibri" w:cs="Times New Roman"/>
          <w:color w:val="auto"/>
          <w:lang w:eastAsia="en-US"/>
        </w:rPr>
        <w:t xml:space="preserve">Tot slot wordt de ILC met het CAVV-advies meegenomen in een vroeg stadium van diens werk op het gebied van compensatie als vorm van rechtsherstel worden geïnformeerd over de visie van de CAVV over dit onderwerp. Ook biedt het advies het </w:t>
      </w:r>
      <w:r w:rsidR="007E41D2">
        <w:rPr>
          <w:rFonts w:eastAsia="Calibri" w:cs="Times New Roman"/>
          <w:color w:val="auto"/>
          <w:lang w:eastAsia="en-US"/>
        </w:rPr>
        <w:t>k</w:t>
      </w:r>
      <w:r w:rsidRPr="00E50828">
        <w:rPr>
          <w:rFonts w:eastAsia="Calibri" w:cs="Times New Roman"/>
          <w:color w:val="auto"/>
          <w:lang w:eastAsia="en-US"/>
        </w:rPr>
        <w:t xml:space="preserve">abinet de mogelijkheid om de regering te informeren over de visie van de CAVV met het oog op de bespreking van de voortgang van het onderwerp tijdens bijeenkomsten van de Zesde Commissie van de Algemene Vergadering van de Verenigde Naties. Het onderwerp staat sinds 2025 op de agenda van de ILC en het </w:t>
      </w:r>
      <w:r w:rsidR="007E41D2">
        <w:rPr>
          <w:rFonts w:eastAsia="Calibri" w:cs="Times New Roman"/>
          <w:color w:val="auto"/>
          <w:lang w:eastAsia="en-US"/>
        </w:rPr>
        <w:t>k</w:t>
      </w:r>
      <w:r w:rsidRPr="00E50828">
        <w:rPr>
          <w:rFonts w:eastAsia="Calibri" w:cs="Times New Roman"/>
          <w:color w:val="auto"/>
          <w:lang w:eastAsia="en-US"/>
        </w:rPr>
        <w:t xml:space="preserve">abinet is voornemens om dit adviesrapport met de ILC te delen. </w:t>
      </w:r>
    </w:p>
    <w:bookmarkEnd w:id="1"/>
    <w:p w:rsidRPr="00E50828" w:rsidR="001831C6" w:rsidP="001831C6" w:rsidRDefault="001831C6" w14:paraId="343AB56B" w14:textId="77777777">
      <w:pPr>
        <w:autoSpaceDN/>
        <w:spacing w:after="160" w:line="259" w:lineRule="auto"/>
        <w:textAlignment w:val="auto"/>
        <w:rPr>
          <w:rFonts w:eastAsia="Calibri" w:cs="Times New Roman"/>
          <w:color w:val="auto"/>
          <w:lang w:eastAsia="en-US"/>
        </w:rPr>
      </w:pPr>
    </w:p>
    <w:p w:rsidRPr="00E50828" w:rsidR="001831C6" w:rsidRDefault="001831C6" w14:paraId="104BE214" w14:textId="77777777"/>
    <w:sectPr w:rsidRPr="00E50828" w:rsidR="001831C6" w:rsidSect="007017D2">
      <w:headerReference w:type="default" r:id="rId13"/>
      <w:footerReference w:type="default" r:id="rId14"/>
      <w:headerReference w:type="first" r:id="rId15"/>
      <w:footerReference w:type="first" r:id="rId16"/>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22781" w14:textId="77777777" w:rsidR="0045581C" w:rsidRDefault="0045581C">
      <w:pPr>
        <w:spacing w:line="240" w:lineRule="auto"/>
      </w:pPr>
      <w:r>
        <w:separator/>
      </w:r>
    </w:p>
  </w:endnote>
  <w:endnote w:type="continuationSeparator" w:id="0">
    <w:p w14:paraId="49B22783" w14:textId="77777777" w:rsidR="0045581C" w:rsidRDefault="004558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363568"/>
      <w:docPartObj>
        <w:docPartGallery w:val="Page Numbers (Bottom of Page)"/>
        <w:docPartUnique/>
      </w:docPartObj>
    </w:sdtPr>
    <w:sdtEndPr/>
    <w:sdtContent>
      <w:p w14:paraId="54BA6B23" w14:textId="1628758F" w:rsidR="00E50828" w:rsidRDefault="00E50828">
        <w:pPr>
          <w:pStyle w:val="Voettekst"/>
          <w:jc w:val="center"/>
        </w:pPr>
        <w:r>
          <w:fldChar w:fldCharType="begin"/>
        </w:r>
        <w:r>
          <w:instrText>PAGE   \* MERGEFORMAT</w:instrText>
        </w:r>
        <w:r>
          <w:fldChar w:fldCharType="separate"/>
        </w:r>
        <w:r>
          <w:t>2</w:t>
        </w:r>
        <w:r>
          <w:fldChar w:fldCharType="end"/>
        </w:r>
      </w:p>
    </w:sdtContent>
  </w:sdt>
  <w:p w14:paraId="05ED0A79" w14:textId="77777777" w:rsidR="00E50828" w:rsidRDefault="00E508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917873"/>
      <w:docPartObj>
        <w:docPartGallery w:val="Page Numbers (Bottom of Page)"/>
        <w:docPartUnique/>
      </w:docPartObj>
    </w:sdtPr>
    <w:sdtEndPr/>
    <w:sdtContent>
      <w:p w14:paraId="2892FAB6" w14:textId="4EAC1B8A" w:rsidR="00E50828" w:rsidRDefault="00E50828">
        <w:pPr>
          <w:pStyle w:val="Voettekst"/>
          <w:jc w:val="center"/>
        </w:pPr>
        <w:r>
          <w:fldChar w:fldCharType="begin"/>
        </w:r>
        <w:r>
          <w:instrText>PAGE   \* MERGEFORMAT</w:instrText>
        </w:r>
        <w:r>
          <w:fldChar w:fldCharType="separate"/>
        </w:r>
        <w:r>
          <w:t>2</w:t>
        </w:r>
        <w:r>
          <w:fldChar w:fldCharType="end"/>
        </w:r>
      </w:p>
    </w:sdtContent>
  </w:sdt>
  <w:p w14:paraId="129CE893" w14:textId="77777777" w:rsidR="00E50828" w:rsidRDefault="00E5082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2277D" w14:textId="77777777" w:rsidR="0045581C" w:rsidRDefault="0045581C">
      <w:pPr>
        <w:spacing w:line="240" w:lineRule="auto"/>
      </w:pPr>
      <w:r>
        <w:separator/>
      </w:r>
    </w:p>
  </w:footnote>
  <w:footnote w:type="continuationSeparator" w:id="0">
    <w:p w14:paraId="49B2277F" w14:textId="77777777" w:rsidR="0045581C" w:rsidRDefault="004558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2779" w14:textId="74D09938" w:rsidR="000E1C77" w:rsidRDefault="0045581C">
    <w:r>
      <w:rPr>
        <w:noProof/>
      </w:rPr>
      <mc:AlternateContent>
        <mc:Choice Requires="wps">
          <w:drawing>
            <wp:anchor distT="0" distB="0" distL="0" distR="0" simplePos="0" relativeHeight="251652608" behindDoc="0" locked="1" layoutInCell="1" allowOverlap="1" wp14:anchorId="49B2277D" wp14:editId="1CDFC8D4">
              <wp:simplePos x="0" y="0"/>
              <wp:positionH relativeFrom="page">
                <wp:posOffset>5920740</wp:posOffset>
              </wp:positionH>
              <wp:positionV relativeFrom="page">
                <wp:posOffset>1965960</wp:posOffset>
              </wp:positionV>
              <wp:extent cx="132588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25880" cy="8009890"/>
                      </a:xfrm>
                      <a:prstGeom prst="rect">
                        <a:avLst/>
                      </a:prstGeom>
                      <a:noFill/>
                    </wps:spPr>
                    <wps:txbx>
                      <w:txbxContent>
                        <w:p w14:paraId="49B227AB" w14:textId="77777777" w:rsidR="000E1C77" w:rsidRDefault="0045581C">
                          <w:pPr>
                            <w:pStyle w:val="Referentiegegevensbold"/>
                          </w:pPr>
                          <w:r>
                            <w:t>Ministerie van Buitenlandse Zaken</w:t>
                          </w:r>
                        </w:p>
                        <w:p w14:paraId="49B227AC" w14:textId="77777777" w:rsidR="000E1C77" w:rsidRDefault="000E1C77">
                          <w:pPr>
                            <w:pStyle w:val="WitregelW2"/>
                          </w:pPr>
                        </w:p>
                        <w:p w14:paraId="49B227AD" w14:textId="77777777" w:rsidR="000E1C77" w:rsidRDefault="0045581C">
                          <w:pPr>
                            <w:pStyle w:val="Referentiegegevensbold"/>
                          </w:pPr>
                          <w:r>
                            <w:t>Onze referentie</w:t>
                          </w:r>
                        </w:p>
                        <w:p w14:paraId="49B227AE" w14:textId="77777777" w:rsidR="000E1C77" w:rsidRDefault="0045581C">
                          <w:pPr>
                            <w:pStyle w:val="Referentiegegevens"/>
                          </w:pPr>
                          <w:r>
                            <w:t>BZ2631045</w:t>
                          </w:r>
                        </w:p>
                      </w:txbxContent>
                    </wps:txbx>
                    <wps:bodyPr vert="horz" wrap="square" lIns="0" tIns="0" rIns="0" bIns="0" anchor="t" anchorCtr="0"/>
                  </wps:wsp>
                </a:graphicData>
              </a:graphic>
              <wp14:sizeRelH relativeFrom="margin">
                <wp14:pctWidth>0</wp14:pctWidth>
              </wp14:sizeRelH>
            </wp:anchor>
          </w:drawing>
        </mc:Choice>
        <mc:Fallback>
          <w:pict>
            <v:shapetype w14:anchorId="49B2277D" id="_x0000_t202" coordsize="21600,21600" o:spt="202" path="m,l,21600r21600,l21600,xe">
              <v:stroke joinstyle="miter"/>
              <v:path gradientshapeok="t" o:connecttype="rect"/>
            </v:shapetype>
            <v:shape id="41b1110a-80a4-11ea-b356-6230a4311406" o:spid="_x0000_s1026" type="#_x0000_t202" style="position:absolute;margin-left:466.2pt;margin-top:154.8pt;width:104.4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" filled="f" stroked="f">
              <v:textbox inset="0,0,0,0">
                <w:txbxContent>
                  <w:p w14:paraId="49B227AB" w14:textId="77777777" w:rsidR="000E1C77" w:rsidRDefault="0045581C">
                    <w:pPr>
                      <w:pStyle w:val="Referentiegegevensbold"/>
                    </w:pPr>
                    <w:r>
                      <w:t>Ministerie van Buitenlandse Zaken</w:t>
                    </w:r>
                  </w:p>
                  <w:p w14:paraId="49B227AC" w14:textId="77777777" w:rsidR="000E1C77" w:rsidRDefault="000E1C77">
                    <w:pPr>
                      <w:pStyle w:val="WitregelW2"/>
                    </w:pPr>
                  </w:p>
                  <w:p w14:paraId="49B227AD" w14:textId="77777777" w:rsidR="000E1C77" w:rsidRDefault="0045581C">
                    <w:pPr>
                      <w:pStyle w:val="Referentiegegevensbold"/>
                    </w:pPr>
                    <w:r>
                      <w:t>Onze referentie</w:t>
                    </w:r>
                  </w:p>
                  <w:p w14:paraId="49B227AE" w14:textId="77777777" w:rsidR="000E1C77" w:rsidRDefault="0045581C">
                    <w:pPr>
                      <w:pStyle w:val="Referentiegegevens"/>
                    </w:pPr>
                    <w:r>
                      <w:t>BZ2631045</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49B22781" wp14:editId="0192EAB7">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9B227BD" w14:textId="77777777" w:rsidR="0045581C" w:rsidRDefault="0045581C"/>
                      </w:txbxContent>
                    </wps:txbx>
                    <wps:bodyPr vert="horz" wrap="square" lIns="0" tIns="0" rIns="0" bIns="0" anchor="t" anchorCtr="0"/>
                  </wps:wsp>
                </a:graphicData>
              </a:graphic>
            </wp:anchor>
          </w:drawing>
        </mc:Choice>
        <mc:Fallback>
          <w:pict>
            <v:shape w14:anchorId="49B22781"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49B227BD" w14:textId="77777777" w:rsidR="0045581C" w:rsidRDefault="0045581C"/>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277B" w14:textId="64F5B1AF" w:rsidR="000E1C77" w:rsidRDefault="0045581C">
    <w:pPr>
      <w:spacing w:after="7131" w:line="14" w:lineRule="exact"/>
    </w:pPr>
    <w:r>
      <w:rPr>
        <w:noProof/>
      </w:rPr>
      <mc:AlternateContent>
        <mc:Choice Requires="wps">
          <w:drawing>
            <wp:anchor distT="0" distB="0" distL="0" distR="0" simplePos="0" relativeHeight="251655680" behindDoc="0" locked="1" layoutInCell="1" allowOverlap="1" wp14:anchorId="49B22783" wp14:editId="49B22784">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9B227B0" w14:textId="77777777" w:rsidR="0045581C" w:rsidRDefault="0045581C"/>
                      </w:txbxContent>
                    </wps:txbx>
                    <wps:bodyPr vert="horz" wrap="square" lIns="0" tIns="0" rIns="0" bIns="0" anchor="t" anchorCtr="0"/>
                  </wps:wsp>
                </a:graphicData>
              </a:graphic>
            </wp:anchor>
          </w:drawing>
        </mc:Choice>
        <mc:Fallback>
          <w:pict>
            <v:shapetype w14:anchorId="49B22783"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49B227B0" w14:textId="77777777" w:rsidR="0045581C" w:rsidRDefault="0045581C"/>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49B22785" wp14:editId="49B22786">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9B22794" w14:textId="77777777" w:rsidR="000E1C77" w:rsidRDefault="0045581C">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49B22785"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49B22794" w14:textId="77777777" w:rsidR="000E1C77" w:rsidRDefault="0045581C">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49B22787" wp14:editId="49B22788">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0E1C77" w14:paraId="49B22797" w14:textId="77777777">
                            <w:tc>
                              <w:tcPr>
                                <w:tcW w:w="678" w:type="dxa"/>
                              </w:tcPr>
                              <w:p w14:paraId="49B22795" w14:textId="77777777" w:rsidR="000E1C77" w:rsidRDefault="0045581C">
                                <w:r>
                                  <w:t>Datum</w:t>
                                </w:r>
                              </w:p>
                            </w:tc>
                            <w:tc>
                              <w:tcPr>
                                <w:tcW w:w="6851" w:type="dxa"/>
                              </w:tcPr>
                              <w:p w14:paraId="49B22796" w14:textId="65B39E7A" w:rsidR="000E1C77" w:rsidRDefault="007E41D2">
                                <w:r>
                                  <w:t xml:space="preserve">23 </w:t>
                                </w:r>
                                <w:r w:rsidR="0045581C">
                                  <w:t>september 2026</w:t>
                                </w:r>
                              </w:p>
                            </w:tc>
                          </w:tr>
                          <w:tr w:rsidR="000E1C77" w14:paraId="49B2279C" w14:textId="77777777">
                            <w:tc>
                              <w:tcPr>
                                <w:tcW w:w="678" w:type="dxa"/>
                              </w:tcPr>
                              <w:p w14:paraId="49B22798" w14:textId="77777777" w:rsidR="000E1C77" w:rsidRDefault="0045581C">
                                <w:r>
                                  <w:t>Betreft</w:t>
                                </w:r>
                              </w:p>
                              <w:p w14:paraId="49B22799" w14:textId="77777777" w:rsidR="000E1C77" w:rsidRDefault="000E1C77"/>
                            </w:tc>
                            <w:tc>
                              <w:tcPr>
                                <w:tcW w:w="6851" w:type="dxa"/>
                              </w:tcPr>
                              <w:p w14:paraId="49B2279A" w14:textId="77777777" w:rsidR="000E1C77" w:rsidRDefault="0045581C">
                                <w:r>
                                  <w:t>Kabinetsreactie CAVV advies nr. 53</w:t>
                                </w:r>
                              </w:p>
                              <w:p w14:paraId="49B2279B" w14:textId="77777777" w:rsidR="000E1C77" w:rsidRDefault="000E1C77"/>
                            </w:tc>
                          </w:tr>
                        </w:tbl>
                        <w:p w14:paraId="49B2279D" w14:textId="77777777" w:rsidR="000E1C77" w:rsidRDefault="000E1C77"/>
                        <w:p w14:paraId="49B2279E" w14:textId="77777777" w:rsidR="000E1C77" w:rsidRDefault="000E1C77"/>
                      </w:txbxContent>
                    </wps:txbx>
                    <wps:bodyPr vert="horz" wrap="square" lIns="0" tIns="0" rIns="0" bIns="0" anchor="t" anchorCtr="0"/>
                  </wps:wsp>
                </a:graphicData>
              </a:graphic>
            </wp:anchor>
          </w:drawing>
        </mc:Choice>
        <mc:Fallback>
          <w:pict>
            <v:shape w14:anchorId="49B22787"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0E1C77" w14:paraId="49B22797" w14:textId="77777777">
                      <w:tc>
                        <w:tcPr>
                          <w:tcW w:w="678" w:type="dxa"/>
                        </w:tcPr>
                        <w:p w14:paraId="49B22795" w14:textId="77777777" w:rsidR="000E1C77" w:rsidRDefault="0045581C">
                          <w:r>
                            <w:t>Datum</w:t>
                          </w:r>
                        </w:p>
                      </w:tc>
                      <w:tc>
                        <w:tcPr>
                          <w:tcW w:w="6851" w:type="dxa"/>
                        </w:tcPr>
                        <w:p w14:paraId="49B22796" w14:textId="65B39E7A" w:rsidR="000E1C77" w:rsidRDefault="007E41D2">
                          <w:r>
                            <w:t xml:space="preserve">23 </w:t>
                          </w:r>
                          <w:r w:rsidR="0045581C">
                            <w:t>september 2026</w:t>
                          </w:r>
                        </w:p>
                      </w:tc>
                    </w:tr>
                    <w:tr w:rsidR="000E1C77" w14:paraId="49B2279C" w14:textId="77777777">
                      <w:tc>
                        <w:tcPr>
                          <w:tcW w:w="678" w:type="dxa"/>
                        </w:tcPr>
                        <w:p w14:paraId="49B22798" w14:textId="77777777" w:rsidR="000E1C77" w:rsidRDefault="0045581C">
                          <w:r>
                            <w:t>Betreft</w:t>
                          </w:r>
                        </w:p>
                        <w:p w14:paraId="49B22799" w14:textId="77777777" w:rsidR="000E1C77" w:rsidRDefault="000E1C77"/>
                      </w:tc>
                      <w:tc>
                        <w:tcPr>
                          <w:tcW w:w="6851" w:type="dxa"/>
                        </w:tcPr>
                        <w:p w14:paraId="49B2279A" w14:textId="77777777" w:rsidR="000E1C77" w:rsidRDefault="0045581C">
                          <w:r>
                            <w:t>Kabinetsreactie CAVV advies nr. 53</w:t>
                          </w:r>
                        </w:p>
                        <w:p w14:paraId="49B2279B" w14:textId="77777777" w:rsidR="000E1C77" w:rsidRDefault="000E1C77"/>
                      </w:tc>
                    </w:tr>
                  </w:tbl>
                  <w:p w14:paraId="49B2279D" w14:textId="77777777" w:rsidR="000E1C77" w:rsidRDefault="000E1C77"/>
                  <w:p w14:paraId="49B2279E" w14:textId="77777777" w:rsidR="000E1C77" w:rsidRDefault="000E1C77"/>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49B22789" wp14:editId="13A93D96">
              <wp:simplePos x="0" y="0"/>
              <wp:positionH relativeFrom="page">
                <wp:posOffset>5920740</wp:posOffset>
              </wp:positionH>
              <wp:positionV relativeFrom="page">
                <wp:posOffset>1965960</wp:posOffset>
              </wp:positionV>
              <wp:extent cx="138684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86840" cy="8009890"/>
                      </a:xfrm>
                      <a:prstGeom prst="rect">
                        <a:avLst/>
                      </a:prstGeom>
                      <a:noFill/>
                    </wps:spPr>
                    <wps:txbx>
                      <w:txbxContent>
                        <w:sdt>
                          <w:sdtPr>
                            <w:rPr>
                              <w:b/>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75999C27" w14:textId="77A72C56" w:rsidR="00E50828" w:rsidRPr="00E50828" w:rsidRDefault="00E50828" w:rsidP="00E50828">
                              <w:pPr>
                                <w:pStyle w:val="Referentiegegevens"/>
                                <w:rPr>
                                  <w:b/>
                                </w:rPr>
                              </w:pPr>
                              <w:r w:rsidRPr="00E50828">
                                <w:rPr>
                                  <w:b/>
                                </w:rPr>
                                <w:t>Ministerie van Buitenlandse Zaken</w:t>
                              </w:r>
                              <w:r w:rsidR="007017D2">
                                <w:rPr>
                                  <w:b/>
                                </w:rPr>
                                <w:br/>
                              </w:r>
                            </w:p>
                          </w:sdtContent>
                        </w:sdt>
                        <w:p w14:paraId="210871A4" w14:textId="77777777" w:rsidR="00E50828" w:rsidRPr="00E50828" w:rsidRDefault="00E50828" w:rsidP="007017D2">
                          <w:pPr>
                            <w:pStyle w:val="Referentiegegevens"/>
                            <w:spacing w:line="360" w:lineRule="auto"/>
                            <w:rPr>
                              <w:bCs/>
                            </w:rPr>
                          </w:pPr>
                          <w:r w:rsidRPr="00E50828">
                            <w:rPr>
                              <w:bCs/>
                            </w:rPr>
                            <w:t>Rijnstraat 8</w:t>
                          </w:r>
                        </w:p>
                        <w:p w14:paraId="5BFC6297" w14:textId="77777777" w:rsidR="00E50828" w:rsidRPr="00E50828" w:rsidRDefault="00E50828" w:rsidP="007017D2">
                          <w:pPr>
                            <w:pStyle w:val="Referentiegegevens"/>
                            <w:spacing w:line="360" w:lineRule="auto"/>
                            <w:rPr>
                              <w:bCs/>
                              <w:lang w:val="da-DK"/>
                            </w:rPr>
                          </w:pPr>
                          <w:r w:rsidRPr="00E50828">
                            <w:rPr>
                              <w:bCs/>
                              <w:lang w:val="da-DK"/>
                            </w:rPr>
                            <w:t>2515 XP Den Haag</w:t>
                          </w:r>
                        </w:p>
                        <w:p w14:paraId="7C5F15AA" w14:textId="77777777" w:rsidR="00E50828" w:rsidRPr="00E50828" w:rsidRDefault="00E50828" w:rsidP="007017D2">
                          <w:pPr>
                            <w:pStyle w:val="Referentiegegevens"/>
                            <w:spacing w:line="360" w:lineRule="auto"/>
                            <w:rPr>
                              <w:bCs/>
                              <w:lang w:val="da-DK"/>
                            </w:rPr>
                          </w:pPr>
                          <w:r w:rsidRPr="00E50828">
                            <w:rPr>
                              <w:bCs/>
                              <w:lang w:val="da-DK"/>
                            </w:rPr>
                            <w:t>Postbus 20061</w:t>
                          </w:r>
                        </w:p>
                        <w:p w14:paraId="66CF20A7" w14:textId="77777777" w:rsidR="00E50828" w:rsidRDefault="00E50828" w:rsidP="007017D2">
                          <w:pPr>
                            <w:pStyle w:val="Referentiegegevens"/>
                            <w:spacing w:line="360" w:lineRule="auto"/>
                            <w:rPr>
                              <w:bCs/>
                              <w:lang w:val="da-DK"/>
                            </w:rPr>
                          </w:pPr>
                          <w:r w:rsidRPr="00E50828">
                            <w:rPr>
                              <w:bCs/>
                              <w:lang w:val="da-DK"/>
                            </w:rPr>
                            <w:t>Nederland</w:t>
                          </w:r>
                        </w:p>
                        <w:p w14:paraId="2567827A" w14:textId="77777777" w:rsidR="00E50828" w:rsidRPr="00E50828" w:rsidRDefault="00E50828" w:rsidP="00E50828">
                          <w:pPr>
                            <w:rPr>
                              <w:lang w:val="da-DK"/>
                            </w:rPr>
                          </w:pPr>
                        </w:p>
                        <w:p w14:paraId="49B227A2" w14:textId="77777777" w:rsidR="000E1C77" w:rsidRPr="00E50828" w:rsidRDefault="0045581C">
                          <w:pPr>
                            <w:pStyle w:val="Referentiegegevens"/>
                            <w:rPr>
                              <w:lang w:val="da-DK"/>
                            </w:rPr>
                          </w:pPr>
                          <w:r w:rsidRPr="00E50828">
                            <w:rPr>
                              <w:lang w:val="da-DK"/>
                            </w:rPr>
                            <w:t>www.minbuza.nl</w:t>
                          </w:r>
                        </w:p>
                        <w:p w14:paraId="49B227A3" w14:textId="77777777" w:rsidR="000E1C77" w:rsidRPr="00E50828" w:rsidRDefault="000E1C77">
                          <w:pPr>
                            <w:pStyle w:val="WitregelW2"/>
                            <w:rPr>
                              <w:lang w:val="da-DK"/>
                            </w:rPr>
                          </w:pPr>
                        </w:p>
                        <w:p w14:paraId="49B227A4" w14:textId="77777777" w:rsidR="000E1C77" w:rsidRDefault="0045581C">
                          <w:pPr>
                            <w:pStyle w:val="Referentiegegevensbold"/>
                          </w:pPr>
                          <w:r>
                            <w:t>Onze referentie</w:t>
                          </w:r>
                        </w:p>
                        <w:p w14:paraId="49B227A5" w14:textId="77777777" w:rsidR="000E1C77" w:rsidRDefault="0045581C">
                          <w:pPr>
                            <w:pStyle w:val="Referentiegegevens"/>
                          </w:pPr>
                          <w:r>
                            <w:t>BZ2631045</w:t>
                          </w:r>
                        </w:p>
                        <w:p w14:paraId="49B227A6" w14:textId="77777777" w:rsidR="000E1C77" w:rsidRDefault="000E1C77">
                          <w:pPr>
                            <w:pStyle w:val="WitregelW1"/>
                          </w:pPr>
                        </w:p>
                        <w:p w14:paraId="49B227A7" w14:textId="77777777" w:rsidR="000E1C77" w:rsidRDefault="0045581C">
                          <w:pPr>
                            <w:pStyle w:val="Referentiegegevensbold"/>
                          </w:pPr>
                          <w:r>
                            <w:t>Bijlage(n)</w:t>
                          </w:r>
                        </w:p>
                        <w:p w14:paraId="49B227A8" w14:textId="77777777" w:rsidR="000E1C77" w:rsidRDefault="0045581C">
                          <w:pPr>
                            <w:pStyle w:val="Referentiegegevens"/>
                          </w:pPr>
                          <w:r>
                            <w:t>1</w:t>
                          </w:r>
                        </w:p>
                      </w:txbxContent>
                    </wps:txbx>
                    <wps:bodyPr vert="horz" wrap="square" lIns="0" tIns="0" rIns="0" bIns="0" anchor="t" anchorCtr="0"/>
                  </wps:wsp>
                </a:graphicData>
              </a:graphic>
              <wp14:sizeRelH relativeFrom="margin">
                <wp14:pctWidth>0</wp14:pctWidth>
              </wp14:sizeRelH>
            </wp:anchor>
          </w:drawing>
        </mc:Choice>
        <mc:Fallback>
          <w:pict>
            <v:shape w14:anchorId="49B22789" id="41b10cd4-80a4-11ea-b356-6230a4311406" o:spid="_x0000_s1031" type="#_x0000_t202" style="position:absolute;margin-left:466.2pt;margin-top:154.8pt;width:109.2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" filled="f" stroked="f">
              <v:textbox inset="0,0,0,0">
                <w:txbxContent>
                  <w:sdt>
                    <w:sdtPr>
                      <w:rPr>
                        <w:b/>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75999C27" w14:textId="77A72C56" w:rsidR="00E50828" w:rsidRPr="00E50828" w:rsidRDefault="00E50828" w:rsidP="00E50828">
                        <w:pPr>
                          <w:pStyle w:val="Referentiegegevens"/>
                          <w:rPr>
                            <w:b/>
                          </w:rPr>
                        </w:pPr>
                        <w:r w:rsidRPr="00E50828">
                          <w:rPr>
                            <w:b/>
                          </w:rPr>
                          <w:t>Ministerie van Buitenlandse Zaken</w:t>
                        </w:r>
                        <w:r w:rsidR="007017D2">
                          <w:rPr>
                            <w:b/>
                          </w:rPr>
                          <w:br/>
                        </w:r>
                      </w:p>
                    </w:sdtContent>
                  </w:sdt>
                  <w:p w14:paraId="210871A4" w14:textId="77777777" w:rsidR="00E50828" w:rsidRPr="00E50828" w:rsidRDefault="00E50828" w:rsidP="007017D2">
                    <w:pPr>
                      <w:pStyle w:val="Referentiegegevens"/>
                      <w:spacing w:line="360" w:lineRule="auto"/>
                      <w:rPr>
                        <w:bCs/>
                      </w:rPr>
                    </w:pPr>
                    <w:r w:rsidRPr="00E50828">
                      <w:rPr>
                        <w:bCs/>
                      </w:rPr>
                      <w:t>Rijnstraat 8</w:t>
                    </w:r>
                  </w:p>
                  <w:p w14:paraId="5BFC6297" w14:textId="77777777" w:rsidR="00E50828" w:rsidRPr="00E50828" w:rsidRDefault="00E50828" w:rsidP="007017D2">
                    <w:pPr>
                      <w:pStyle w:val="Referentiegegevens"/>
                      <w:spacing w:line="360" w:lineRule="auto"/>
                      <w:rPr>
                        <w:bCs/>
                        <w:lang w:val="da-DK"/>
                      </w:rPr>
                    </w:pPr>
                    <w:r w:rsidRPr="00E50828">
                      <w:rPr>
                        <w:bCs/>
                        <w:lang w:val="da-DK"/>
                      </w:rPr>
                      <w:t>2515 XP Den Haag</w:t>
                    </w:r>
                  </w:p>
                  <w:p w14:paraId="7C5F15AA" w14:textId="77777777" w:rsidR="00E50828" w:rsidRPr="00E50828" w:rsidRDefault="00E50828" w:rsidP="007017D2">
                    <w:pPr>
                      <w:pStyle w:val="Referentiegegevens"/>
                      <w:spacing w:line="360" w:lineRule="auto"/>
                      <w:rPr>
                        <w:bCs/>
                        <w:lang w:val="da-DK"/>
                      </w:rPr>
                    </w:pPr>
                    <w:r w:rsidRPr="00E50828">
                      <w:rPr>
                        <w:bCs/>
                        <w:lang w:val="da-DK"/>
                      </w:rPr>
                      <w:t>Postbus 20061</w:t>
                    </w:r>
                  </w:p>
                  <w:p w14:paraId="66CF20A7" w14:textId="77777777" w:rsidR="00E50828" w:rsidRDefault="00E50828" w:rsidP="007017D2">
                    <w:pPr>
                      <w:pStyle w:val="Referentiegegevens"/>
                      <w:spacing w:line="360" w:lineRule="auto"/>
                      <w:rPr>
                        <w:bCs/>
                        <w:lang w:val="da-DK"/>
                      </w:rPr>
                    </w:pPr>
                    <w:r w:rsidRPr="00E50828">
                      <w:rPr>
                        <w:bCs/>
                        <w:lang w:val="da-DK"/>
                      </w:rPr>
                      <w:t>Nederland</w:t>
                    </w:r>
                  </w:p>
                  <w:p w14:paraId="2567827A" w14:textId="77777777" w:rsidR="00E50828" w:rsidRPr="00E50828" w:rsidRDefault="00E50828" w:rsidP="00E50828">
                    <w:pPr>
                      <w:rPr>
                        <w:lang w:val="da-DK"/>
                      </w:rPr>
                    </w:pPr>
                  </w:p>
                  <w:p w14:paraId="49B227A2" w14:textId="77777777" w:rsidR="000E1C77" w:rsidRPr="00E50828" w:rsidRDefault="0045581C">
                    <w:pPr>
                      <w:pStyle w:val="Referentiegegevens"/>
                      <w:rPr>
                        <w:lang w:val="da-DK"/>
                      </w:rPr>
                    </w:pPr>
                    <w:r w:rsidRPr="00E50828">
                      <w:rPr>
                        <w:lang w:val="da-DK"/>
                      </w:rPr>
                      <w:t>www.minbuza.nl</w:t>
                    </w:r>
                  </w:p>
                  <w:p w14:paraId="49B227A3" w14:textId="77777777" w:rsidR="000E1C77" w:rsidRPr="00E50828" w:rsidRDefault="000E1C77">
                    <w:pPr>
                      <w:pStyle w:val="WitregelW2"/>
                      <w:rPr>
                        <w:lang w:val="da-DK"/>
                      </w:rPr>
                    </w:pPr>
                  </w:p>
                  <w:p w14:paraId="49B227A4" w14:textId="77777777" w:rsidR="000E1C77" w:rsidRDefault="0045581C">
                    <w:pPr>
                      <w:pStyle w:val="Referentiegegevensbold"/>
                    </w:pPr>
                    <w:r>
                      <w:t>Onze referentie</w:t>
                    </w:r>
                  </w:p>
                  <w:p w14:paraId="49B227A5" w14:textId="77777777" w:rsidR="000E1C77" w:rsidRDefault="0045581C">
                    <w:pPr>
                      <w:pStyle w:val="Referentiegegevens"/>
                    </w:pPr>
                    <w:r>
                      <w:t>BZ2631045</w:t>
                    </w:r>
                  </w:p>
                  <w:p w14:paraId="49B227A6" w14:textId="77777777" w:rsidR="000E1C77" w:rsidRDefault="000E1C77">
                    <w:pPr>
                      <w:pStyle w:val="WitregelW1"/>
                    </w:pPr>
                  </w:p>
                  <w:p w14:paraId="49B227A7" w14:textId="77777777" w:rsidR="000E1C77" w:rsidRDefault="0045581C">
                    <w:pPr>
                      <w:pStyle w:val="Referentiegegevensbold"/>
                    </w:pPr>
                    <w:r>
                      <w:t>Bijlage(n)</w:t>
                    </w:r>
                  </w:p>
                  <w:p w14:paraId="49B227A8" w14:textId="77777777" w:rsidR="000E1C77" w:rsidRDefault="0045581C">
                    <w:pPr>
                      <w:pStyle w:val="Referentiegegevens"/>
                    </w:pPr>
                    <w:r>
                      <w:t>1</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49B2278D" wp14:editId="40AE601D">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9B227B6" w14:textId="77777777" w:rsidR="0045581C" w:rsidRDefault="0045581C"/>
                      </w:txbxContent>
                    </wps:txbx>
                    <wps:bodyPr vert="horz" wrap="square" lIns="0" tIns="0" rIns="0" bIns="0" anchor="t" anchorCtr="0"/>
                  </wps:wsp>
                </a:graphicData>
              </a:graphic>
            </wp:anchor>
          </w:drawing>
        </mc:Choice>
        <mc:Fallback>
          <w:pict>
            <v:shape w14:anchorId="49B2278D"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49B227B6" w14:textId="77777777" w:rsidR="0045581C" w:rsidRDefault="0045581C"/>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49B2278F" wp14:editId="49B22790">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9B227B8" w14:textId="77777777" w:rsidR="0045581C" w:rsidRDefault="0045581C"/>
                      </w:txbxContent>
                    </wps:txbx>
                    <wps:bodyPr vert="horz" wrap="square" lIns="0" tIns="0" rIns="0" bIns="0" anchor="t" anchorCtr="0"/>
                  </wps:wsp>
                </a:graphicData>
              </a:graphic>
            </wp:anchor>
          </w:drawing>
        </mc:Choice>
        <mc:Fallback>
          <w:pict>
            <v:shape w14:anchorId="49B2278F"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49B227B8" w14:textId="77777777" w:rsidR="0045581C" w:rsidRDefault="0045581C"/>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49B22791" wp14:editId="49B22792">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9B227AA" w14:textId="77777777" w:rsidR="000E1C77" w:rsidRDefault="0045581C">
                          <w:pPr>
                            <w:spacing w:line="240" w:lineRule="auto"/>
                          </w:pPr>
                          <w:r>
                            <w:rPr>
                              <w:noProof/>
                            </w:rPr>
                            <w:drawing>
                              <wp:inline distT="0" distB="0" distL="0" distR="0" wp14:anchorId="34B5658A" wp14:editId="49B227B1">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9B22791"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49B227AA" w14:textId="77777777" w:rsidR="000E1C77" w:rsidRDefault="0045581C">
                    <w:pPr>
                      <w:spacing w:line="240" w:lineRule="auto"/>
                    </w:pPr>
                    <w:r>
                      <w:rPr>
                        <w:noProof/>
                      </w:rPr>
                      <w:drawing>
                        <wp:inline distT="0" distB="0" distL="0" distR="0" wp14:anchorId="34B5658A" wp14:editId="49B227B1">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412A8"/>
    <w:multiLevelType w:val="multilevel"/>
    <w:tmpl w:val="955418EE"/>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 w15:restartNumberingAfterBreak="0">
    <w:nsid w:val="F66FAEC3"/>
    <w:multiLevelType w:val="multilevel"/>
    <w:tmpl w:val="05F770C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1B75BAE9"/>
    <w:multiLevelType w:val="multilevel"/>
    <w:tmpl w:val="A9EBF8ED"/>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23E2AA27"/>
    <w:multiLevelType w:val="multilevel"/>
    <w:tmpl w:val="5021E4E3"/>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3EF8AB"/>
    <w:multiLevelType w:val="multilevel"/>
    <w:tmpl w:val="D512337D"/>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304043780">
    <w:abstractNumId w:val="0"/>
  </w:num>
  <w:num w:numId="2" w16cid:durableId="1996449688">
    <w:abstractNumId w:val="4"/>
  </w:num>
  <w:num w:numId="3" w16cid:durableId="1717774761">
    <w:abstractNumId w:val="1"/>
  </w:num>
  <w:num w:numId="4" w16cid:durableId="956569496">
    <w:abstractNumId w:val="2"/>
  </w:num>
  <w:num w:numId="5" w16cid:durableId="16778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C77"/>
    <w:rsid w:val="000E1C77"/>
    <w:rsid w:val="001831C6"/>
    <w:rsid w:val="00347BE5"/>
    <w:rsid w:val="003A07DD"/>
    <w:rsid w:val="0045581C"/>
    <w:rsid w:val="00556FF0"/>
    <w:rsid w:val="007017D2"/>
    <w:rsid w:val="00733379"/>
    <w:rsid w:val="00776DD6"/>
    <w:rsid w:val="007D77DD"/>
    <w:rsid w:val="007E41D2"/>
    <w:rsid w:val="00BB4A81"/>
    <w:rsid w:val="00DC5756"/>
    <w:rsid w:val="00E50828"/>
    <w:rsid w:val="4EB997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B22771"/>
  <w15:docId w15:val="{663DA8D7-0CB4-4C47-AEF7-BCC990C9E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831C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831C6"/>
    <w:rPr>
      <w:rFonts w:ascii="Verdana" w:hAnsi="Verdana"/>
      <w:color w:val="000000"/>
      <w:sz w:val="18"/>
      <w:szCs w:val="18"/>
    </w:rPr>
  </w:style>
  <w:style w:type="paragraph" w:styleId="Voettekst">
    <w:name w:val="footer"/>
    <w:basedOn w:val="Standaard"/>
    <w:link w:val="VoettekstChar"/>
    <w:uiPriority w:val="99"/>
    <w:unhideWhenUsed/>
    <w:rsid w:val="001831C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831C6"/>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55606">
      <w:bodyDiv w:val="1"/>
      <w:marLeft w:val="0"/>
      <w:marRight w:val="0"/>
      <w:marTop w:val="0"/>
      <w:marBottom w:val="0"/>
      <w:divBdr>
        <w:top w:val="none" w:sz="0" w:space="0" w:color="auto"/>
        <w:left w:val="none" w:sz="0" w:space="0" w:color="auto"/>
        <w:bottom w:val="none" w:sz="0" w:space="0" w:color="auto"/>
        <w:right w:val="none" w:sz="0" w:space="0" w:color="auto"/>
      </w:divBdr>
    </w:div>
    <w:div w:id="396980007">
      <w:bodyDiv w:val="1"/>
      <w:marLeft w:val="0"/>
      <w:marRight w:val="0"/>
      <w:marTop w:val="0"/>
      <w:marBottom w:val="0"/>
      <w:divBdr>
        <w:top w:val="none" w:sz="0" w:space="0" w:color="auto"/>
        <w:left w:val="none" w:sz="0" w:space="0" w:color="auto"/>
        <w:bottom w:val="none" w:sz="0" w:space="0" w:color="auto"/>
        <w:right w:val="none" w:sz="0" w:space="0" w:color="auto"/>
      </w:divBdr>
    </w:div>
    <w:div w:id="564876449">
      <w:bodyDiv w:val="1"/>
      <w:marLeft w:val="0"/>
      <w:marRight w:val="0"/>
      <w:marTop w:val="0"/>
      <w:marBottom w:val="0"/>
      <w:divBdr>
        <w:top w:val="none" w:sz="0" w:space="0" w:color="auto"/>
        <w:left w:val="none" w:sz="0" w:space="0" w:color="auto"/>
        <w:bottom w:val="none" w:sz="0" w:space="0" w:color="auto"/>
        <w:right w:val="none" w:sz="0" w:space="0" w:color="auto"/>
      </w:divBdr>
    </w:div>
    <w:div w:id="977035689">
      <w:bodyDiv w:val="1"/>
      <w:marLeft w:val="0"/>
      <w:marRight w:val="0"/>
      <w:marTop w:val="0"/>
      <w:marBottom w:val="0"/>
      <w:divBdr>
        <w:top w:val="none" w:sz="0" w:space="0" w:color="auto"/>
        <w:left w:val="none" w:sz="0" w:space="0" w:color="auto"/>
        <w:bottom w:val="none" w:sz="0" w:space="0" w:color="auto"/>
        <w:right w:val="none" w:sz="0" w:space="0" w:color="auto"/>
      </w:divBdr>
    </w:div>
    <w:div w:id="1250193223">
      <w:bodyDiv w:val="1"/>
      <w:marLeft w:val="0"/>
      <w:marRight w:val="0"/>
      <w:marTop w:val="0"/>
      <w:marBottom w:val="0"/>
      <w:divBdr>
        <w:top w:val="none" w:sz="0" w:space="0" w:color="auto"/>
        <w:left w:val="none" w:sz="0" w:space="0" w:color="auto"/>
        <w:bottom w:val="none" w:sz="0" w:space="0" w:color="auto"/>
        <w:right w:val="none" w:sz="0" w:space="0" w:color="auto"/>
      </w:divBdr>
    </w:div>
    <w:div w:id="2139176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footnotes" Target="footnotes.xml" Id="rId11"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1073</ap:Words>
  <ap:Characters>5902</ap:Characters>
  <ap:DocSecurity>0</ap:DocSecurity>
  <ap:Lines>49</ap:Lines>
  <ap:Paragraphs>13</ap:Paragraphs>
  <ap:ScaleCrop>false</ap:ScaleCrop>
  <ap:LinksUpToDate>false</ap:LinksUpToDate>
  <ap:CharactersWithSpaces>6962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2026-09-18T07:55:00.0000000Z</lastPrinted>
  <dcterms:created xsi:type="dcterms:W3CDTF">2026-09-15T12:22:00.0000000Z</dcterms:created>
  <dcterms:modified xsi:type="dcterms:W3CDTF">2026-09-23T10:29:00.0000000Z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0x0101009C7CE436063D44E9BE7DC0259EF7C32F006EB9F9836A634AE58B6169785FD3936F00AA5B09C34F670E4989DDFEF3957234AE</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7;#Housing and real estate general|0bd32358-1e9d-4204-a5b5-3e5123d4968e</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https://247.plaza.buzaservices.nl/subject/PV-RK2026062026/BZ2631045/Reguliere%20kamerbrief%20-%20Kabinetsreactie%20CAVV%20advies%20nr.%2053.docx, </vt:lpwstr>
  </property>
  <property fmtid="{D5CDD505-2E9C-101B-9397-08002B2CF9AE}" pid="24" name="_dlc_DocIdItemGuid">
    <vt:lpwstr>734a81e4-364c-4e9a-b183-883dfd538f97</vt:lpwstr>
  </property>
  <property fmtid="{D5CDD505-2E9C-101B-9397-08002B2CF9AE}" pid="25" name="_docset_NoMedatataSyncRequired">
    <vt:lpwstr>False</vt:lpwstr>
  </property>
</Properties>
</file>