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2026Z19693</w:t>
        <w:br/>
      </w:r>
      <w:proofErr w:type="spellEnd"/>
    </w:p>
    <w:p>
      <w:pPr>
        <w:pStyle w:val="Normal"/>
        <w:rPr>
          <w:b w:val="1"/>
          <w:bCs w:val="1"/>
        </w:rPr>
      </w:pPr>
      <w:r w:rsidR="250AE766">
        <w:rPr>
          <w:b w:val="0"/>
          <w:bCs w:val="0"/>
        </w:rPr>
        <w:t>(ingezonden 23 september 2026)</w:t>
        <w:br/>
      </w:r>
    </w:p>
    <w:p>
      <w:r>
        <w:t xml:space="preserve">Vragen van het lid Keijzer (Keijzer) aan de ministers van Financiën en van Binnenlandse Zaken en Koninkrijksrelaties over de omvang van het Rijksapparaat en de overschrijding van de Roemernorm</w:t>
      </w:r>
      <w:r>
        <w:br/>
      </w:r>
    </w:p>
    <w:p>
      <w:pPr>
        <w:pStyle w:val="ListParagraph"/>
        <w:numPr>
          <w:ilvl w:val="0"/>
          <w:numId w:val="100519860"/>
        </w:numPr>
        <w:ind w:left="360"/>
      </w:pPr>
      <w:r>
        <w:t xml:space="preserve">Heeft u kennisgenomen van het Verantwoordingsonderzoek 2025, waarin de Algemene Rekenkamer vaststelt dat aan de budgettaire taakstelling op het apparaat geen concrete doelen of resultaatafspraken zijn gekoppeld en dat daardoor onzeker is of het aantal fte daadwerkelijk afneemt?[1]</w:t>
      </w:r>
      <w:r>
        <w:br/>
      </w:r>
    </w:p>
    <w:p>
      <w:pPr>
        <w:pStyle w:val="ListParagraph"/>
        <w:numPr>
          <w:ilvl w:val="0"/>
          <w:numId w:val="100519860"/>
        </w:numPr>
        <w:ind w:left="360"/>
      </w:pPr>
      <w:r>
        <w:t xml:space="preserve">Klopt het dat het aantal rijksambtenaren in 2025 is gestegen van 157.015 naar 160.016 fte?[2]</w:t>
      </w:r>
      <w:r>
        <w:br/>
      </w:r>
    </w:p>
    <w:p>
      <w:pPr>
        <w:pStyle w:val="ListParagraph"/>
        <w:numPr>
          <w:ilvl w:val="0"/>
          <w:numId w:val="100519860"/>
        </w:numPr>
        <w:ind w:left="360"/>
      </w:pPr>
      <w:r>
        <w:t xml:space="preserve">In welk jaar wordt voor het eerst een daling in plaats van een stijging geschat?</w:t>
      </w:r>
      <w:r>
        <w:br/>
      </w:r>
    </w:p>
    <w:p>
      <w:pPr>
        <w:pStyle w:val="ListParagraph"/>
        <w:numPr>
          <w:ilvl w:val="0"/>
          <w:numId w:val="100519860"/>
        </w:numPr>
        <w:ind w:left="360"/>
      </w:pPr>
      <w:r>
        <w:t xml:space="preserve">Klopt het dat het regeerakkoord een efficiencytaakstelling van 400 miljoen euroen een aanvullende taakstelling van één miljard euro bevat[3], samen oplopend tot 1,4 miljard euro structureel vanaf 2030 en dat deze bovenop de taakstelling van één miljard euro van het vorige kabinet komt?[4]</w:t>
      </w:r>
      <w:r>
        <w:br/>
      </w:r>
    </w:p>
    <w:p>
      <w:pPr>
        <w:pStyle w:val="ListParagraph"/>
        <w:numPr>
          <w:ilvl w:val="0"/>
          <w:numId w:val="100519860"/>
        </w:numPr>
        <w:ind w:left="360"/>
      </w:pPr>
      <w:r>
        <w:t xml:space="preserve">Klopt het dat ook deze nieuwe taakstelling uitsluitend budgettair is vormgegeven en dat daarin geen aantal fte, geen percentage en geen streefomvang van de Rijksoverheid is opgenomen?</w:t>
      </w:r>
      <w:r>
        <w:br/>
      </w:r>
    </w:p>
    <w:p>
      <w:pPr>
        <w:pStyle w:val="ListParagraph"/>
        <w:numPr>
          <w:ilvl w:val="0"/>
          <w:numId w:val="100519860"/>
        </w:numPr>
        <w:ind w:left="360"/>
      </w:pPr>
      <w:r>
        <w:t xml:space="preserve">Zo ja, hoe verhoudt zich dat tot de constatering van de Algemene Rekenkamer dat juist het ontbreken van dergelijke doelen het zicht op de krimp wegneemt?</w:t>
      </w:r>
      <w:r>
        <w:br/>
      </w:r>
    </w:p>
    <w:p>
      <w:pPr>
        <w:pStyle w:val="ListParagraph"/>
        <w:numPr>
          <w:ilvl w:val="0"/>
          <w:numId w:val="100519860"/>
        </w:numPr>
        <w:ind w:left="360"/>
      </w:pPr>
      <w:r>
        <w:t xml:space="preserve">Welke omvang van de Rijksoverheid in fte streeft het kabinet na en in welk jaar moet die zijn bereikt?</w:t>
      </w:r>
      <w:r>
        <w:br/>
      </w:r>
    </w:p>
    <w:p>
      <w:pPr>
        <w:pStyle w:val="ListParagraph"/>
        <w:numPr>
          <w:ilvl w:val="0"/>
          <w:numId w:val="100519860"/>
        </w:numPr>
        <w:ind w:left="360"/>
      </w:pPr>
      <w:r>
        <w:t xml:space="preserve">Indien het kabinet geen streefomvang van de Rijksdienst in fte hanteert, hoe kan dan worden vastgesteld of de taakstelling daadwerkelijk leidt tot een kleinere overheid in plaats van uitsluitend tot budgettaire verschuivingen?</w:t>
      </w:r>
      <w:r>
        <w:br/>
      </w:r>
    </w:p>
    <w:p>
      <w:pPr>
        <w:pStyle w:val="ListParagraph"/>
        <w:numPr>
          <w:ilvl w:val="0"/>
          <w:numId w:val="100519860"/>
        </w:numPr>
        <w:ind w:left="360"/>
      </w:pPr>
      <w:r>
        <w:t xml:space="preserve">Kunt u de Kamer per ministerie een overzicht sturen van het aantal fte eind 2025, de beoogde stand in de jaren daarna en de besparing die daarbij hoort?</w:t>
      </w:r>
      <w:r>
        <w:br/>
      </w:r>
    </w:p>
    <w:p>
      <w:pPr>
        <w:pStyle w:val="ListParagraph"/>
        <w:numPr>
          <w:ilvl w:val="0"/>
          <w:numId w:val="100519860"/>
        </w:numPr>
        <w:ind w:left="360"/>
      </w:pPr>
      <w:r>
        <w:t xml:space="preserve">Op welke inhoudelijke analyse is de verdeling van de taakstelling over de ministeries gebaseerd, en welke taken vervallen, worden vereenvoudigd of gedigitaliseerd om die besparing mogelijk te maken? Of is de taakstelling naar rato van het apparaatsbudget verdeeld?</w:t>
      </w:r>
      <w:r>
        <w:br/>
      </w:r>
    </w:p>
    <w:p>
      <w:pPr>
        <w:pStyle w:val="ListParagraph"/>
        <w:numPr>
          <w:ilvl w:val="0"/>
          <w:numId w:val="100519860"/>
        </w:numPr>
        <w:ind w:left="360"/>
      </w:pPr>
      <w:r>
        <w:t xml:space="preserve">Onderkent u dat een naar rato verdeelde korting ertoe kan leiden dat capaciteit verdwijnt bij uitvoeringsorganisaties waar de opgave juist toeneemt, zoals de hersteloperatie toeslagen en de schadeafhandeling in Groningen, terwijl overhead elders in stand blijft?</w:t>
      </w:r>
      <w:r>
        <w:br/>
      </w:r>
    </w:p>
    <w:p>
      <w:pPr>
        <w:pStyle w:val="ListParagraph"/>
        <w:numPr>
          <w:ilvl w:val="0"/>
          <w:numId w:val="100519860"/>
        </w:numPr>
        <w:ind w:left="360"/>
      </w:pPr>
      <w:r>
        <w:t xml:space="preserve">Welke organisaties zijn om die reden ontzien en ten laste van welke andere onderdelen is dat gegaan?</w:t>
      </w:r>
      <w:r>
        <w:br/>
      </w:r>
    </w:p>
    <w:p>
      <w:pPr>
        <w:pStyle w:val="ListParagraph"/>
        <w:numPr>
          <w:ilvl w:val="0"/>
          <w:numId w:val="100519860"/>
        </w:numPr>
        <w:ind w:left="360"/>
      </w:pPr>
      <w:r>
        <w:t xml:space="preserve">Klopt het dat de Algemene Rekenkamer 269 uitvoeringstoetsen heeft onderzocht en dat 38 procent daarvan geen of geen duidelijke uitspraak doet over de personele consequenties van nieuwe wet- en regelgeving?[5]</w:t>
      </w:r>
      <w:r>
        <w:br/>
      </w:r>
    </w:p>
    <w:p>
      <w:pPr>
        <w:pStyle w:val="ListParagraph"/>
        <w:numPr>
          <w:ilvl w:val="0"/>
          <w:numId w:val="100519860"/>
        </w:numPr>
        <w:ind w:left="360"/>
      </w:pPr>
      <w:r>
        <w:t xml:space="preserve">Hoe kan een onderbouwde reductie van het apparaat worden vastgesteld zolang niet in beeld is hoeveel mensen nieuw beleid kost?</w:t>
      </w:r>
      <w:r>
        <w:br/>
      </w:r>
    </w:p>
    <w:p>
      <w:pPr>
        <w:pStyle w:val="ListParagraph"/>
        <w:numPr>
          <w:ilvl w:val="0"/>
          <w:numId w:val="100519860"/>
        </w:numPr>
        <w:ind w:left="360"/>
      </w:pPr>
      <w:r>
        <w:t xml:space="preserve">Klopt het dat de externe inhuur bij het Rijk over de eerste helft van 2025 uitkwam op 11,4 procent van de personele uitgaven[6] en dat de Roemernorm van tien procent daarmee opnieuw is overschreden? In welk jaar komt het Rijk weer onder die norm?</w:t>
      </w:r>
      <w:r>
        <w:br/>
      </w:r>
    </w:p>
    <w:p>
      <w:pPr>
        <w:pStyle w:val="ListParagraph"/>
        <w:numPr>
          <w:ilvl w:val="0"/>
          <w:numId w:val="100519860"/>
        </w:numPr>
        <w:ind w:left="360"/>
      </w:pPr>
      <w:r>
        <w:t xml:space="preserve">Klopt het dat het terugdringen van externe inhuur deels plaatsvindt door verambtelijking en dat dit het aantal fte verhoogt?[7] Wordt dat effect apart zichtbaar gemaakt, en hoe wordt voorkomen dat een lagere inhuur terugkeert als hogere formatie of omgekeerd?</w:t>
      </w:r>
      <w:r>
        <w:br/>
      </w:r>
    </w:p>
    <w:p>
      <w:pPr>
        <w:pStyle w:val="ListParagraph"/>
        <w:numPr>
          <w:ilvl w:val="0"/>
          <w:numId w:val="100519860"/>
        </w:numPr>
        <w:ind w:left="360"/>
      </w:pPr>
      <w:r>
        <w:t xml:space="preserve">Wat gebeurt er als een ministerie de afgesproken reductie niet haalt en over welke instrumenten beschikt de minister van Financiën om dan bij te sturen?</w:t>
      </w:r>
      <w:r>
        <w:br/>
      </w:r>
    </w:p>
    <w:p>
      <w:pPr>
        <w:pStyle w:val="ListParagraph"/>
        <w:numPr>
          <w:ilvl w:val="0"/>
          <w:numId w:val="100519860"/>
        </w:numPr>
        <w:ind w:left="360"/>
      </w:pPr>
      <w:r>
        <w:t xml:space="preserve">Kunt u deze vragen afzonderlijk van elkaar beantwoorden?</w:t>
      </w:r>
      <w:r>
        <w:br/>
      </w:r>
    </w:p>
    <w:p>
      <w:r>
        <w:t xml:space="preserve"> </w:t>
      </w:r>
      <w:r>
        <w:br/>
      </w:r>
    </w:p>
    <w:p>
      <w:r>
        <w:t xml:space="preserve">[1 ]Algemene Rekenkamer, «Resultaten verantwoordingsonderzoek 2025 Ministerie van Binnenlandse Zaken en Koninkrijksrelaties, Gemeentefonds en Provinciefonds», 20 mei 2026, www.rekenkamer.nl.</w:t>
      </w:r>
      <w:r>
        <w:br/>
      </w:r>
    </w:p>
    <w:p>
      <w:r>
        <w:t xml:space="preserve">[2]Algemene Rekenkamer, «Weinig resultaat in 2025; langetermijndoelen voor Nederland uit zicht», 20 mei 2026, www.rekenkamer.nl.</w:t>
      </w:r>
      <w:r>
        <w:br/>
      </w:r>
    </w:p>
    <w:p>
      <w:r>
        <w:t xml:space="preserve">[3]Coalitieakkoord D66, VVD en CDA, «Aan de slag. Bouwen aan een beter Nederland», 30 januari 2026, www.kabinetsformatie2025.nl.</w:t>
      </w:r>
      <w:r>
        <w:br/>
      </w:r>
    </w:p>
    <w:p>
      <w:r>
        <w:t xml:space="preserve">[4]Ministerie van Binnenlandse Zaken en Koninkrijksrelaties, bericht «Rijksoverheid wordt efficiënter en effectiever», 20 mei 2026, www.rijksoverheid.nl.</w:t>
      </w:r>
      <w:r>
        <w:br/>
      </w:r>
    </w:p>
    <w:p>
      <w:r>
        <w:t xml:space="preserve">[5]Zie noot 2.</w:t>
      </w:r>
      <w:r>
        <w:br/>
      </w:r>
    </w:p>
    <w:p>
      <w:r>
        <w:t xml:space="preserve">[6]Brief van de Minister van Binnenlandse Zaken en Koninkrijksrelaties van 5 december 2025 over het dashboard externe inhuur, Kamerstukken II 2025/26, 31 490, nr. 392.</w:t>
      </w:r>
      <w:r>
        <w:br/>
      </w:r>
    </w:p>
    <w:p>
      <w:r>
        <w:t xml:space="preserve">[7]Brief van de Minister van Binnenlandse Zaken en Koninkrijksrelaties van 18 april 2025 over het terugdringen van de externe inhuur, Kamerstukken II 2024/25, 31 490, nr. 363.</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1984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19840">
    <w:abstractNumId w:val="10051984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