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E7B" w:rsidRDefault="00CA5AFA" w14:paraId="1F99AF08" w14:textId="1A86A153">
      <w:bookmarkStart w:name="_GoBack" w:id="0"/>
      <w:bookmarkEnd w:id="0"/>
      <w:r>
        <w:t>Geachte voorzitter,</w:t>
      </w:r>
    </w:p>
    <w:p w:rsidRPr="00CA5AFA" w:rsidR="00CA5AFA" w:rsidP="00CA5AFA" w:rsidRDefault="00CA5AFA" w14:paraId="7F2FD77D" w14:textId="77777777"/>
    <w:p w:rsidR="00CA5AFA" w:rsidP="00CA5AFA" w:rsidRDefault="00CA5AFA" w14:paraId="7D73A04A" w14:textId="59D15C45">
      <w:r w:rsidRPr="00CA5AFA">
        <w:t xml:space="preserve">De Kamer wordt middels de voortgangsbrief periodiek geïnformeerd over de voortgang binnen het Programma Omgeving Luchthaven Schiphol. Binnen dit programma wordt gewerkt aan de balans tussen het belang van een internationale luchthaven en de kwaliteit van de leefomgeving. De </w:t>
      </w:r>
      <w:r>
        <w:t>twaalfde</w:t>
      </w:r>
      <w:r w:rsidRPr="00CA5AFA">
        <w:t xml:space="preserve"> voortgangsbrief is </w:t>
      </w:r>
      <w:r>
        <w:t>op 19 januari</w:t>
      </w:r>
      <w:r w:rsidR="006D2312">
        <w:t xml:space="preserve"> jl.</w:t>
      </w:r>
      <w:r w:rsidRPr="00CA5AFA">
        <w:t xml:space="preserve"> aan de Kamer gestuurd.</w:t>
      </w:r>
      <w:r>
        <w:rPr>
          <w:rStyle w:val="FootnoteReference"/>
        </w:rPr>
        <w:footnoteReference w:id="1"/>
      </w:r>
      <w:r w:rsidRPr="00CA5AFA">
        <w:t xml:space="preserve"> Hierbij ontvangt de Kamer de </w:t>
      </w:r>
      <w:r w:rsidR="00AF393C">
        <w:t xml:space="preserve">dertiende </w:t>
      </w:r>
      <w:r w:rsidRPr="00CA5AFA">
        <w:t xml:space="preserve">voortgangsbrief met een stand van zaken </w:t>
      </w:r>
      <w:r w:rsidR="007243E3">
        <w:t>over</w:t>
      </w:r>
      <w:r w:rsidRPr="00CA5AFA">
        <w:t xml:space="preserve"> een aantal lopende trajecten.</w:t>
      </w:r>
    </w:p>
    <w:p w:rsidR="00EC7404" w:rsidP="00CA5AFA" w:rsidRDefault="00EC7404" w14:paraId="45D2A119" w14:textId="77777777">
      <w:bookmarkStart w:name="_Hlk236650656" w:id="1"/>
    </w:p>
    <w:p w:rsidRPr="006547E7" w:rsidR="00EC7404" w:rsidP="00EC7404" w:rsidRDefault="00EC7404" w14:paraId="542812F7" w14:textId="7CFA64B0">
      <w:pPr>
        <w:rPr>
          <w:b/>
          <w:bCs/>
        </w:rPr>
      </w:pPr>
      <w:bookmarkStart w:name="_Hlk238719557" w:id="2"/>
      <w:r w:rsidRPr="006547E7">
        <w:rPr>
          <w:b/>
          <w:bCs/>
        </w:rPr>
        <w:t>Luchthavenverkeerbesluit Schiphol</w:t>
      </w:r>
    </w:p>
    <w:bookmarkEnd w:id="2"/>
    <w:p w:rsidR="00C24D42" w:rsidP="007E62BA" w:rsidRDefault="007E62BA" w14:paraId="36104FDE" w14:textId="77777777">
      <w:r w:rsidRPr="00C24D42">
        <w:t>Zoals op 14 september jl. gemeld, heeft de Afdeling advisering van de Raad van State een advies (dictum B) uitgebracht over het besluit tot wijziging van het LVB.</w:t>
      </w:r>
      <w:r w:rsidRPr="00C24D42">
        <w:rPr>
          <w:rStyle w:val="FootnoteReference"/>
        </w:rPr>
        <w:footnoteReference w:id="2"/>
      </w:r>
      <w:r w:rsidRPr="00C24D42">
        <w:t xml:space="preserve"> De Afdeling onderschrijft in het advies het belang om de rechtsbescherming van omwonenden te herstellen en een evenwicht te vinden tussen belangen van de luchthaven en diens gebruikers en de belangen van omwonenden. De Afdeling maakt een aantal opmerkingen en adviseert de regering daarmee rekening te houden voordat een besluit wordt genomen.</w:t>
      </w:r>
      <w:r w:rsidRPr="00C24D42" w:rsidR="00C24D42">
        <w:t xml:space="preserve"> </w:t>
      </w:r>
    </w:p>
    <w:p w:rsidR="00C24D42" w:rsidP="007E62BA" w:rsidRDefault="00C24D42" w14:paraId="3EAC9A28" w14:textId="77777777"/>
    <w:p w:rsidRPr="00C24D42" w:rsidR="00C24D42" w:rsidP="007E62BA" w:rsidRDefault="00C24D42" w14:paraId="478E4892" w14:textId="1A3CABEA">
      <w:r w:rsidRPr="00C24D42">
        <w:t xml:space="preserve">Dit </w:t>
      </w:r>
      <w:r w:rsidR="005D63BC">
        <w:t>advies heeft een dictum B gekregen en</w:t>
      </w:r>
      <w:r w:rsidRPr="00C24D42">
        <w:t xml:space="preserve"> advies stelt het kabinet in staat om, na het geplande debat op 29 september en na vaststelling van het nader rapport, het LVB per 1 november in te laten gaan. Dit is van groot belang in het licht van de uitspraak in de RBV-zaak, waarin de Staat is opgedragen zo snel mogelijk de rechtsbescherming van omwonenden te herstellen. Daarbij is het van groot belang om na zestien jaar een stevig juridisch fundament te creëren voor onze nationale luchthaven en </w:t>
      </w:r>
      <w:r>
        <w:t>éé</w:t>
      </w:r>
      <w:r w:rsidRPr="00C24D42">
        <w:t xml:space="preserve">n van de belangrijkste motoren van onze economie. Voorafgaand aan het debat op 29 september ontvangt de Kamer een brief met nadere duiding van het advies van de Afdeling en een eerste reactie op de hoofdpunten. De definitieve uitwerking van het advies komt in het nader rapport. Dit zal zoals gebruikelijk tegelijk met het ontwerpbesluit worden vastgesteld en gepubliceerd. </w:t>
      </w:r>
    </w:p>
    <w:p w:rsidR="007E62BA" w:rsidP="00EC7404" w:rsidRDefault="007E62BA" w14:paraId="47DA9975" w14:textId="77777777"/>
    <w:p w:rsidR="00EC7404" w:rsidP="00CA5AFA" w:rsidRDefault="00EC7404" w14:paraId="586C7742" w14:textId="74894596">
      <w:r w:rsidRPr="006547E7">
        <w:t xml:space="preserve">De </w:t>
      </w:r>
      <w:r w:rsidR="00653291">
        <w:t>K</w:t>
      </w:r>
      <w:r w:rsidRPr="006547E7">
        <w:t>amer heeft gevraagd om een reactie op de zienswijze van de Stichting Platform Uithoorn Schiphol Hinderbeperking (PUSH) op het ontwerpbesluit wijziging van het LVB Schiphol (LVB).</w:t>
      </w:r>
      <w:r w:rsidRPr="006547E7">
        <w:rPr>
          <w:rStyle w:val="FootnoteReference"/>
        </w:rPr>
        <w:footnoteReference w:id="3"/>
      </w:r>
      <w:r w:rsidR="005B70C3">
        <w:t xml:space="preserve"> Per abuis is in verzamelbrief </w:t>
      </w:r>
      <w:r w:rsidRPr="006547E7" w:rsidR="005B70C3">
        <w:t xml:space="preserve">Luchtvaart Q2 </w:t>
      </w:r>
      <w:r w:rsidRPr="006547E7" w:rsidR="005B70C3">
        <w:lastRenderedPageBreak/>
        <w:t>2026 van 7 juli</w:t>
      </w:r>
      <w:r w:rsidR="005B70C3">
        <w:t xml:space="preserve"> niet genoemd hoe er wordt omgegaan met het verzoek van </w:t>
      </w:r>
      <w:r w:rsidRPr="006547E7" w:rsidR="005B70C3">
        <w:t>Stichting PUSH</w:t>
      </w:r>
      <w:r w:rsidR="005B70C3">
        <w:rPr>
          <w:rStyle w:val="FootnoteReference"/>
        </w:rPr>
        <w:footnoteReference w:id="4"/>
      </w:r>
      <w:r w:rsidR="005B70C3">
        <w:t>. Het is namelijk gebruikelijk dat d</w:t>
      </w:r>
      <w:r w:rsidRPr="006547E7" w:rsidR="005B70C3">
        <w:t xml:space="preserve">e Tweede Kamer over het geheel </w:t>
      </w:r>
      <w:r w:rsidR="005B70C3">
        <w:t>van zienswijzen</w:t>
      </w:r>
      <w:r w:rsidRPr="006547E7" w:rsidR="005B70C3">
        <w:t xml:space="preserve"> geïnformeerd</w:t>
      </w:r>
      <w:r w:rsidR="005B70C3">
        <w:t xml:space="preserve"> wordt</w:t>
      </w:r>
      <w:r w:rsidRPr="006547E7" w:rsidR="005B70C3">
        <w:t xml:space="preserve"> bij </w:t>
      </w:r>
      <w:r w:rsidR="005B70C3">
        <w:t>publicatie</w:t>
      </w:r>
      <w:r w:rsidRPr="006547E7" w:rsidR="005B70C3">
        <w:t xml:space="preserve"> van de zogenaamde Nota van Antwoord waarin alle zienswijzen van een reactie worden voorzien</w:t>
      </w:r>
      <w:r w:rsidR="005B70C3">
        <w:t>.</w:t>
      </w:r>
      <w:r w:rsidRPr="005B70C3" w:rsidR="005B70C3">
        <w:t xml:space="preserve"> </w:t>
      </w:r>
      <w:r w:rsidRPr="006547E7">
        <w:t>Op dit moment wordt er gewerkt aan het beantwoorden van alle ingediende zienswijzen op het Luchthavenverkeerbesluit, inclusief de zienswijze van de Stichting PUSH</w:t>
      </w:r>
      <w:r w:rsidR="005B70C3">
        <w:t xml:space="preserve">. </w:t>
      </w:r>
    </w:p>
    <w:p w:rsidR="00EC7404" w:rsidP="00CA5AFA" w:rsidRDefault="00EC7404" w14:paraId="777B6CDA" w14:textId="77777777"/>
    <w:p w:rsidRPr="007A4204" w:rsidR="00EC7404" w:rsidP="00EC7404" w:rsidRDefault="00EC7404" w14:paraId="2D90828C" w14:textId="77777777">
      <w:pPr>
        <w:rPr>
          <w:b/>
          <w:bCs/>
        </w:rPr>
      </w:pPr>
      <w:bookmarkStart w:name="_Hlk238719451" w:id="3"/>
      <w:r w:rsidRPr="00813705">
        <w:rPr>
          <w:b/>
          <w:bCs/>
        </w:rPr>
        <w:t>Evaluatie NNHS</w:t>
      </w:r>
    </w:p>
    <w:bookmarkEnd w:id="3"/>
    <w:p w:rsidRPr="00F67DCC" w:rsidR="00EC7404" w:rsidP="00EC7404" w:rsidRDefault="00EC7404" w14:paraId="1BED0BDB" w14:textId="01266AFF">
      <w:r w:rsidRPr="00F67DCC">
        <w:t>Op verzoek van de Maatschappelijke Raad Schiphol (MRS) heeft het ministerie opdracht gegeven om het Nieuw</w:t>
      </w:r>
      <w:r w:rsidR="0075347D">
        <w:t>e</w:t>
      </w:r>
      <w:r w:rsidRPr="00F67DCC">
        <w:t xml:space="preserve"> Normen- en Handhavingsstelsel (NNHS) te evalueren. Deze evaluatie is eind vorig jaar van start gegaan en is uitgevoerd door bureau AT Osborne. Vooraf heeft </w:t>
      </w:r>
      <w:r>
        <w:t>het ministerie</w:t>
      </w:r>
      <w:r w:rsidRPr="00F67DCC">
        <w:t xml:space="preserve"> een feitenbasis NNHS laten opstellen als basis voor het evaluatieonderzoek. Dit document, tevens als bijlage bijgevoegd, is opgesteld door bureau Adecs Airinfra Consultants.</w:t>
      </w:r>
    </w:p>
    <w:p w:rsidRPr="00F67DCC" w:rsidR="00EC7404" w:rsidP="00EC7404" w:rsidRDefault="00EC7404" w14:paraId="6FEC7F9C" w14:textId="77777777"/>
    <w:p w:rsidRPr="00F67DCC" w:rsidR="00EC7404" w:rsidP="00EC7404" w:rsidRDefault="00EC7404" w14:paraId="49CA3BAF" w14:textId="136D20B5">
      <w:r w:rsidRPr="00F67DCC">
        <w:t>Meerdere partijen hebben input gegeven, in de vorm van interviews en verificatiesessie(s). Dit betreft vertegenwoordigers van bewoners rondom Schiphol</w:t>
      </w:r>
      <w:r w:rsidR="00D03154">
        <w:t xml:space="preserve"> en</w:t>
      </w:r>
      <w:r w:rsidRPr="00F67DCC">
        <w:t xml:space="preserve"> </w:t>
      </w:r>
      <w:r w:rsidRPr="00F67DCC" w:rsidR="00D03154">
        <w:t>partijen uit de luchtvaartsector</w:t>
      </w:r>
      <w:r w:rsidRPr="00F67DCC">
        <w:t>. Ook de voorzitter van de toenmalige Alderstafel, de heer Alders, is betrokken geweest bij deze evaluatie.</w:t>
      </w:r>
      <w:r w:rsidR="00D03154">
        <w:t xml:space="preserve"> </w:t>
      </w:r>
      <w:r w:rsidRPr="00F67DCC">
        <w:t>De evaluatie is onlangs afgerond. Hierbij wordt de definitieve rapportage aan de Kamer aangeboden.</w:t>
      </w:r>
    </w:p>
    <w:p w:rsidRPr="00F67DCC" w:rsidR="00EC7404" w:rsidP="00EC7404" w:rsidRDefault="00EC7404" w14:paraId="6E60802A" w14:textId="77777777"/>
    <w:p w:rsidRPr="00F67DCC" w:rsidR="00EC7404" w:rsidP="00EC7404" w:rsidRDefault="00EC7404" w14:paraId="0721B210" w14:textId="76E5721D">
      <w:r w:rsidRPr="00F67DCC">
        <w:t xml:space="preserve">AT Osborne </w:t>
      </w:r>
      <w:r w:rsidR="00D03154">
        <w:t>concludeert</w:t>
      </w:r>
      <w:r w:rsidRPr="00F67DCC">
        <w:t xml:space="preserve"> dat bij de totstandkoming van wet- en regelgeving ten aanzien van Schiphol </w:t>
      </w:r>
      <w:r w:rsidR="007243E3">
        <w:t xml:space="preserve">sprake is van </w:t>
      </w:r>
      <w:r w:rsidRPr="00F67DCC">
        <w:t>meerdere, deels tegenstrijdige belangen. In de algemene (hoofd-)conclusie wordt aangegeven dat:</w:t>
      </w:r>
    </w:p>
    <w:p w:rsidRPr="00F67DCC" w:rsidR="00EC7404" w:rsidP="00EC7404" w:rsidRDefault="00EC7404" w14:paraId="32B8CB62" w14:textId="77777777"/>
    <w:p w:rsidRPr="00F67DCC" w:rsidR="00EC7404" w:rsidP="00EC7404" w:rsidRDefault="00EC7404" w14:paraId="765F3196" w14:textId="77777777">
      <w:pPr>
        <w:numPr>
          <w:ilvl w:val="0"/>
          <w:numId w:val="24"/>
        </w:numPr>
      </w:pPr>
      <w:r w:rsidRPr="00F67DCC">
        <w:t xml:space="preserve">Het initiële NNHS-stelsel (incl. experiment) destijds succesvol </w:t>
      </w:r>
      <w:r w:rsidRPr="00D03154">
        <w:t>in consensus</w:t>
      </w:r>
      <w:r w:rsidRPr="00F67DCC">
        <w:t xml:space="preserve"> tot stand is gekomen conform de kabinetsopdracht waarbij een brede publieke belangenafweging is gemaakt;</w:t>
      </w:r>
    </w:p>
    <w:p w:rsidRPr="007E62BA" w:rsidR="00EC7404" w:rsidP="00EC7404" w:rsidRDefault="00EC7404" w14:paraId="3CFE302B" w14:textId="77777777">
      <w:pPr>
        <w:numPr>
          <w:ilvl w:val="0"/>
          <w:numId w:val="24"/>
        </w:numPr>
      </w:pPr>
      <w:r w:rsidRPr="00F67DCC">
        <w:t>D</w:t>
      </w:r>
      <w:r w:rsidRPr="007E62BA">
        <w:t>e juridische verankering vervolgens is uitgebleven met gevolgen voor rechtsbescherming van omwonenden;</w:t>
      </w:r>
    </w:p>
    <w:p w:rsidRPr="00F67DCC" w:rsidR="00EC7404" w:rsidP="00EC7404" w:rsidRDefault="00EC7404" w14:paraId="7E8AB204" w14:textId="77777777">
      <w:pPr>
        <w:numPr>
          <w:ilvl w:val="0"/>
          <w:numId w:val="24"/>
        </w:numPr>
      </w:pPr>
      <w:r w:rsidRPr="007E62BA">
        <w:t>Door het uitblijven van deze juridische verankering een aantal zaken door elkaar zijn gaan lopen: modelwerkelijkheid, daadwerkelijke hindercijfers en beleving van hi</w:t>
      </w:r>
      <w:r w:rsidRPr="00F67DCC">
        <w:t>nder;</w:t>
      </w:r>
    </w:p>
    <w:p w:rsidRPr="00F67DCC" w:rsidR="00EC7404" w:rsidP="00EC7404" w:rsidRDefault="00EC7404" w14:paraId="29DC3FD6" w14:textId="77777777">
      <w:pPr>
        <w:numPr>
          <w:ilvl w:val="0"/>
          <w:numId w:val="24"/>
        </w:numPr>
      </w:pPr>
      <w:r w:rsidRPr="00F67DCC">
        <w:t xml:space="preserve">In deze complexiteit </w:t>
      </w:r>
      <w:r w:rsidRPr="008841D2">
        <w:t>partijen elkaar zijn kwijtgeraakt,</w:t>
      </w:r>
      <w:r w:rsidRPr="00F67DCC">
        <w:t xml:space="preserve"> onderling vertrouwen is afgenomen en verhoudingen zijn gepolariseerd.</w:t>
      </w:r>
    </w:p>
    <w:p w:rsidRPr="00F67DCC" w:rsidR="00EC7404" w:rsidP="00EC7404" w:rsidRDefault="00EC7404" w14:paraId="0189BC4E" w14:textId="77777777"/>
    <w:p w:rsidRPr="00F67DCC" w:rsidR="00EC7404" w:rsidP="00EC7404" w:rsidRDefault="00EC7404" w14:paraId="1C099B5C" w14:textId="77777777">
      <w:r w:rsidRPr="00F67DCC">
        <w:t>AT Osborne geeft aan dat er zowel bij omwonenden als sectorpartijen behoefte is aan perspectief en duidelijkheid en adviseert</w:t>
      </w:r>
      <w:r>
        <w:t xml:space="preserve"> om</w:t>
      </w:r>
      <w:r w:rsidRPr="00F67DCC">
        <w:t>:</w:t>
      </w:r>
    </w:p>
    <w:p w:rsidRPr="00F67DCC" w:rsidR="00EC7404" w:rsidP="00EC7404" w:rsidRDefault="00EC7404" w14:paraId="3799D38B" w14:textId="77777777"/>
    <w:p w:rsidRPr="00F67DCC" w:rsidR="00EC7404" w:rsidP="00EC7404" w:rsidRDefault="00EC7404" w14:paraId="2355468A" w14:textId="6B5E2291">
      <w:pPr>
        <w:numPr>
          <w:ilvl w:val="0"/>
          <w:numId w:val="25"/>
        </w:numPr>
      </w:pPr>
      <w:r>
        <w:t xml:space="preserve">De uitkomsten van </w:t>
      </w:r>
      <w:r w:rsidRPr="00F67DCC">
        <w:t>deze evaluatie</w:t>
      </w:r>
      <w:r>
        <w:t xml:space="preserve"> te erkennen</w:t>
      </w:r>
      <w:r w:rsidRPr="00F67DCC">
        <w:t xml:space="preserve"> en hierover in gesprek</w:t>
      </w:r>
      <w:r>
        <w:t xml:space="preserve"> te gaan</w:t>
      </w:r>
      <w:r w:rsidRPr="00F67DCC">
        <w:t xml:space="preserve"> met elkaar, op respectvolle wijze. </w:t>
      </w:r>
      <w:r>
        <w:t xml:space="preserve">Het is </w:t>
      </w:r>
      <w:r w:rsidR="00D03154">
        <w:t xml:space="preserve">volgens hen </w:t>
      </w:r>
      <w:r>
        <w:t>de t</w:t>
      </w:r>
      <w:r w:rsidRPr="00F67DCC">
        <w:t xml:space="preserve">aak voor </w:t>
      </w:r>
      <w:r>
        <w:t>het ministerie</w:t>
      </w:r>
      <w:r w:rsidRPr="00F67DCC">
        <w:t xml:space="preserve"> om hiervoor een nieuw overleggremium in te stellen</w:t>
      </w:r>
      <w:r>
        <w:t xml:space="preserve">. </w:t>
      </w:r>
    </w:p>
    <w:p w:rsidR="00653291" w:rsidP="00CA5AFA" w:rsidRDefault="00EC7404" w14:paraId="7F54F694" w14:textId="275855AE">
      <w:pPr>
        <w:numPr>
          <w:ilvl w:val="0"/>
          <w:numId w:val="25"/>
        </w:numPr>
      </w:pPr>
      <w:r>
        <w:t>Als ministerie</w:t>
      </w:r>
      <w:r w:rsidRPr="00F67DCC">
        <w:t xml:space="preserve"> de regie en politieke verantwoordelijkheid op het Schiphol-dossier</w:t>
      </w:r>
      <w:r>
        <w:t xml:space="preserve"> te hernemen</w:t>
      </w:r>
      <w:r w:rsidRPr="00F67DCC">
        <w:t>.</w:t>
      </w:r>
      <w:r>
        <w:t xml:space="preserve"> </w:t>
      </w:r>
      <w:bookmarkEnd w:id="1"/>
    </w:p>
    <w:p w:rsidR="00653291" w:rsidP="00653291" w:rsidRDefault="00653291" w14:paraId="0AF52657" w14:textId="77777777"/>
    <w:p w:rsidR="002B214F" w:rsidP="002B214F" w:rsidRDefault="005251A7" w14:paraId="6EDADB40" w14:textId="40DF4F58">
      <w:r w:rsidRPr="005251A7">
        <w:t xml:space="preserve">De evaluatie laat zien hoe vanuit verschillende perspectieven aangekeken wordt tegen afspraken uit het verleden en de interpretatie van beoogde resultaten. Mede door dit verschil van inzicht in combinatie met het uitblijven van juridische verankering van afspraken zijn </w:t>
      </w:r>
      <w:r w:rsidRPr="008841D2">
        <w:t>partijen</w:t>
      </w:r>
      <w:r w:rsidRPr="008841D2" w:rsidR="008841D2">
        <w:t xml:space="preserve"> elkaar helaas kwijtgeraakt</w:t>
      </w:r>
      <w:r w:rsidRPr="008841D2">
        <w:t>.</w:t>
      </w:r>
      <w:r w:rsidRPr="005251A7">
        <w:t xml:space="preserve"> Het ministerie zal opvolging geven aan de punten van de evaluatie. De wijziging van het LVB is </w:t>
      </w:r>
      <w:r w:rsidR="00EF5CE2">
        <w:t xml:space="preserve">daarvan uiteraard de </w:t>
      </w:r>
      <w:r w:rsidRPr="005251A7">
        <w:t>belangrijk</w:t>
      </w:r>
      <w:r w:rsidR="00EF5CE2">
        <w:t>st</w:t>
      </w:r>
      <w:r w:rsidRPr="005251A7">
        <w:t xml:space="preserve">e stap om te zorgen voor een juridische basis voor Schiphol, waarmee er duidelijkheid ontstaat voor alle partijen. Doordat er een einde wordt gemaakt aan de gedoogsituatie wordt de rechtsbescherming van omwonenden hersteld. </w:t>
      </w:r>
    </w:p>
    <w:p w:rsidRPr="002B214F" w:rsidR="002B214F" w:rsidP="002B214F" w:rsidRDefault="002B214F" w14:paraId="2973DA6F" w14:textId="77777777"/>
    <w:p w:rsidRPr="007E62BA" w:rsidR="005251A7" w:rsidP="005251A7" w:rsidRDefault="005251A7" w14:paraId="7B1C3DB2" w14:textId="316AE7A5">
      <w:r w:rsidRPr="005251A7">
        <w:t>Met de verschillende partijen zal worden besproken hoe gezamenlijk overleg vormgegeven kan worden</w:t>
      </w:r>
      <w:r w:rsidR="00295B1A">
        <w:t xml:space="preserve"> (cf. aanbeveling AT Osborne)</w:t>
      </w:r>
      <w:r w:rsidRPr="005251A7">
        <w:t>, zodat stapsgewijs onderlinge verschillen verminderd ku</w:t>
      </w:r>
      <w:r w:rsidRPr="007E62BA">
        <w:t>nnen worden. Dit mede in het licht van de verdere opvolging van de motie Peter de Groot over inrichting van een luchtvaarttafel.</w:t>
      </w:r>
      <w:r w:rsidRPr="007E62BA" w:rsidR="00B02BCE">
        <w:rPr>
          <w:vertAlign w:val="superscript"/>
        </w:rPr>
        <w:t xml:space="preserve"> </w:t>
      </w:r>
      <w:r w:rsidRPr="007E62BA" w:rsidR="00B02BCE">
        <w:rPr>
          <w:vertAlign w:val="superscript"/>
        </w:rPr>
        <w:footnoteReference w:id="5"/>
      </w:r>
      <w:r w:rsidRPr="007E62BA">
        <w:t xml:space="preserve"> </w:t>
      </w:r>
    </w:p>
    <w:p w:rsidR="00DD4E83" w:rsidP="00DD4E83" w:rsidRDefault="00DD4E83" w14:paraId="39872ECD" w14:textId="77777777">
      <w:pPr>
        <w:rPr>
          <w:b/>
          <w:bCs/>
        </w:rPr>
      </w:pPr>
      <w:bookmarkStart w:name="_Hlk238719458" w:id="4"/>
    </w:p>
    <w:p w:rsidR="00DD4E83" w:rsidP="00DD4E83" w:rsidRDefault="00DD4E83" w14:paraId="121B4638" w14:textId="77777777">
      <w:pPr>
        <w:rPr>
          <w:b/>
          <w:bCs/>
        </w:rPr>
      </w:pPr>
      <w:r w:rsidRPr="00813705">
        <w:rPr>
          <w:b/>
          <w:bCs/>
        </w:rPr>
        <w:t>Convenant</w:t>
      </w:r>
      <w:r>
        <w:rPr>
          <w:b/>
          <w:bCs/>
        </w:rPr>
        <w:t xml:space="preserve"> met KLM</w:t>
      </w:r>
    </w:p>
    <w:p w:rsidR="00295B1A" w:rsidP="00295B1A" w:rsidRDefault="00295B1A" w14:paraId="72962D40" w14:textId="5B7DFA75">
      <w:r w:rsidRPr="00D91FF9">
        <w:t xml:space="preserve">In het commissiedebat Schiphol van 19 mei 2026 is er een toezegging gedaan aan het kamerlid Zwinkels (CDA) om opnieuw met KLM in gesprek te gaan over een convenant met bindende afspraken over hun aandeel in de reductie van de geluidbelasting. </w:t>
      </w:r>
      <w:r>
        <w:t>Deze gesprekken lopen</w:t>
      </w:r>
      <w:r w:rsidRPr="00D91FF9">
        <w:t xml:space="preserve">. </w:t>
      </w:r>
      <w:r>
        <w:t>Los daarvan heeft KLM al eerder</w:t>
      </w:r>
      <w:r w:rsidRPr="00D91FF9">
        <w:t xml:space="preserve"> schriftelijk bevestigd zich nog steeds te binden aan de eerder gedane toezegging en bijbehorende maatregelen, ook zonder het sluiten van een convenant. Inmiddels heeft KLM ook bevestigd dat het maatregelen </w:t>
      </w:r>
      <w:r>
        <w:t>zal treffen</w:t>
      </w:r>
      <w:r w:rsidRPr="00D91FF9">
        <w:t xml:space="preserve"> om het tegenvallende resultaat van de tweede tussenmonitoring van de balanced approach-maatregelen te ondervangen.</w:t>
      </w:r>
      <w:r>
        <w:t xml:space="preserve"> Als deze maatregelen doorgevoerd worden, zou op basis van voorlopige inschattingen het geluidsdoel van 15 procent alsnog behaald worden.</w:t>
      </w:r>
    </w:p>
    <w:p w:rsidR="005A0328" w:rsidP="00CA5AFA" w:rsidRDefault="005A0328" w14:paraId="5DD0BA40" w14:textId="77777777">
      <w:pPr>
        <w:rPr>
          <w:b/>
          <w:bCs/>
        </w:rPr>
      </w:pPr>
    </w:p>
    <w:p w:rsidR="00813705" w:rsidP="00CA5AFA" w:rsidRDefault="00813705" w14:paraId="6D4F033D" w14:textId="57A486B5">
      <w:pPr>
        <w:rPr>
          <w:b/>
          <w:bCs/>
        </w:rPr>
      </w:pPr>
      <w:r w:rsidRPr="00813705">
        <w:rPr>
          <w:b/>
          <w:bCs/>
        </w:rPr>
        <w:t>Gevelisolatie</w:t>
      </w:r>
    </w:p>
    <w:bookmarkEnd w:id="4"/>
    <w:p w:rsidRPr="00F93964" w:rsidR="00F93964" w:rsidP="00F93964" w:rsidRDefault="00F93964" w14:paraId="399498CD" w14:textId="58C9EDB1">
      <w:pPr>
        <w:rPr>
          <w:color w:val="auto"/>
          <w:sz w:val="22"/>
          <w:szCs w:val="22"/>
        </w:rPr>
      </w:pPr>
      <w:r w:rsidRPr="00F93964">
        <w:t>In de twaalfde voortgangsbrief is aangekondigd dat de Regeling gevelisolatie Schiphol 2023 (‘RGS’23’) zal worden gewijzigd om te kunnen voorzien in een groter toepassingsgebied gebaseerd op een verkeersscenario met 478.000 vliegtuigbewegingenbewegingen zoals wordt vastgelegd in de integrale herziening van het Luchthavenverkeerbesluit Schiphol</w:t>
      </w:r>
      <w:r w:rsidR="00946C8B">
        <w:rPr>
          <w:rStyle w:val="FootnoteReference"/>
        </w:rPr>
        <w:footnoteReference w:id="6"/>
      </w:r>
      <w:r w:rsidRPr="00F93964">
        <w:t xml:space="preserve">. Onder de huidige regeling is dat toepassingsgebied namelijk nog gebaseerd op een verkeersscenario met 440.000 vliegtuigbewegingen. </w:t>
      </w:r>
    </w:p>
    <w:p w:rsidRPr="00F93964" w:rsidR="00F93964" w:rsidP="00F93964" w:rsidRDefault="00F93964" w14:paraId="14B6D51B" w14:textId="77777777"/>
    <w:p w:rsidRPr="00F93964" w:rsidR="00F93964" w:rsidP="00F93964" w:rsidRDefault="00F93964" w14:paraId="451A1E1D" w14:textId="77777777">
      <w:r w:rsidRPr="00F93964">
        <w:t xml:space="preserve">De juridische verankering in het LVB is nodig om van het aantal van 478.000 vliegtuigbewegingen uit te kunnen uitgaan. Dat heeft te maken met de onderliggende geluidsheffing voor de bekostiging van de RGS’23. De isolatieopgave moet afgestemd zijn op het vastgelegde maximum aantal dat mag worden gevlogen. </w:t>
      </w:r>
    </w:p>
    <w:p w:rsidRPr="00F93964" w:rsidR="00F93964" w:rsidP="00F93964" w:rsidRDefault="00F93964" w14:paraId="160205F2" w14:textId="77777777">
      <w:r w:rsidRPr="00F93964">
        <w:br/>
        <w:t>Door de wijziging worden circa 150 adressen extra in beschouwing genomen voor geluidwerende maatregelen. Dat is bovenop de 670 adressen die al in beschouwing zijn genomen. De extra kosten die deze wijziging met zich meebrengt, worden geraamd op 6,1 miljoen euro en worden – evenals de kosten van de oorspronkelijke regeling - via een heffing doorbelast aan de luchtvaartsector. De adressen waar het om gaat, hebben vorige maand een brief ontvangen met een deelnameverzoek van Rijkswaterstaat.</w:t>
      </w:r>
    </w:p>
    <w:p w:rsidR="007E4C52" w:rsidP="00813705" w:rsidRDefault="007E4C52" w14:paraId="0246E54C" w14:textId="77777777"/>
    <w:p w:rsidRPr="007E4C52" w:rsidR="007E4C52" w:rsidP="00813705" w:rsidRDefault="007E4C52" w14:paraId="00BED3A3" w14:textId="2E03FE59">
      <w:pPr>
        <w:rPr>
          <w:b/>
          <w:bCs/>
        </w:rPr>
      </w:pPr>
      <w:bookmarkStart w:name="_Hlk238719463" w:id="5"/>
      <w:r w:rsidRPr="007E4C52">
        <w:rPr>
          <w:b/>
          <w:bCs/>
        </w:rPr>
        <w:t>Grondafhandeling</w:t>
      </w:r>
    </w:p>
    <w:bookmarkEnd w:id="5"/>
    <w:p w:rsidR="006612B8" w:rsidP="007E4C52" w:rsidRDefault="007E4C52" w14:paraId="40A4437E" w14:textId="7047DD9D">
      <w:r w:rsidRPr="007E4C52">
        <w:t>Op 10 mei 2024 is het besluit om het aantal grondafhandelingsbedrijven op Schiphol tot drie te beperken gepubliceerd in de Staatscourant.</w:t>
      </w:r>
      <w:r>
        <w:rPr>
          <w:rStyle w:val="FootnoteReference"/>
        </w:rPr>
        <w:footnoteReference w:id="7"/>
      </w:r>
      <w:r w:rsidRPr="007E4C52">
        <w:t xml:space="preserve"> De verwachting is dat met de invoering van deze beperking een belangrijke bijdrage geleverd kan worden aan verbetering van de situatie </w:t>
      </w:r>
      <w:r w:rsidR="00127CDB">
        <w:t>van</w:t>
      </w:r>
      <w:r w:rsidRPr="007E4C52">
        <w:t xml:space="preserve"> de grondafhandeling op Schiphol op het punt van efficiency, personeelstekort, veilige uitvoering van werkprocessen en arbeidsvoorwaarden en -omstandigheden van grondpersoneel. Tegen de op 16 december 2024 genomen beslissing op bezwaar </w:t>
      </w:r>
      <w:r w:rsidR="006612B8">
        <w:t>had</w:t>
      </w:r>
      <w:r w:rsidRPr="007E4C52">
        <w:t xml:space="preserve"> één partij beroep ingesteld bij de rechtbank Noord-Holland. De behandeling ter zitting van deze zaak </w:t>
      </w:r>
      <w:r w:rsidR="006612B8">
        <w:t>zou</w:t>
      </w:r>
      <w:r w:rsidRPr="007E4C52">
        <w:t xml:space="preserve"> </w:t>
      </w:r>
      <w:r w:rsidR="006612B8">
        <w:t>eind mei</w:t>
      </w:r>
      <w:r w:rsidRPr="007E4C52">
        <w:t xml:space="preserve"> plaatsvinden</w:t>
      </w:r>
      <w:r w:rsidR="00D06982">
        <w:t>.</w:t>
      </w:r>
      <w:r w:rsidR="006612B8">
        <w:t xml:space="preserve"> Vlak </w:t>
      </w:r>
      <w:r w:rsidRPr="006612B8" w:rsidR="006612B8">
        <w:t>voor de zitting trok de</w:t>
      </w:r>
      <w:r w:rsidR="006612B8">
        <w:t>ze</w:t>
      </w:r>
      <w:r w:rsidRPr="006612B8" w:rsidR="006612B8">
        <w:t xml:space="preserve"> partij </w:t>
      </w:r>
      <w:r w:rsidR="006612B8">
        <w:t>diens</w:t>
      </w:r>
      <w:r w:rsidRPr="006612B8" w:rsidR="006612B8">
        <w:t xml:space="preserve"> beroep in, waar</w:t>
      </w:r>
      <w:r w:rsidR="004B560A">
        <w:t>mee</w:t>
      </w:r>
      <w:r w:rsidRPr="006612B8" w:rsidR="006612B8">
        <w:t xml:space="preserve"> het besluit </w:t>
      </w:r>
      <w:r w:rsidR="004B560A">
        <w:t xml:space="preserve">tot beperking </w:t>
      </w:r>
      <w:r w:rsidRPr="006612B8" w:rsidR="006612B8">
        <w:t xml:space="preserve">definitief </w:t>
      </w:r>
      <w:r w:rsidR="004B560A">
        <w:t>is geworden</w:t>
      </w:r>
      <w:r w:rsidRPr="006612B8" w:rsidR="006612B8">
        <w:t>.</w:t>
      </w:r>
    </w:p>
    <w:p w:rsidR="006612B8" w:rsidP="007E4C52" w:rsidRDefault="006612B8" w14:paraId="30808FD4" w14:textId="77777777"/>
    <w:p w:rsidR="007E4C52" w:rsidP="007E4C52" w:rsidRDefault="007E4C52" w14:paraId="3F42B6DD" w14:textId="4F1A772E">
      <w:r w:rsidRPr="007E4C52">
        <w:t>Zoals eerder met de Kamer gecommuniceerd geldt de beperking niet voor vracht- en zelfafhandeling.</w:t>
      </w:r>
      <w:r>
        <w:rPr>
          <w:rStyle w:val="FootnoteReference"/>
        </w:rPr>
        <w:footnoteReference w:id="8"/>
      </w:r>
      <w:r w:rsidRPr="007E4C52">
        <w:t xml:space="preserve"> Het streven naar kwaliteitsverbetering geldt echter ook daar onverkort. Schiphol streeft naar hogere (kwaliteits)standaarden voor alle op Schiphol actieve partijen. Alternatieve mogelijkheden om dit te borgen worden verkend en indien nodig ingezet.</w:t>
      </w:r>
    </w:p>
    <w:p w:rsidRPr="007E4C52" w:rsidR="007E4C52" w:rsidP="007E4C52" w:rsidRDefault="007E4C52" w14:paraId="2CEA705A" w14:textId="77777777"/>
    <w:p w:rsidRPr="00813705" w:rsidR="007E4C52" w:rsidP="007E4C52" w:rsidRDefault="007E4C52" w14:paraId="69AD66B1" w14:textId="54149E2C">
      <w:r w:rsidRPr="007E4C52">
        <w:t xml:space="preserve">Schiphol is verantwoordelijk voor </w:t>
      </w:r>
      <w:r w:rsidR="00127CDB">
        <w:t xml:space="preserve">het </w:t>
      </w:r>
      <w:r w:rsidR="004B560A">
        <w:t xml:space="preserve">doorlopen </w:t>
      </w:r>
      <w:r w:rsidRPr="007E4C52">
        <w:t xml:space="preserve">van de aanbestedingsprocedure om drie grondafhandelingsbedrijven te selecteren. Op 4 december jl. heeft Schiphol deze aanbestedingsprocedure gestart. </w:t>
      </w:r>
      <w:r w:rsidR="006612B8">
        <w:t xml:space="preserve">Op 30 juni jl. heeft Schiphol bekendgemaakt dat de partijen KLM Ground Services, dnata en Viggo de voorlopige gunning hebben gewonnen. </w:t>
      </w:r>
      <w:r w:rsidR="00103417">
        <w:t>Nu volgt een overgangs</w:t>
      </w:r>
      <w:r w:rsidRPr="007E4C52" w:rsidR="00103417">
        <w:t xml:space="preserve">periode. </w:t>
      </w:r>
      <w:r w:rsidR="006612B8">
        <w:t xml:space="preserve">Drie </w:t>
      </w:r>
      <w:r w:rsidR="00E27F97">
        <w:t>niet geselecteerde</w:t>
      </w:r>
      <w:r w:rsidR="006612B8">
        <w:t xml:space="preserve"> partijen van de aanbesteding hebben een kort geding aangespannen tegen Schiphol vanwege de uitkomst van deze aanbesteding. De zitting hiervoor heeft plaatsgevonden op 2 september.</w:t>
      </w:r>
      <w:r w:rsidR="00D425D5">
        <w:t xml:space="preserve"> De rechter zal naar verwachting eind september uitspraak doen.</w:t>
      </w:r>
      <w:r w:rsidR="006612B8">
        <w:t xml:space="preserve"> </w:t>
      </w:r>
      <w:r w:rsidRPr="007E4C52">
        <w:t>De nieuwe situatie, met een beperkt aantal grondafhandelingspartijen, zal volgens de huidige planning in het voorjaar van 2027 van start gaan.</w:t>
      </w:r>
    </w:p>
    <w:p w:rsidR="00E01E7B" w:rsidRDefault="005D2D9B" w14:paraId="5B569AA7" w14:textId="1110F2ED">
      <w:pPr>
        <w:pStyle w:val="Slotzin"/>
      </w:pPr>
      <w:r>
        <w:t>Hoogachtend,</w:t>
      </w:r>
    </w:p>
    <w:p w:rsidR="00E01E7B" w:rsidRDefault="005D2D9B" w14:paraId="2477E46B" w14:textId="77777777">
      <w:pPr>
        <w:pStyle w:val="OndertekeningArea1"/>
      </w:pPr>
      <w:r>
        <w:t>DE MINISTER VAN INFRASTRUCTUUR EN WATERSTAAT,</w:t>
      </w:r>
    </w:p>
    <w:p w:rsidR="00E01E7B" w:rsidRDefault="00E01E7B" w14:paraId="268297FE" w14:textId="77777777"/>
    <w:p w:rsidR="00E01E7B" w:rsidRDefault="00E01E7B" w14:paraId="7B0DAACF" w14:textId="77777777"/>
    <w:p w:rsidR="00E01E7B" w:rsidRDefault="00E01E7B" w14:paraId="565EC899" w14:textId="77777777"/>
    <w:p w:rsidR="00E01E7B" w:rsidRDefault="00E01E7B" w14:paraId="0D428A19" w14:textId="77777777"/>
    <w:p w:rsidR="00E01E7B" w:rsidRDefault="005D2D9B" w14:paraId="4CB8A5DE" w14:textId="77777777">
      <w:r>
        <w:t>Vincent Karremans</w:t>
      </w:r>
    </w:p>
    <w:sectPr w:rsidR="00E01E7B">
      <w:headerReference w:type="default" r:id="rId9"/>
      <w:headerReference w:type="first" r:id="rId10"/>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ADACA3" w14:textId="77777777" w:rsidR="005001E4" w:rsidRDefault="005001E4">
      <w:pPr>
        <w:spacing w:line="240" w:lineRule="auto"/>
      </w:pPr>
      <w:r>
        <w:separator/>
      </w:r>
    </w:p>
  </w:endnote>
  <w:endnote w:type="continuationSeparator" w:id="0">
    <w:p w14:paraId="69D254E5" w14:textId="77777777" w:rsidR="005001E4" w:rsidRDefault="005001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EAB9B8" w14:textId="77777777" w:rsidR="005001E4" w:rsidRDefault="005001E4">
      <w:pPr>
        <w:spacing w:line="240" w:lineRule="auto"/>
      </w:pPr>
      <w:r>
        <w:separator/>
      </w:r>
    </w:p>
  </w:footnote>
  <w:footnote w:type="continuationSeparator" w:id="0">
    <w:p w14:paraId="0A6EA567" w14:textId="77777777" w:rsidR="005001E4" w:rsidRDefault="005001E4">
      <w:pPr>
        <w:spacing w:line="240" w:lineRule="auto"/>
      </w:pPr>
      <w:r>
        <w:continuationSeparator/>
      </w:r>
    </w:p>
  </w:footnote>
  <w:footnote w:id="1">
    <w:p w14:paraId="76BC6EF2" w14:textId="00D9C5B6" w:rsidR="00CA5AFA" w:rsidRPr="00D03154" w:rsidRDefault="00CA5AFA">
      <w:pPr>
        <w:pStyle w:val="FootnoteText"/>
        <w:rPr>
          <w:sz w:val="16"/>
          <w:szCs w:val="16"/>
        </w:rPr>
      </w:pPr>
      <w:r w:rsidRPr="00D03154">
        <w:rPr>
          <w:rStyle w:val="FootnoteReference"/>
          <w:sz w:val="16"/>
          <w:szCs w:val="16"/>
        </w:rPr>
        <w:footnoteRef/>
      </w:r>
      <w:r w:rsidRPr="00D03154">
        <w:rPr>
          <w:sz w:val="16"/>
          <w:szCs w:val="16"/>
        </w:rPr>
        <w:t xml:space="preserve"> Kamerstukken II 2025/26, 29665, nr. 584.</w:t>
      </w:r>
    </w:p>
  </w:footnote>
  <w:footnote w:id="2">
    <w:p w14:paraId="5BC0FC1E" w14:textId="77777777" w:rsidR="007E62BA" w:rsidRPr="002B214F" w:rsidRDefault="007E62BA" w:rsidP="007E62BA">
      <w:pPr>
        <w:pStyle w:val="FootnoteText"/>
        <w:rPr>
          <w:sz w:val="16"/>
          <w:szCs w:val="16"/>
        </w:rPr>
      </w:pPr>
      <w:r w:rsidRPr="002B214F">
        <w:rPr>
          <w:rStyle w:val="FootnoteReference"/>
          <w:sz w:val="16"/>
          <w:szCs w:val="16"/>
        </w:rPr>
        <w:footnoteRef/>
      </w:r>
      <w:r w:rsidRPr="002B214F">
        <w:rPr>
          <w:sz w:val="16"/>
          <w:szCs w:val="16"/>
        </w:rPr>
        <w:t xml:space="preserve"> Kamerstukken II 2026/27, 31936, 2026Z18739.</w:t>
      </w:r>
    </w:p>
  </w:footnote>
  <w:footnote w:id="3">
    <w:p w14:paraId="68098473" w14:textId="77777777" w:rsidR="00EC7404" w:rsidRPr="00D03154" w:rsidRDefault="00EC7404" w:rsidP="00EC7404">
      <w:pPr>
        <w:pStyle w:val="FootnoteText"/>
        <w:rPr>
          <w:sz w:val="16"/>
          <w:szCs w:val="16"/>
        </w:rPr>
      </w:pPr>
      <w:r w:rsidRPr="00D03154">
        <w:rPr>
          <w:rStyle w:val="FootnoteReference"/>
          <w:sz w:val="16"/>
          <w:szCs w:val="16"/>
        </w:rPr>
        <w:footnoteRef/>
      </w:r>
      <w:r w:rsidRPr="00D03154">
        <w:rPr>
          <w:sz w:val="16"/>
          <w:szCs w:val="16"/>
        </w:rPr>
        <w:t xml:space="preserve"> 2026Z10049/2026D23879.</w:t>
      </w:r>
    </w:p>
  </w:footnote>
  <w:footnote w:id="4">
    <w:p w14:paraId="5FC2A67B" w14:textId="77777777" w:rsidR="005B70C3" w:rsidRPr="007E4C52" w:rsidRDefault="005B70C3" w:rsidP="005B70C3">
      <w:pPr>
        <w:pStyle w:val="FootnoteText"/>
        <w:rPr>
          <w:sz w:val="16"/>
          <w:szCs w:val="16"/>
        </w:rPr>
      </w:pPr>
      <w:r w:rsidRPr="00D03154">
        <w:rPr>
          <w:rStyle w:val="FootnoteReference"/>
          <w:sz w:val="16"/>
          <w:szCs w:val="16"/>
        </w:rPr>
        <w:footnoteRef/>
      </w:r>
      <w:r w:rsidRPr="00D03154">
        <w:rPr>
          <w:sz w:val="16"/>
          <w:szCs w:val="16"/>
        </w:rPr>
        <w:t xml:space="preserve"> Kamerstukken II 2025/26, 31936, nr. 1302.</w:t>
      </w:r>
    </w:p>
  </w:footnote>
  <w:footnote w:id="5">
    <w:p w14:paraId="4FBB9456" w14:textId="4493EB6B" w:rsidR="00B02BCE" w:rsidRPr="00946C8B" w:rsidRDefault="00B02BCE" w:rsidP="00B02BCE">
      <w:pPr>
        <w:pStyle w:val="FootnoteText"/>
        <w:rPr>
          <w:sz w:val="16"/>
          <w:szCs w:val="16"/>
        </w:rPr>
      </w:pPr>
      <w:r w:rsidRPr="00946C8B">
        <w:rPr>
          <w:rStyle w:val="FootnoteReference"/>
          <w:sz w:val="16"/>
          <w:szCs w:val="16"/>
        </w:rPr>
        <w:footnoteRef/>
      </w:r>
      <w:r w:rsidRPr="00946C8B">
        <w:rPr>
          <w:sz w:val="16"/>
          <w:szCs w:val="16"/>
        </w:rPr>
        <w:t xml:space="preserve"> Kamerstukken II 2023/24, 31936, nr. 1162</w:t>
      </w:r>
      <w:r w:rsidR="002B214F" w:rsidRPr="00946C8B">
        <w:rPr>
          <w:sz w:val="16"/>
          <w:szCs w:val="16"/>
        </w:rPr>
        <w:t>.</w:t>
      </w:r>
    </w:p>
  </w:footnote>
  <w:footnote w:id="6">
    <w:p w14:paraId="55B07F5C" w14:textId="22CBF307" w:rsidR="00946C8B" w:rsidRPr="00946C8B" w:rsidRDefault="00946C8B">
      <w:pPr>
        <w:pStyle w:val="FootnoteText"/>
        <w:rPr>
          <w:sz w:val="16"/>
          <w:szCs w:val="16"/>
        </w:rPr>
      </w:pPr>
      <w:r w:rsidRPr="00946C8B">
        <w:rPr>
          <w:rStyle w:val="FootnoteReference"/>
          <w:sz w:val="16"/>
          <w:szCs w:val="16"/>
        </w:rPr>
        <w:footnoteRef/>
      </w:r>
      <w:r w:rsidRPr="00946C8B">
        <w:rPr>
          <w:sz w:val="16"/>
          <w:szCs w:val="16"/>
        </w:rPr>
        <w:t xml:space="preserve"> Kamerstukken II 2025/26, 29665, nr. 584.  </w:t>
      </w:r>
    </w:p>
  </w:footnote>
  <w:footnote w:id="7">
    <w:p w14:paraId="7258541E" w14:textId="37479EB0" w:rsidR="007E4C52" w:rsidRPr="007E4C52" w:rsidRDefault="007E4C52">
      <w:pPr>
        <w:pStyle w:val="FootnoteText"/>
        <w:rPr>
          <w:sz w:val="16"/>
          <w:szCs w:val="16"/>
        </w:rPr>
      </w:pPr>
      <w:r w:rsidRPr="00946C8B">
        <w:rPr>
          <w:rStyle w:val="FootnoteReference"/>
          <w:sz w:val="16"/>
          <w:szCs w:val="16"/>
        </w:rPr>
        <w:footnoteRef/>
      </w:r>
      <w:r w:rsidRPr="00946C8B">
        <w:rPr>
          <w:sz w:val="16"/>
          <w:szCs w:val="16"/>
        </w:rPr>
        <w:t xml:space="preserve"> Stcrt. 2024, nr. 13983.</w:t>
      </w:r>
    </w:p>
  </w:footnote>
  <w:footnote w:id="8">
    <w:p w14:paraId="734EC0A0" w14:textId="000EA885" w:rsidR="007E4C52" w:rsidRDefault="007E4C52">
      <w:pPr>
        <w:pStyle w:val="FootnoteText"/>
      </w:pPr>
      <w:r w:rsidRPr="007E4C52">
        <w:rPr>
          <w:rStyle w:val="FootnoteReference"/>
          <w:sz w:val="16"/>
          <w:szCs w:val="16"/>
        </w:rPr>
        <w:footnoteRef/>
      </w:r>
      <w:r w:rsidRPr="007E4C52">
        <w:rPr>
          <w:sz w:val="16"/>
          <w:szCs w:val="16"/>
        </w:rPr>
        <w:t xml:space="preserve"> Kamerstukken II 2023/24, 29665, nr. 496.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88D73" w14:textId="77777777" w:rsidR="00E01E7B" w:rsidRDefault="005D2D9B">
    <w:r>
      <w:rPr>
        <w:noProof/>
        <w:lang w:val="en-GB" w:eastAsia="en-GB"/>
      </w:rPr>
      <mc:AlternateContent>
        <mc:Choice Requires="wps">
          <w:drawing>
            <wp:anchor distT="0" distB="0" distL="0" distR="0" simplePos="0" relativeHeight="251651584" behindDoc="0" locked="1" layoutInCell="1" allowOverlap="1" wp14:anchorId="2C0B1B02" wp14:editId="4117DDBD">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00BBF272" w14:textId="77777777" w:rsidR="00E01E7B" w:rsidRDefault="005D2D9B">
                          <w:pPr>
                            <w:pStyle w:val="AfzendgegevensKop0"/>
                          </w:pPr>
                          <w:r>
                            <w:t>Ministerie van Infrastructuur en Waterstaat</w:t>
                          </w:r>
                        </w:p>
                        <w:p w14:paraId="4550B42A" w14:textId="77777777" w:rsidR="00E01E7B" w:rsidRDefault="00E01E7B">
                          <w:pPr>
                            <w:pStyle w:val="WitregelW2"/>
                          </w:pPr>
                        </w:p>
                        <w:p w14:paraId="441C844D" w14:textId="77777777" w:rsidR="00E01E7B" w:rsidRDefault="005D2D9B">
                          <w:pPr>
                            <w:pStyle w:val="Referentiegegevenskop"/>
                          </w:pPr>
                          <w:r>
                            <w:t>Ons kenmerk</w:t>
                          </w:r>
                        </w:p>
                        <w:p w14:paraId="150C697F" w14:textId="5EF61E5B" w:rsidR="00E01E7B" w:rsidRDefault="00BB0C5E">
                          <w:pPr>
                            <w:pStyle w:val="Referentiegegevens"/>
                          </w:pPr>
                          <w:r w:rsidRPr="00BB0C5E">
                            <w:t>IENW/BSK-2026/166848</w:t>
                          </w:r>
                        </w:p>
                      </w:txbxContent>
                    </wps:txbx>
                    <wps:bodyPr vert="horz" wrap="square" lIns="0" tIns="0" rIns="0" bIns="0" anchor="t" anchorCtr="0"/>
                  </wps:wsp>
                </a:graphicData>
              </a:graphic>
            </wp:anchor>
          </w:drawing>
        </mc:Choice>
        <mc:Fallback>
          <w:pict>
            <v:shapetype w14:anchorId="2C0B1B02"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00BBF272" w14:textId="77777777" w:rsidR="00E01E7B" w:rsidRDefault="005D2D9B">
                    <w:pPr>
                      <w:pStyle w:val="AfzendgegevensKop0"/>
                    </w:pPr>
                    <w:r>
                      <w:t>Ministerie van Infrastructuur en Waterstaat</w:t>
                    </w:r>
                  </w:p>
                  <w:p w14:paraId="4550B42A" w14:textId="77777777" w:rsidR="00E01E7B" w:rsidRDefault="00E01E7B">
                    <w:pPr>
                      <w:pStyle w:val="WitregelW2"/>
                    </w:pPr>
                  </w:p>
                  <w:p w14:paraId="441C844D" w14:textId="77777777" w:rsidR="00E01E7B" w:rsidRDefault="005D2D9B">
                    <w:pPr>
                      <w:pStyle w:val="Referentiegegevenskop"/>
                    </w:pPr>
                    <w:r>
                      <w:t>Ons kenmerk</w:t>
                    </w:r>
                  </w:p>
                  <w:p w14:paraId="150C697F" w14:textId="5EF61E5B" w:rsidR="00E01E7B" w:rsidRDefault="00BB0C5E">
                    <w:pPr>
                      <w:pStyle w:val="Referentiegegevens"/>
                    </w:pPr>
                    <w:r w:rsidRPr="00BB0C5E">
                      <w:t>IENW/BSK-2026/166848</w:t>
                    </w: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4BA27679" wp14:editId="32A7DF7E">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673AD62" w14:textId="77777777" w:rsidR="00E01E7B" w:rsidRDefault="005D2D9B">
                          <w:pPr>
                            <w:pStyle w:val="Referentiegegevens"/>
                          </w:pPr>
                          <w:r>
                            <w:t xml:space="preserve">Page </w:t>
                          </w:r>
                          <w:r>
                            <w:fldChar w:fldCharType="begin"/>
                          </w:r>
                          <w:r>
                            <w:instrText>PAGE</w:instrText>
                          </w:r>
                          <w:r>
                            <w:fldChar w:fldCharType="separate"/>
                          </w:r>
                          <w:r w:rsidR="00CA5AFA">
                            <w:rPr>
                              <w:noProof/>
                            </w:rPr>
                            <w:t>1</w:t>
                          </w:r>
                          <w:r>
                            <w:fldChar w:fldCharType="end"/>
                          </w:r>
                          <w:r>
                            <w:t xml:space="preserve"> of </w:t>
                          </w:r>
                          <w:r>
                            <w:fldChar w:fldCharType="begin"/>
                          </w:r>
                          <w:r>
                            <w:instrText>NUMPAGES</w:instrText>
                          </w:r>
                          <w:r>
                            <w:fldChar w:fldCharType="separate"/>
                          </w:r>
                          <w:r w:rsidR="00CA5AFA">
                            <w:rPr>
                              <w:noProof/>
                            </w:rPr>
                            <w:t>1</w:t>
                          </w:r>
                          <w:r>
                            <w:fldChar w:fldCharType="end"/>
                          </w:r>
                        </w:p>
                      </w:txbxContent>
                    </wps:txbx>
                    <wps:bodyPr vert="horz" wrap="square" lIns="0" tIns="0" rIns="0" bIns="0" anchor="t" anchorCtr="0"/>
                  </wps:wsp>
                </a:graphicData>
              </a:graphic>
            </wp:anchor>
          </w:drawing>
        </mc:Choice>
        <mc:Fallback>
          <w:pict>
            <v:shape w14:anchorId="4BA27679"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3673AD62" w14:textId="77777777" w:rsidR="00E01E7B" w:rsidRDefault="005D2D9B">
                    <w:pPr>
                      <w:pStyle w:val="Referentiegegevens"/>
                    </w:pPr>
                    <w:r>
                      <w:t xml:space="preserve">Page </w:t>
                    </w:r>
                    <w:r>
                      <w:fldChar w:fldCharType="begin"/>
                    </w:r>
                    <w:r>
                      <w:instrText>PAGE</w:instrText>
                    </w:r>
                    <w:r>
                      <w:fldChar w:fldCharType="separate"/>
                    </w:r>
                    <w:r w:rsidR="00CA5AFA">
                      <w:rPr>
                        <w:noProof/>
                      </w:rPr>
                      <w:t>1</w:t>
                    </w:r>
                    <w:r>
                      <w:fldChar w:fldCharType="end"/>
                    </w:r>
                    <w:r>
                      <w:t xml:space="preserve"> of </w:t>
                    </w:r>
                    <w:r>
                      <w:fldChar w:fldCharType="begin"/>
                    </w:r>
                    <w:r>
                      <w:instrText>NUMPAGES</w:instrText>
                    </w:r>
                    <w:r>
                      <w:fldChar w:fldCharType="separate"/>
                    </w:r>
                    <w:r w:rsidR="00CA5AFA">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6D35AEF3" wp14:editId="3F8599BD">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45033A98" w14:textId="77777777" w:rsidR="00D659DB" w:rsidRDefault="00D659DB"/>
                      </w:txbxContent>
                    </wps:txbx>
                    <wps:bodyPr vert="horz" wrap="square" lIns="0" tIns="0" rIns="0" bIns="0" anchor="t" anchorCtr="0"/>
                  </wps:wsp>
                </a:graphicData>
              </a:graphic>
            </wp:anchor>
          </w:drawing>
        </mc:Choice>
        <mc:Fallback>
          <w:pict>
            <v:shape w14:anchorId="6D35AEF3"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45033A98" w14:textId="77777777" w:rsidR="00D659DB" w:rsidRDefault="00D659DB"/>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0367AC13" wp14:editId="3B410229">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1791C003" w14:textId="77777777" w:rsidR="00D659DB" w:rsidRDefault="00D659DB"/>
                      </w:txbxContent>
                    </wps:txbx>
                    <wps:bodyPr vert="horz" wrap="square" lIns="0" tIns="0" rIns="0" bIns="0" anchor="t" anchorCtr="0"/>
                  </wps:wsp>
                </a:graphicData>
              </a:graphic>
            </wp:anchor>
          </w:drawing>
        </mc:Choice>
        <mc:Fallback>
          <w:pict>
            <v:shape w14:anchorId="0367AC13"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1791C003" w14:textId="77777777" w:rsidR="00D659DB" w:rsidRDefault="00D659DB"/>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5982D" w14:textId="77777777" w:rsidR="00E01E7B" w:rsidRDefault="005D2D9B">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47FCADA5" wp14:editId="439E691C">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41D95686" w14:textId="77777777" w:rsidR="00D659DB" w:rsidRDefault="00D659DB"/>
                      </w:txbxContent>
                    </wps:txbx>
                    <wps:bodyPr vert="horz" wrap="square" lIns="0" tIns="0" rIns="0" bIns="0" anchor="t" anchorCtr="0"/>
                  </wps:wsp>
                </a:graphicData>
              </a:graphic>
            </wp:anchor>
          </w:drawing>
        </mc:Choice>
        <mc:Fallback>
          <w:pict>
            <v:shapetype w14:anchorId="47FCADA5"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41D95686" w14:textId="77777777" w:rsidR="00D659DB" w:rsidRDefault="00D659DB"/>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2F332CAB" wp14:editId="59455943">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CE3CC9A" w14:textId="6737A596" w:rsidR="00E01E7B" w:rsidRDefault="005D2D9B">
                          <w:pPr>
                            <w:pStyle w:val="Referentiegegevens"/>
                          </w:pPr>
                          <w:r>
                            <w:t xml:space="preserve">Page </w:t>
                          </w:r>
                          <w:r>
                            <w:fldChar w:fldCharType="begin"/>
                          </w:r>
                          <w:r>
                            <w:instrText>PAGE</w:instrText>
                          </w:r>
                          <w:r>
                            <w:fldChar w:fldCharType="separate"/>
                          </w:r>
                          <w:r w:rsidR="000D1847">
                            <w:rPr>
                              <w:noProof/>
                            </w:rPr>
                            <w:t>1</w:t>
                          </w:r>
                          <w:r>
                            <w:fldChar w:fldCharType="end"/>
                          </w:r>
                          <w:r>
                            <w:t xml:space="preserve"> of </w:t>
                          </w:r>
                          <w:r>
                            <w:fldChar w:fldCharType="begin"/>
                          </w:r>
                          <w:r>
                            <w:instrText>NUMPAGES</w:instrText>
                          </w:r>
                          <w:r>
                            <w:fldChar w:fldCharType="separate"/>
                          </w:r>
                          <w:r w:rsidR="000D1847">
                            <w:rPr>
                              <w:noProof/>
                            </w:rPr>
                            <w:t>1</w:t>
                          </w:r>
                          <w:r>
                            <w:fldChar w:fldCharType="end"/>
                          </w:r>
                        </w:p>
                      </w:txbxContent>
                    </wps:txbx>
                    <wps:bodyPr vert="horz" wrap="square" lIns="0" tIns="0" rIns="0" bIns="0" anchor="t" anchorCtr="0"/>
                  </wps:wsp>
                </a:graphicData>
              </a:graphic>
            </wp:anchor>
          </w:drawing>
        </mc:Choice>
        <mc:Fallback>
          <w:pict>
            <v:shape w14:anchorId="2F332CAB"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2CE3CC9A" w14:textId="6737A596" w:rsidR="00E01E7B" w:rsidRDefault="005D2D9B">
                    <w:pPr>
                      <w:pStyle w:val="Referentiegegevens"/>
                    </w:pPr>
                    <w:r>
                      <w:t xml:space="preserve">Page </w:t>
                    </w:r>
                    <w:r>
                      <w:fldChar w:fldCharType="begin"/>
                    </w:r>
                    <w:r>
                      <w:instrText>PAGE</w:instrText>
                    </w:r>
                    <w:r>
                      <w:fldChar w:fldCharType="separate"/>
                    </w:r>
                    <w:r w:rsidR="000D1847">
                      <w:rPr>
                        <w:noProof/>
                      </w:rPr>
                      <w:t>1</w:t>
                    </w:r>
                    <w:r>
                      <w:fldChar w:fldCharType="end"/>
                    </w:r>
                    <w:r>
                      <w:t xml:space="preserve"> of </w:t>
                    </w:r>
                    <w:r>
                      <w:fldChar w:fldCharType="begin"/>
                    </w:r>
                    <w:r>
                      <w:instrText>NUMPAGES</w:instrText>
                    </w:r>
                    <w:r>
                      <w:fldChar w:fldCharType="separate"/>
                    </w:r>
                    <w:r w:rsidR="000D1847">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547E4192" wp14:editId="0AA65CE7">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684B4A53" w14:textId="77777777" w:rsidR="00E01E7B" w:rsidRDefault="005D2D9B">
                          <w:pPr>
                            <w:pStyle w:val="AfzendgegevensKop0"/>
                          </w:pPr>
                          <w:r>
                            <w:t>Ministerie van Infrastructuur en Waterstaat</w:t>
                          </w:r>
                        </w:p>
                        <w:p w14:paraId="2B6F4731" w14:textId="77777777" w:rsidR="00E01E7B" w:rsidRDefault="00E01E7B">
                          <w:pPr>
                            <w:pStyle w:val="WitregelW1"/>
                          </w:pPr>
                        </w:p>
                        <w:p w14:paraId="670AF1FF" w14:textId="77777777" w:rsidR="00E01E7B" w:rsidRDefault="005D2D9B">
                          <w:pPr>
                            <w:pStyle w:val="Afzendgegevens"/>
                          </w:pPr>
                          <w:r>
                            <w:t>Rijnstraat 8</w:t>
                          </w:r>
                        </w:p>
                        <w:p w14:paraId="29F2C39E" w14:textId="77777777" w:rsidR="00E01E7B" w:rsidRPr="00CA5AFA" w:rsidRDefault="005D2D9B">
                          <w:pPr>
                            <w:pStyle w:val="Afzendgegevens"/>
                            <w:rPr>
                              <w:lang w:val="de-DE"/>
                            </w:rPr>
                          </w:pPr>
                          <w:r w:rsidRPr="00CA5AFA">
                            <w:rPr>
                              <w:lang w:val="de-DE"/>
                            </w:rPr>
                            <w:t>2515 XP  Den Haag</w:t>
                          </w:r>
                        </w:p>
                        <w:p w14:paraId="6147412A" w14:textId="77777777" w:rsidR="00E01E7B" w:rsidRPr="00CA5AFA" w:rsidRDefault="005D2D9B">
                          <w:pPr>
                            <w:pStyle w:val="Afzendgegevens"/>
                            <w:rPr>
                              <w:lang w:val="de-DE"/>
                            </w:rPr>
                          </w:pPr>
                          <w:r w:rsidRPr="00CA5AFA">
                            <w:rPr>
                              <w:lang w:val="de-DE"/>
                            </w:rPr>
                            <w:t>Postbus 20901</w:t>
                          </w:r>
                        </w:p>
                        <w:p w14:paraId="059BCE04" w14:textId="77777777" w:rsidR="00E01E7B" w:rsidRPr="00CA5AFA" w:rsidRDefault="005D2D9B">
                          <w:pPr>
                            <w:pStyle w:val="Afzendgegevens"/>
                            <w:rPr>
                              <w:lang w:val="de-DE"/>
                            </w:rPr>
                          </w:pPr>
                          <w:r w:rsidRPr="00CA5AFA">
                            <w:rPr>
                              <w:lang w:val="de-DE"/>
                            </w:rPr>
                            <w:t>2500 EX Den Haag</w:t>
                          </w:r>
                        </w:p>
                        <w:p w14:paraId="453B1631" w14:textId="77777777" w:rsidR="00E01E7B" w:rsidRPr="00CA5AFA" w:rsidRDefault="00E01E7B">
                          <w:pPr>
                            <w:pStyle w:val="WitregelW1"/>
                            <w:rPr>
                              <w:lang w:val="de-DE"/>
                            </w:rPr>
                          </w:pPr>
                        </w:p>
                        <w:p w14:paraId="06CF2C1F" w14:textId="77777777" w:rsidR="00E01E7B" w:rsidRPr="00CA5AFA" w:rsidRDefault="005D2D9B">
                          <w:pPr>
                            <w:pStyle w:val="Afzendgegevens"/>
                            <w:rPr>
                              <w:lang w:val="de-DE"/>
                            </w:rPr>
                          </w:pPr>
                          <w:r w:rsidRPr="00CA5AFA">
                            <w:rPr>
                              <w:lang w:val="de-DE"/>
                            </w:rPr>
                            <w:t>T   070-456 0000</w:t>
                          </w:r>
                        </w:p>
                        <w:p w14:paraId="54DC5E54" w14:textId="77777777" w:rsidR="00E01E7B" w:rsidRDefault="005D2D9B">
                          <w:pPr>
                            <w:pStyle w:val="Afzendgegevens"/>
                          </w:pPr>
                          <w:r>
                            <w:t>F   070-456 1111</w:t>
                          </w:r>
                        </w:p>
                        <w:p w14:paraId="251B97C8" w14:textId="77777777" w:rsidR="00E01E7B" w:rsidRDefault="00E01E7B">
                          <w:pPr>
                            <w:pStyle w:val="WitregelW2"/>
                          </w:pPr>
                        </w:p>
                        <w:p w14:paraId="2E9A9046" w14:textId="77777777" w:rsidR="00E01E7B" w:rsidRDefault="005D2D9B">
                          <w:pPr>
                            <w:pStyle w:val="Referentiegegevenskop"/>
                          </w:pPr>
                          <w:r>
                            <w:t>Ons kenmerk</w:t>
                          </w:r>
                        </w:p>
                        <w:p w14:paraId="7A9DA53E" w14:textId="113A50E4" w:rsidR="00E01E7B" w:rsidRDefault="00BB0C5E">
                          <w:pPr>
                            <w:pStyle w:val="Referentiegegevens"/>
                          </w:pPr>
                          <w:r w:rsidRPr="00BB0C5E">
                            <w:t>IENW/BSK-2026/166848</w:t>
                          </w:r>
                        </w:p>
                        <w:p w14:paraId="0CD9373C" w14:textId="77777777" w:rsidR="00E01E7B" w:rsidRDefault="00E01E7B">
                          <w:pPr>
                            <w:pStyle w:val="WitregelW1"/>
                          </w:pPr>
                        </w:p>
                        <w:p w14:paraId="0428A815" w14:textId="77777777" w:rsidR="00E01E7B" w:rsidRDefault="005D2D9B">
                          <w:pPr>
                            <w:pStyle w:val="Referentiegegevenskop"/>
                          </w:pPr>
                          <w:r>
                            <w:t>Bijlage(n)</w:t>
                          </w:r>
                        </w:p>
                        <w:p w14:paraId="26C4D258" w14:textId="7A359B45" w:rsidR="00E01E7B" w:rsidRDefault="00E64A2E">
                          <w:pPr>
                            <w:pStyle w:val="Referentiegegevens"/>
                          </w:pPr>
                          <w:r>
                            <w:t>3</w:t>
                          </w:r>
                        </w:p>
                      </w:txbxContent>
                    </wps:txbx>
                    <wps:bodyPr vert="horz" wrap="square" lIns="0" tIns="0" rIns="0" bIns="0" anchor="t" anchorCtr="0"/>
                  </wps:wsp>
                </a:graphicData>
              </a:graphic>
            </wp:anchor>
          </w:drawing>
        </mc:Choice>
        <mc:Fallback>
          <w:pict>
            <v:shape w14:anchorId="547E4192"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684B4A53" w14:textId="77777777" w:rsidR="00E01E7B" w:rsidRDefault="005D2D9B">
                    <w:pPr>
                      <w:pStyle w:val="AfzendgegevensKop0"/>
                    </w:pPr>
                    <w:r>
                      <w:t>Ministerie van Infrastructuur en Waterstaat</w:t>
                    </w:r>
                  </w:p>
                  <w:p w14:paraId="2B6F4731" w14:textId="77777777" w:rsidR="00E01E7B" w:rsidRDefault="00E01E7B">
                    <w:pPr>
                      <w:pStyle w:val="WitregelW1"/>
                    </w:pPr>
                  </w:p>
                  <w:p w14:paraId="670AF1FF" w14:textId="77777777" w:rsidR="00E01E7B" w:rsidRDefault="005D2D9B">
                    <w:pPr>
                      <w:pStyle w:val="Afzendgegevens"/>
                    </w:pPr>
                    <w:r>
                      <w:t>Rijnstraat 8</w:t>
                    </w:r>
                  </w:p>
                  <w:p w14:paraId="29F2C39E" w14:textId="77777777" w:rsidR="00E01E7B" w:rsidRPr="00CA5AFA" w:rsidRDefault="005D2D9B">
                    <w:pPr>
                      <w:pStyle w:val="Afzendgegevens"/>
                      <w:rPr>
                        <w:lang w:val="de-DE"/>
                      </w:rPr>
                    </w:pPr>
                    <w:r w:rsidRPr="00CA5AFA">
                      <w:rPr>
                        <w:lang w:val="de-DE"/>
                      </w:rPr>
                      <w:t>2515 XP  Den Haag</w:t>
                    </w:r>
                  </w:p>
                  <w:p w14:paraId="6147412A" w14:textId="77777777" w:rsidR="00E01E7B" w:rsidRPr="00CA5AFA" w:rsidRDefault="005D2D9B">
                    <w:pPr>
                      <w:pStyle w:val="Afzendgegevens"/>
                      <w:rPr>
                        <w:lang w:val="de-DE"/>
                      </w:rPr>
                    </w:pPr>
                    <w:r w:rsidRPr="00CA5AFA">
                      <w:rPr>
                        <w:lang w:val="de-DE"/>
                      </w:rPr>
                      <w:t>Postbus 20901</w:t>
                    </w:r>
                  </w:p>
                  <w:p w14:paraId="059BCE04" w14:textId="77777777" w:rsidR="00E01E7B" w:rsidRPr="00CA5AFA" w:rsidRDefault="005D2D9B">
                    <w:pPr>
                      <w:pStyle w:val="Afzendgegevens"/>
                      <w:rPr>
                        <w:lang w:val="de-DE"/>
                      </w:rPr>
                    </w:pPr>
                    <w:r w:rsidRPr="00CA5AFA">
                      <w:rPr>
                        <w:lang w:val="de-DE"/>
                      </w:rPr>
                      <w:t>2500 EX Den Haag</w:t>
                    </w:r>
                  </w:p>
                  <w:p w14:paraId="453B1631" w14:textId="77777777" w:rsidR="00E01E7B" w:rsidRPr="00CA5AFA" w:rsidRDefault="00E01E7B">
                    <w:pPr>
                      <w:pStyle w:val="WitregelW1"/>
                      <w:rPr>
                        <w:lang w:val="de-DE"/>
                      </w:rPr>
                    </w:pPr>
                  </w:p>
                  <w:p w14:paraId="06CF2C1F" w14:textId="77777777" w:rsidR="00E01E7B" w:rsidRPr="00CA5AFA" w:rsidRDefault="005D2D9B">
                    <w:pPr>
                      <w:pStyle w:val="Afzendgegevens"/>
                      <w:rPr>
                        <w:lang w:val="de-DE"/>
                      </w:rPr>
                    </w:pPr>
                    <w:r w:rsidRPr="00CA5AFA">
                      <w:rPr>
                        <w:lang w:val="de-DE"/>
                      </w:rPr>
                      <w:t>T   070-456 0000</w:t>
                    </w:r>
                  </w:p>
                  <w:p w14:paraId="54DC5E54" w14:textId="77777777" w:rsidR="00E01E7B" w:rsidRDefault="005D2D9B">
                    <w:pPr>
                      <w:pStyle w:val="Afzendgegevens"/>
                    </w:pPr>
                    <w:r>
                      <w:t>F   070-456 1111</w:t>
                    </w:r>
                  </w:p>
                  <w:p w14:paraId="251B97C8" w14:textId="77777777" w:rsidR="00E01E7B" w:rsidRDefault="00E01E7B">
                    <w:pPr>
                      <w:pStyle w:val="WitregelW2"/>
                    </w:pPr>
                  </w:p>
                  <w:p w14:paraId="2E9A9046" w14:textId="77777777" w:rsidR="00E01E7B" w:rsidRDefault="005D2D9B">
                    <w:pPr>
                      <w:pStyle w:val="Referentiegegevenskop"/>
                    </w:pPr>
                    <w:r>
                      <w:t>Ons kenmerk</w:t>
                    </w:r>
                  </w:p>
                  <w:p w14:paraId="7A9DA53E" w14:textId="113A50E4" w:rsidR="00E01E7B" w:rsidRDefault="00BB0C5E">
                    <w:pPr>
                      <w:pStyle w:val="Referentiegegevens"/>
                    </w:pPr>
                    <w:r w:rsidRPr="00BB0C5E">
                      <w:t>IENW/BSK-2026/166848</w:t>
                    </w:r>
                  </w:p>
                  <w:p w14:paraId="0CD9373C" w14:textId="77777777" w:rsidR="00E01E7B" w:rsidRDefault="00E01E7B">
                    <w:pPr>
                      <w:pStyle w:val="WitregelW1"/>
                    </w:pPr>
                  </w:p>
                  <w:p w14:paraId="0428A815" w14:textId="77777777" w:rsidR="00E01E7B" w:rsidRDefault="005D2D9B">
                    <w:pPr>
                      <w:pStyle w:val="Referentiegegevenskop"/>
                    </w:pPr>
                    <w:r>
                      <w:t>Bijlage(n)</w:t>
                    </w:r>
                  </w:p>
                  <w:p w14:paraId="26C4D258" w14:textId="7A359B45" w:rsidR="00E01E7B" w:rsidRDefault="00E64A2E">
                    <w:pPr>
                      <w:pStyle w:val="Referentiegegevens"/>
                    </w:pPr>
                    <w:r>
                      <w:t>3</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2B46BBBF" wp14:editId="539D6035">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3E8FBD9D" w14:textId="77777777" w:rsidR="00E01E7B" w:rsidRDefault="005D2D9B">
                          <w:pPr>
                            <w:spacing w:line="240" w:lineRule="auto"/>
                          </w:pPr>
                          <w:r>
                            <w:rPr>
                              <w:noProof/>
                              <w:lang w:val="en-GB" w:eastAsia="en-GB"/>
                            </w:rPr>
                            <w:drawing>
                              <wp:inline distT="0" distB="0" distL="0" distR="0" wp14:anchorId="462F0D67" wp14:editId="1621F90B">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B46BBBF"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3E8FBD9D" w14:textId="77777777" w:rsidR="00E01E7B" w:rsidRDefault="005D2D9B">
                    <w:pPr>
                      <w:spacing w:line="240" w:lineRule="auto"/>
                    </w:pPr>
                    <w:r>
                      <w:rPr>
                        <w:noProof/>
                        <w:lang w:val="en-GB" w:eastAsia="en-GB"/>
                      </w:rPr>
                      <w:drawing>
                        <wp:inline distT="0" distB="0" distL="0" distR="0" wp14:anchorId="462F0D67" wp14:editId="1621F90B">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5780B894" wp14:editId="0035F21E">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CBC370D" w14:textId="77777777" w:rsidR="00E01E7B" w:rsidRDefault="005D2D9B">
                          <w:pPr>
                            <w:spacing w:line="240" w:lineRule="auto"/>
                          </w:pPr>
                          <w:r>
                            <w:rPr>
                              <w:noProof/>
                              <w:lang w:val="en-GB" w:eastAsia="en-GB"/>
                            </w:rPr>
                            <w:drawing>
                              <wp:inline distT="0" distB="0" distL="0" distR="0" wp14:anchorId="305BDF8F" wp14:editId="4F9C2C24">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780B894"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1CBC370D" w14:textId="77777777" w:rsidR="00E01E7B" w:rsidRDefault="005D2D9B">
                    <w:pPr>
                      <w:spacing w:line="240" w:lineRule="auto"/>
                    </w:pPr>
                    <w:r>
                      <w:rPr>
                        <w:noProof/>
                        <w:lang w:val="en-GB" w:eastAsia="en-GB"/>
                      </w:rPr>
                      <w:drawing>
                        <wp:inline distT="0" distB="0" distL="0" distR="0" wp14:anchorId="305BDF8F" wp14:editId="4F9C2C24">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30960F0A" wp14:editId="07CBB792">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2C021575" w14:textId="77777777" w:rsidR="00E01E7B" w:rsidRDefault="005D2D9B">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30960F0A"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2C021575" w14:textId="77777777" w:rsidR="00E01E7B" w:rsidRDefault="005D2D9B">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2D4E2219" wp14:editId="297EEC8E">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35B1483C" w14:textId="77777777" w:rsidR="00E01E7B" w:rsidRDefault="005D2D9B">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2D4E2219"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35B1483C" w14:textId="77777777" w:rsidR="00E01E7B" w:rsidRDefault="005D2D9B">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0545C467" wp14:editId="608C5B76">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E01E7B" w14:paraId="4BC97FFA" w14:textId="77777777">
                            <w:trPr>
                              <w:trHeight w:val="200"/>
                            </w:trPr>
                            <w:tc>
                              <w:tcPr>
                                <w:tcW w:w="1140" w:type="dxa"/>
                              </w:tcPr>
                              <w:p w14:paraId="6F94C1B3" w14:textId="77777777" w:rsidR="00E01E7B" w:rsidRDefault="00E01E7B"/>
                            </w:tc>
                            <w:tc>
                              <w:tcPr>
                                <w:tcW w:w="5400" w:type="dxa"/>
                              </w:tcPr>
                              <w:p w14:paraId="38D7D9C0" w14:textId="77777777" w:rsidR="00E01E7B" w:rsidRDefault="00E01E7B"/>
                            </w:tc>
                          </w:tr>
                          <w:tr w:rsidR="00E01E7B" w14:paraId="55F7195E" w14:textId="77777777">
                            <w:trPr>
                              <w:trHeight w:val="240"/>
                            </w:trPr>
                            <w:tc>
                              <w:tcPr>
                                <w:tcW w:w="1140" w:type="dxa"/>
                              </w:tcPr>
                              <w:p w14:paraId="0C3F82E0" w14:textId="77777777" w:rsidR="00E01E7B" w:rsidRDefault="005D2D9B">
                                <w:r>
                                  <w:t>Datum</w:t>
                                </w:r>
                              </w:p>
                            </w:tc>
                            <w:tc>
                              <w:tcPr>
                                <w:tcW w:w="5400" w:type="dxa"/>
                              </w:tcPr>
                              <w:p w14:paraId="7B8C71CF" w14:textId="0ED7A22A" w:rsidR="00E01E7B" w:rsidRDefault="00E64A2E">
                                <w:r>
                                  <w:t>23 september 2026</w:t>
                                </w:r>
                              </w:p>
                            </w:tc>
                          </w:tr>
                          <w:tr w:rsidR="00E01E7B" w14:paraId="3BFF3278" w14:textId="77777777">
                            <w:trPr>
                              <w:trHeight w:val="240"/>
                            </w:trPr>
                            <w:tc>
                              <w:tcPr>
                                <w:tcW w:w="1140" w:type="dxa"/>
                              </w:tcPr>
                              <w:p w14:paraId="03951F11" w14:textId="77777777" w:rsidR="00E01E7B" w:rsidRDefault="005D2D9B">
                                <w:r>
                                  <w:t>Betreft</w:t>
                                </w:r>
                              </w:p>
                            </w:tc>
                            <w:tc>
                              <w:tcPr>
                                <w:tcW w:w="5400" w:type="dxa"/>
                              </w:tcPr>
                              <w:p w14:paraId="0AD58295" w14:textId="77777777" w:rsidR="00E01E7B" w:rsidRDefault="005D2D9B">
                                <w:r>
                                  <w:t>Dertiende voortgangsbrief Programma Omgeving Luchthaven Schiphol</w:t>
                                </w:r>
                              </w:p>
                            </w:tc>
                          </w:tr>
                          <w:tr w:rsidR="00E01E7B" w14:paraId="29F452AC" w14:textId="77777777">
                            <w:trPr>
                              <w:trHeight w:val="200"/>
                            </w:trPr>
                            <w:tc>
                              <w:tcPr>
                                <w:tcW w:w="1140" w:type="dxa"/>
                              </w:tcPr>
                              <w:p w14:paraId="4840031B" w14:textId="77777777" w:rsidR="00E01E7B" w:rsidRDefault="00E01E7B"/>
                            </w:tc>
                            <w:tc>
                              <w:tcPr>
                                <w:tcW w:w="5400" w:type="dxa"/>
                              </w:tcPr>
                              <w:p w14:paraId="5AC3F0A8" w14:textId="77777777" w:rsidR="00E01E7B" w:rsidRDefault="00E01E7B"/>
                            </w:tc>
                          </w:tr>
                        </w:tbl>
                        <w:p w14:paraId="1D144AB5" w14:textId="77777777" w:rsidR="00D659DB" w:rsidRDefault="00D659DB"/>
                      </w:txbxContent>
                    </wps:txbx>
                    <wps:bodyPr vert="horz" wrap="square" lIns="0" tIns="0" rIns="0" bIns="0" anchor="t" anchorCtr="0"/>
                  </wps:wsp>
                </a:graphicData>
              </a:graphic>
            </wp:anchor>
          </w:drawing>
        </mc:Choice>
        <mc:Fallback>
          <w:pict>
            <v:shape w14:anchorId="0545C467"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E01E7B" w14:paraId="4BC97FFA" w14:textId="77777777">
                      <w:trPr>
                        <w:trHeight w:val="200"/>
                      </w:trPr>
                      <w:tc>
                        <w:tcPr>
                          <w:tcW w:w="1140" w:type="dxa"/>
                        </w:tcPr>
                        <w:p w14:paraId="6F94C1B3" w14:textId="77777777" w:rsidR="00E01E7B" w:rsidRDefault="00E01E7B"/>
                      </w:tc>
                      <w:tc>
                        <w:tcPr>
                          <w:tcW w:w="5400" w:type="dxa"/>
                        </w:tcPr>
                        <w:p w14:paraId="38D7D9C0" w14:textId="77777777" w:rsidR="00E01E7B" w:rsidRDefault="00E01E7B"/>
                      </w:tc>
                    </w:tr>
                    <w:tr w:rsidR="00E01E7B" w14:paraId="55F7195E" w14:textId="77777777">
                      <w:trPr>
                        <w:trHeight w:val="240"/>
                      </w:trPr>
                      <w:tc>
                        <w:tcPr>
                          <w:tcW w:w="1140" w:type="dxa"/>
                        </w:tcPr>
                        <w:p w14:paraId="0C3F82E0" w14:textId="77777777" w:rsidR="00E01E7B" w:rsidRDefault="005D2D9B">
                          <w:r>
                            <w:t>Datum</w:t>
                          </w:r>
                        </w:p>
                      </w:tc>
                      <w:tc>
                        <w:tcPr>
                          <w:tcW w:w="5400" w:type="dxa"/>
                        </w:tcPr>
                        <w:p w14:paraId="7B8C71CF" w14:textId="0ED7A22A" w:rsidR="00E01E7B" w:rsidRDefault="00E64A2E">
                          <w:r>
                            <w:t>23 september 2026</w:t>
                          </w:r>
                        </w:p>
                      </w:tc>
                    </w:tr>
                    <w:tr w:rsidR="00E01E7B" w14:paraId="3BFF3278" w14:textId="77777777">
                      <w:trPr>
                        <w:trHeight w:val="240"/>
                      </w:trPr>
                      <w:tc>
                        <w:tcPr>
                          <w:tcW w:w="1140" w:type="dxa"/>
                        </w:tcPr>
                        <w:p w14:paraId="03951F11" w14:textId="77777777" w:rsidR="00E01E7B" w:rsidRDefault="005D2D9B">
                          <w:r>
                            <w:t>Betreft</w:t>
                          </w:r>
                        </w:p>
                      </w:tc>
                      <w:tc>
                        <w:tcPr>
                          <w:tcW w:w="5400" w:type="dxa"/>
                        </w:tcPr>
                        <w:p w14:paraId="0AD58295" w14:textId="77777777" w:rsidR="00E01E7B" w:rsidRDefault="005D2D9B">
                          <w:r>
                            <w:t>Dertiende voortgangsbrief Programma Omgeving Luchthaven Schiphol</w:t>
                          </w:r>
                        </w:p>
                      </w:tc>
                    </w:tr>
                    <w:tr w:rsidR="00E01E7B" w14:paraId="29F452AC" w14:textId="77777777">
                      <w:trPr>
                        <w:trHeight w:val="200"/>
                      </w:trPr>
                      <w:tc>
                        <w:tcPr>
                          <w:tcW w:w="1140" w:type="dxa"/>
                        </w:tcPr>
                        <w:p w14:paraId="4840031B" w14:textId="77777777" w:rsidR="00E01E7B" w:rsidRDefault="00E01E7B"/>
                      </w:tc>
                      <w:tc>
                        <w:tcPr>
                          <w:tcW w:w="5400" w:type="dxa"/>
                        </w:tcPr>
                        <w:p w14:paraId="5AC3F0A8" w14:textId="77777777" w:rsidR="00E01E7B" w:rsidRDefault="00E01E7B"/>
                      </w:tc>
                    </w:tr>
                  </w:tbl>
                  <w:p w14:paraId="1D144AB5" w14:textId="77777777" w:rsidR="00D659DB" w:rsidRDefault="00D659DB"/>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039DB8FA" wp14:editId="54CE1301">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6835C12E" w14:textId="77777777" w:rsidR="00D659DB" w:rsidRDefault="00D659DB"/>
                      </w:txbxContent>
                    </wps:txbx>
                    <wps:bodyPr vert="horz" wrap="square" lIns="0" tIns="0" rIns="0" bIns="0" anchor="t" anchorCtr="0"/>
                  </wps:wsp>
                </a:graphicData>
              </a:graphic>
            </wp:anchor>
          </w:drawing>
        </mc:Choice>
        <mc:Fallback>
          <w:pict>
            <v:shape w14:anchorId="039DB8FA"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6835C12E" w14:textId="77777777" w:rsidR="00D659DB" w:rsidRDefault="00D659DB"/>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55BF5FF"/>
    <w:multiLevelType w:val="multilevel"/>
    <w:tmpl w:val="CF3A5BA8"/>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6582818"/>
    <w:multiLevelType w:val="multilevel"/>
    <w:tmpl w:val="9118B269"/>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31A73D6"/>
    <w:multiLevelType w:val="multilevel"/>
    <w:tmpl w:val="934F23C6"/>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8037597"/>
    <w:multiLevelType w:val="multilevel"/>
    <w:tmpl w:val="BD9F68CA"/>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A83300EE"/>
    <w:multiLevelType w:val="multilevel"/>
    <w:tmpl w:val="B61A9496"/>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ABF56E6B"/>
    <w:multiLevelType w:val="multilevel"/>
    <w:tmpl w:val="3FAD2496"/>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86579D2"/>
    <w:multiLevelType w:val="multilevel"/>
    <w:tmpl w:val="1F082057"/>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B9E32696"/>
    <w:multiLevelType w:val="multilevel"/>
    <w:tmpl w:val="D0E8BE6B"/>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CF24A815"/>
    <w:multiLevelType w:val="multilevel"/>
    <w:tmpl w:val="B206F873"/>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FD3BB9C"/>
    <w:multiLevelType w:val="multilevel"/>
    <w:tmpl w:val="8216223F"/>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6190CA3"/>
    <w:multiLevelType w:val="hybridMultilevel"/>
    <w:tmpl w:val="E9E6DBF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093FEE83"/>
    <w:multiLevelType w:val="multilevel"/>
    <w:tmpl w:val="8B8955B0"/>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5FD3AA8"/>
    <w:multiLevelType w:val="multilevel"/>
    <w:tmpl w:val="A82BCD04"/>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E307FDC"/>
    <w:multiLevelType w:val="multilevel"/>
    <w:tmpl w:val="5ECED014"/>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F025949"/>
    <w:multiLevelType w:val="hybridMultilevel"/>
    <w:tmpl w:val="D7A2F4C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0DCBC5B"/>
    <w:multiLevelType w:val="multilevel"/>
    <w:tmpl w:val="B55819AA"/>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24B3CCF"/>
    <w:multiLevelType w:val="multilevel"/>
    <w:tmpl w:val="6C5EC607"/>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63C7B3"/>
    <w:multiLevelType w:val="multilevel"/>
    <w:tmpl w:val="262FFCFA"/>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6532FAD"/>
    <w:multiLevelType w:val="multilevel"/>
    <w:tmpl w:val="FE46F89A"/>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6F14BA2"/>
    <w:multiLevelType w:val="hybridMultilevel"/>
    <w:tmpl w:val="8F32D2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0A950EF"/>
    <w:multiLevelType w:val="multilevel"/>
    <w:tmpl w:val="F87C0A6D"/>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639ACCF"/>
    <w:multiLevelType w:val="multilevel"/>
    <w:tmpl w:val="7DFDC142"/>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7170D3E"/>
    <w:multiLevelType w:val="multilevel"/>
    <w:tmpl w:val="7F96CD84"/>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8631E15"/>
    <w:multiLevelType w:val="multilevel"/>
    <w:tmpl w:val="8E36E8C5"/>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E2428F3"/>
    <w:multiLevelType w:val="hybridMultilevel"/>
    <w:tmpl w:val="495EED1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73C9620E"/>
    <w:multiLevelType w:val="multilevel"/>
    <w:tmpl w:val="0160D423"/>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6" w15:restartNumberingAfterBreak="0">
    <w:nsid w:val="74AF5451"/>
    <w:multiLevelType w:val="multilevel"/>
    <w:tmpl w:val="39984E39"/>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2"/>
  </w:num>
  <w:num w:numId="3">
    <w:abstractNumId w:val="22"/>
  </w:num>
  <w:num w:numId="4">
    <w:abstractNumId w:val="13"/>
  </w:num>
  <w:num w:numId="5">
    <w:abstractNumId w:val="25"/>
  </w:num>
  <w:num w:numId="6">
    <w:abstractNumId w:val="8"/>
  </w:num>
  <w:num w:numId="7">
    <w:abstractNumId w:val="26"/>
  </w:num>
  <w:num w:numId="8">
    <w:abstractNumId w:val="15"/>
  </w:num>
  <w:num w:numId="9">
    <w:abstractNumId w:val="20"/>
  </w:num>
  <w:num w:numId="10">
    <w:abstractNumId w:val="6"/>
  </w:num>
  <w:num w:numId="11">
    <w:abstractNumId w:val="9"/>
  </w:num>
  <w:num w:numId="12">
    <w:abstractNumId w:val="4"/>
  </w:num>
  <w:num w:numId="13">
    <w:abstractNumId w:val="12"/>
  </w:num>
  <w:num w:numId="14">
    <w:abstractNumId w:val="0"/>
  </w:num>
  <w:num w:numId="15">
    <w:abstractNumId w:val="3"/>
  </w:num>
  <w:num w:numId="16">
    <w:abstractNumId w:val="16"/>
  </w:num>
  <w:num w:numId="17">
    <w:abstractNumId w:val="18"/>
  </w:num>
  <w:num w:numId="18">
    <w:abstractNumId w:val="1"/>
  </w:num>
  <w:num w:numId="19">
    <w:abstractNumId w:val="7"/>
  </w:num>
  <w:num w:numId="20">
    <w:abstractNumId w:val="5"/>
  </w:num>
  <w:num w:numId="21">
    <w:abstractNumId w:val="17"/>
  </w:num>
  <w:num w:numId="22">
    <w:abstractNumId w:val="21"/>
  </w:num>
  <w:num w:numId="23">
    <w:abstractNumId w:val="11"/>
  </w:num>
  <w:num w:numId="24">
    <w:abstractNumId w:val="24"/>
  </w:num>
  <w:num w:numId="25">
    <w:abstractNumId w:val="10"/>
  </w:num>
  <w:num w:numId="26">
    <w:abstractNumId w:val="14"/>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AFA"/>
    <w:rsid w:val="00015272"/>
    <w:rsid w:val="00083C0C"/>
    <w:rsid w:val="000A74E6"/>
    <w:rsid w:val="000B6432"/>
    <w:rsid w:val="000D1847"/>
    <w:rsid w:val="000D209C"/>
    <w:rsid w:val="000E4C9B"/>
    <w:rsid w:val="000F51A9"/>
    <w:rsid w:val="000F78F0"/>
    <w:rsid w:val="00103417"/>
    <w:rsid w:val="001205AB"/>
    <w:rsid w:val="001242DE"/>
    <w:rsid w:val="00127CDB"/>
    <w:rsid w:val="0016346A"/>
    <w:rsid w:val="001A26CB"/>
    <w:rsid w:val="001B459A"/>
    <w:rsid w:val="001C348F"/>
    <w:rsid w:val="001C5418"/>
    <w:rsid w:val="001D1B8E"/>
    <w:rsid w:val="001D3F91"/>
    <w:rsid w:val="001D41FF"/>
    <w:rsid w:val="0021138E"/>
    <w:rsid w:val="0021183A"/>
    <w:rsid w:val="00212F64"/>
    <w:rsid w:val="00283DCE"/>
    <w:rsid w:val="00284679"/>
    <w:rsid w:val="00295B1A"/>
    <w:rsid w:val="002B214F"/>
    <w:rsid w:val="002D33D8"/>
    <w:rsid w:val="002D3B0F"/>
    <w:rsid w:val="002E3431"/>
    <w:rsid w:val="002E7A5C"/>
    <w:rsid w:val="00301E17"/>
    <w:rsid w:val="00336E2C"/>
    <w:rsid w:val="00343BF5"/>
    <w:rsid w:val="003443DE"/>
    <w:rsid w:val="00344A99"/>
    <w:rsid w:val="00346550"/>
    <w:rsid w:val="00374AA2"/>
    <w:rsid w:val="00380A0D"/>
    <w:rsid w:val="00381426"/>
    <w:rsid w:val="0038561C"/>
    <w:rsid w:val="00394427"/>
    <w:rsid w:val="003D1365"/>
    <w:rsid w:val="003E10FA"/>
    <w:rsid w:val="00412381"/>
    <w:rsid w:val="004372D0"/>
    <w:rsid w:val="00440A26"/>
    <w:rsid w:val="00453309"/>
    <w:rsid w:val="004653F0"/>
    <w:rsid w:val="0047047F"/>
    <w:rsid w:val="00483963"/>
    <w:rsid w:val="00486DF6"/>
    <w:rsid w:val="004934E9"/>
    <w:rsid w:val="004A11A9"/>
    <w:rsid w:val="004A64FD"/>
    <w:rsid w:val="004A7BDA"/>
    <w:rsid w:val="004B560A"/>
    <w:rsid w:val="004B7B3B"/>
    <w:rsid w:val="004C67BA"/>
    <w:rsid w:val="004C7A11"/>
    <w:rsid w:val="004D54C8"/>
    <w:rsid w:val="004F558F"/>
    <w:rsid w:val="005001E4"/>
    <w:rsid w:val="00511C4A"/>
    <w:rsid w:val="00515A51"/>
    <w:rsid w:val="00517758"/>
    <w:rsid w:val="0052299A"/>
    <w:rsid w:val="005251A7"/>
    <w:rsid w:val="00534290"/>
    <w:rsid w:val="00535C57"/>
    <w:rsid w:val="005446EF"/>
    <w:rsid w:val="00573861"/>
    <w:rsid w:val="0059224D"/>
    <w:rsid w:val="005A0328"/>
    <w:rsid w:val="005A1345"/>
    <w:rsid w:val="005A7B3E"/>
    <w:rsid w:val="005B70C3"/>
    <w:rsid w:val="005C1C2C"/>
    <w:rsid w:val="005C3860"/>
    <w:rsid w:val="005D1954"/>
    <w:rsid w:val="005D2D9B"/>
    <w:rsid w:val="005D3DDF"/>
    <w:rsid w:val="005D63BC"/>
    <w:rsid w:val="005F47FA"/>
    <w:rsid w:val="00605B44"/>
    <w:rsid w:val="00612752"/>
    <w:rsid w:val="00617C2B"/>
    <w:rsid w:val="006232D1"/>
    <w:rsid w:val="00630C5F"/>
    <w:rsid w:val="00641039"/>
    <w:rsid w:val="00653291"/>
    <w:rsid w:val="006547E7"/>
    <w:rsid w:val="00656CB3"/>
    <w:rsid w:val="006612B8"/>
    <w:rsid w:val="006D2312"/>
    <w:rsid w:val="006E0907"/>
    <w:rsid w:val="006E3BCC"/>
    <w:rsid w:val="006F6048"/>
    <w:rsid w:val="00702E99"/>
    <w:rsid w:val="00705DD5"/>
    <w:rsid w:val="00723FF2"/>
    <w:rsid w:val="007243E3"/>
    <w:rsid w:val="0075347D"/>
    <w:rsid w:val="00757D05"/>
    <w:rsid w:val="007706A3"/>
    <w:rsid w:val="007A4204"/>
    <w:rsid w:val="007B2250"/>
    <w:rsid w:val="007D6401"/>
    <w:rsid w:val="007E4C52"/>
    <w:rsid w:val="007E62BA"/>
    <w:rsid w:val="007F76CA"/>
    <w:rsid w:val="00813705"/>
    <w:rsid w:val="00832918"/>
    <w:rsid w:val="00856AF3"/>
    <w:rsid w:val="008625EC"/>
    <w:rsid w:val="008841D2"/>
    <w:rsid w:val="008863C3"/>
    <w:rsid w:val="008D798C"/>
    <w:rsid w:val="009009EE"/>
    <w:rsid w:val="0091281D"/>
    <w:rsid w:val="00912D68"/>
    <w:rsid w:val="00917B5D"/>
    <w:rsid w:val="009240CD"/>
    <w:rsid w:val="009378C3"/>
    <w:rsid w:val="00943EDA"/>
    <w:rsid w:val="00946C8B"/>
    <w:rsid w:val="00971E6C"/>
    <w:rsid w:val="009D1A8F"/>
    <w:rsid w:val="009E24DE"/>
    <w:rsid w:val="00A032E9"/>
    <w:rsid w:val="00A3441A"/>
    <w:rsid w:val="00A42256"/>
    <w:rsid w:val="00A61544"/>
    <w:rsid w:val="00AB582E"/>
    <w:rsid w:val="00AF27A8"/>
    <w:rsid w:val="00AF393C"/>
    <w:rsid w:val="00B02BCE"/>
    <w:rsid w:val="00B44CB4"/>
    <w:rsid w:val="00B52885"/>
    <w:rsid w:val="00B60AA7"/>
    <w:rsid w:val="00B73F5D"/>
    <w:rsid w:val="00B926A5"/>
    <w:rsid w:val="00B96362"/>
    <w:rsid w:val="00BB0C5E"/>
    <w:rsid w:val="00BD101B"/>
    <w:rsid w:val="00BF53C8"/>
    <w:rsid w:val="00C01F7B"/>
    <w:rsid w:val="00C10D75"/>
    <w:rsid w:val="00C12932"/>
    <w:rsid w:val="00C24D42"/>
    <w:rsid w:val="00C267D3"/>
    <w:rsid w:val="00C42048"/>
    <w:rsid w:val="00C61161"/>
    <w:rsid w:val="00C63A5B"/>
    <w:rsid w:val="00CA4CE5"/>
    <w:rsid w:val="00CA5AFA"/>
    <w:rsid w:val="00CC2E39"/>
    <w:rsid w:val="00CD0DEA"/>
    <w:rsid w:val="00CE08A9"/>
    <w:rsid w:val="00CF0654"/>
    <w:rsid w:val="00D004A1"/>
    <w:rsid w:val="00D011A1"/>
    <w:rsid w:val="00D03154"/>
    <w:rsid w:val="00D06982"/>
    <w:rsid w:val="00D340E2"/>
    <w:rsid w:val="00D411A7"/>
    <w:rsid w:val="00D425D5"/>
    <w:rsid w:val="00D4260F"/>
    <w:rsid w:val="00D659DB"/>
    <w:rsid w:val="00D70A4C"/>
    <w:rsid w:val="00D857AA"/>
    <w:rsid w:val="00D95538"/>
    <w:rsid w:val="00DD0004"/>
    <w:rsid w:val="00DD4E83"/>
    <w:rsid w:val="00DE5970"/>
    <w:rsid w:val="00DF459D"/>
    <w:rsid w:val="00E01E7B"/>
    <w:rsid w:val="00E2126F"/>
    <w:rsid w:val="00E27F97"/>
    <w:rsid w:val="00E533F8"/>
    <w:rsid w:val="00E64A2E"/>
    <w:rsid w:val="00E965CE"/>
    <w:rsid w:val="00EA4BD7"/>
    <w:rsid w:val="00EC7404"/>
    <w:rsid w:val="00ED5FE6"/>
    <w:rsid w:val="00EF2BE2"/>
    <w:rsid w:val="00EF5CE2"/>
    <w:rsid w:val="00F36567"/>
    <w:rsid w:val="00F41A72"/>
    <w:rsid w:val="00F4591A"/>
    <w:rsid w:val="00F67DCC"/>
    <w:rsid w:val="00F93964"/>
    <w:rsid w:val="00FB56CE"/>
    <w:rsid w:val="00FD7901"/>
    <w:rsid w:val="00FE65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A5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CA5AFA"/>
    <w:pPr>
      <w:tabs>
        <w:tab w:val="center" w:pos="4536"/>
        <w:tab w:val="right" w:pos="9072"/>
      </w:tabs>
      <w:spacing w:line="240" w:lineRule="auto"/>
    </w:pPr>
  </w:style>
  <w:style w:type="character" w:customStyle="1" w:styleId="HeaderChar">
    <w:name w:val="Header Char"/>
    <w:basedOn w:val="DefaultParagraphFont"/>
    <w:link w:val="Header"/>
    <w:uiPriority w:val="99"/>
    <w:rsid w:val="00CA5AFA"/>
    <w:rPr>
      <w:rFonts w:ascii="Verdana" w:hAnsi="Verdana"/>
      <w:color w:val="000000"/>
      <w:sz w:val="18"/>
      <w:szCs w:val="18"/>
    </w:rPr>
  </w:style>
  <w:style w:type="paragraph" w:styleId="Footer">
    <w:name w:val="footer"/>
    <w:basedOn w:val="Normal"/>
    <w:link w:val="FooterChar"/>
    <w:uiPriority w:val="99"/>
    <w:unhideWhenUsed/>
    <w:rsid w:val="00CA5AFA"/>
    <w:pPr>
      <w:tabs>
        <w:tab w:val="center" w:pos="4536"/>
        <w:tab w:val="right" w:pos="9072"/>
      </w:tabs>
      <w:spacing w:line="240" w:lineRule="auto"/>
    </w:pPr>
  </w:style>
  <w:style w:type="character" w:customStyle="1" w:styleId="FooterChar">
    <w:name w:val="Footer Char"/>
    <w:basedOn w:val="DefaultParagraphFont"/>
    <w:link w:val="Footer"/>
    <w:uiPriority w:val="99"/>
    <w:rsid w:val="00CA5AFA"/>
    <w:rPr>
      <w:rFonts w:ascii="Verdana" w:hAnsi="Verdana"/>
      <w:color w:val="000000"/>
      <w:sz w:val="18"/>
      <w:szCs w:val="18"/>
    </w:rPr>
  </w:style>
  <w:style w:type="paragraph" w:styleId="FootnoteText">
    <w:name w:val="footnote text"/>
    <w:basedOn w:val="Normal"/>
    <w:link w:val="FootnoteTextChar"/>
    <w:uiPriority w:val="99"/>
    <w:semiHidden/>
    <w:unhideWhenUsed/>
    <w:rsid w:val="00CA5AFA"/>
    <w:pPr>
      <w:spacing w:line="240" w:lineRule="auto"/>
    </w:pPr>
    <w:rPr>
      <w:sz w:val="20"/>
      <w:szCs w:val="20"/>
    </w:rPr>
  </w:style>
  <w:style w:type="character" w:customStyle="1" w:styleId="FootnoteTextChar">
    <w:name w:val="Footnote Text Char"/>
    <w:basedOn w:val="DefaultParagraphFont"/>
    <w:link w:val="FootnoteText"/>
    <w:uiPriority w:val="99"/>
    <w:semiHidden/>
    <w:rsid w:val="00CA5AFA"/>
    <w:rPr>
      <w:rFonts w:ascii="Verdana" w:hAnsi="Verdana"/>
      <w:color w:val="000000"/>
    </w:rPr>
  </w:style>
  <w:style w:type="character" w:styleId="FootnoteReference">
    <w:name w:val="footnote reference"/>
    <w:basedOn w:val="DefaultParagraphFont"/>
    <w:uiPriority w:val="99"/>
    <w:semiHidden/>
    <w:unhideWhenUsed/>
    <w:rsid w:val="00CA5AFA"/>
    <w:rPr>
      <w:vertAlign w:val="superscript"/>
    </w:rPr>
  </w:style>
  <w:style w:type="paragraph" w:styleId="Revision">
    <w:name w:val="Revision"/>
    <w:hidden/>
    <w:uiPriority w:val="99"/>
    <w:semiHidden/>
    <w:rsid w:val="00AF393C"/>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535C57"/>
    <w:rPr>
      <w:sz w:val="16"/>
      <w:szCs w:val="16"/>
    </w:rPr>
  </w:style>
  <w:style w:type="paragraph" w:styleId="CommentText">
    <w:name w:val="annotation text"/>
    <w:basedOn w:val="Normal"/>
    <w:link w:val="CommentTextChar"/>
    <w:uiPriority w:val="99"/>
    <w:unhideWhenUsed/>
    <w:rsid w:val="00535C57"/>
    <w:pPr>
      <w:spacing w:line="240" w:lineRule="auto"/>
    </w:pPr>
    <w:rPr>
      <w:sz w:val="20"/>
      <w:szCs w:val="20"/>
    </w:rPr>
  </w:style>
  <w:style w:type="character" w:customStyle="1" w:styleId="CommentTextChar">
    <w:name w:val="Comment Text Char"/>
    <w:basedOn w:val="DefaultParagraphFont"/>
    <w:link w:val="CommentText"/>
    <w:uiPriority w:val="99"/>
    <w:rsid w:val="00535C57"/>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535C57"/>
    <w:rPr>
      <w:b/>
      <w:bCs/>
    </w:rPr>
  </w:style>
  <w:style w:type="character" w:customStyle="1" w:styleId="CommentSubjectChar">
    <w:name w:val="Comment Subject Char"/>
    <w:basedOn w:val="CommentTextChar"/>
    <w:link w:val="CommentSubject"/>
    <w:uiPriority w:val="99"/>
    <w:semiHidden/>
    <w:rsid w:val="00535C57"/>
    <w:rPr>
      <w:rFonts w:ascii="Verdana" w:hAnsi="Verdana"/>
      <w:b/>
      <w:bCs/>
      <w:color w:val="000000"/>
    </w:rPr>
  </w:style>
  <w:style w:type="paragraph" w:styleId="ListParagraph">
    <w:name w:val="List Paragraph"/>
    <w:basedOn w:val="Normal"/>
    <w:uiPriority w:val="34"/>
    <w:rsid w:val="00EC74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0148">
      <w:bodyDiv w:val="1"/>
      <w:marLeft w:val="0"/>
      <w:marRight w:val="0"/>
      <w:marTop w:val="0"/>
      <w:marBottom w:val="0"/>
      <w:divBdr>
        <w:top w:val="none" w:sz="0" w:space="0" w:color="auto"/>
        <w:left w:val="none" w:sz="0" w:space="0" w:color="auto"/>
        <w:bottom w:val="none" w:sz="0" w:space="0" w:color="auto"/>
        <w:right w:val="none" w:sz="0" w:space="0" w:color="auto"/>
      </w:divBdr>
    </w:div>
    <w:div w:id="113258610">
      <w:bodyDiv w:val="1"/>
      <w:marLeft w:val="0"/>
      <w:marRight w:val="0"/>
      <w:marTop w:val="0"/>
      <w:marBottom w:val="0"/>
      <w:divBdr>
        <w:top w:val="none" w:sz="0" w:space="0" w:color="auto"/>
        <w:left w:val="none" w:sz="0" w:space="0" w:color="auto"/>
        <w:bottom w:val="none" w:sz="0" w:space="0" w:color="auto"/>
        <w:right w:val="none" w:sz="0" w:space="0" w:color="auto"/>
      </w:divBdr>
    </w:div>
    <w:div w:id="187259304">
      <w:bodyDiv w:val="1"/>
      <w:marLeft w:val="0"/>
      <w:marRight w:val="0"/>
      <w:marTop w:val="0"/>
      <w:marBottom w:val="0"/>
      <w:divBdr>
        <w:top w:val="none" w:sz="0" w:space="0" w:color="auto"/>
        <w:left w:val="none" w:sz="0" w:space="0" w:color="auto"/>
        <w:bottom w:val="none" w:sz="0" w:space="0" w:color="auto"/>
        <w:right w:val="none" w:sz="0" w:space="0" w:color="auto"/>
      </w:divBdr>
    </w:div>
    <w:div w:id="231426260">
      <w:bodyDiv w:val="1"/>
      <w:marLeft w:val="0"/>
      <w:marRight w:val="0"/>
      <w:marTop w:val="0"/>
      <w:marBottom w:val="0"/>
      <w:divBdr>
        <w:top w:val="none" w:sz="0" w:space="0" w:color="auto"/>
        <w:left w:val="none" w:sz="0" w:space="0" w:color="auto"/>
        <w:bottom w:val="none" w:sz="0" w:space="0" w:color="auto"/>
        <w:right w:val="none" w:sz="0" w:space="0" w:color="auto"/>
      </w:divBdr>
    </w:div>
    <w:div w:id="386077633">
      <w:bodyDiv w:val="1"/>
      <w:marLeft w:val="0"/>
      <w:marRight w:val="0"/>
      <w:marTop w:val="0"/>
      <w:marBottom w:val="0"/>
      <w:divBdr>
        <w:top w:val="none" w:sz="0" w:space="0" w:color="auto"/>
        <w:left w:val="none" w:sz="0" w:space="0" w:color="auto"/>
        <w:bottom w:val="none" w:sz="0" w:space="0" w:color="auto"/>
        <w:right w:val="none" w:sz="0" w:space="0" w:color="auto"/>
      </w:divBdr>
    </w:div>
    <w:div w:id="439641061">
      <w:bodyDiv w:val="1"/>
      <w:marLeft w:val="0"/>
      <w:marRight w:val="0"/>
      <w:marTop w:val="0"/>
      <w:marBottom w:val="0"/>
      <w:divBdr>
        <w:top w:val="none" w:sz="0" w:space="0" w:color="auto"/>
        <w:left w:val="none" w:sz="0" w:space="0" w:color="auto"/>
        <w:bottom w:val="none" w:sz="0" w:space="0" w:color="auto"/>
        <w:right w:val="none" w:sz="0" w:space="0" w:color="auto"/>
      </w:divBdr>
    </w:div>
    <w:div w:id="590164222">
      <w:bodyDiv w:val="1"/>
      <w:marLeft w:val="0"/>
      <w:marRight w:val="0"/>
      <w:marTop w:val="0"/>
      <w:marBottom w:val="0"/>
      <w:divBdr>
        <w:top w:val="none" w:sz="0" w:space="0" w:color="auto"/>
        <w:left w:val="none" w:sz="0" w:space="0" w:color="auto"/>
        <w:bottom w:val="none" w:sz="0" w:space="0" w:color="auto"/>
        <w:right w:val="none" w:sz="0" w:space="0" w:color="auto"/>
      </w:divBdr>
    </w:div>
    <w:div w:id="601228315">
      <w:bodyDiv w:val="1"/>
      <w:marLeft w:val="0"/>
      <w:marRight w:val="0"/>
      <w:marTop w:val="0"/>
      <w:marBottom w:val="0"/>
      <w:divBdr>
        <w:top w:val="none" w:sz="0" w:space="0" w:color="auto"/>
        <w:left w:val="none" w:sz="0" w:space="0" w:color="auto"/>
        <w:bottom w:val="none" w:sz="0" w:space="0" w:color="auto"/>
        <w:right w:val="none" w:sz="0" w:space="0" w:color="auto"/>
      </w:divBdr>
    </w:div>
    <w:div w:id="1052846484">
      <w:bodyDiv w:val="1"/>
      <w:marLeft w:val="0"/>
      <w:marRight w:val="0"/>
      <w:marTop w:val="0"/>
      <w:marBottom w:val="0"/>
      <w:divBdr>
        <w:top w:val="none" w:sz="0" w:space="0" w:color="auto"/>
        <w:left w:val="none" w:sz="0" w:space="0" w:color="auto"/>
        <w:bottom w:val="none" w:sz="0" w:space="0" w:color="auto"/>
        <w:right w:val="none" w:sz="0" w:space="0" w:color="auto"/>
      </w:divBdr>
    </w:div>
    <w:div w:id="1298560794">
      <w:bodyDiv w:val="1"/>
      <w:marLeft w:val="0"/>
      <w:marRight w:val="0"/>
      <w:marTop w:val="0"/>
      <w:marBottom w:val="0"/>
      <w:divBdr>
        <w:top w:val="none" w:sz="0" w:space="0" w:color="auto"/>
        <w:left w:val="none" w:sz="0" w:space="0" w:color="auto"/>
        <w:bottom w:val="none" w:sz="0" w:space="0" w:color="auto"/>
        <w:right w:val="none" w:sz="0" w:space="0" w:color="auto"/>
      </w:divBdr>
    </w:div>
    <w:div w:id="1347056017">
      <w:bodyDiv w:val="1"/>
      <w:marLeft w:val="0"/>
      <w:marRight w:val="0"/>
      <w:marTop w:val="0"/>
      <w:marBottom w:val="0"/>
      <w:divBdr>
        <w:top w:val="none" w:sz="0" w:space="0" w:color="auto"/>
        <w:left w:val="none" w:sz="0" w:space="0" w:color="auto"/>
        <w:bottom w:val="none" w:sz="0" w:space="0" w:color="auto"/>
        <w:right w:val="none" w:sz="0" w:space="0" w:color="auto"/>
      </w:divBdr>
    </w:div>
    <w:div w:id="1524394935">
      <w:bodyDiv w:val="1"/>
      <w:marLeft w:val="0"/>
      <w:marRight w:val="0"/>
      <w:marTop w:val="0"/>
      <w:marBottom w:val="0"/>
      <w:divBdr>
        <w:top w:val="none" w:sz="0" w:space="0" w:color="auto"/>
        <w:left w:val="none" w:sz="0" w:space="0" w:color="auto"/>
        <w:bottom w:val="none" w:sz="0" w:space="0" w:color="auto"/>
        <w:right w:val="none" w:sz="0" w:space="0" w:color="auto"/>
      </w:divBdr>
    </w:div>
    <w:div w:id="16643130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3).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1451</ap:Words>
  <ap:Characters>8271</ap:Characters>
  <ap:DocSecurity>0</ap:DocSecurity>
  <ap:Lines>68</ap:Lines>
  <ap:Paragraphs>19</ap:Paragraphs>
  <ap:ScaleCrop>false</ap:ScaleCrop>
  <ap:HeadingPairs>
    <vt:vector baseType="variant" size="2">
      <vt:variant>
        <vt:lpstr>Titel</vt:lpstr>
      </vt:variant>
      <vt:variant>
        <vt:i4>1</vt:i4>
      </vt:variant>
    </vt:vector>
  </ap:HeadingPairs>
  <ap:TitlesOfParts>
    <vt:vector baseType="lpstr" size="1">
      <vt:lpstr>Brief aan Parlement - Dertiende voortgangsbrief Programma Omgeving Luchthaven Schiphol</vt:lpstr>
    </vt:vector>
  </ap:TitlesOfParts>
  <ap:LinksUpToDate>false</ap:LinksUpToDate>
  <ap:CharactersWithSpaces>9703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2026-09-23T08:44:00.0000000Z</dcterms:created>
  <dcterms:modified xsi:type="dcterms:W3CDTF">2026-09-23T08:44:00.0000000Z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Dertiende voortgangsbrief Programma Omgeving Luchthaven Schiphol</vt:lpwstr>
  </property>
  <property fmtid="{D5CDD505-2E9C-101B-9397-08002B2CF9AE}" pid="5" name="Publicatiedatum">
    <vt:lpwstr/>
  </property>
  <property fmtid="{D5CDD505-2E9C-101B-9397-08002B2CF9AE}" pid="6" name="Verantwoordelijke organisatie">
    <vt:lpwstr>Prog.dir. Omgeving Luchthaven Schiphol</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T.C. Paling</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