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70AB260" w14:textId="77777777">
        <w:tc>
          <w:tcPr>
            <w:tcW w:w="6379" w:type="dxa"/>
            <w:gridSpan w:val="2"/>
            <w:tcBorders>
              <w:top w:val="nil"/>
              <w:left w:val="nil"/>
              <w:bottom w:val="nil"/>
              <w:right w:val="nil"/>
            </w:tcBorders>
            <w:vAlign w:val="center"/>
          </w:tcPr>
          <w:p w:rsidR="004330ED" w:rsidP="00EA1CE4" w:rsidRDefault="004330ED" w14:paraId="6B8F549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4AC74D3"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30819BF" w14:textId="77777777">
        <w:trPr>
          <w:cantSplit/>
        </w:trPr>
        <w:tc>
          <w:tcPr>
            <w:tcW w:w="10348" w:type="dxa"/>
            <w:gridSpan w:val="3"/>
            <w:tcBorders>
              <w:top w:val="single" w:color="auto" w:sz="4" w:space="0"/>
              <w:left w:val="nil"/>
              <w:bottom w:val="nil"/>
              <w:right w:val="nil"/>
            </w:tcBorders>
          </w:tcPr>
          <w:p w:rsidR="004330ED" w:rsidP="004A1E29" w:rsidRDefault="004330ED" w14:paraId="1069B9C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6676BB83" w14:textId="77777777">
        <w:trPr>
          <w:cantSplit/>
        </w:trPr>
        <w:tc>
          <w:tcPr>
            <w:tcW w:w="10348" w:type="dxa"/>
            <w:gridSpan w:val="3"/>
            <w:tcBorders>
              <w:top w:val="nil"/>
              <w:left w:val="nil"/>
              <w:bottom w:val="nil"/>
              <w:right w:val="nil"/>
            </w:tcBorders>
          </w:tcPr>
          <w:p w:rsidR="004330ED" w:rsidP="00BF623B" w:rsidRDefault="004330ED" w14:paraId="28D09F29" w14:textId="77777777">
            <w:pPr>
              <w:pStyle w:val="Amendement"/>
              <w:tabs>
                <w:tab w:val="clear" w:pos="3310"/>
                <w:tab w:val="clear" w:pos="3600"/>
              </w:tabs>
              <w:rPr>
                <w:rFonts w:ascii="Times New Roman" w:hAnsi="Times New Roman"/>
                <w:b w:val="0"/>
              </w:rPr>
            </w:pPr>
          </w:p>
        </w:tc>
      </w:tr>
      <w:tr w:rsidR="004330ED" w:rsidTr="00EA1CE4" w14:paraId="6C8A208E" w14:textId="77777777">
        <w:trPr>
          <w:cantSplit/>
        </w:trPr>
        <w:tc>
          <w:tcPr>
            <w:tcW w:w="10348" w:type="dxa"/>
            <w:gridSpan w:val="3"/>
            <w:tcBorders>
              <w:top w:val="nil"/>
              <w:left w:val="nil"/>
              <w:bottom w:val="single" w:color="auto" w:sz="4" w:space="0"/>
              <w:right w:val="nil"/>
            </w:tcBorders>
          </w:tcPr>
          <w:p w:rsidR="004330ED" w:rsidP="00BF623B" w:rsidRDefault="004330ED" w14:paraId="740485B3" w14:textId="77777777">
            <w:pPr>
              <w:pStyle w:val="Amendement"/>
              <w:tabs>
                <w:tab w:val="clear" w:pos="3310"/>
                <w:tab w:val="clear" w:pos="3600"/>
              </w:tabs>
              <w:rPr>
                <w:rFonts w:ascii="Times New Roman" w:hAnsi="Times New Roman"/>
              </w:rPr>
            </w:pPr>
          </w:p>
        </w:tc>
      </w:tr>
      <w:tr w:rsidR="004330ED" w:rsidTr="00EA1CE4" w14:paraId="3CC362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A0FE39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E9B0960" w14:textId="77777777">
            <w:pPr>
              <w:suppressAutoHyphens/>
              <w:ind w:left="-70"/>
              <w:rPr>
                <w:b/>
              </w:rPr>
            </w:pPr>
          </w:p>
        </w:tc>
      </w:tr>
      <w:tr w:rsidR="003C21AC" w:rsidTr="00EA1CE4" w14:paraId="61DC17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4A0194" w14:paraId="2EA57115" w14:textId="2E1B37AE">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4A0194" w:rsidR="003C21AC" w:rsidP="004A0194" w:rsidRDefault="004A0194" w14:paraId="1BF00427" w14:textId="73C674C1">
            <w:pPr>
              <w:rPr>
                <w:b/>
                <w:bCs/>
                <w:szCs w:val="24"/>
              </w:rPr>
            </w:pPr>
            <w:r w:rsidRPr="004A0194">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2F9562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383053A"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46C736F" w14:textId="77777777">
            <w:pPr>
              <w:pStyle w:val="Amendement"/>
              <w:tabs>
                <w:tab w:val="clear" w:pos="3310"/>
                <w:tab w:val="clear" w:pos="3600"/>
              </w:tabs>
              <w:ind w:left="-70"/>
              <w:rPr>
                <w:rFonts w:ascii="Times New Roman" w:hAnsi="Times New Roman"/>
              </w:rPr>
            </w:pPr>
          </w:p>
        </w:tc>
      </w:tr>
      <w:tr w:rsidR="003C21AC" w:rsidTr="00EA1CE4" w14:paraId="20AE40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0F89D7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CBE6ED2" w14:textId="77777777">
            <w:pPr>
              <w:pStyle w:val="Amendement"/>
              <w:tabs>
                <w:tab w:val="clear" w:pos="3310"/>
                <w:tab w:val="clear" w:pos="3600"/>
              </w:tabs>
              <w:ind w:left="-70"/>
              <w:rPr>
                <w:rFonts w:ascii="Times New Roman" w:hAnsi="Times New Roman"/>
              </w:rPr>
            </w:pPr>
          </w:p>
        </w:tc>
      </w:tr>
      <w:tr w:rsidR="003C21AC" w:rsidTr="00EA1CE4" w14:paraId="5DEAB8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57F83855" w14:textId="2FF734CD">
            <w:pPr>
              <w:pStyle w:val="Amendement"/>
              <w:tabs>
                <w:tab w:val="clear" w:pos="3310"/>
                <w:tab w:val="clear" w:pos="3600"/>
              </w:tabs>
              <w:rPr>
                <w:rFonts w:ascii="Times New Roman" w:hAnsi="Times New Roman"/>
              </w:rPr>
            </w:pPr>
            <w:r w:rsidRPr="00C035D4">
              <w:rPr>
                <w:rFonts w:ascii="Times New Roman" w:hAnsi="Times New Roman"/>
              </w:rPr>
              <w:t xml:space="preserve">Nr. </w:t>
            </w:r>
            <w:r w:rsidR="00B12AF5">
              <w:rPr>
                <w:rFonts w:ascii="Times New Roman" w:hAnsi="Times New Roman"/>
                <w:caps/>
              </w:rPr>
              <w:t>13</w:t>
            </w:r>
          </w:p>
        </w:tc>
        <w:tc>
          <w:tcPr>
            <w:tcW w:w="7371" w:type="dxa"/>
            <w:gridSpan w:val="2"/>
          </w:tcPr>
          <w:p w:rsidRPr="00C035D4" w:rsidR="003C21AC" w:rsidP="006E0971" w:rsidRDefault="003C21AC" w14:paraId="6896027F" w14:textId="4CB591A3">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940585">
              <w:rPr>
                <w:rFonts w:ascii="Times New Roman" w:hAnsi="Times New Roman"/>
                <w:caps/>
              </w:rPr>
              <w:t>faber</w:t>
            </w:r>
          </w:p>
        </w:tc>
      </w:tr>
      <w:tr w:rsidR="003C21AC" w:rsidTr="00EA1CE4" w14:paraId="1EA654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0B0067B"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BF55AB9" w14:textId="0CB6039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B12AF5">
              <w:rPr>
                <w:rFonts w:ascii="Times New Roman" w:hAnsi="Times New Roman"/>
                <w:b w:val="0"/>
              </w:rPr>
              <w:t>22 september 2026</w:t>
            </w:r>
          </w:p>
        </w:tc>
      </w:tr>
      <w:tr w:rsidR="00B01BA6" w:rsidTr="00EA1CE4" w14:paraId="6F11DE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DFE14A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476B00FE" w14:textId="77777777">
            <w:pPr>
              <w:pStyle w:val="Amendement"/>
              <w:tabs>
                <w:tab w:val="clear" w:pos="3310"/>
                <w:tab w:val="clear" w:pos="3600"/>
              </w:tabs>
              <w:ind w:left="-70"/>
              <w:rPr>
                <w:rFonts w:ascii="Times New Roman" w:hAnsi="Times New Roman"/>
                <w:b w:val="0"/>
              </w:rPr>
            </w:pPr>
          </w:p>
        </w:tc>
      </w:tr>
      <w:tr w:rsidRPr="00EA69AC" w:rsidR="00B01BA6" w:rsidTr="00EA1CE4" w14:paraId="71EA6B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1B8900A5" w14:textId="77777777">
            <w:pPr>
              <w:ind w:firstLine="284"/>
            </w:pPr>
            <w:r w:rsidRPr="00EA69AC">
              <w:t>De ondergetekende stelt het volgende amendement voor:</w:t>
            </w:r>
          </w:p>
        </w:tc>
      </w:tr>
    </w:tbl>
    <w:p w:rsidRPr="00EA69AC" w:rsidR="005B1DCC" w:rsidP="00BF623B" w:rsidRDefault="005B1DCC" w14:paraId="267D7261" w14:textId="77777777"/>
    <w:p w:rsidR="005B1DCC" w:rsidP="0088452C" w:rsidRDefault="002A186D" w14:paraId="3599B09B" w14:textId="476B72BC">
      <w:pPr>
        <w:ind w:firstLine="284"/>
      </w:pPr>
      <w:r>
        <w:t>A</w:t>
      </w:r>
      <w:r w:rsidR="009D7489">
        <w:t xml:space="preserve">rtikel I, onderdeel A, wordt als volgt gewijzigd: </w:t>
      </w:r>
    </w:p>
    <w:p w:rsidR="000922A3" w:rsidP="0088452C" w:rsidRDefault="000922A3" w14:paraId="155308D0" w14:textId="77777777">
      <w:pPr>
        <w:ind w:firstLine="284"/>
      </w:pPr>
    </w:p>
    <w:p w:rsidR="00C22E94" w:rsidP="0088452C" w:rsidRDefault="00C22E94" w14:paraId="1ECA014E" w14:textId="197DA18A">
      <w:pPr>
        <w:ind w:firstLine="284"/>
      </w:pPr>
      <w:r>
        <w:t xml:space="preserve">1. </w:t>
      </w:r>
      <w:r w:rsidR="00947BE3">
        <w:t>Voor de tekst wordt de aanduiding “</w:t>
      </w:r>
      <w:r w:rsidR="00292A51">
        <w:t>2</w:t>
      </w:r>
      <w:r w:rsidR="00947BE3">
        <w:t>.” geplaatst e</w:t>
      </w:r>
      <w:r>
        <w:t>n</w:t>
      </w:r>
      <w:r w:rsidR="00947BE3">
        <w:t xml:space="preserve"> in</w:t>
      </w:r>
      <w:r>
        <w:t xml:space="preserve"> de tekst wordt “artikel 273f, tweede lid,” vervangen door “het</w:t>
      </w:r>
      <w:r w:rsidR="00947BE3">
        <w:t xml:space="preserve"> tweede lid”.</w:t>
      </w:r>
    </w:p>
    <w:p w:rsidR="00292A51" w:rsidP="0088452C" w:rsidRDefault="00292A51" w14:paraId="500217A0" w14:textId="77777777">
      <w:pPr>
        <w:ind w:firstLine="284"/>
      </w:pPr>
    </w:p>
    <w:p w:rsidR="00292A51" w:rsidP="0088452C" w:rsidRDefault="00292A51" w14:paraId="736CB7F2" w14:textId="1EF30A85">
      <w:pPr>
        <w:ind w:firstLine="284"/>
      </w:pPr>
      <w:r>
        <w:t>2. Voor onderdeel 2 (nieuw) wordt een onderdeel ingevoegd, luidende:</w:t>
      </w:r>
    </w:p>
    <w:p w:rsidR="00941F35" w:rsidP="0088452C" w:rsidRDefault="00292A51" w14:paraId="4E0794EF" w14:textId="03F9DF1C">
      <w:pPr>
        <w:ind w:firstLine="284"/>
      </w:pPr>
      <w:r>
        <w:t xml:space="preserve">1. </w:t>
      </w:r>
      <w:r w:rsidR="00885ACC">
        <w:t>Na</w:t>
      </w:r>
      <w:r w:rsidR="00941F35">
        <w:t xml:space="preserve"> het eerste lid wordt</w:t>
      </w:r>
      <w:r w:rsidR="00885ACC">
        <w:t xml:space="preserve"> een lid</w:t>
      </w:r>
      <w:r w:rsidR="00941F35">
        <w:t xml:space="preserve"> toegevoegd, luidende:</w:t>
      </w:r>
    </w:p>
    <w:p w:rsidRPr="00760B0B" w:rsidR="00292A51" w:rsidP="0088452C" w:rsidRDefault="00885ACC" w14:paraId="19286A34" w14:textId="5B1FA39E">
      <w:pPr>
        <w:ind w:firstLine="284"/>
      </w:pPr>
      <w:r>
        <w:t>1a. D</w:t>
      </w:r>
      <w:r w:rsidR="00941F35">
        <w:t>egene die een ander</w:t>
      </w:r>
      <w:r w:rsidR="00B926CC">
        <w:t xml:space="preserve">, al dan niet </w:t>
      </w:r>
      <w:r w:rsidR="00EB71FF">
        <w:t>met een</w:t>
      </w:r>
      <w:r w:rsidR="00B926CC">
        <w:t xml:space="preserve"> ideë</w:t>
      </w:r>
      <w:r w:rsidR="00C6478F">
        <w:t xml:space="preserve">el of humanitair </w:t>
      </w:r>
      <w:r w:rsidR="00E54C6E">
        <w:t>motief</w:t>
      </w:r>
      <w:r w:rsidR="00EB71FF">
        <w:t>,</w:t>
      </w:r>
      <w:r w:rsidR="00941F35">
        <w:t xml:space="preserve"> behulpzaam is bij </w:t>
      </w:r>
      <w:r w:rsidR="009C72BA">
        <w:t>de</w:t>
      </w:r>
      <w:r w:rsidR="005A3781">
        <w:t xml:space="preserve"> in het eerste lid omschreven feiten </w:t>
      </w:r>
      <w:r w:rsidR="009325A9">
        <w:t xml:space="preserve">of </w:t>
      </w:r>
      <w:r w:rsidR="008074A9">
        <w:t xml:space="preserve">hem daartoe </w:t>
      </w:r>
      <w:r w:rsidRPr="008074A9" w:rsidR="008074A9">
        <w:t>gelegenheid, middelen of inlichtingen verschaft, terwijl hij weet of ernstige redenen heeft te vermoeden dat</w:t>
      </w:r>
      <w:r w:rsidR="00E04562">
        <w:t xml:space="preserve"> dit </w:t>
      </w:r>
      <w:r w:rsidR="00905B62">
        <w:t xml:space="preserve">bijdraagt aan </w:t>
      </w:r>
      <w:r>
        <w:t xml:space="preserve">de </w:t>
      </w:r>
      <w:r w:rsidR="001F4C20">
        <w:t>in het eerste lid omschreven feiten</w:t>
      </w:r>
      <w:r w:rsidR="00871452">
        <w:t xml:space="preserve">, wordt gestraft </w:t>
      </w:r>
      <w:r w:rsidRPr="0010050D" w:rsidR="0010050D">
        <w:t>met gevangenisstraf van ten hoogste twaalf jaren of geldboete van de vijfde categorie</w:t>
      </w:r>
      <w:r w:rsidR="00F153C1">
        <w:t>.</w:t>
      </w:r>
    </w:p>
    <w:p w:rsidR="00EA1CE4" w:rsidP="00EA1CE4" w:rsidRDefault="00EA1CE4" w14:paraId="6418FB14" w14:textId="77777777"/>
    <w:p w:rsidRPr="00EA69AC" w:rsidR="003C21AC" w:rsidP="00EA1CE4" w:rsidRDefault="003C21AC" w14:paraId="2D652720" w14:textId="77777777">
      <w:pPr>
        <w:rPr>
          <w:b/>
        </w:rPr>
      </w:pPr>
      <w:r w:rsidRPr="00EA69AC">
        <w:rPr>
          <w:b/>
        </w:rPr>
        <w:t>Toelichting</w:t>
      </w:r>
    </w:p>
    <w:p w:rsidRPr="00EA69AC" w:rsidR="003C21AC" w:rsidP="00BF623B" w:rsidRDefault="003C21AC" w14:paraId="1C9ACFF1" w14:textId="77777777"/>
    <w:p w:rsidRPr="00726CDB" w:rsidR="00726CDB" w:rsidP="00726CDB" w:rsidRDefault="00726CDB" w14:paraId="1AFEF4A2" w14:textId="77777777">
      <w:r w:rsidRPr="00726CDB">
        <w:t>Dit amendement beoogt de strafrechtelijke aansprakelijkheid voor het faciliteren van mensenhandel te verduidelijken en uit te breiden naar rechtspersonen, organisaties en instellingen die een bijdrage leveren aan mensenhandel. </w:t>
      </w:r>
    </w:p>
    <w:p w:rsidRPr="00726CDB" w:rsidR="00726CDB" w:rsidP="00726CDB" w:rsidRDefault="00726CDB" w14:paraId="41FB9D5A" w14:textId="77777777">
      <w:r w:rsidRPr="00726CDB">
        <w:t> </w:t>
      </w:r>
    </w:p>
    <w:p w:rsidRPr="00726CDB" w:rsidR="00726CDB" w:rsidP="00726CDB" w:rsidRDefault="00726CDB" w14:paraId="6CD06FDE" w14:textId="0D40D8EF">
      <w:r w:rsidRPr="00726CDB">
        <w:t>Hoewel de misdrijven mensenhandel en mensensmokkel verschillen van aard, waarbij mensenhandel zich kenmerkt door de uitbuiting van personen en mensensmokkel zich kenmerkt door het illegaal over de grens helpen van personen, kunnen beide misdrijven in onderlinge samenhang zijn. Mensensmokkel kan bijvoorbeeld uitmonden in mensenhandel als een volwassenen of kind door de smokkelaar wordt doorverkocht aan een mensenhandelaar (Dit beeld wordt bevestigd i</w:t>
      </w:r>
      <w:r w:rsidR="00E1609E">
        <w:t xml:space="preserve">n </w:t>
      </w:r>
      <w:r w:rsidRPr="00726CDB">
        <w:t xml:space="preserve">Decoding </w:t>
      </w:r>
      <w:proofErr w:type="spellStart"/>
      <w:r w:rsidRPr="00726CDB">
        <w:t>the</w:t>
      </w:r>
      <w:proofErr w:type="spellEnd"/>
      <w:r w:rsidRPr="00726CDB">
        <w:t xml:space="preserve"> </w:t>
      </w:r>
      <w:proofErr w:type="spellStart"/>
      <w:r w:rsidRPr="00726CDB">
        <w:t>EU’s</w:t>
      </w:r>
      <w:proofErr w:type="spellEnd"/>
      <w:r w:rsidRPr="00726CDB">
        <w:t xml:space="preserve"> most </w:t>
      </w:r>
      <w:proofErr w:type="spellStart"/>
      <w:r w:rsidRPr="00726CDB">
        <w:t>threatening</w:t>
      </w:r>
      <w:proofErr w:type="spellEnd"/>
      <w:r w:rsidRPr="00726CDB">
        <w:t xml:space="preserve"> </w:t>
      </w:r>
      <w:proofErr w:type="spellStart"/>
      <w:r w:rsidRPr="00726CDB">
        <w:t>criminal</w:t>
      </w:r>
      <w:proofErr w:type="spellEnd"/>
      <w:r w:rsidRPr="00726CDB">
        <w:t xml:space="preserve"> </w:t>
      </w:r>
      <w:proofErr w:type="spellStart"/>
      <w:r w:rsidRPr="00726CDB">
        <w:t>networks</w:t>
      </w:r>
      <w:proofErr w:type="spellEnd"/>
      <w:r w:rsidRPr="00726CDB">
        <w:t xml:space="preserve"> - Europol 2024). </w:t>
      </w:r>
    </w:p>
    <w:p w:rsidRPr="00726CDB" w:rsidR="00726CDB" w:rsidP="00726CDB" w:rsidRDefault="00726CDB" w14:paraId="13608040" w14:textId="77777777">
      <w:r w:rsidRPr="00726CDB">
        <w:t> </w:t>
      </w:r>
    </w:p>
    <w:p w:rsidR="00726CDB" w:rsidP="00726CDB" w:rsidRDefault="00726CDB" w14:paraId="7F79D322" w14:textId="3A69F8BE">
      <w:r w:rsidRPr="00726CDB">
        <w:t xml:space="preserve">Voor het delict mensensmokkel is ook het faciliteren ervan onderdeel van de strafbaarstelling van artikel 197a van het Wetboek van Strafrecht. Voor mensenhandel is dit nu niet het geval. Om </w:t>
      </w:r>
      <w:r w:rsidR="00103D47">
        <w:t>deze</w:t>
      </w:r>
      <w:r w:rsidRPr="00726CDB" w:rsidR="00103D47">
        <w:t xml:space="preserve"> </w:t>
      </w:r>
      <w:r w:rsidRPr="00726CDB">
        <w:t xml:space="preserve">misdrijven </w:t>
      </w:r>
      <w:r w:rsidR="00042728">
        <w:t xml:space="preserve">te voorkomen </w:t>
      </w:r>
      <w:r w:rsidR="00931B29">
        <w:t xml:space="preserve">en </w:t>
      </w:r>
      <w:r w:rsidR="008E5E1B">
        <w:t xml:space="preserve">te bestrijden </w:t>
      </w:r>
      <w:r w:rsidRPr="00726CDB">
        <w:t>kiest indiener ervoor om ook het faciliteren van mensenhandel expliciet strafbaar te stellen. Hieronder vallen ook rechtspersonen, organisaties en instellingen die een bijdrage leveren aan mensenhandel. </w:t>
      </w:r>
    </w:p>
    <w:p w:rsidR="00386731" w:rsidP="00726CDB" w:rsidRDefault="00386731" w14:paraId="1069398D" w14:textId="77777777"/>
    <w:p w:rsidRPr="00EA69AC" w:rsidR="005B1DCC" w:rsidP="00BF623B" w:rsidRDefault="005566DC" w14:paraId="6F263012" w14:textId="065BEC0B">
      <w:r>
        <w:t>Analoog aan artikel 197a Sr is het</w:t>
      </w:r>
      <w:r w:rsidR="00386731">
        <w:t xml:space="preserve"> de</w:t>
      </w:r>
      <w:r w:rsidR="00891B58">
        <w:t xml:space="preserve">lict geformuleerd als </w:t>
      </w:r>
      <w:r w:rsidRPr="00891B58" w:rsidR="00891B58">
        <w:t>een vorm van behulpzaamheid</w:t>
      </w:r>
      <w:r w:rsidR="00891B58">
        <w:t>,</w:t>
      </w:r>
      <w:r w:rsidR="001514FA">
        <w:t xml:space="preserve"> waarbij </w:t>
      </w:r>
      <w:r w:rsidRPr="001514FA" w:rsidR="001514FA">
        <w:t>a</w:t>
      </w:r>
      <w:r w:rsidR="001514FA">
        <w:t>a</w:t>
      </w:r>
      <w:r w:rsidRPr="001514FA" w:rsidR="001514FA">
        <w:t>n het bestanddeel “behulpzaam zijn bij” dezelfde betekenis toe</w:t>
      </w:r>
      <w:r w:rsidR="001514FA">
        <w:t>komt</w:t>
      </w:r>
      <w:r w:rsidRPr="001514FA" w:rsidR="001514FA">
        <w:t xml:space="preserve"> als aan het begrip medeplichtigheid zoals omschreven in artikel 48 Sr. Het gaat erom of verdachte de </w:t>
      </w:r>
      <w:r w:rsidR="001514FA">
        <w:t>uitbuiting</w:t>
      </w:r>
      <w:r w:rsidRPr="001514FA" w:rsidR="001514FA">
        <w:t xml:space="preserve"> van het slachtoffer in e</w:t>
      </w:r>
      <w:r w:rsidR="00E37714">
        <w:t>ni</w:t>
      </w:r>
      <w:r w:rsidRPr="001514FA" w:rsidR="001514FA">
        <w:t xml:space="preserve">gerlei </w:t>
      </w:r>
      <w:r w:rsidRPr="001514FA" w:rsidR="001514FA">
        <w:lastRenderedPageBreak/>
        <w:t>opzicht heeft bevorderd of gemakkelijk heeft gemaakt.</w:t>
      </w:r>
      <w:r w:rsidR="00891B58">
        <w:t xml:space="preserve"> </w:t>
      </w:r>
      <w:r>
        <w:t>Verder kan, analoog</w:t>
      </w:r>
      <w:r w:rsidR="00C01E00">
        <w:t xml:space="preserve"> aan de jurisprudentie over artikel 197a Sr</w:t>
      </w:r>
      <w:r>
        <w:t xml:space="preserve">, </w:t>
      </w:r>
      <w:r w:rsidR="00410880">
        <w:t>aangenomen worden dat t</w:t>
      </w:r>
      <w:r w:rsidR="00121519">
        <w:t>en aanzien van het criterium</w:t>
      </w:r>
      <w:r w:rsidR="00A15CA0">
        <w:t xml:space="preserve"> “terwijl hij weet</w:t>
      </w:r>
      <w:r w:rsidR="00654B12">
        <w:t>”</w:t>
      </w:r>
      <w:r w:rsidR="00A15CA0">
        <w:t xml:space="preserve"> </w:t>
      </w:r>
      <w:r w:rsidR="00121519">
        <w:t xml:space="preserve">geldt dat </w:t>
      </w:r>
      <w:r w:rsidRPr="00121519" w:rsidR="00121519">
        <w:t xml:space="preserve">verdachte zich </w:t>
      </w:r>
      <w:r w:rsidR="00654B12">
        <w:t xml:space="preserve">ten minste </w:t>
      </w:r>
      <w:r w:rsidRPr="00121519" w:rsidR="00121519">
        <w:t>bewust was van de aanmerkelijke kans dat het misdrijf zou plaatsvinden en dit op de koop toe nam</w:t>
      </w:r>
      <w:r w:rsidR="00654B12">
        <w:t xml:space="preserve"> (voorwaardelijk opzet), en ten aanzien van “of ernstige reden heeft te vermoeden” volgt dat ook grove schuld</w:t>
      </w:r>
      <w:r w:rsidR="009E64DD">
        <w:t xml:space="preserve"> </w:t>
      </w:r>
      <w:r w:rsidR="00214F0E">
        <w:t>volstaat</w:t>
      </w:r>
      <w:r w:rsidR="00410880">
        <w:t xml:space="preserve">, waarbij </w:t>
      </w:r>
      <w:r w:rsidR="000134AE">
        <w:t>“</w:t>
      </w:r>
      <w:r w:rsidRPr="00410880" w:rsidR="00410880">
        <w:t xml:space="preserve">verwijtbare of </w:t>
      </w:r>
      <w:r w:rsidR="000134AE">
        <w:t>wellicht</w:t>
      </w:r>
      <w:r w:rsidRPr="00410880" w:rsidR="00410880">
        <w:t xml:space="preserve"> gefingeerde naïviteit</w:t>
      </w:r>
      <w:r w:rsidR="000134AE">
        <w:t>”</w:t>
      </w:r>
      <w:r>
        <w:t xml:space="preserve"> wordt meegewogen (Hof </w:t>
      </w:r>
      <w:r w:rsidRPr="00410880" w:rsidR="00410880">
        <w:t>Den Haag</w:t>
      </w:r>
      <w:r>
        <w:t>,</w:t>
      </w:r>
      <w:r w:rsidRPr="00410880" w:rsidR="00410880">
        <w:t xml:space="preserve"> 25 april 2019, </w:t>
      </w:r>
      <w:hyperlink w:history="1" w:anchor="--ext-id-296c5895-4c24-42af-b4ad-5cc9891a99e7" r:id="rId10">
        <w:r w:rsidRPr="00410880" w:rsidR="00410880">
          <w:rPr>
            <w:rStyle w:val="Hyperlink"/>
          </w:rPr>
          <w:t>ECLI:NL:GHDHA:2019:2096</w:t>
        </w:r>
      </w:hyperlink>
      <w:r w:rsidRPr="00410880" w:rsidR="00410880">
        <w:t>)</w:t>
      </w:r>
      <w:r w:rsidR="00121519">
        <w:t>.</w:t>
      </w:r>
      <w:r w:rsidR="009E3200">
        <w:t xml:space="preserve"> </w:t>
      </w:r>
      <w:r w:rsidR="000A7614">
        <w:t xml:space="preserve">Of verdachte </w:t>
      </w:r>
      <w:r w:rsidR="00AD4276">
        <w:t>heeft gehandeld</w:t>
      </w:r>
      <w:r w:rsidR="000A7614">
        <w:t xml:space="preserve"> vanuit ideële of humanitaire motieven </w:t>
      </w:r>
      <w:r w:rsidR="00495C02">
        <w:t xml:space="preserve">is voor de strafwaardigheid </w:t>
      </w:r>
      <w:r w:rsidR="00E54C6E">
        <w:t xml:space="preserve">nadrukkelijk </w:t>
      </w:r>
      <w:r w:rsidR="00495C02">
        <w:t>niet relevant</w:t>
      </w:r>
      <w:r w:rsidR="005731F4">
        <w:t xml:space="preserve">. </w:t>
      </w:r>
      <w:r w:rsidR="009E3200">
        <w:t xml:space="preserve">Op het </w:t>
      </w:r>
      <w:r w:rsidR="007B232E">
        <w:t xml:space="preserve">behulpzaam zijn bij mensenhandel </w:t>
      </w:r>
      <w:r w:rsidR="009E3200">
        <w:t>staat</w:t>
      </w:r>
      <w:r w:rsidR="00AD4276">
        <w:t xml:space="preserve"> voorts</w:t>
      </w:r>
      <w:r w:rsidR="009E3200">
        <w:t xml:space="preserve">, anders dan </w:t>
      </w:r>
      <w:r w:rsidR="00F332C1">
        <w:t xml:space="preserve">in de context van medeplichtigheid zoals omschreven in artikel 48 Sr, eenzelfde straf als </w:t>
      </w:r>
      <w:r w:rsidR="007B232E">
        <w:t>voor mensenhandel zoals omschreven in het eerste lid van artikel 273f</w:t>
      </w:r>
      <w:r w:rsidR="00E0320E">
        <w:t xml:space="preserve"> als zodanig</w:t>
      </w:r>
      <w:r w:rsidR="007B232E">
        <w:t xml:space="preserve">. </w:t>
      </w:r>
    </w:p>
    <w:p w:rsidR="00E54C6E" w:rsidP="00EA1CE4" w:rsidRDefault="00E54C6E" w14:paraId="6E73D154" w14:textId="77777777"/>
    <w:p w:rsidRPr="00EA69AC" w:rsidR="00B4708A" w:rsidP="00EA1CE4" w:rsidRDefault="00940585" w14:paraId="270F14A8" w14:textId="36D397D0">
      <w:r>
        <w:t>Faber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EF36A" w14:textId="77777777" w:rsidR="006F7601" w:rsidRDefault="006F7601">
      <w:pPr>
        <w:spacing w:line="20" w:lineRule="exact"/>
      </w:pPr>
    </w:p>
  </w:endnote>
  <w:endnote w:type="continuationSeparator" w:id="0">
    <w:p w14:paraId="57C75F05" w14:textId="77777777" w:rsidR="006F7601" w:rsidRDefault="006F7601">
      <w:pPr>
        <w:pStyle w:val="Amendement"/>
      </w:pPr>
      <w:r>
        <w:rPr>
          <w:b w:val="0"/>
        </w:rPr>
        <w:t xml:space="preserve"> </w:t>
      </w:r>
    </w:p>
  </w:endnote>
  <w:endnote w:type="continuationNotice" w:id="1">
    <w:p w14:paraId="726A9FD6" w14:textId="77777777" w:rsidR="006F7601" w:rsidRDefault="006F760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14AFB" w14:textId="77777777" w:rsidR="006F7601" w:rsidRDefault="006F7601">
      <w:pPr>
        <w:pStyle w:val="Amendement"/>
      </w:pPr>
      <w:r>
        <w:rPr>
          <w:b w:val="0"/>
        </w:rPr>
        <w:separator/>
      </w:r>
    </w:p>
  </w:footnote>
  <w:footnote w:type="continuationSeparator" w:id="0">
    <w:p w14:paraId="7B83DD42" w14:textId="77777777" w:rsidR="006F7601" w:rsidRDefault="006F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578"/>
    <w:multiLevelType w:val="multilevel"/>
    <w:tmpl w:val="F71A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1114F"/>
    <w:multiLevelType w:val="multilevel"/>
    <w:tmpl w:val="5F8E3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2613F3"/>
    <w:multiLevelType w:val="multilevel"/>
    <w:tmpl w:val="11E6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57465"/>
    <w:multiLevelType w:val="multilevel"/>
    <w:tmpl w:val="4134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B477B5"/>
    <w:multiLevelType w:val="multilevel"/>
    <w:tmpl w:val="6790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BF7A2A"/>
    <w:multiLevelType w:val="multilevel"/>
    <w:tmpl w:val="BAF61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3B6B36"/>
    <w:multiLevelType w:val="multilevel"/>
    <w:tmpl w:val="9526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5D38C4"/>
    <w:multiLevelType w:val="multilevel"/>
    <w:tmpl w:val="CF68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89087">
    <w:abstractNumId w:val="7"/>
  </w:num>
  <w:num w:numId="2" w16cid:durableId="1428506351">
    <w:abstractNumId w:val="1"/>
  </w:num>
  <w:num w:numId="3" w16cid:durableId="579365770">
    <w:abstractNumId w:val="0"/>
  </w:num>
  <w:num w:numId="4" w16cid:durableId="2044816585">
    <w:abstractNumId w:val="5"/>
  </w:num>
  <w:num w:numId="5" w16cid:durableId="1490173570">
    <w:abstractNumId w:val="2"/>
  </w:num>
  <w:num w:numId="6" w16cid:durableId="2015574378">
    <w:abstractNumId w:val="3"/>
  </w:num>
  <w:num w:numId="7" w16cid:durableId="1996447064">
    <w:abstractNumId w:val="6"/>
  </w:num>
  <w:num w:numId="8" w16cid:durableId="347104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94"/>
    <w:rsid w:val="000134AE"/>
    <w:rsid w:val="00042728"/>
    <w:rsid w:val="00052244"/>
    <w:rsid w:val="00053BB5"/>
    <w:rsid w:val="0007471A"/>
    <w:rsid w:val="00084E18"/>
    <w:rsid w:val="000922A3"/>
    <w:rsid w:val="000A7614"/>
    <w:rsid w:val="000D17BF"/>
    <w:rsid w:val="000F451D"/>
    <w:rsid w:val="000F5F18"/>
    <w:rsid w:val="0010050D"/>
    <w:rsid w:val="00103D47"/>
    <w:rsid w:val="00121519"/>
    <w:rsid w:val="001432F2"/>
    <w:rsid w:val="001514FA"/>
    <w:rsid w:val="00157CAF"/>
    <w:rsid w:val="001656EE"/>
    <w:rsid w:val="0016653D"/>
    <w:rsid w:val="00191664"/>
    <w:rsid w:val="001B6EC9"/>
    <w:rsid w:val="001C4714"/>
    <w:rsid w:val="001D56AF"/>
    <w:rsid w:val="001E0E21"/>
    <w:rsid w:val="001F4C20"/>
    <w:rsid w:val="00212E0A"/>
    <w:rsid w:val="00214F0E"/>
    <w:rsid w:val="002153B0"/>
    <w:rsid w:val="0021777F"/>
    <w:rsid w:val="00241DD0"/>
    <w:rsid w:val="002672CD"/>
    <w:rsid w:val="00292A51"/>
    <w:rsid w:val="002A0713"/>
    <w:rsid w:val="002A186D"/>
    <w:rsid w:val="002A5432"/>
    <w:rsid w:val="002B673F"/>
    <w:rsid w:val="00386731"/>
    <w:rsid w:val="003A4B4F"/>
    <w:rsid w:val="003C1727"/>
    <w:rsid w:val="003C21AC"/>
    <w:rsid w:val="003C5218"/>
    <w:rsid w:val="003C7876"/>
    <w:rsid w:val="003E2308"/>
    <w:rsid w:val="003E2F98"/>
    <w:rsid w:val="00410880"/>
    <w:rsid w:val="00413B00"/>
    <w:rsid w:val="0042574B"/>
    <w:rsid w:val="004330ED"/>
    <w:rsid w:val="00481C91"/>
    <w:rsid w:val="004911E3"/>
    <w:rsid w:val="00495C02"/>
    <w:rsid w:val="00497827"/>
    <w:rsid w:val="00497D57"/>
    <w:rsid w:val="004A0194"/>
    <w:rsid w:val="004A1E29"/>
    <w:rsid w:val="004A7DD4"/>
    <w:rsid w:val="004B50D8"/>
    <w:rsid w:val="004B5B90"/>
    <w:rsid w:val="00501109"/>
    <w:rsid w:val="005140F4"/>
    <w:rsid w:val="0052315A"/>
    <w:rsid w:val="005566DC"/>
    <w:rsid w:val="005703C9"/>
    <w:rsid w:val="005731F4"/>
    <w:rsid w:val="00584257"/>
    <w:rsid w:val="00597703"/>
    <w:rsid w:val="005A3781"/>
    <w:rsid w:val="005A6097"/>
    <w:rsid w:val="005B1DCC"/>
    <w:rsid w:val="005B7323"/>
    <w:rsid w:val="005C25B9"/>
    <w:rsid w:val="006267E6"/>
    <w:rsid w:val="00632020"/>
    <w:rsid w:val="00654B12"/>
    <w:rsid w:val="006558D2"/>
    <w:rsid w:val="006621F0"/>
    <w:rsid w:val="00672D25"/>
    <w:rsid w:val="006738BC"/>
    <w:rsid w:val="006D3E69"/>
    <w:rsid w:val="006E0971"/>
    <w:rsid w:val="006F7601"/>
    <w:rsid w:val="00726CDB"/>
    <w:rsid w:val="00731F11"/>
    <w:rsid w:val="007358C3"/>
    <w:rsid w:val="00760B0B"/>
    <w:rsid w:val="007709F6"/>
    <w:rsid w:val="00783215"/>
    <w:rsid w:val="007965FC"/>
    <w:rsid w:val="007B232E"/>
    <w:rsid w:val="007D2608"/>
    <w:rsid w:val="00802F23"/>
    <w:rsid w:val="008074A9"/>
    <w:rsid w:val="008164E5"/>
    <w:rsid w:val="00830081"/>
    <w:rsid w:val="008467D7"/>
    <w:rsid w:val="00852541"/>
    <w:rsid w:val="00865D47"/>
    <w:rsid w:val="00871452"/>
    <w:rsid w:val="0088452C"/>
    <w:rsid w:val="00885ACC"/>
    <w:rsid w:val="00891B58"/>
    <w:rsid w:val="008D7DCB"/>
    <w:rsid w:val="008E5E1B"/>
    <w:rsid w:val="009055DB"/>
    <w:rsid w:val="00905B62"/>
    <w:rsid w:val="00905ECB"/>
    <w:rsid w:val="00931B29"/>
    <w:rsid w:val="009325A9"/>
    <w:rsid w:val="00940585"/>
    <w:rsid w:val="00941F35"/>
    <w:rsid w:val="00947BE3"/>
    <w:rsid w:val="0096165D"/>
    <w:rsid w:val="009872B1"/>
    <w:rsid w:val="00993E91"/>
    <w:rsid w:val="009A409F"/>
    <w:rsid w:val="009B5845"/>
    <w:rsid w:val="009C0C1F"/>
    <w:rsid w:val="009C72BA"/>
    <w:rsid w:val="009D7489"/>
    <w:rsid w:val="009E2BD2"/>
    <w:rsid w:val="009E3200"/>
    <w:rsid w:val="009E64DD"/>
    <w:rsid w:val="00A10505"/>
    <w:rsid w:val="00A1288B"/>
    <w:rsid w:val="00A15CA0"/>
    <w:rsid w:val="00A40E9B"/>
    <w:rsid w:val="00A415A8"/>
    <w:rsid w:val="00A53203"/>
    <w:rsid w:val="00A772EB"/>
    <w:rsid w:val="00AA2E9A"/>
    <w:rsid w:val="00AD4276"/>
    <w:rsid w:val="00B01BA6"/>
    <w:rsid w:val="00B12AF5"/>
    <w:rsid w:val="00B4708A"/>
    <w:rsid w:val="00B6720F"/>
    <w:rsid w:val="00B926CC"/>
    <w:rsid w:val="00BE7D5B"/>
    <w:rsid w:val="00BF623B"/>
    <w:rsid w:val="00C01E00"/>
    <w:rsid w:val="00C035D4"/>
    <w:rsid w:val="00C22E94"/>
    <w:rsid w:val="00C635C9"/>
    <w:rsid w:val="00C6478F"/>
    <w:rsid w:val="00C679BF"/>
    <w:rsid w:val="00C81BBD"/>
    <w:rsid w:val="00CD3132"/>
    <w:rsid w:val="00CE27CD"/>
    <w:rsid w:val="00D134F3"/>
    <w:rsid w:val="00D47D01"/>
    <w:rsid w:val="00D774B3"/>
    <w:rsid w:val="00DD35A5"/>
    <w:rsid w:val="00DE2948"/>
    <w:rsid w:val="00DE6552"/>
    <w:rsid w:val="00DF68BE"/>
    <w:rsid w:val="00DF712A"/>
    <w:rsid w:val="00E0320E"/>
    <w:rsid w:val="00E04562"/>
    <w:rsid w:val="00E1609E"/>
    <w:rsid w:val="00E25DF4"/>
    <w:rsid w:val="00E3485D"/>
    <w:rsid w:val="00E37714"/>
    <w:rsid w:val="00E54C6E"/>
    <w:rsid w:val="00E6619B"/>
    <w:rsid w:val="00E908D7"/>
    <w:rsid w:val="00EA1CE4"/>
    <w:rsid w:val="00EA69AC"/>
    <w:rsid w:val="00EB40A1"/>
    <w:rsid w:val="00EB71FF"/>
    <w:rsid w:val="00EC3112"/>
    <w:rsid w:val="00ED5E57"/>
    <w:rsid w:val="00EE1BD8"/>
    <w:rsid w:val="00F073F0"/>
    <w:rsid w:val="00F153C1"/>
    <w:rsid w:val="00F332C1"/>
    <w:rsid w:val="00F56670"/>
    <w:rsid w:val="00FA15A0"/>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830BE"/>
  <w15:docId w15:val="{98E4409A-3829-4537-9DFB-64225449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0922A3"/>
    <w:rPr>
      <w:color w:val="0000FF" w:themeColor="hyperlink"/>
      <w:u w:val="single"/>
    </w:rPr>
  </w:style>
  <w:style w:type="character" w:styleId="Onopgelostemelding">
    <w:name w:val="Unresolved Mention"/>
    <w:basedOn w:val="Standaardalinea-lettertype"/>
    <w:uiPriority w:val="99"/>
    <w:semiHidden/>
    <w:unhideWhenUsed/>
    <w:rsid w:val="000922A3"/>
    <w:rPr>
      <w:color w:val="605E5C"/>
      <w:shd w:val="clear" w:color="auto" w:fill="E1DFDD"/>
    </w:rPr>
  </w:style>
  <w:style w:type="paragraph" w:styleId="Lijstalinea">
    <w:name w:val="List Paragraph"/>
    <w:basedOn w:val="Standaard"/>
    <w:uiPriority w:val="34"/>
    <w:qFormat/>
    <w:rsid w:val="00C22E94"/>
    <w:pPr>
      <w:ind w:left="720"/>
      <w:contextualSpacing/>
    </w:pPr>
  </w:style>
  <w:style w:type="character" w:styleId="Verwijzingopmerking">
    <w:name w:val="annotation reference"/>
    <w:basedOn w:val="Standaardalinea-lettertype"/>
    <w:semiHidden/>
    <w:unhideWhenUsed/>
    <w:rsid w:val="002B673F"/>
    <w:rPr>
      <w:sz w:val="16"/>
      <w:szCs w:val="16"/>
    </w:rPr>
  </w:style>
  <w:style w:type="paragraph" w:styleId="Tekstopmerking">
    <w:name w:val="annotation text"/>
    <w:basedOn w:val="Standaard"/>
    <w:link w:val="TekstopmerkingChar"/>
    <w:unhideWhenUsed/>
    <w:rsid w:val="002B673F"/>
    <w:rPr>
      <w:sz w:val="20"/>
    </w:rPr>
  </w:style>
  <w:style w:type="character" w:customStyle="1" w:styleId="TekstopmerkingChar">
    <w:name w:val="Tekst opmerking Char"/>
    <w:basedOn w:val="Standaardalinea-lettertype"/>
    <w:link w:val="Tekstopmerking"/>
    <w:rsid w:val="002B673F"/>
  </w:style>
  <w:style w:type="paragraph" w:styleId="Onderwerpvanopmerking">
    <w:name w:val="annotation subject"/>
    <w:basedOn w:val="Tekstopmerking"/>
    <w:next w:val="Tekstopmerking"/>
    <w:link w:val="OnderwerpvanopmerkingChar"/>
    <w:semiHidden/>
    <w:unhideWhenUsed/>
    <w:rsid w:val="002B673F"/>
    <w:rPr>
      <w:b/>
      <w:bCs/>
    </w:rPr>
  </w:style>
  <w:style w:type="character" w:customStyle="1" w:styleId="OnderwerpvanopmerkingChar">
    <w:name w:val="Onderwerp van opmerking Char"/>
    <w:basedOn w:val="TekstopmerkingChar"/>
    <w:link w:val="Onderwerpvanopmerking"/>
    <w:semiHidden/>
    <w:rsid w:val="002B673F"/>
    <w:rPr>
      <w:b/>
      <w:bCs/>
    </w:rPr>
  </w:style>
  <w:style w:type="paragraph" w:styleId="Revisie">
    <w:name w:val="Revision"/>
    <w:hidden/>
    <w:uiPriority w:val="99"/>
    <w:semiHidden/>
    <w:rsid w:val="0038673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www.inview.nl/document/idb4da0d64466c49cebacc89b984031a4f"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588</ap:Words>
  <ap:Characters>3236</ap:Characters>
  <ap:DocSecurity>4</ap:DocSecurity>
  <ap:Lines>26</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3817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2026-09-22T12:48:00.0000000Z</dcterms:created>
  <dcterms:modified xsi:type="dcterms:W3CDTF">2026-09-22T12:48:00.0000000Z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