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618CD" w:rsidRDefault="001856D0" w14:paraId="5A8DE3F2" w14:textId="77777777">
      <w:pPr>
        <w:autoSpaceDE w:val="0"/>
        <w:autoSpaceDN w:val="0"/>
        <w:adjustRightInd w:val="0"/>
        <w:spacing w:before="0" w:after="0"/>
        <w:ind w:left="1416" w:hanging="1371"/>
        <w:rPr>
          <w:b/>
          <w:bCs/>
          <w:sz w:val="23"/>
          <w:szCs w:val="23"/>
        </w:rPr>
      </w:pPr>
      <w:r>
        <w:rPr>
          <w:b/>
          <w:bCs/>
          <w:sz w:val="23"/>
          <w:szCs w:val="23"/>
        </w:rPr>
        <w:t>37035-IX</w:t>
      </w:r>
      <w:r>
        <w:rPr>
          <w:b/>
          <w:bCs/>
          <w:sz w:val="23"/>
          <w:szCs w:val="23"/>
        </w:rPr>
        <w:tab/>
        <w:t>Wijziging van de begrotingsstaat van het Ministerie van Financiën (IXB) en de begrotingsstaat van Nationale Schuld (IXA) voor het jaar 2026 (wijziging samenhangende met de Miljoenennota)</w:t>
      </w:r>
    </w:p>
    <w:p w:rsidR="001618CD" w:rsidRDefault="001618CD" w14:paraId="106EA47E" w14:textId="77777777">
      <w:pPr>
        <w:autoSpaceDE w:val="0"/>
        <w:autoSpaceDN w:val="0"/>
        <w:adjustRightInd w:val="0"/>
        <w:spacing w:before="0" w:after="0"/>
        <w:ind w:left="1416" w:hanging="1371"/>
        <w:rPr>
          <w:b/>
        </w:rPr>
      </w:pPr>
    </w:p>
    <w:p w:rsidR="001618CD" w:rsidRDefault="001856D0" w14:paraId="7FA926A0" w14:textId="77777777">
      <w:pPr>
        <w:rPr>
          <w:b/>
        </w:rPr>
      </w:pPr>
      <w:r>
        <w:rPr>
          <w:b/>
        </w:rPr>
        <w:t xml:space="preserve">nr. </w:t>
      </w:r>
      <w:r>
        <w:rPr>
          <w:b/>
        </w:rPr>
        <w:tab/>
      </w:r>
      <w:r>
        <w:rPr>
          <w:b/>
        </w:rPr>
        <w:tab/>
        <w:t>Lijst van vragen en antwoorden</w:t>
      </w:r>
    </w:p>
    <w:p w:rsidR="001618CD" w:rsidRDefault="001856D0" w14:paraId="173BB273" w14:textId="77777777">
      <w:r>
        <w:tab/>
      </w:r>
      <w:r>
        <w:tab/>
      </w:r>
    </w:p>
    <w:p w:rsidR="001618CD" w:rsidRDefault="001856D0" w14:paraId="6839B606" w14:textId="77777777">
      <w:pPr>
        <w:ind w:left="702" w:firstLine="708"/>
        <w:rPr>
          <w:i/>
        </w:rPr>
      </w:pPr>
      <w:r>
        <w:t xml:space="preserve">Vastgesteld </w:t>
      </w:r>
      <w:r>
        <w:rPr>
          <w:i/>
        </w:rPr>
        <w:t>(wordt door griffie ingevuld als antwoorden er zijn)</w:t>
      </w:r>
    </w:p>
    <w:p w:rsidR="001618CD" w:rsidRDefault="001856D0" w14:paraId="0908F2A1" w14:textId="76FB7621">
      <w:pPr>
        <w:ind w:left="1410"/>
      </w:pPr>
      <w:r>
        <w:t xml:space="preserve">De vaste commissie voor </w:t>
      </w:r>
      <w:r w:rsidR="00660A40">
        <w:t>Financiën</w:t>
      </w:r>
      <w:r>
        <w:t xml:space="preserve"> heeft een aantal vragen voorgelegd aan de </w:t>
      </w:r>
      <w:r w:rsidR="00660A40">
        <w:t>minister van Financiën</w:t>
      </w:r>
      <w:r>
        <w:t xml:space="preserve"> over de </w:t>
      </w:r>
      <w:r>
        <w:rPr>
          <w:b/>
        </w:rPr>
        <w:t>Wijziging van de begrotingsstaat van het Ministerie van Financiën (IXB) en de begrotingsstaat van Nationale Schuld (IXA) voor het jaar 2026 (wijziging samenhangende met de Miljoenennota)</w:t>
      </w:r>
      <w:r>
        <w:t xml:space="preserve"> (</w:t>
      </w:r>
      <w:r>
        <w:rPr>
          <w:b/>
        </w:rPr>
        <w:t>37035-IX</w:t>
      </w:r>
      <w:r>
        <w:t>).</w:t>
      </w:r>
    </w:p>
    <w:p w:rsidR="001618CD" w:rsidRDefault="001856D0" w14:paraId="3750B3ED" w14:textId="3DFD7B0B">
      <w:pPr>
        <w:ind w:left="1410"/>
      </w:pPr>
      <w:r>
        <w:t xml:space="preserve">De daarop door de </w:t>
      </w:r>
      <w:r w:rsidR="00660A40">
        <w:t xml:space="preserve">minister van Financiën </w:t>
      </w:r>
      <w:r>
        <w:t>gegeven antwoorden zijn hierbij afgedrukt.</w:t>
      </w:r>
    </w:p>
    <w:p w:rsidR="001618CD" w:rsidRDefault="001618CD" w14:paraId="2E134FBC" w14:textId="77777777">
      <w:pPr>
        <w:spacing w:before="0" w:after="0"/>
      </w:pPr>
    </w:p>
    <w:p w:rsidR="001618CD" w:rsidRDefault="001856D0" w14:paraId="35E6A176" w14:textId="77777777">
      <w:pPr>
        <w:spacing w:before="0" w:after="0"/>
        <w:ind w:left="703" w:firstLine="709"/>
      </w:pPr>
      <w:r>
        <w:t xml:space="preserve">Voorzitter van de commissie, </w:t>
      </w:r>
    </w:p>
    <w:p w:rsidR="001618CD" w:rsidRDefault="001856D0" w14:paraId="6BCCEE40" w14:textId="40FACFFF">
      <w:pPr>
        <w:spacing w:before="0" w:after="0"/>
      </w:pPr>
      <w:r>
        <w:tab/>
      </w:r>
      <w:r>
        <w:tab/>
      </w:r>
      <w:r w:rsidR="00660A40">
        <w:t>Jansen</w:t>
      </w:r>
    </w:p>
    <w:p w:rsidR="001618CD" w:rsidRDefault="001856D0" w14:paraId="2FDD0AE8" w14:textId="77777777">
      <w:pPr>
        <w:spacing w:before="0" w:after="0"/>
      </w:pPr>
      <w:r>
        <w:tab/>
      </w:r>
      <w:r>
        <w:tab/>
      </w:r>
    </w:p>
    <w:p w:rsidR="001618CD" w:rsidRDefault="001856D0" w14:paraId="4DF83149" w14:textId="3A9A4224">
      <w:pPr>
        <w:spacing w:before="0" w:after="0"/>
      </w:pPr>
      <w:r>
        <w:tab/>
      </w:r>
      <w:r>
        <w:tab/>
      </w:r>
      <w:r w:rsidR="00660A40">
        <w:t>Adjunct-g</w:t>
      </w:r>
      <w:r>
        <w:t>riffier van de commissie,</w:t>
      </w:r>
    </w:p>
    <w:p w:rsidR="001618CD" w:rsidRDefault="001856D0" w14:paraId="4587908A" w14:textId="0911487D">
      <w:pPr>
        <w:spacing w:before="0" w:after="0"/>
      </w:pPr>
      <w:r>
        <w:tab/>
      </w:r>
      <w:r>
        <w:tab/>
      </w:r>
      <w:r w:rsidR="00660A40">
        <w:t>Van der Steur</w:t>
      </w:r>
    </w:p>
    <w:p w:rsidR="001618CD" w:rsidRDefault="001618CD" w14:paraId="7CC0E1DC" w14:textId="77777777"/>
    <w:tbl>
      <w:tblPr>
        <w:tblW w:w="9497" w:type="dxa"/>
        <w:tblLayout w:type="fixed"/>
        <w:tblCellMar>
          <w:left w:w="0" w:type="dxa"/>
          <w:right w:w="0" w:type="dxa"/>
        </w:tblCellMar>
        <w:tblLook w:val="0000" w:firstRow="0" w:lastRow="0" w:firstColumn="0" w:lastColumn="0" w:noHBand="0" w:noVBand="0"/>
      </w:tblPr>
      <w:tblGrid>
        <w:gridCol w:w="567"/>
        <w:gridCol w:w="6521"/>
        <w:gridCol w:w="850"/>
        <w:gridCol w:w="992"/>
        <w:gridCol w:w="567"/>
      </w:tblGrid>
      <w:tr w:rsidR="001618CD" w:rsidTr="00E7153D" w14:paraId="2E7432B1" w14:textId="77777777">
        <w:trPr>
          <w:cantSplit/>
        </w:trPr>
        <w:tc>
          <w:tcPr>
            <w:tcW w:w="567" w:type="dxa"/>
          </w:tcPr>
          <w:p w:rsidR="001618CD" w:rsidRDefault="001856D0" w14:paraId="0EA5AC10" w14:textId="77777777">
            <w:bookmarkStart w:name="bmkStartTabel" w:id="0"/>
            <w:bookmarkEnd w:id="0"/>
            <w:r>
              <w:t>Nr</w:t>
            </w:r>
          </w:p>
        </w:tc>
        <w:tc>
          <w:tcPr>
            <w:tcW w:w="6521" w:type="dxa"/>
          </w:tcPr>
          <w:p w:rsidR="001618CD" w:rsidRDefault="001856D0" w14:paraId="04C68E19" w14:textId="77777777">
            <w:r>
              <w:t>Vraag</w:t>
            </w:r>
          </w:p>
        </w:tc>
        <w:tc>
          <w:tcPr>
            <w:tcW w:w="850" w:type="dxa"/>
          </w:tcPr>
          <w:p w:rsidR="001618CD" w:rsidRDefault="001856D0" w14:paraId="504615F8" w14:textId="77777777">
            <w:pPr>
              <w:jc w:val="right"/>
            </w:pPr>
            <w:r>
              <w:t>Bijlage</w:t>
            </w:r>
          </w:p>
        </w:tc>
        <w:tc>
          <w:tcPr>
            <w:tcW w:w="992" w:type="dxa"/>
          </w:tcPr>
          <w:p w:rsidR="001618CD" w:rsidP="00E7153D" w:rsidRDefault="001856D0" w14:paraId="2BC5B079" w14:textId="77777777">
            <w:pPr>
              <w:jc w:val="right"/>
            </w:pPr>
            <w:r>
              <w:t>Blz. (van)</w:t>
            </w:r>
          </w:p>
        </w:tc>
        <w:tc>
          <w:tcPr>
            <w:tcW w:w="567" w:type="dxa"/>
          </w:tcPr>
          <w:p w:rsidR="001618CD" w:rsidP="00E7153D" w:rsidRDefault="001856D0" w14:paraId="5A0FE294" w14:textId="77777777">
            <w:pPr>
              <w:jc w:val="center"/>
            </w:pPr>
            <w:r>
              <w:t>t/m</w:t>
            </w:r>
          </w:p>
        </w:tc>
      </w:tr>
      <w:tr w:rsidR="001618CD" w:rsidTr="00E7153D" w14:paraId="287A639A" w14:textId="77777777">
        <w:tc>
          <w:tcPr>
            <w:tcW w:w="567" w:type="dxa"/>
          </w:tcPr>
          <w:p w:rsidR="001618CD" w:rsidRDefault="001856D0" w14:paraId="3AC96B7F" w14:textId="77777777">
            <w:r>
              <w:t>1</w:t>
            </w:r>
          </w:p>
        </w:tc>
        <w:tc>
          <w:tcPr>
            <w:tcW w:w="6521" w:type="dxa"/>
          </w:tcPr>
          <w:p w:rsidR="001618CD" w:rsidRDefault="001856D0" w14:paraId="5C2DADA5" w14:textId="5D7BF38E">
            <w:r>
              <w:t xml:space="preserve">Hoe verklaart </w:t>
            </w:r>
            <w:r w:rsidR="00660A40">
              <w:t>u</w:t>
            </w:r>
            <w:r>
              <w:t xml:space="preserve"> dat de uitgaven aan externe inhuur bij Dienst Toeslagen op artikel 13 toenemen met ruim 65 miljoen euro (van 104</w:t>
            </w:r>
            <w:r w:rsidR="00660A40">
              <w:t>,</w:t>
            </w:r>
            <w:r>
              <w:t>339 miljoen euro naar 169,418 miljoen euro)?</w:t>
            </w:r>
          </w:p>
        </w:tc>
        <w:tc>
          <w:tcPr>
            <w:tcW w:w="850" w:type="dxa"/>
          </w:tcPr>
          <w:p w:rsidR="001618CD" w:rsidRDefault="001618CD" w14:paraId="5F6B69DB" w14:textId="77777777">
            <w:pPr>
              <w:jc w:val="right"/>
            </w:pPr>
          </w:p>
        </w:tc>
        <w:tc>
          <w:tcPr>
            <w:tcW w:w="992" w:type="dxa"/>
          </w:tcPr>
          <w:p w:rsidR="001618CD" w:rsidRDefault="001618CD" w14:paraId="36C8EB5F" w14:textId="77777777">
            <w:pPr>
              <w:jc w:val="right"/>
            </w:pPr>
          </w:p>
        </w:tc>
        <w:tc>
          <w:tcPr>
            <w:tcW w:w="567" w:type="dxa"/>
            <w:tcBorders>
              <w:left w:val="nil"/>
            </w:tcBorders>
          </w:tcPr>
          <w:p w:rsidR="001618CD" w:rsidRDefault="001856D0" w14:paraId="54FA7C2B" w14:textId="77777777">
            <w:pPr>
              <w:jc w:val="right"/>
            </w:pPr>
            <w:r>
              <w:t xml:space="preserve"> </w:t>
            </w:r>
          </w:p>
        </w:tc>
      </w:tr>
      <w:tr w:rsidR="001618CD" w:rsidTr="00E7153D" w14:paraId="65915BFE" w14:textId="77777777">
        <w:tc>
          <w:tcPr>
            <w:tcW w:w="567" w:type="dxa"/>
          </w:tcPr>
          <w:p w:rsidR="001618CD" w:rsidRDefault="001856D0" w14:paraId="7A4BC696" w14:textId="77777777">
            <w:r>
              <w:t>2</w:t>
            </w:r>
          </w:p>
        </w:tc>
        <w:tc>
          <w:tcPr>
            <w:tcW w:w="6521" w:type="dxa"/>
          </w:tcPr>
          <w:p w:rsidR="001618CD" w:rsidRDefault="001856D0" w14:paraId="480E58CF" w14:textId="77777777">
            <w:r>
              <w:t>Om welke concrete redenen stijgen de verwachte uitgaven aan externe inhuur bij de Belastingdienst op artikel 1 in 2026 met circa 25 miljoen euro tot een totaal van 395,5 miljoen euro?</w:t>
            </w:r>
          </w:p>
        </w:tc>
        <w:tc>
          <w:tcPr>
            <w:tcW w:w="850" w:type="dxa"/>
          </w:tcPr>
          <w:p w:rsidR="001618CD" w:rsidRDefault="001618CD" w14:paraId="6971E1D3" w14:textId="77777777">
            <w:pPr>
              <w:jc w:val="right"/>
            </w:pPr>
          </w:p>
        </w:tc>
        <w:tc>
          <w:tcPr>
            <w:tcW w:w="992" w:type="dxa"/>
          </w:tcPr>
          <w:p w:rsidR="001618CD" w:rsidRDefault="001618CD" w14:paraId="50F159AE" w14:textId="77777777">
            <w:pPr>
              <w:jc w:val="right"/>
            </w:pPr>
          </w:p>
        </w:tc>
        <w:tc>
          <w:tcPr>
            <w:tcW w:w="567" w:type="dxa"/>
            <w:tcBorders>
              <w:left w:val="nil"/>
            </w:tcBorders>
          </w:tcPr>
          <w:p w:rsidR="001618CD" w:rsidRDefault="001856D0" w14:paraId="560A55FB" w14:textId="77777777">
            <w:pPr>
              <w:jc w:val="right"/>
            </w:pPr>
            <w:r>
              <w:t xml:space="preserve"> </w:t>
            </w:r>
          </w:p>
        </w:tc>
      </w:tr>
      <w:tr w:rsidR="001618CD" w:rsidTr="00E7153D" w14:paraId="3065C177" w14:textId="77777777">
        <w:tc>
          <w:tcPr>
            <w:tcW w:w="567" w:type="dxa"/>
          </w:tcPr>
          <w:p w:rsidR="001618CD" w:rsidRDefault="001856D0" w14:paraId="14830900" w14:textId="77777777">
            <w:r>
              <w:t>3</w:t>
            </w:r>
          </w:p>
        </w:tc>
        <w:tc>
          <w:tcPr>
            <w:tcW w:w="6521" w:type="dxa"/>
          </w:tcPr>
          <w:p w:rsidR="001618CD" w:rsidRDefault="001856D0" w14:paraId="01FD03CB" w14:textId="0764F036">
            <w:r>
              <w:t xml:space="preserve">Wat zijn de inhoudelijke en operationele oorzaken </w:t>
            </w:r>
            <w:r w:rsidR="00805B4E">
              <w:t xml:space="preserve">van het feit </w:t>
            </w:r>
            <w:r>
              <w:t>dat het uitkeren van 40 miljoen euro aan wettelijke rente aan toeslagengedupeerden verschuift naar latere jaren wegens een afname van de geautomatiseerde afdoening en een toename van handmatige werkzaamheden?</w:t>
            </w:r>
          </w:p>
        </w:tc>
        <w:tc>
          <w:tcPr>
            <w:tcW w:w="850" w:type="dxa"/>
          </w:tcPr>
          <w:p w:rsidR="001618CD" w:rsidRDefault="001618CD" w14:paraId="62873E76" w14:textId="77777777">
            <w:pPr>
              <w:jc w:val="right"/>
            </w:pPr>
          </w:p>
        </w:tc>
        <w:tc>
          <w:tcPr>
            <w:tcW w:w="992" w:type="dxa"/>
          </w:tcPr>
          <w:p w:rsidR="001618CD" w:rsidRDefault="001618CD" w14:paraId="79742C27" w14:textId="77777777">
            <w:pPr>
              <w:jc w:val="right"/>
            </w:pPr>
          </w:p>
        </w:tc>
        <w:tc>
          <w:tcPr>
            <w:tcW w:w="567" w:type="dxa"/>
            <w:tcBorders>
              <w:left w:val="nil"/>
            </w:tcBorders>
          </w:tcPr>
          <w:p w:rsidR="001618CD" w:rsidRDefault="001856D0" w14:paraId="78CECB9A" w14:textId="77777777">
            <w:pPr>
              <w:jc w:val="right"/>
            </w:pPr>
            <w:r>
              <w:t xml:space="preserve"> </w:t>
            </w:r>
          </w:p>
        </w:tc>
      </w:tr>
      <w:tr w:rsidR="001618CD" w:rsidTr="00E7153D" w14:paraId="6D56A569" w14:textId="77777777">
        <w:tc>
          <w:tcPr>
            <w:tcW w:w="567" w:type="dxa"/>
          </w:tcPr>
          <w:p w:rsidR="001618CD" w:rsidRDefault="001856D0" w14:paraId="4ABBC912" w14:textId="77777777">
            <w:r>
              <w:t>4</w:t>
            </w:r>
          </w:p>
        </w:tc>
        <w:tc>
          <w:tcPr>
            <w:tcW w:w="6521" w:type="dxa"/>
          </w:tcPr>
          <w:p w:rsidR="001618CD" w:rsidRDefault="001856D0" w14:paraId="211DA563" w14:textId="77777777">
            <w:r>
              <w:t>Welke specifieke vertragingen in de bezwaarafhandeling van de integrale beoordeling veroorzaken het doorschuiven van 15 miljoen euro aan activiteiten van de Uitvoeringsorganisatie Herstel Toeslagen van 2026 naar 2027?</w:t>
            </w:r>
          </w:p>
        </w:tc>
        <w:tc>
          <w:tcPr>
            <w:tcW w:w="850" w:type="dxa"/>
          </w:tcPr>
          <w:p w:rsidR="001618CD" w:rsidRDefault="001618CD" w14:paraId="095E8562" w14:textId="77777777">
            <w:pPr>
              <w:jc w:val="right"/>
            </w:pPr>
          </w:p>
        </w:tc>
        <w:tc>
          <w:tcPr>
            <w:tcW w:w="992" w:type="dxa"/>
          </w:tcPr>
          <w:p w:rsidR="001618CD" w:rsidRDefault="001618CD" w14:paraId="0A2FBFD8" w14:textId="77777777">
            <w:pPr>
              <w:jc w:val="right"/>
            </w:pPr>
          </w:p>
        </w:tc>
        <w:tc>
          <w:tcPr>
            <w:tcW w:w="567" w:type="dxa"/>
            <w:tcBorders>
              <w:left w:val="nil"/>
            </w:tcBorders>
          </w:tcPr>
          <w:p w:rsidR="001618CD" w:rsidRDefault="001856D0" w14:paraId="64DF80A2" w14:textId="77777777">
            <w:pPr>
              <w:jc w:val="right"/>
            </w:pPr>
            <w:r>
              <w:t xml:space="preserve"> </w:t>
            </w:r>
          </w:p>
        </w:tc>
      </w:tr>
      <w:tr w:rsidR="001618CD" w:rsidTr="00E7153D" w14:paraId="1489AAA2" w14:textId="77777777">
        <w:tc>
          <w:tcPr>
            <w:tcW w:w="567" w:type="dxa"/>
          </w:tcPr>
          <w:p w:rsidR="001618CD" w:rsidRDefault="001856D0" w14:paraId="30148FD4" w14:textId="77777777">
            <w:r>
              <w:t>5</w:t>
            </w:r>
          </w:p>
        </w:tc>
        <w:tc>
          <w:tcPr>
            <w:tcW w:w="6521" w:type="dxa"/>
          </w:tcPr>
          <w:p w:rsidR="001618CD" w:rsidRDefault="001856D0" w14:paraId="1FDE7409" w14:textId="77777777">
            <w:r>
              <w:t>Wat is de reden dat de aanbesteding voor het uitbesteden van handmatige controles op de definitieve toekenning van kinderopvangtoeslag vertraging heeft opgelopen, waardoor 7 miljoen euro wordt doorgeschoven naar 2027?</w:t>
            </w:r>
          </w:p>
        </w:tc>
        <w:tc>
          <w:tcPr>
            <w:tcW w:w="850" w:type="dxa"/>
          </w:tcPr>
          <w:p w:rsidR="001618CD" w:rsidRDefault="001618CD" w14:paraId="341643B4" w14:textId="77777777">
            <w:pPr>
              <w:jc w:val="right"/>
            </w:pPr>
          </w:p>
        </w:tc>
        <w:tc>
          <w:tcPr>
            <w:tcW w:w="992" w:type="dxa"/>
          </w:tcPr>
          <w:p w:rsidR="001618CD" w:rsidRDefault="001618CD" w14:paraId="55302057" w14:textId="77777777">
            <w:pPr>
              <w:jc w:val="right"/>
            </w:pPr>
          </w:p>
        </w:tc>
        <w:tc>
          <w:tcPr>
            <w:tcW w:w="567" w:type="dxa"/>
            <w:tcBorders>
              <w:left w:val="nil"/>
            </w:tcBorders>
          </w:tcPr>
          <w:p w:rsidR="001618CD" w:rsidRDefault="001856D0" w14:paraId="32557C2D" w14:textId="77777777">
            <w:pPr>
              <w:jc w:val="right"/>
            </w:pPr>
            <w:r>
              <w:t xml:space="preserve"> </w:t>
            </w:r>
          </w:p>
        </w:tc>
      </w:tr>
      <w:tr w:rsidR="001618CD" w:rsidTr="00E7153D" w14:paraId="01D226B9" w14:textId="77777777">
        <w:tc>
          <w:tcPr>
            <w:tcW w:w="567" w:type="dxa"/>
          </w:tcPr>
          <w:p w:rsidR="001618CD" w:rsidRDefault="001856D0" w14:paraId="0063CBFE" w14:textId="77777777">
            <w:r>
              <w:t>6</w:t>
            </w:r>
          </w:p>
        </w:tc>
        <w:tc>
          <w:tcPr>
            <w:tcW w:w="6521" w:type="dxa"/>
          </w:tcPr>
          <w:p w:rsidR="001618CD" w:rsidRDefault="001856D0" w14:paraId="0F957929" w14:textId="51508A7F">
            <w:r>
              <w:t xml:space="preserve">Hoe verklaart </w:t>
            </w:r>
            <w:r w:rsidR="00660A40">
              <w:t>u</w:t>
            </w:r>
            <w:r>
              <w:t xml:space="preserve"> dat de eerder geraamde kasontvangst van 211,172 miljoen euro uit hoofde van het Carbon Border Adjustment Mechanism (CBAM) in 2026 volledig vervalt en op welk moment in 2027 worden de eerste werkelijke kasontvangsten verkregen?</w:t>
            </w:r>
          </w:p>
        </w:tc>
        <w:tc>
          <w:tcPr>
            <w:tcW w:w="850" w:type="dxa"/>
          </w:tcPr>
          <w:p w:rsidR="001618CD" w:rsidRDefault="001618CD" w14:paraId="7455E1F9" w14:textId="77777777">
            <w:pPr>
              <w:jc w:val="right"/>
            </w:pPr>
          </w:p>
        </w:tc>
        <w:tc>
          <w:tcPr>
            <w:tcW w:w="992" w:type="dxa"/>
          </w:tcPr>
          <w:p w:rsidR="001618CD" w:rsidRDefault="001618CD" w14:paraId="1DCB11FD" w14:textId="77777777">
            <w:pPr>
              <w:jc w:val="right"/>
            </w:pPr>
          </w:p>
        </w:tc>
        <w:tc>
          <w:tcPr>
            <w:tcW w:w="567" w:type="dxa"/>
            <w:tcBorders>
              <w:left w:val="nil"/>
            </w:tcBorders>
          </w:tcPr>
          <w:p w:rsidR="001618CD" w:rsidRDefault="001856D0" w14:paraId="127DDE9F" w14:textId="77777777">
            <w:pPr>
              <w:jc w:val="right"/>
            </w:pPr>
            <w:r>
              <w:t xml:space="preserve"> </w:t>
            </w:r>
          </w:p>
        </w:tc>
      </w:tr>
      <w:tr w:rsidR="001618CD" w:rsidTr="00E7153D" w14:paraId="5E8F344A" w14:textId="77777777">
        <w:tc>
          <w:tcPr>
            <w:tcW w:w="567" w:type="dxa"/>
          </w:tcPr>
          <w:p w:rsidR="001618CD" w:rsidRDefault="001856D0" w14:paraId="76243A15" w14:textId="77777777">
            <w:r>
              <w:t>7</w:t>
            </w:r>
          </w:p>
        </w:tc>
        <w:tc>
          <w:tcPr>
            <w:tcW w:w="6521" w:type="dxa"/>
          </w:tcPr>
          <w:p w:rsidR="001618CD" w:rsidRDefault="001856D0" w14:paraId="66D51E48" w14:textId="4E9FFB36">
            <w:r>
              <w:t xml:space="preserve">Op welke wijze is de oorspronkelijk geraamde aandeelhouderslening van 11 miljard euro aan </w:t>
            </w:r>
            <w:proofErr w:type="spellStart"/>
            <w:r>
              <w:t>TenneT</w:t>
            </w:r>
            <w:proofErr w:type="spellEnd"/>
            <w:r>
              <w:t xml:space="preserve"> voor 2026 opgevangen</w:t>
            </w:r>
            <w:r w:rsidR="00450C52">
              <w:t>,</w:t>
            </w:r>
            <w:r>
              <w:t xml:space="preserve"> nu </w:t>
            </w:r>
            <w:proofErr w:type="spellStart"/>
            <w:r>
              <w:t>TenneT</w:t>
            </w:r>
            <w:proofErr w:type="spellEnd"/>
            <w:r>
              <w:t xml:space="preserve"> deze lening niet trekt en wat is de exacte neerwaartse bijstelling van de verwachte renteontvangsten voor de Staat op deze lening?</w:t>
            </w:r>
          </w:p>
        </w:tc>
        <w:tc>
          <w:tcPr>
            <w:tcW w:w="850" w:type="dxa"/>
          </w:tcPr>
          <w:p w:rsidR="001618CD" w:rsidRDefault="001618CD" w14:paraId="18F79B3B" w14:textId="77777777">
            <w:pPr>
              <w:jc w:val="right"/>
            </w:pPr>
          </w:p>
        </w:tc>
        <w:tc>
          <w:tcPr>
            <w:tcW w:w="992" w:type="dxa"/>
          </w:tcPr>
          <w:p w:rsidR="001618CD" w:rsidRDefault="001618CD" w14:paraId="6E0AEF90" w14:textId="77777777">
            <w:pPr>
              <w:jc w:val="right"/>
            </w:pPr>
          </w:p>
        </w:tc>
        <w:tc>
          <w:tcPr>
            <w:tcW w:w="567" w:type="dxa"/>
            <w:tcBorders>
              <w:left w:val="nil"/>
            </w:tcBorders>
          </w:tcPr>
          <w:p w:rsidR="001618CD" w:rsidRDefault="001856D0" w14:paraId="34954BF1" w14:textId="77777777">
            <w:pPr>
              <w:jc w:val="right"/>
            </w:pPr>
            <w:r>
              <w:t xml:space="preserve"> </w:t>
            </w:r>
          </w:p>
        </w:tc>
      </w:tr>
      <w:tr w:rsidR="001618CD" w:rsidTr="00E7153D" w14:paraId="3FAF93B0" w14:textId="77777777">
        <w:tc>
          <w:tcPr>
            <w:tcW w:w="567" w:type="dxa"/>
          </w:tcPr>
          <w:p w:rsidR="001618CD" w:rsidRDefault="001856D0" w14:paraId="36D5EF9F" w14:textId="77777777">
            <w:r>
              <w:t>8</w:t>
            </w:r>
          </w:p>
        </w:tc>
        <w:tc>
          <w:tcPr>
            <w:tcW w:w="6521" w:type="dxa"/>
          </w:tcPr>
          <w:p w:rsidR="001618CD" w:rsidRDefault="001856D0" w14:paraId="48568073" w14:textId="73C19135">
            <w:r>
              <w:t>Welke totale opbrengst heeft de verkoop van aandelen ABN AMRO via het verkoopprogramma van de Staat tot en met 1 augustus 2026 opgeleverd en hoe is de opwaartse bijstelling van circa 1,7 miljard euro aan ontvangsten op artikel 3 verwerkt? Wat is het plan met betrekking tot het naar de beurs brengen van ABN AMRO?</w:t>
            </w:r>
          </w:p>
        </w:tc>
        <w:tc>
          <w:tcPr>
            <w:tcW w:w="850" w:type="dxa"/>
          </w:tcPr>
          <w:p w:rsidR="001618CD" w:rsidRDefault="001618CD" w14:paraId="398AA5E0" w14:textId="77777777">
            <w:pPr>
              <w:jc w:val="right"/>
            </w:pPr>
          </w:p>
        </w:tc>
        <w:tc>
          <w:tcPr>
            <w:tcW w:w="992" w:type="dxa"/>
          </w:tcPr>
          <w:p w:rsidR="001618CD" w:rsidRDefault="001618CD" w14:paraId="170A6402" w14:textId="77777777">
            <w:pPr>
              <w:jc w:val="right"/>
            </w:pPr>
          </w:p>
        </w:tc>
        <w:tc>
          <w:tcPr>
            <w:tcW w:w="567" w:type="dxa"/>
            <w:tcBorders>
              <w:left w:val="nil"/>
            </w:tcBorders>
          </w:tcPr>
          <w:p w:rsidR="001618CD" w:rsidRDefault="001856D0" w14:paraId="04AB6E35" w14:textId="77777777">
            <w:pPr>
              <w:jc w:val="right"/>
            </w:pPr>
            <w:r>
              <w:t xml:space="preserve"> </w:t>
            </w:r>
          </w:p>
        </w:tc>
      </w:tr>
      <w:tr w:rsidR="001618CD" w:rsidTr="00E7153D" w14:paraId="473985FD" w14:textId="77777777">
        <w:tc>
          <w:tcPr>
            <w:tcW w:w="567" w:type="dxa"/>
          </w:tcPr>
          <w:p w:rsidR="001618CD" w:rsidRDefault="001856D0" w14:paraId="4DC195C3" w14:textId="77777777">
            <w:r>
              <w:t>9</w:t>
            </w:r>
          </w:p>
        </w:tc>
        <w:tc>
          <w:tcPr>
            <w:tcW w:w="6521" w:type="dxa"/>
          </w:tcPr>
          <w:p w:rsidR="001618CD" w:rsidRDefault="001856D0" w14:paraId="169B36FB" w14:textId="77777777">
            <w:r>
              <w:t xml:space="preserve">Welke specifieke uitvoeringskosten bij de Kamer van Koophandel, DFEI en overige instellingen worden gedekt met de verhoging van de budgetten voor de implementatie van de Europese anti-witwasregelgeving (AMLD6, AMLR en </w:t>
            </w:r>
            <w:r>
              <w:lastRenderedPageBreak/>
              <w:t>UBO-register)?</w:t>
            </w:r>
          </w:p>
        </w:tc>
        <w:tc>
          <w:tcPr>
            <w:tcW w:w="850" w:type="dxa"/>
          </w:tcPr>
          <w:p w:rsidR="001618CD" w:rsidRDefault="001618CD" w14:paraId="5B98E631" w14:textId="77777777">
            <w:pPr>
              <w:jc w:val="right"/>
            </w:pPr>
          </w:p>
        </w:tc>
        <w:tc>
          <w:tcPr>
            <w:tcW w:w="992" w:type="dxa"/>
          </w:tcPr>
          <w:p w:rsidR="001618CD" w:rsidRDefault="001618CD" w14:paraId="13C3C9AF" w14:textId="77777777">
            <w:pPr>
              <w:jc w:val="right"/>
            </w:pPr>
          </w:p>
        </w:tc>
        <w:tc>
          <w:tcPr>
            <w:tcW w:w="567" w:type="dxa"/>
            <w:tcBorders>
              <w:left w:val="nil"/>
            </w:tcBorders>
          </w:tcPr>
          <w:p w:rsidR="001618CD" w:rsidRDefault="001856D0" w14:paraId="591CF6EB" w14:textId="77777777">
            <w:pPr>
              <w:jc w:val="right"/>
            </w:pPr>
            <w:r>
              <w:t xml:space="preserve"> </w:t>
            </w:r>
          </w:p>
        </w:tc>
      </w:tr>
    </w:tbl>
    <w:p w:rsidR="001618CD" w:rsidRDefault="001618CD" w14:paraId="04D614FA" w14:textId="77777777"/>
    <w:sectPr w:rsidR="001618CD" w:rsidSect="00B915EC">
      <w:footerReference w:type="default" r:id="rId10"/>
      <w:pgSz w:w="11900" w:h="16840"/>
      <w:pgMar w:top="1440" w:right="1800" w:bottom="1440" w:left="1800"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44B92A" w14:textId="77777777" w:rsidR="000945D0" w:rsidRDefault="000945D0">
      <w:pPr>
        <w:spacing w:before="0" w:after="0"/>
      </w:pPr>
      <w:r>
        <w:separator/>
      </w:r>
    </w:p>
  </w:endnote>
  <w:endnote w:type="continuationSeparator" w:id="0">
    <w:p w14:paraId="2486D6E0" w14:textId="77777777" w:rsidR="000945D0" w:rsidRDefault="000945D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9168C" w14:textId="008ABBF7" w:rsidR="001618CD" w:rsidRDefault="001856D0">
    <w:pPr>
      <w:pStyle w:val="Voettekst"/>
    </w:pPr>
    <w:r>
      <w:tab/>
    </w:r>
    <w:sdt>
      <w:sdtPr>
        <w:id w:val="1325549269"/>
        <w:docPartObj>
          <w:docPartGallery w:val="Page Numbers (Bottom of Page)"/>
          <w:docPartUnique/>
        </w:docPartObj>
      </w:sdtPr>
      <w:sdtEndPr/>
      <w:sdtContent>
        <w:r>
          <w:fldChar w:fldCharType="begin"/>
        </w:r>
        <w:r>
          <w:instrText xml:space="preserve"> PAGE   \* MERGEFORMAT </w:instrText>
        </w:r>
        <w:r>
          <w:fldChar w:fldCharType="separate"/>
        </w:r>
        <w:r>
          <w:t>1</w:t>
        </w:r>
        <w:r>
          <w:fldChar w:fldCharType="end"/>
        </w:r>
      </w:sdtContent>
    </w:sdt>
    <w:r>
      <w:t>/</w:t>
    </w:r>
    <w:fldSimple w:instr=" NUMPAGES   \* MERGEFORMAT ">
      <w:r>
        <w:t>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56BC56" w14:textId="77777777" w:rsidR="000945D0" w:rsidRDefault="000945D0">
      <w:pPr>
        <w:spacing w:before="0" w:after="0"/>
      </w:pPr>
      <w:r>
        <w:separator/>
      </w:r>
    </w:p>
  </w:footnote>
  <w:footnote w:type="continuationSeparator" w:id="0">
    <w:p w14:paraId="13EC1C70" w14:textId="77777777" w:rsidR="000945D0" w:rsidRDefault="000945D0">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A77C3E"/>
    <w:rsid w:val="00074288"/>
    <w:rsid w:val="000945D0"/>
    <w:rsid w:val="001618CD"/>
    <w:rsid w:val="001856D0"/>
    <w:rsid w:val="001A47AF"/>
    <w:rsid w:val="001A56AB"/>
    <w:rsid w:val="003140C8"/>
    <w:rsid w:val="003D44DD"/>
    <w:rsid w:val="00450C52"/>
    <w:rsid w:val="005543A7"/>
    <w:rsid w:val="00597FF7"/>
    <w:rsid w:val="005A2045"/>
    <w:rsid w:val="00660A40"/>
    <w:rsid w:val="00805B4E"/>
    <w:rsid w:val="00894624"/>
    <w:rsid w:val="009D1CFB"/>
    <w:rsid w:val="00A77C3E"/>
    <w:rsid w:val="00B915EC"/>
    <w:rsid w:val="00D91E27"/>
    <w:rsid w:val="00E715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517817A"/>
  <w15:docId w15:val="{DC659055-1CF7-41D2-B5E6-53E6FB694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915EC"/>
    <w:pPr>
      <w:spacing w:before="60" w:after="60"/>
    </w:pPr>
    <w:rPr>
      <w:rFonts w:ascii="Times New Roman" w:eastAsia="Times New Roman" w:hAnsi="Times New Roman" w:cs="Times New Roman"/>
      <w:sz w:val="20"/>
      <w:szCs w:val="20"/>
      <w:lang w:val="n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B915EC"/>
    <w:pPr>
      <w:tabs>
        <w:tab w:val="center" w:pos="4513"/>
        <w:tab w:val="right" w:pos="9026"/>
      </w:tabs>
      <w:spacing w:before="0" w:after="0"/>
    </w:pPr>
  </w:style>
  <w:style w:type="character" w:customStyle="1" w:styleId="KoptekstChar">
    <w:name w:val="Koptekst Char"/>
    <w:basedOn w:val="Standaardalinea-lettertype"/>
    <w:link w:val="Koptekst"/>
    <w:uiPriority w:val="99"/>
    <w:rsid w:val="00B915EC"/>
    <w:rPr>
      <w:rFonts w:ascii="Times New Roman" w:eastAsia="Times New Roman" w:hAnsi="Times New Roman" w:cs="Times New Roman"/>
      <w:sz w:val="20"/>
      <w:szCs w:val="20"/>
      <w:lang w:val="nl-NL" w:eastAsia="nl-NL"/>
    </w:rPr>
  </w:style>
  <w:style w:type="paragraph" w:styleId="Voettekst">
    <w:name w:val="footer"/>
    <w:basedOn w:val="Standaard"/>
    <w:link w:val="VoettekstChar"/>
    <w:uiPriority w:val="99"/>
    <w:unhideWhenUsed/>
    <w:rsid w:val="00B915EC"/>
    <w:pPr>
      <w:tabs>
        <w:tab w:val="center" w:pos="4513"/>
        <w:tab w:val="right" w:pos="9026"/>
      </w:tabs>
      <w:spacing w:before="0" w:after="0"/>
    </w:pPr>
  </w:style>
  <w:style w:type="character" w:customStyle="1" w:styleId="VoettekstChar">
    <w:name w:val="Voettekst Char"/>
    <w:basedOn w:val="Standaardalinea-lettertype"/>
    <w:link w:val="Voettekst"/>
    <w:uiPriority w:val="99"/>
    <w:rsid w:val="00B915EC"/>
    <w:rPr>
      <w:rFonts w:ascii="Times New Roman" w:eastAsia="Times New Roman" w:hAnsi="Times New Roman" w:cs="Times New Roman"/>
      <w:sz w:val="20"/>
      <w:szCs w:val="20"/>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footer" Target="footer1.xml" Id="rId10" /><Relationship Type="http://schemas.openxmlformats.org/officeDocument/2006/relationships/endnotes" Target="endnotes.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454</ap:Words>
  <ap:Characters>2548</ap:Characters>
  <ap:DocSecurity>0</ap:DocSecurity>
  <ap:Lines>98</ap:Lines>
  <ap:Paragraphs>38</ap:Paragraphs>
  <ap:ScaleCrop>false</ap:ScaleCrop>
  <ap:HeadingPairs>
    <vt:vector baseType="variant" size="2">
      <vt:variant>
        <vt:lpstr>Title</vt:lpstr>
      </vt:variant>
      <vt:variant>
        <vt:i4>1</vt:i4>
      </vt:variant>
    </vt:vector>
  </ap:HeadingPairs>
  <ap:TitlesOfParts>
    <vt:vector baseType="lpstr" size="1">
      <vt:lpstr/>
    </vt:vector>
  </ap:TitlesOfParts>
  <ap:LinksUpToDate>false</ap:LinksUpToDate>
  <ap:CharactersWithSpaces>2964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2026-09-21T15:55:00.0000000Z</dcterms:created>
  <dcterms:modified xsi:type="dcterms:W3CDTF">2026-09-21T15:55:00.0000000Z</dcterms:modified>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0x01010040BB22957839204C85B21D4BCADBB660</vt:lpwstr>
  </property>
  <property fmtid="{D5CDD505-2E9C-101B-9397-08002B2CF9AE}" pid="3" name="_dlc_DocIdItemGuid">
    <vt:lpwstr>952855de-cf99-4b02-9f7d-e7d4a115cc1d</vt:lpwstr>
  </property>
  <property fmtid="{D5CDD505-2E9C-101B-9397-08002B2CF9AE}" pid="4" name="MediaServiceImageTags">
    <vt:lpwstr/>
  </property>
</Properties>
</file>