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35CE" w:rsidRDefault="001856D0" w14:paraId="7EF5806D" w14:textId="77777777">
      <w:pPr>
        <w:autoSpaceDE w:val="0"/>
        <w:autoSpaceDN w:val="0"/>
        <w:adjustRightInd w:val="0"/>
        <w:spacing w:before="0" w:after="0"/>
        <w:ind w:left="1416" w:hanging="1371"/>
        <w:rPr>
          <w:b/>
          <w:bCs/>
          <w:sz w:val="23"/>
          <w:szCs w:val="23"/>
        </w:rPr>
      </w:pPr>
      <w:r>
        <w:rPr>
          <w:b/>
          <w:bCs/>
          <w:sz w:val="23"/>
          <w:szCs w:val="23"/>
        </w:rPr>
        <w:t>37020-IX</w:t>
      </w:r>
      <w:r>
        <w:rPr>
          <w:b/>
          <w:bCs/>
          <w:sz w:val="23"/>
          <w:szCs w:val="23"/>
        </w:rPr>
        <w:tab/>
        <w:t>Vaststelling van de begrotingsstaat van het Ministerie van Financiën (IXB) en de begrotingsstaat van Nationale Schuld (IXA) voor het jaar 2027</w:t>
      </w:r>
    </w:p>
    <w:p w:rsidR="003D35CE" w:rsidRDefault="003D35CE" w14:paraId="2B4CC40B" w14:textId="77777777">
      <w:pPr>
        <w:autoSpaceDE w:val="0"/>
        <w:autoSpaceDN w:val="0"/>
        <w:adjustRightInd w:val="0"/>
        <w:spacing w:before="0" w:after="0"/>
        <w:ind w:left="1416" w:hanging="1371"/>
        <w:rPr>
          <w:b/>
        </w:rPr>
      </w:pPr>
    </w:p>
    <w:p w:rsidR="003D35CE" w:rsidRDefault="001856D0" w14:paraId="3B09A9F2" w14:textId="77777777">
      <w:pPr>
        <w:rPr>
          <w:b/>
        </w:rPr>
      </w:pPr>
      <w:r>
        <w:rPr>
          <w:b/>
        </w:rPr>
        <w:t xml:space="preserve">nr. </w:t>
      </w:r>
      <w:r>
        <w:rPr>
          <w:b/>
        </w:rPr>
        <w:tab/>
      </w:r>
      <w:r>
        <w:rPr>
          <w:b/>
        </w:rPr>
        <w:tab/>
        <w:t>Lijst van vragen en antwoorden</w:t>
      </w:r>
    </w:p>
    <w:p w:rsidR="003D35CE" w:rsidRDefault="001856D0" w14:paraId="7CC97B7B" w14:textId="77777777">
      <w:r>
        <w:tab/>
      </w:r>
      <w:r>
        <w:tab/>
      </w:r>
    </w:p>
    <w:p w:rsidR="003D35CE" w:rsidRDefault="001856D0" w14:paraId="58932454" w14:textId="77777777">
      <w:pPr>
        <w:ind w:left="702" w:firstLine="708"/>
        <w:rPr>
          <w:i/>
        </w:rPr>
      </w:pPr>
      <w:r>
        <w:t xml:space="preserve">Vastgesteld </w:t>
      </w:r>
      <w:r>
        <w:rPr>
          <w:i/>
        </w:rPr>
        <w:t>(wordt door griffie ingevuld als antwoorden er zijn)</w:t>
      </w:r>
    </w:p>
    <w:p w:rsidR="003D35CE" w:rsidRDefault="001856D0" w14:paraId="1FE59418" w14:textId="3D1AA50B">
      <w:pPr>
        <w:ind w:left="1410"/>
      </w:pPr>
      <w:r>
        <w:t xml:space="preserve">De vaste commissie voor </w:t>
      </w:r>
      <w:r w:rsidR="00A72AAC">
        <w:t>Financiën</w:t>
      </w:r>
      <w:r>
        <w:t xml:space="preserve"> heeft een aantal vragen voorgelegd aan de </w:t>
      </w:r>
      <w:r w:rsidR="00A72AAC">
        <w:t>minister van Financiën</w:t>
      </w:r>
      <w:r>
        <w:t xml:space="preserve"> over de </w:t>
      </w:r>
      <w:r>
        <w:rPr>
          <w:b/>
        </w:rPr>
        <w:t>Vaststelling van de begrotingsstaat van het Ministerie van Financiën (IXB) en de begrotingsstaat van Nationale Schuld (IXA) voor het jaar 2027</w:t>
      </w:r>
      <w:r>
        <w:t xml:space="preserve"> (</w:t>
      </w:r>
      <w:r>
        <w:rPr>
          <w:b/>
        </w:rPr>
        <w:t>37020-IX</w:t>
      </w:r>
      <w:r>
        <w:t>).</w:t>
      </w:r>
    </w:p>
    <w:p w:rsidR="003D35CE" w:rsidRDefault="001856D0" w14:paraId="456F0D92" w14:textId="3DBBA34B">
      <w:pPr>
        <w:ind w:left="1410"/>
      </w:pPr>
      <w:r>
        <w:t xml:space="preserve">De daarop door de </w:t>
      </w:r>
      <w:r w:rsidR="00A72AAC">
        <w:t>minister van Financiën</w:t>
      </w:r>
      <w:r>
        <w:t xml:space="preserve"> gegeven antwoorden zijn hierbij afgedrukt.</w:t>
      </w:r>
    </w:p>
    <w:p w:rsidR="003D35CE" w:rsidRDefault="003D35CE" w14:paraId="5068845D" w14:textId="77777777">
      <w:pPr>
        <w:spacing w:before="0" w:after="0"/>
      </w:pPr>
    </w:p>
    <w:p w:rsidR="003D35CE" w:rsidRDefault="001856D0" w14:paraId="54AAB3F5" w14:textId="77777777">
      <w:pPr>
        <w:spacing w:before="0" w:after="0"/>
        <w:ind w:left="703" w:firstLine="709"/>
      </w:pPr>
      <w:r>
        <w:t xml:space="preserve">Voorzitter van de commissie, </w:t>
      </w:r>
    </w:p>
    <w:p w:rsidR="003D35CE" w:rsidRDefault="001856D0" w14:paraId="33C6A57B" w14:textId="327F3CE7">
      <w:pPr>
        <w:spacing w:before="0" w:after="0"/>
      </w:pPr>
      <w:r>
        <w:tab/>
      </w:r>
      <w:r>
        <w:tab/>
      </w:r>
      <w:r w:rsidR="00A72AAC">
        <w:t>Jansen</w:t>
      </w:r>
    </w:p>
    <w:p w:rsidR="003D35CE" w:rsidRDefault="001856D0" w14:paraId="66C7339A" w14:textId="77777777">
      <w:pPr>
        <w:spacing w:before="0" w:after="0"/>
      </w:pPr>
      <w:r>
        <w:tab/>
      </w:r>
      <w:r>
        <w:tab/>
      </w:r>
    </w:p>
    <w:p w:rsidR="003D35CE" w:rsidRDefault="001856D0" w14:paraId="03138593" w14:textId="106B28C2">
      <w:pPr>
        <w:spacing w:before="0" w:after="0"/>
      </w:pPr>
      <w:r>
        <w:tab/>
      </w:r>
      <w:r>
        <w:tab/>
      </w:r>
      <w:r w:rsidR="00A72AAC">
        <w:t>Adjunct-g</w:t>
      </w:r>
      <w:r>
        <w:t>riffier van de commissie,</w:t>
      </w:r>
    </w:p>
    <w:p w:rsidR="003D35CE" w:rsidRDefault="001856D0" w14:paraId="1EF7F7BA" w14:textId="5C027D18">
      <w:pPr>
        <w:spacing w:before="0" w:after="0"/>
      </w:pPr>
      <w:r>
        <w:tab/>
      </w:r>
      <w:r>
        <w:tab/>
      </w:r>
      <w:r w:rsidR="00A72AAC">
        <w:t>Van der Steur</w:t>
      </w:r>
    </w:p>
    <w:p w:rsidR="003D35CE" w:rsidRDefault="003D35CE" w14:paraId="29E74B34"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3D35CE" w:rsidTr="00E7153D" w14:paraId="5C9D34D4" w14:textId="77777777">
        <w:trPr>
          <w:cantSplit/>
        </w:trPr>
        <w:tc>
          <w:tcPr>
            <w:tcW w:w="567" w:type="dxa"/>
          </w:tcPr>
          <w:p w:rsidR="003D35CE" w:rsidRDefault="001856D0" w14:paraId="293CCFF3" w14:textId="77777777">
            <w:bookmarkStart w:name="bmkStartTabel" w:id="0"/>
            <w:bookmarkEnd w:id="0"/>
            <w:r>
              <w:t>Nr</w:t>
            </w:r>
          </w:p>
        </w:tc>
        <w:tc>
          <w:tcPr>
            <w:tcW w:w="6521" w:type="dxa"/>
          </w:tcPr>
          <w:p w:rsidR="003D35CE" w:rsidRDefault="001856D0" w14:paraId="1D0270C0" w14:textId="77777777">
            <w:r>
              <w:t>Vraag</w:t>
            </w:r>
          </w:p>
        </w:tc>
        <w:tc>
          <w:tcPr>
            <w:tcW w:w="850" w:type="dxa"/>
          </w:tcPr>
          <w:p w:rsidR="003D35CE" w:rsidRDefault="001856D0" w14:paraId="01AC3691" w14:textId="77777777">
            <w:pPr>
              <w:jc w:val="right"/>
            </w:pPr>
            <w:r>
              <w:t>Bijlage</w:t>
            </w:r>
          </w:p>
        </w:tc>
        <w:tc>
          <w:tcPr>
            <w:tcW w:w="992" w:type="dxa"/>
          </w:tcPr>
          <w:p w:rsidR="003D35CE" w:rsidP="00E7153D" w:rsidRDefault="001856D0" w14:paraId="46B610B9" w14:textId="77777777">
            <w:pPr>
              <w:jc w:val="right"/>
            </w:pPr>
            <w:r>
              <w:t>Blz. (van)</w:t>
            </w:r>
          </w:p>
        </w:tc>
        <w:tc>
          <w:tcPr>
            <w:tcW w:w="567" w:type="dxa"/>
          </w:tcPr>
          <w:p w:rsidR="003D35CE" w:rsidP="00E7153D" w:rsidRDefault="001856D0" w14:paraId="51AC5DF4" w14:textId="77777777">
            <w:pPr>
              <w:jc w:val="center"/>
            </w:pPr>
            <w:r>
              <w:t>t/m</w:t>
            </w:r>
          </w:p>
        </w:tc>
      </w:tr>
      <w:tr w:rsidR="003D35CE" w:rsidTr="00E7153D" w14:paraId="5B5D8209" w14:textId="77777777">
        <w:tc>
          <w:tcPr>
            <w:tcW w:w="567" w:type="dxa"/>
          </w:tcPr>
          <w:p w:rsidR="003D35CE" w:rsidRDefault="001856D0" w14:paraId="16008508" w14:textId="77777777">
            <w:r>
              <w:t>1</w:t>
            </w:r>
          </w:p>
        </w:tc>
        <w:tc>
          <w:tcPr>
            <w:tcW w:w="6521" w:type="dxa"/>
          </w:tcPr>
          <w:p w:rsidR="003D35CE" w:rsidRDefault="001856D0" w14:paraId="2CFC397B" w14:textId="39B4BE11">
            <w:r>
              <w:t xml:space="preserve">Op welke concrete wijze zet </w:t>
            </w:r>
            <w:r w:rsidR="00A72AAC">
              <w:t>u</w:t>
            </w:r>
            <w:r>
              <w:t xml:space="preserve"> in de MFK-onderhandelingen in op het beperken van de stijging van de Nederlandse afdrachten aan de EU, het behoud van de nationale korting op de BNI-afdracht en het behoud van het huidige percentage van 25% voor de perceptiekostenvergoeding?</w:t>
            </w:r>
          </w:p>
        </w:tc>
        <w:tc>
          <w:tcPr>
            <w:tcW w:w="850" w:type="dxa"/>
          </w:tcPr>
          <w:p w:rsidR="003D35CE" w:rsidRDefault="003D35CE" w14:paraId="6335F8A7" w14:textId="77777777">
            <w:pPr>
              <w:jc w:val="right"/>
            </w:pPr>
          </w:p>
        </w:tc>
        <w:tc>
          <w:tcPr>
            <w:tcW w:w="992" w:type="dxa"/>
          </w:tcPr>
          <w:p w:rsidR="003D35CE" w:rsidRDefault="003D35CE" w14:paraId="2890F7C2" w14:textId="77777777">
            <w:pPr>
              <w:jc w:val="right"/>
            </w:pPr>
          </w:p>
        </w:tc>
        <w:tc>
          <w:tcPr>
            <w:tcW w:w="567" w:type="dxa"/>
            <w:tcBorders>
              <w:left w:val="nil"/>
            </w:tcBorders>
          </w:tcPr>
          <w:p w:rsidR="003D35CE" w:rsidRDefault="001856D0" w14:paraId="5C7DA631" w14:textId="77777777">
            <w:pPr>
              <w:jc w:val="right"/>
            </w:pPr>
            <w:r>
              <w:t xml:space="preserve"> </w:t>
            </w:r>
          </w:p>
        </w:tc>
      </w:tr>
      <w:tr w:rsidR="003D35CE" w:rsidTr="00E7153D" w14:paraId="7278A412" w14:textId="77777777">
        <w:tc>
          <w:tcPr>
            <w:tcW w:w="567" w:type="dxa"/>
          </w:tcPr>
          <w:p w:rsidR="003D35CE" w:rsidRDefault="001856D0" w14:paraId="2D52841D" w14:textId="77777777">
            <w:r>
              <w:t>2</w:t>
            </w:r>
          </w:p>
        </w:tc>
        <w:tc>
          <w:tcPr>
            <w:tcW w:w="6521" w:type="dxa"/>
          </w:tcPr>
          <w:p w:rsidR="003D35CE" w:rsidRDefault="001856D0" w14:paraId="51A31524" w14:textId="77777777">
            <w:r>
              <w:t>Wat zijn de juridische en budgettaire consequenties van de bindende bilaterale overeenkomst die in het najaar van 2026 wordt gesloten over het uitstel van betaling van rente en aflossing op de bilaterale lening van 200 miljoen euro aan Oekraïne via het IMF?</w:t>
            </w:r>
          </w:p>
        </w:tc>
        <w:tc>
          <w:tcPr>
            <w:tcW w:w="850" w:type="dxa"/>
          </w:tcPr>
          <w:p w:rsidR="003D35CE" w:rsidRDefault="003D35CE" w14:paraId="786EE04A" w14:textId="77777777">
            <w:pPr>
              <w:jc w:val="right"/>
            </w:pPr>
          </w:p>
        </w:tc>
        <w:tc>
          <w:tcPr>
            <w:tcW w:w="992" w:type="dxa"/>
          </w:tcPr>
          <w:p w:rsidR="003D35CE" w:rsidRDefault="003D35CE" w14:paraId="509F6B65" w14:textId="77777777">
            <w:pPr>
              <w:jc w:val="right"/>
            </w:pPr>
          </w:p>
        </w:tc>
        <w:tc>
          <w:tcPr>
            <w:tcW w:w="567" w:type="dxa"/>
            <w:tcBorders>
              <w:left w:val="nil"/>
            </w:tcBorders>
          </w:tcPr>
          <w:p w:rsidR="003D35CE" w:rsidRDefault="001856D0" w14:paraId="0EE7ECEB" w14:textId="77777777">
            <w:pPr>
              <w:jc w:val="right"/>
            </w:pPr>
            <w:r>
              <w:t xml:space="preserve"> </w:t>
            </w:r>
          </w:p>
        </w:tc>
      </w:tr>
      <w:tr w:rsidR="003D35CE" w:rsidTr="00E7153D" w14:paraId="3889B518" w14:textId="77777777">
        <w:tc>
          <w:tcPr>
            <w:tcW w:w="567" w:type="dxa"/>
          </w:tcPr>
          <w:p w:rsidR="003D35CE" w:rsidRDefault="001856D0" w14:paraId="193B494B" w14:textId="77777777">
            <w:r>
              <w:t>3</w:t>
            </w:r>
          </w:p>
        </w:tc>
        <w:tc>
          <w:tcPr>
            <w:tcW w:w="6521" w:type="dxa"/>
          </w:tcPr>
          <w:p w:rsidR="003D35CE" w:rsidRDefault="001856D0" w14:paraId="12777460" w14:textId="3B575759">
            <w:r>
              <w:t xml:space="preserve">Hoe verklaart </w:t>
            </w:r>
            <w:r w:rsidR="00A72AAC">
              <w:t>u</w:t>
            </w:r>
            <w:r>
              <w:t xml:space="preserve"> dat de totale rentelasten op de staatsschuld (artikelen 11 en 12) stijgen van 10,8 miljard euro in 2026 naar 15,4 miljard euro in 2027?</w:t>
            </w:r>
          </w:p>
        </w:tc>
        <w:tc>
          <w:tcPr>
            <w:tcW w:w="850" w:type="dxa"/>
          </w:tcPr>
          <w:p w:rsidR="003D35CE" w:rsidRDefault="003D35CE" w14:paraId="0BB84E36" w14:textId="77777777">
            <w:pPr>
              <w:jc w:val="right"/>
            </w:pPr>
          </w:p>
        </w:tc>
        <w:tc>
          <w:tcPr>
            <w:tcW w:w="992" w:type="dxa"/>
          </w:tcPr>
          <w:p w:rsidR="003D35CE" w:rsidRDefault="003D35CE" w14:paraId="389D1E19" w14:textId="77777777">
            <w:pPr>
              <w:jc w:val="right"/>
            </w:pPr>
          </w:p>
        </w:tc>
        <w:tc>
          <w:tcPr>
            <w:tcW w:w="567" w:type="dxa"/>
            <w:tcBorders>
              <w:left w:val="nil"/>
            </w:tcBorders>
          </w:tcPr>
          <w:p w:rsidR="003D35CE" w:rsidRDefault="001856D0" w14:paraId="7E986C8F" w14:textId="77777777">
            <w:pPr>
              <w:jc w:val="right"/>
            </w:pPr>
            <w:r>
              <w:t xml:space="preserve"> </w:t>
            </w:r>
          </w:p>
        </w:tc>
      </w:tr>
      <w:tr w:rsidR="003D35CE" w:rsidTr="00E7153D" w14:paraId="6E49998D" w14:textId="77777777">
        <w:tc>
          <w:tcPr>
            <w:tcW w:w="567" w:type="dxa"/>
          </w:tcPr>
          <w:p w:rsidR="003D35CE" w:rsidRDefault="001856D0" w14:paraId="15F51909" w14:textId="77777777">
            <w:r>
              <w:t>4</w:t>
            </w:r>
          </w:p>
        </w:tc>
        <w:tc>
          <w:tcPr>
            <w:tcW w:w="6521" w:type="dxa"/>
          </w:tcPr>
          <w:p w:rsidR="003D35CE" w:rsidRDefault="001856D0" w14:paraId="76CE3466" w14:textId="77777777">
            <w:r>
              <w:t>Hoe verhoudt de geraamde uitgave van 372,5 miljoen euro aan externe inhuur bij de Belastingdienst op artikel 1 in 2027 zich tot de doelstelling om de afhankelijkheid van externe inhuur en ICT-consultants terug te dringen?</w:t>
            </w:r>
          </w:p>
        </w:tc>
        <w:tc>
          <w:tcPr>
            <w:tcW w:w="850" w:type="dxa"/>
          </w:tcPr>
          <w:p w:rsidR="003D35CE" w:rsidRDefault="003D35CE" w14:paraId="5FBD2DDB" w14:textId="77777777">
            <w:pPr>
              <w:jc w:val="right"/>
            </w:pPr>
          </w:p>
        </w:tc>
        <w:tc>
          <w:tcPr>
            <w:tcW w:w="992" w:type="dxa"/>
          </w:tcPr>
          <w:p w:rsidR="003D35CE" w:rsidRDefault="003D35CE" w14:paraId="77950DB0" w14:textId="77777777">
            <w:pPr>
              <w:jc w:val="right"/>
            </w:pPr>
          </w:p>
        </w:tc>
        <w:tc>
          <w:tcPr>
            <w:tcW w:w="567" w:type="dxa"/>
            <w:tcBorders>
              <w:left w:val="nil"/>
            </w:tcBorders>
          </w:tcPr>
          <w:p w:rsidR="003D35CE" w:rsidRDefault="001856D0" w14:paraId="2C3AFEB1" w14:textId="77777777">
            <w:pPr>
              <w:jc w:val="right"/>
            </w:pPr>
            <w:r>
              <w:t xml:space="preserve"> </w:t>
            </w:r>
          </w:p>
        </w:tc>
      </w:tr>
      <w:tr w:rsidR="003D35CE" w:rsidTr="00E7153D" w14:paraId="105BF66D" w14:textId="77777777">
        <w:tc>
          <w:tcPr>
            <w:tcW w:w="567" w:type="dxa"/>
          </w:tcPr>
          <w:p w:rsidR="003D35CE" w:rsidRDefault="001856D0" w14:paraId="18949A7B" w14:textId="77777777">
            <w:r>
              <w:t>5</w:t>
            </w:r>
          </w:p>
        </w:tc>
        <w:tc>
          <w:tcPr>
            <w:tcW w:w="6521" w:type="dxa"/>
          </w:tcPr>
          <w:p w:rsidR="003D35CE" w:rsidRDefault="001856D0" w14:paraId="17F715A9" w14:textId="77777777">
            <w:r>
              <w:t>Op welke wijze wordt de uitgave van 49,8 miljoen euro aan externe inhuur bij Dienst Toeslagen op artikel 13 in 2027 opgebouwd en afgebouwd ten opzichte van de 169,5 miljoen euro in 2026?</w:t>
            </w:r>
          </w:p>
        </w:tc>
        <w:tc>
          <w:tcPr>
            <w:tcW w:w="850" w:type="dxa"/>
          </w:tcPr>
          <w:p w:rsidR="003D35CE" w:rsidRDefault="003D35CE" w14:paraId="7D06B7FA" w14:textId="77777777">
            <w:pPr>
              <w:jc w:val="right"/>
            </w:pPr>
          </w:p>
        </w:tc>
        <w:tc>
          <w:tcPr>
            <w:tcW w:w="992" w:type="dxa"/>
          </w:tcPr>
          <w:p w:rsidR="003D35CE" w:rsidRDefault="003D35CE" w14:paraId="05CCEBE2" w14:textId="77777777">
            <w:pPr>
              <w:jc w:val="right"/>
            </w:pPr>
          </w:p>
        </w:tc>
        <w:tc>
          <w:tcPr>
            <w:tcW w:w="567" w:type="dxa"/>
            <w:tcBorders>
              <w:left w:val="nil"/>
            </w:tcBorders>
          </w:tcPr>
          <w:p w:rsidR="003D35CE" w:rsidRDefault="001856D0" w14:paraId="2181EC89" w14:textId="77777777">
            <w:pPr>
              <w:jc w:val="right"/>
            </w:pPr>
            <w:r>
              <w:t xml:space="preserve"> </w:t>
            </w:r>
          </w:p>
        </w:tc>
      </w:tr>
      <w:tr w:rsidR="003D35CE" w:rsidTr="00E7153D" w14:paraId="5B881BB3" w14:textId="77777777">
        <w:tc>
          <w:tcPr>
            <w:tcW w:w="567" w:type="dxa"/>
          </w:tcPr>
          <w:p w:rsidR="003D35CE" w:rsidRDefault="001856D0" w14:paraId="33095EFB" w14:textId="77777777">
            <w:r>
              <w:t>6</w:t>
            </w:r>
          </w:p>
        </w:tc>
        <w:tc>
          <w:tcPr>
            <w:tcW w:w="6521" w:type="dxa"/>
          </w:tcPr>
          <w:p w:rsidR="003D35CE" w:rsidRDefault="001856D0" w14:paraId="098DA38C" w14:textId="20BEC6AD">
            <w:r>
              <w:t xml:space="preserve">Welke concrete stappen en taakstellingen worden binnen de organisatieonderdelen van het ministerie van Financiën genomen om de </w:t>
            </w:r>
            <w:proofErr w:type="spellStart"/>
            <w:r>
              <w:t>rijksbrede</w:t>
            </w:r>
            <w:proofErr w:type="spellEnd"/>
            <w:r>
              <w:t xml:space="preserve"> apparaatstaakstelling uit het coalitieakkoord op te vangen, die structureel oploopt tot 333 miljoen euro per jaar in 2028?</w:t>
            </w:r>
          </w:p>
        </w:tc>
        <w:tc>
          <w:tcPr>
            <w:tcW w:w="850" w:type="dxa"/>
          </w:tcPr>
          <w:p w:rsidR="003D35CE" w:rsidRDefault="003D35CE" w14:paraId="19C7D59A" w14:textId="77777777">
            <w:pPr>
              <w:jc w:val="right"/>
            </w:pPr>
          </w:p>
        </w:tc>
        <w:tc>
          <w:tcPr>
            <w:tcW w:w="992" w:type="dxa"/>
          </w:tcPr>
          <w:p w:rsidR="003D35CE" w:rsidRDefault="003D35CE" w14:paraId="225A4113" w14:textId="77777777">
            <w:pPr>
              <w:jc w:val="right"/>
            </w:pPr>
          </w:p>
        </w:tc>
        <w:tc>
          <w:tcPr>
            <w:tcW w:w="567" w:type="dxa"/>
            <w:tcBorders>
              <w:left w:val="nil"/>
            </w:tcBorders>
          </w:tcPr>
          <w:p w:rsidR="003D35CE" w:rsidRDefault="001856D0" w14:paraId="7B7F3E5B" w14:textId="77777777">
            <w:pPr>
              <w:jc w:val="right"/>
            </w:pPr>
            <w:r>
              <w:t xml:space="preserve"> </w:t>
            </w:r>
          </w:p>
        </w:tc>
      </w:tr>
      <w:tr w:rsidR="003D35CE" w:rsidTr="00E7153D" w14:paraId="1C9529A6" w14:textId="77777777">
        <w:tc>
          <w:tcPr>
            <w:tcW w:w="567" w:type="dxa"/>
          </w:tcPr>
          <w:p w:rsidR="003D35CE" w:rsidRDefault="001856D0" w14:paraId="0F9B7893" w14:textId="77777777">
            <w:r>
              <w:t>7</w:t>
            </w:r>
          </w:p>
        </w:tc>
        <w:tc>
          <w:tcPr>
            <w:tcW w:w="6521" w:type="dxa"/>
          </w:tcPr>
          <w:p w:rsidR="003D35CE" w:rsidRDefault="001856D0" w14:paraId="5A6D4B02" w14:textId="0A207FF5">
            <w:r>
              <w:t xml:space="preserve">Welke specifieke waarborgen zijn ingebouwd om te garanderen dat alle gedupeerde ouders die deelnemen aan het hersteltraject en tot overeenstemming komen over een schadeafwikkeling uiterlijk eind 2027 </w:t>
            </w:r>
            <w:r w:rsidR="00A72AAC">
              <w:t>financiële genoegdoening ontvangen</w:t>
            </w:r>
            <w:r>
              <w:t>?</w:t>
            </w:r>
          </w:p>
        </w:tc>
        <w:tc>
          <w:tcPr>
            <w:tcW w:w="850" w:type="dxa"/>
          </w:tcPr>
          <w:p w:rsidR="003D35CE" w:rsidRDefault="003D35CE" w14:paraId="2DE380FE" w14:textId="77777777">
            <w:pPr>
              <w:jc w:val="right"/>
            </w:pPr>
          </w:p>
        </w:tc>
        <w:tc>
          <w:tcPr>
            <w:tcW w:w="992" w:type="dxa"/>
          </w:tcPr>
          <w:p w:rsidR="003D35CE" w:rsidRDefault="003D35CE" w14:paraId="0BD84E05" w14:textId="77777777">
            <w:pPr>
              <w:jc w:val="right"/>
            </w:pPr>
          </w:p>
        </w:tc>
        <w:tc>
          <w:tcPr>
            <w:tcW w:w="567" w:type="dxa"/>
            <w:tcBorders>
              <w:left w:val="nil"/>
            </w:tcBorders>
          </w:tcPr>
          <w:p w:rsidR="003D35CE" w:rsidRDefault="001856D0" w14:paraId="0435BCB5" w14:textId="77777777">
            <w:pPr>
              <w:jc w:val="right"/>
            </w:pPr>
            <w:r>
              <w:t xml:space="preserve"> </w:t>
            </w:r>
          </w:p>
        </w:tc>
      </w:tr>
      <w:tr w:rsidR="003D35CE" w:rsidTr="00E7153D" w14:paraId="31AE5A7A" w14:textId="77777777">
        <w:tc>
          <w:tcPr>
            <w:tcW w:w="567" w:type="dxa"/>
          </w:tcPr>
          <w:p w:rsidR="003D35CE" w:rsidRDefault="001856D0" w14:paraId="216B7A22" w14:textId="77777777">
            <w:r>
              <w:t>8</w:t>
            </w:r>
          </w:p>
        </w:tc>
        <w:tc>
          <w:tcPr>
            <w:tcW w:w="6521" w:type="dxa"/>
          </w:tcPr>
          <w:p w:rsidR="003D35CE" w:rsidRDefault="001856D0" w14:paraId="33392000" w14:textId="77777777">
            <w:r>
              <w:t>Hoe is de geraamde post van 978,1 miljoen euro aan aanvullende schadecompensatie op artikel 13 voor het jaar 2027 opgebouwd?</w:t>
            </w:r>
          </w:p>
        </w:tc>
        <w:tc>
          <w:tcPr>
            <w:tcW w:w="850" w:type="dxa"/>
          </w:tcPr>
          <w:p w:rsidR="003D35CE" w:rsidRDefault="003D35CE" w14:paraId="318D7BF0" w14:textId="77777777">
            <w:pPr>
              <w:jc w:val="right"/>
            </w:pPr>
          </w:p>
        </w:tc>
        <w:tc>
          <w:tcPr>
            <w:tcW w:w="992" w:type="dxa"/>
          </w:tcPr>
          <w:p w:rsidR="003D35CE" w:rsidRDefault="003D35CE" w14:paraId="1BD87B29" w14:textId="77777777">
            <w:pPr>
              <w:jc w:val="right"/>
            </w:pPr>
          </w:p>
        </w:tc>
        <w:tc>
          <w:tcPr>
            <w:tcW w:w="567" w:type="dxa"/>
            <w:tcBorders>
              <w:left w:val="nil"/>
            </w:tcBorders>
          </w:tcPr>
          <w:p w:rsidR="003D35CE" w:rsidRDefault="001856D0" w14:paraId="5AF9869F" w14:textId="77777777">
            <w:pPr>
              <w:jc w:val="right"/>
            </w:pPr>
            <w:r>
              <w:t xml:space="preserve"> </w:t>
            </w:r>
          </w:p>
        </w:tc>
      </w:tr>
      <w:tr w:rsidR="003D35CE" w:rsidTr="00E7153D" w14:paraId="375841DC" w14:textId="77777777">
        <w:tc>
          <w:tcPr>
            <w:tcW w:w="567" w:type="dxa"/>
          </w:tcPr>
          <w:p w:rsidR="003D35CE" w:rsidRDefault="001856D0" w14:paraId="08D1D690" w14:textId="77777777">
            <w:r>
              <w:t>9</w:t>
            </w:r>
          </w:p>
        </w:tc>
        <w:tc>
          <w:tcPr>
            <w:tcW w:w="6521" w:type="dxa"/>
          </w:tcPr>
          <w:p w:rsidR="003D35CE" w:rsidRDefault="001856D0" w14:paraId="7520F66D" w14:textId="77777777">
            <w:r>
              <w:t>Kan worden toegelicht waarom de dekking voor het technische koopkrachtpakket 2027 mede wordt gezocht in een verlaging van de ouderenkorting met 100 euro en een bevriezing van het aanvangspunt van het toptarief?</w:t>
            </w:r>
          </w:p>
        </w:tc>
        <w:tc>
          <w:tcPr>
            <w:tcW w:w="850" w:type="dxa"/>
          </w:tcPr>
          <w:p w:rsidR="003D35CE" w:rsidRDefault="003D35CE" w14:paraId="0C9AA292" w14:textId="77777777">
            <w:pPr>
              <w:jc w:val="right"/>
            </w:pPr>
          </w:p>
        </w:tc>
        <w:tc>
          <w:tcPr>
            <w:tcW w:w="992" w:type="dxa"/>
          </w:tcPr>
          <w:p w:rsidR="003D35CE" w:rsidRDefault="003D35CE" w14:paraId="235B6EF7" w14:textId="77777777">
            <w:pPr>
              <w:jc w:val="right"/>
            </w:pPr>
          </w:p>
        </w:tc>
        <w:tc>
          <w:tcPr>
            <w:tcW w:w="567" w:type="dxa"/>
            <w:tcBorders>
              <w:left w:val="nil"/>
            </w:tcBorders>
          </w:tcPr>
          <w:p w:rsidR="003D35CE" w:rsidRDefault="001856D0" w14:paraId="05BCCEDA" w14:textId="77777777">
            <w:pPr>
              <w:jc w:val="right"/>
            </w:pPr>
            <w:r>
              <w:t xml:space="preserve"> </w:t>
            </w:r>
          </w:p>
        </w:tc>
      </w:tr>
      <w:tr w:rsidR="003D35CE" w:rsidTr="00E7153D" w14:paraId="49DC083A" w14:textId="77777777">
        <w:tc>
          <w:tcPr>
            <w:tcW w:w="567" w:type="dxa"/>
          </w:tcPr>
          <w:p w:rsidR="003D35CE" w:rsidRDefault="001856D0" w14:paraId="4FE36565" w14:textId="77777777">
            <w:r>
              <w:t>10</w:t>
            </w:r>
          </w:p>
        </w:tc>
        <w:tc>
          <w:tcPr>
            <w:tcW w:w="6521" w:type="dxa"/>
          </w:tcPr>
          <w:p w:rsidR="003D35CE" w:rsidRDefault="001856D0" w14:paraId="61B5B0AD" w14:textId="77777777">
            <w:r>
              <w:t xml:space="preserve">Welke specifieke budgettaire opbrengsten worden verwacht van het afschaffen van ondoelmatige fiscale maatregelen, zoals het verlaagd btw-tarief op sierteelt, </w:t>
            </w:r>
            <w:r>
              <w:lastRenderedPageBreak/>
              <w:t>de teruggaafregeling bio- en hernieuwbare brandstoffen, de bosbouwvrijstelling en het verlaagd btw-tarief op de luchtballonvaart?</w:t>
            </w:r>
          </w:p>
        </w:tc>
        <w:tc>
          <w:tcPr>
            <w:tcW w:w="850" w:type="dxa"/>
          </w:tcPr>
          <w:p w:rsidR="003D35CE" w:rsidRDefault="003D35CE" w14:paraId="1247C6A6" w14:textId="77777777">
            <w:pPr>
              <w:jc w:val="right"/>
            </w:pPr>
          </w:p>
        </w:tc>
        <w:tc>
          <w:tcPr>
            <w:tcW w:w="992" w:type="dxa"/>
          </w:tcPr>
          <w:p w:rsidR="003D35CE" w:rsidRDefault="003D35CE" w14:paraId="669C9410" w14:textId="77777777">
            <w:pPr>
              <w:jc w:val="right"/>
            </w:pPr>
          </w:p>
        </w:tc>
        <w:tc>
          <w:tcPr>
            <w:tcW w:w="567" w:type="dxa"/>
            <w:tcBorders>
              <w:left w:val="nil"/>
            </w:tcBorders>
          </w:tcPr>
          <w:p w:rsidR="003D35CE" w:rsidRDefault="001856D0" w14:paraId="1FE907C6" w14:textId="77777777">
            <w:pPr>
              <w:jc w:val="right"/>
            </w:pPr>
            <w:r>
              <w:t xml:space="preserve"> </w:t>
            </w:r>
          </w:p>
        </w:tc>
      </w:tr>
      <w:tr w:rsidR="003D35CE" w:rsidTr="00E7153D" w14:paraId="130C29E1" w14:textId="77777777">
        <w:tc>
          <w:tcPr>
            <w:tcW w:w="567" w:type="dxa"/>
          </w:tcPr>
          <w:p w:rsidR="003D35CE" w:rsidRDefault="001856D0" w14:paraId="193475FC" w14:textId="77777777">
            <w:r>
              <w:t>11</w:t>
            </w:r>
          </w:p>
        </w:tc>
        <w:tc>
          <w:tcPr>
            <w:tcW w:w="6521" w:type="dxa"/>
          </w:tcPr>
          <w:p w:rsidR="003D35CE" w:rsidRDefault="001856D0" w14:paraId="0C9F0104" w14:textId="1BD99C78">
            <w:r>
              <w:t>Op welk bedrag worden de eerste kasontvangsten uit de nieuwe Europese Handling Fee voor de invoer van e-commercegoederen van buiten de EU in 2027 geraamd (98,010 miljoen euro) en hoe verhoudt dit zich tot de stijging naar circa 498,697 miljoen euro in 2028?</w:t>
            </w:r>
          </w:p>
        </w:tc>
        <w:tc>
          <w:tcPr>
            <w:tcW w:w="850" w:type="dxa"/>
          </w:tcPr>
          <w:p w:rsidR="003D35CE" w:rsidRDefault="003D35CE" w14:paraId="4AF6C055" w14:textId="77777777">
            <w:pPr>
              <w:jc w:val="right"/>
            </w:pPr>
          </w:p>
        </w:tc>
        <w:tc>
          <w:tcPr>
            <w:tcW w:w="992" w:type="dxa"/>
          </w:tcPr>
          <w:p w:rsidR="003D35CE" w:rsidRDefault="003D35CE" w14:paraId="773D5A76" w14:textId="77777777">
            <w:pPr>
              <w:jc w:val="right"/>
            </w:pPr>
          </w:p>
        </w:tc>
        <w:tc>
          <w:tcPr>
            <w:tcW w:w="567" w:type="dxa"/>
            <w:tcBorders>
              <w:left w:val="nil"/>
            </w:tcBorders>
          </w:tcPr>
          <w:p w:rsidR="003D35CE" w:rsidRDefault="001856D0" w14:paraId="07C45C0E" w14:textId="77777777">
            <w:pPr>
              <w:jc w:val="right"/>
            </w:pPr>
            <w:r>
              <w:t xml:space="preserve"> </w:t>
            </w:r>
          </w:p>
        </w:tc>
      </w:tr>
      <w:tr w:rsidR="003D35CE" w:rsidTr="00E7153D" w14:paraId="5CE67008" w14:textId="77777777">
        <w:tc>
          <w:tcPr>
            <w:tcW w:w="567" w:type="dxa"/>
          </w:tcPr>
          <w:p w:rsidR="003D35CE" w:rsidRDefault="001856D0" w14:paraId="54AF5755" w14:textId="77777777">
            <w:r>
              <w:t>12</w:t>
            </w:r>
          </w:p>
        </w:tc>
        <w:tc>
          <w:tcPr>
            <w:tcW w:w="6521" w:type="dxa"/>
          </w:tcPr>
          <w:p w:rsidR="003D35CE" w:rsidRDefault="001856D0" w14:paraId="65B6335D" w14:textId="06545F7E">
            <w:r>
              <w:t>Waarom stijgen de totale apparaats- en programma-uitgaven van de Douane op artikel 9 van 928,847 miljoen euro in 2026 naar 981,759 miljoen euro in 2027 en welk deel hiervan is specifiek bestemd voor het versterken van de rechtshandhaving en de aanpak van ondermijnende criminaliteit?</w:t>
            </w:r>
          </w:p>
        </w:tc>
        <w:tc>
          <w:tcPr>
            <w:tcW w:w="850" w:type="dxa"/>
          </w:tcPr>
          <w:p w:rsidR="003D35CE" w:rsidRDefault="003D35CE" w14:paraId="19DD6EAC" w14:textId="77777777">
            <w:pPr>
              <w:jc w:val="right"/>
            </w:pPr>
          </w:p>
        </w:tc>
        <w:tc>
          <w:tcPr>
            <w:tcW w:w="992" w:type="dxa"/>
          </w:tcPr>
          <w:p w:rsidR="003D35CE" w:rsidRDefault="003D35CE" w14:paraId="5EEB87F0" w14:textId="77777777">
            <w:pPr>
              <w:jc w:val="right"/>
            </w:pPr>
          </w:p>
        </w:tc>
        <w:tc>
          <w:tcPr>
            <w:tcW w:w="567" w:type="dxa"/>
            <w:tcBorders>
              <w:left w:val="nil"/>
            </w:tcBorders>
          </w:tcPr>
          <w:p w:rsidR="003D35CE" w:rsidRDefault="001856D0" w14:paraId="0CCAD8A8" w14:textId="77777777">
            <w:pPr>
              <w:jc w:val="right"/>
            </w:pPr>
            <w:r>
              <w:t xml:space="preserve"> </w:t>
            </w:r>
          </w:p>
        </w:tc>
      </w:tr>
    </w:tbl>
    <w:p w:rsidR="003D35CE" w:rsidRDefault="003D35CE" w14:paraId="0F64DC4B" w14:textId="77777777"/>
    <w:sectPr w:rsidR="003D35CE" w:rsidSect="00B915EC">
      <w:footerReference w:type="default" r:id="rId10"/>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2735E" w14:textId="77777777" w:rsidR="009C2F79" w:rsidRDefault="009C2F79">
      <w:pPr>
        <w:spacing w:before="0" w:after="0"/>
      </w:pPr>
      <w:r>
        <w:separator/>
      </w:r>
    </w:p>
  </w:endnote>
  <w:endnote w:type="continuationSeparator" w:id="0">
    <w:p w14:paraId="6DFA0E67" w14:textId="77777777" w:rsidR="009C2F79" w:rsidRDefault="009C2F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09504" w14:textId="413A82D5" w:rsidR="003D35CE" w:rsidRDefault="001856D0">
    <w:pPr>
      <w:pStyle w:val="Voettekst"/>
    </w:pP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6B752" w14:textId="77777777" w:rsidR="009C2F79" w:rsidRDefault="009C2F79">
      <w:pPr>
        <w:spacing w:before="0" w:after="0"/>
      </w:pPr>
      <w:r>
        <w:separator/>
      </w:r>
    </w:p>
  </w:footnote>
  <w:footnote w:type="continuationSeparator" w:id="0">
    <w:p w14:paraId="7BFAD7D9" w14:textId="77777777" w:rsidR="009C2F79" w:rsidRDefault="009C2F7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27F43"/>
    <w:rsid w:val="00074288"/>
    <w:rsid w:val="001856D0"/>
    <w:rsid w:val="001A47AF"/>
    <w:rsid w:val="001A56AB"/>
    <w:rsid w:val="003D35CE"/>
    <w:rsid w:val="003D44DD"/>
    <w:rsid w:val="004E0134"/>
    <w:rsid w:val="005543A7"/>
    <w:rsid w:val="008740D0"/>
    <w:rsid w:val="00894624"/>
    <w:rsid w:val="008A181C"/>
    <w:rsid w:val="009C2F79"/>
    <w:rsid w:val="00A72AAC"/>
    <w:rsid w:val="00A77C3E"/>
    <w:rsid w:val="00B915EC"/>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8D11AC"/>
  <w15:docId w15:val="{DC659055-1CF7-41D2-B5E6-53E6FB69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551</ap:Words>
  <ap:Characters>3025</ap:Characters>
  <ap:DocSecurity>0</ap:DocSecurity>
  <ap:Lines>121</ap:Lines>
  <ap:Paragraphs>45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3531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2026-09-21T15:47:00.0000000Z</dcterms:created>
  <dcterms:modified xsi:type="dcterms:W3CDTF">2026-09-21T15:47:00.0000000Z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0x01010040BB22957839204C85B21D4BCADBB660</vt:lpwstr>
  </property>
  <property fmtid="{D5CDD505-2E9C-101B-9397-08002B2CF9AE}" pid="3" name="_dlc_DocIdItemGuid">
    <vt:lpwstr>ccf48e04-d158-460d-a94b-5a00cfb76069</vt:lpwstr>
  </property>
  <property fmtid="{D5CDD505-2E9C-101B-9397-08002B2CF9AE}" pid="4" name="MediaServiceImageTags">
    <vt:lpwstr/>
  </property>
</Properties>
</file>