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a="http://schemas.openxmlformats.org/drawingml/2006/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000FF5" w14:paraId="2C7D22EF" w14:textId="77777777">
      <w:pPr>
        <w:framePr w:w="737" w:h="2493" w:wrap="none" w:hAnchor="page" w:vAnchor="page" w:x="5584" w:hRule="exact" w:anchorLock="1"/>
        <w:spacing w:line="240" w:lineRule="auto"/>
      </w:pPr>
    </w:p>
    <w:p w:rsidR="00D50222" w14:paraId="57B1F886" w14:textId="77777777">
      <w:pPr>
        <w:framePr w:w="737" w:h="2493" w:wrap="none" w:hAnchor="page" w:vAnchor="page" w:x="5584" w:hRule="exact" w:anchorLock="1"/>
        <w:spacing w:line="240" w:lineRule="auto"/>
      </w:pPr>
      <w:r>
        <w:rPr>
          <w:noProof/>
        </w:rPr>
        <w:drawing>
          <wp:inline distT="0" distB="0" distL="0" distR="0">
            <wp:extent cx="467995" cy="1583865"/>
            <wp:effectExtent l="0" t="0" r="0" b="0"/>
            <wp:docPr id="5"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5" name="Logo"/>
                    <pic:cNvPicPr/>
                  </pic:nvPicPr>
                  <pic:blipFill>
                    <a:blip xmlns:r="http://schemas.openxmlformats.org/officeDocument/2006/relationships" r:embed="rId7"/>
                    <a:stretch>
                      <a:fillRect/>
                    </a:stretch>
                  </pic:blipFill>
                  <pic:spPr bwMode="auto">
                    <a:xfrm>
                      <a:off x="0" y="0"/>
                      <a:ext cx="467995" cy="1583865"/>
                    </a:xfrm>
                    <a:prstGeom prst="rect">
                      <a:avLst/>
                    </a:prstGeom>
                  </pic:spPr>
                </pic:pic>
              </a:graphicData>
            </a:graphic>
          </wp:inline>
        </w:drawing>
      </w:r>
    </w:p>
    <w:p w:rsidR="00D50222" w14:paraId="61981461" w14:textId="77777777">
      <w:pPr>
        <w:framePr w:w="3685" w:h="2494" w:wrap="none" w:hAnchor="page" w:vAnchor="page" w:x="6292" w:hRule="exact" w:anchorLock="1"/>
        <w:spacing w:line="240" w:lineRule="auto"/>
      </w:pPr>
      <w:r>
        <w:rPr>
          <w:noProof/>
        </w:rPr>
        <w:drawing>
          <wp:inline distT="0" distB="0" distL="0" distR="0">
            <wp:extent cx="2339975" cy="1582834"/>
            <wp:effectExtent l="0" t="0" r="0" b="0"/>
            <wp:docPr id="7" name="Logotype" descr="Ministerie van Binnenlandse Zaken en Koninkrijksrelaties"/>
            <wp:cNvGraphicFramePr/>
            <a:graphic xmlns:a="http://schemas.openxmlformats.org/drawingml/2006/main">
              <a:graphicData uri="http://schemas.openxmlformats.org/drawingml/2006/picture">
                <pic:pic xmlns:pic="http://schemas.openxmlformats.org/drawingml/2006/picture">
                  <pic:nvPicPr>
                    <pic:cNvPr id="7" name="Logotype"/>
                    <pic:cNvPicPr/>
                  </pic:nvPicPr>
                  <pic:blipFill>
                    <a:blip xmlns:r="http://schemas.openxmlformats.org/officeDocument/2006/relationships" r:embed="rId8"/>
                    <a:stretch>
                      <a:fillRect/>
                    </a:stretch>
                  </pic:blipFill>
                  <pic:spPr bwMode="auto">
                    <a:xfrm>
                      <a:off x="0" y="0"/>
                      <a:ext cx="2339975" cy="1582834"/>
                    </a:xfrm>
                    <a:prstGeom prst="rect">
                      <a:avLst/>
                    </a:prstGeom>
                  </pic:spPr>
                </pic:pic>
              </a:graphicData>
            </a:graphic>
          </wp:inline>
        </w:drawing>
      </w:r>
    </w:p>
    <w:p w:rsidR="00D50222" w:rsidP="002041EE" w14:paraId="2252B611" w14:textId="77777777">
      <w:pPr>
        <w:pStyle w:val="Referentiegegevens"/>
        <w:framePr w:w="7540" w:h="1789" w:wrap="none" w:hAnchor="page" w:vAnchor="page" w:x="1669" w:y="2905" w:hRule="exact" w:anchorLock="1"/>
      </w:pPr>
      <w:r>
        <w:t>&gt; Retouradres Postbus 20011 2500 EA  Den Haag</w:t>
      </w:r>
    </w:p>
    <w:p w:rsidR="002041EE" w:rsidP="002041EE" w14:paraId="20B51CD5" w14:textId="77777777">
      <w:pPr>
        <w:framePr w:w="7540" w:h="1789" w:wrap="none" w:hAnchor="page" w:vAnchor="page" w:x="1669" w:y="2905" w:hRule="exact" w:anchorLock="1"/>
      </w:pPr>
    </w:p>
    <w:p w:rsidR="002041EE" w:rsidP="002041EE" w14:paraId="656A9A8D" w14:textId="362A1404">
      <w:pPr>
        <w:framePr w:w="7540" w:h="1789" w:wrap="none" w:hAnchor="page" w:vAnchor="page" w:x="1669" w:y="2905" w:hRule="exact" w:anchorLock="1"/>
      </w:pPr>
      <w:r>
        <w:t>Aan de voorzitter van de Tweede Kamer der Staten-Generaal</w:t>
      </w:r>
    </w:p>
    <w:p w:rsidR="002041EE" w:rsidP="002041EE" w14:paraId="445B1942" w14:textId="77777777">
      <w:pPr>
        <w:framePr w:w="7540" w:h="1789" w:wrap="none" w:hAnchor="page" w:vAnchor="page" w:x="1669" w:y="2905" w:hRule="exact" w:anchorLock="1"/>
      </w:pPr>
      <w:r>
        <w:t>Postbus 20018</w:t>
      </w:r>
    </w:p>
    <w:p w:rsidRPr="002041EE" w:rsidR="002041EE" w:rsidP="002041EE" w14:paraId="2B424AA6" w14:textId="75E4CF11">
      <w:pPr>
        <w:framePr w:w="7540" w:h="1789" w:wrap="none" w:hAnchor="page" w:vAnchor="page" w:x="1669" w:y="2905" w:hRule="exact" w:anchorLock="1"/>
      </w:pPr>
      <w:r>
        <w:t>2500 EA Den Haag</w:t>
      </w:r>
    </w:p>
    <w:p w:rsidR="00D50222" w14:paraId="5A1F6212" w14:textId="77777777">
      <w:pPr>
        <w:pStyle w:val="Referentiegegevensbold"/>
        <w:framePr w:w="2012" w:h="12614" w:wrap="none" w:hAnchor="page" w:vAnchor="page" w:x="9325" w:y="3095" w:hRule="exact" w:anchorLock="1"/>
      </w:pPr>
      <w:r>
        <w:t>DGVB</w:t>
      </w:r>
    </w:p>
    <w:p w:rsidR="00D50222" w14:paraId="010239B7" w14:textId="77777777">
      <w:pPr>
        <w:pStyle w:val="Referentiegegevens"/>
        <w:framePr w:w="2012" w:h="12614" w:wrap="none" w:hAnchor="page" w:vAnchor="page" w:x="9325" w:y="3095" w:hRule="exact" w:anchorLock="1"/>
      </w:pPr>
      <w:r>
        <w:t>Woningbouwbeleid</w:t>
      </w:r>
    </w:p>
    <w:p w:rsidRPr="005131E7" w:rsidR="00D50222" w14:paraId="4D6CC78B" w14:textId="77777777">
      <w:pPr>
        <w:pStyle w:val="Referentiegegevens"/>
        <w:framePr w:w="2012" w:h="12614" w:wrap="none" w:hAnchor="page" w:vAnchor="page" w:x="9325" w:y="3095" w:hRule="exact" w:anchorLock="1"/>
        <w:rPr>
          <w:lang w:val="de-DE"/>
        </w:rPr>
      </w:pPr>
      <w:r w:rsidRPr="005131E7">
        <w:rPr>
          <w:lang w:val="de-DE"/>
        </w:rPr>
        <w:t>Programmering en Regie</w:t>
      </w:r>
    </w:p>
    <w:p w:rsidRPr="005131E7" w:rsidR="00D50222" w14:paraId="613003D3" w14:textId="77777777">
      <w:pPr>
        <w:pStyle w:val="WitregelW1"/>
        <w:framePr w:w="2012" w:h="12614" w:wrap="none" w:hAnchor="page" w:vAnchor="page" w:x="9325" w:y="3095" w:hRule="exact" w:anchorLock="1"/>
        <w:rPr>
          <w:lang w:val="de-DE"/>
        </w:rPr>
      </w:pPr>
    </w:p>
    <w:p w:rsidRPr="005131E7" w:rsidR="00D50222" w14:paraId="0A0FA347" w14:textId="77777777">
      <w:pPr>
        <w:pStyle w:val="Referentiegegevens"/>
        <w:framePr w:w="2012" w:h="12614" w:wrap="none" w:hAnchor="page" w:vAnchor="page" w:x="9325" w:y="3095" w:hRule="exact" w:anchorLock="1"/>
        <w:rPr>
          <w:lang w:val="de-DE"/>
        </w:rPr>
      </w:pPr>
      <w:r w:rsidRPr="005131E7">
        <w:rPr>
          <w:lang w:val="de-DE"/>
        </w:rPr>
        <w:t>Turfmarkt</w:t>
      </w:r>
      <w:r w:rsidRPr="005131E7">
        <w:rPr>
          <w:lang w:val="de-DE"/>
        </w:rPr>
        <w:t xml:space="preserve"> 147</w:t>
      </w:r>
    </w:p>
    <w:p w:rsidRPr="005131E7" w:rsidR="00D50222" w14:paraId="14F7844E" w14:textId="77777777">
      <w:pPr>
        <w:pStyle w:val="Referentiegegevens"/>
        <w:framePr w:w="2012" w:h="12614" w:wrap="none" w:hAnchor="page" w:vAnchor="page" w:x="9325" w:y="3095" w:hRule="exact" w:anchorLock="1"/>
        <w:rPr>
          <w:lang w:val="de-DE"/>
        </w:rPr>
      </w:pPr>
      <w:r w:rsidRPr="005131E7">
        <w:rPr>
          <w:lang w:val="de-DE"/>
        </w:rPr>
        <w:t xml:space="preserve">2511 </w:t>
      </w:r>
      <w:r w:rsidRPr="005131E7">
        <w:rPr>
          <w:lang w:val="de-DE"/>
        </w:rPr>
        <w:t>DP  Den</w:t>
      </w:r>
      <w:r w:rsidRPr="005131E7">
        <w:rPr>
          <w:lang w:val="de-DE"/>
        </w:rPr>
        <w:t xml:space="preserve"> Haag</w:t>
      </w:r>
    </w:p>
    <w:p w:rsidRPr="005131E7" w:rsidR="00D50222" w14:paraId="769B6FF0" w14:textId="77777777">
      <w:pPr>
        <w:pStyle w:val="Referentiegegevens"/>
        <w:framePr w:w="2012" w:h="12614" w:wrap="none" w:hAnchor="page" w:vAnchor="page" w:x="9325" w:y="3095" w:hRule="exact" w:anchorLock="1"/>
        <w:rPr>
          <w:lang w:val="de-DE"/>
        </w:rPr>
      </w:pPr>
      <w:r w:rsidRPr="005131E7">
        <w:rPr>
          <w:lang w:val="de-DE"/>
        </w:rPr>
        <w:t>Postbus 20011</w:t>
      </w:r>
    </w:p>
    <w:p w:rsidRPr="005131E7" w:rsidR="00D50222" w14:paraId="44222E97" w14:textId="77777777">
      <w:pPr>
        <w:pStyle w:val="Referentiegegevens"/>
        <w:framePr w:w="2012" w:h="12614" w:wrap="none" w:hAnchor="page" w:vAnchor="page" w:x="9325" w:y="3095" w:hRule="exact" w:anchorLock="1"/>
        <w:rPr>
          <w:lang w:val="de-DE"/>
        </w:rPr>
      </w:pPr>
      <w:r w:rsidRPr="005131E7">
        <w:rPr>
          <w:lang w:val="de-DE"/>
        </w:rPr>
        <w:t xml:space="preserve">2500 </w:t>
      </w:r>
      <w:r w:rsidRPr="005131E7">
        <w:rPr>
          <w:lang w:val="de-DE"/>
        </w:rPr>
        <w:t>EA  Den</w:t>
      </w:r>
      <w:r w:rsidRPr="005131E7">
        <w:rPr>
          <w:lang w:val="de-DE"/>
        </w:rPr>
        <w:t xml:space="preserve"> Haag</w:t>
      </w:r>
    </w:p>
    <w:p w:rsidRPr="005131E7" w:rsidR="00D50222" w14:paraId="6E623FFA" w14:textId="77777777">
      <w:pPr>
        <w:pStyle w:val="Referentiegegevens"/>
        <w:framePr w:w="2012" w:h="12614" w:wrap="none" w:hAnchor="page" w:vAnchor="page" w:x="9325" w:y="3095" w:hRule="exact" w:anchorLock="1"/>
        <w:rPr>
          <w:lang w:val="de-DE"/>
        </w:rPr>
      </w:pPr>
      <w:r w:rsidRPr="005131E7">
        <w:rPr>
          <w:lang w:val="de-DE"/>
        </w:rPr>
        <w:t>www.rijksoverheid.nl</w:t>
      </w:r>
    </w:p>
    <w:p w:rsidRPr="005131E7" w:rsidR="00D50222" w14:paraId="4A3D53F4" w14:textId="77777777">
      <w:pPr>
        <w:pStyle w:val="WitregelW2"/>
        <w:framePr w:w="2012" w:h="12614" w:wrap="none" w:hAnchor="page" w:vAnchor="page" w:x="9325" w:y="3095" w:hRule="exact" w:anchorLock="1"/>
        <w:rPr>
          <w:lang w:val="de-DE"/>
        </w:rPr>
      </w:pPr>
    </w:p>
    <w:p w:rsidRPr="005131E7" w:rsidR="00D50222" w14:paraId="2DCA947A" w14:textId="77777777">
      <w:pPr>
        <w:pStyle w:val="Referentiegegevensbold"/>
        <w:framePr w:w="2012" w:h="12614" w:wrap="none" w:hAnchor="page" w:vAnchor="page" w:x="9325" w:y="3095" w:hRule="exact" w:anchorLock="1"/>
        <w:rPr>
          <w:lang w:val="de-DE"/>
        </w:rPr>
      </w:pPr>
      <w:r w:rsidRPr="005131E7">
        <w:rPr>
          <w:lang w:val="de-DE"/>
        </w:rPr>
        <w:t>Onze</w:t>
      </w:r>
      <w:r w:rsidRPr="005131E7">
        <w:rPr>
          <w:lang w:val="de-DE"/>
        </w:rPr>
        <w:t xml:space="preserve"> </w:t>
      </w:r>
      <w:r w:rsidRPr="005131E7">
        <w:rPr>
          <w:lang w:val="de-DE"/>
        </w:rPr>
        <w:t>referentie</w:t>
      </w:r>
    </w:p>
    <w:bookmarkStart w:name="_Hlk240824109" w:id="0"/>
    <w:p w:rsidR="003830B6" w14:paraId="4FAEE82F" w14:textId="77777777">
      <w:pPr>
        <w:pStyle w:val="Referentiegegevens"/>
        <w:framePr w:w="2012" w:h="12614" w:wrap="none" w:hAnchor="page" w:vAnchor="page" w:x="9325" w:y="3095" w:hRule="exact" w:anchorLock="1"/>
      </w:pPr>
      <w:r>
        <w:fldChar w:fldCharType="begin"/>
      </w:r>
      <w:r>
        <w:instrText xml:space="preserve"> DOCPROPERTY  "Kenmerk"  \* MERGEFORMAT </w:instrText>
      </w:r>
      <w:r>
        <w:fldChar w:fldCharType="separate"/>
      </w:r>
      <w:r>
        <w:t>2026-0000484849</w:t>
      </w:r>
      <w:r>
        <w:fldChar w:fldCharType="end"/>
      </w:r>
    </w:p>
    <w:bookmarkEnd w:id="0"/>
    <w:p w:rsidR="00D50222" w14:paraId="040E2114" w14:textId="77777777">
      <w:pPr>
        <w:pStyle w:val="WitregelW1"/>
        <w:framePr w:w="2012" w:h="12614" w:wrap="none" w:hAnchor="page" w:vAnchor="page" w:x="9325" w:y="3095" w:hRule="exact" w:anchorLock="1"/>
      </w:pPr>
    </w:p>
    <w:p w:rsidR="00D50222" w14:paraId="2D17B31D" w14:textId="77777777">
      <w:pPr>
        <w:pStyle w:val="Referentiegegevensbold"/>
        <w:framePr w:w="2012" w:h="12614" w:wrap="none" w:hAnchor="page" w:vAnchor="page" w:x="9325" w:y="3095" w:hRule="exact" w:anchorLock="1"/>
      </w:pPr>
      <w:r>
        <w:t>Bijlage(n)</w:t>
      </w:r>
    </w:p>
    <w:p w:rsidR="00D50222" w14:paraId="013F37E1" w14:textId="77777777">
      <w:pPr>
        <w:pStyle w:val="Referentiegegevens"/>
        <w:framePr w:w="2012" w:h="12614" w:wrap="none" w:hAnchor="page" w:vAnchor="page" w:x="9325" w:y="3095" w:hRule="exact" w:anchorLock="1"/>
      </w:pPr>
      <w:r>
        <w:t>1</w:t>
      </w:r>
    </w:p>
    <w:p w:rsidR="00D50222" w14:paraId="714F6C21" w14:textId="77777777">
      <w:pPr>
        <w:pStyle w:val="WitregelW2"/>
        <w:framePr w:w="2012" w:h="12614" w:wrap="none" w:hAnchor="page" w:vAnchor="page" w:x="9325" w:y="3095" w:hRule="exact" w:anchorLock="1"/>
      </w:pPr>
    </w:p>
    <w:tbl>
      <w:tblPr>
        <w:tblW w:w="0" w:type="auto"/>
        <w:tblLayout w:type="fixed"/>
        <w:tblLook w:val="0740"/>
      </w:tblPr>
      <w:tblGrid>
        <w:gridCol w:w="1140"/>
        <w:gridCol w:w="5918"/>
      </w:tblGrid>
      <w:tr w14:paraId="6E347EA5" w14:textId="77777777">
        <w:tblPrEx>
          <w:tblW w:w="0" w:type="auto"/>
          <w:tblLayout w:type="fixed"/>
          <w:tblLook w:val="0740"/>
        </w:tblPrEx>
        <w:trPr>
          <w:trHeight w:val="240"/>
        </w:trPr>
        <w:tc>
          <w:tcPr>
            <w:tcW w:w="1140" w:type="dxa"/>
          </w:tcPr>
          <w:p w:rsidR="00FB4715" w14:paraId="0EF43371" w14:textId="77777777">
            <w:pPr>
              <w:framePr w:w="7540" w:h="510" w:wrap="none" w:hAnchor="page" w:vAnchor="page" w:x="1589" w:y="5283" w:hRule="exact" w:anchorLock="1"/>
            </w:pPr>
            <w:r>
              <w:t>Datum</w:t>
            </w:r>
          </w:p>
        </w:tc>
        <w:tc>
          <w:tcPr>
            <w:tcW w:w="5918" w:type="dxa"/>
          </w:tcPr>
          <w:p w:rsidR="00FB4715" w14:paraId="49662209" w14:textId="77777777">
            <w:pPr>
              <w:framePr w:w="7540" w:h="510" w:wrap="none" w:hAnchor="page" w:vAnchor="page" w:x="1589" w:y="5283" w:hRule="exact" w:anchorLock="1"/>
            </w:pPr>
            <w:r>
              <w:t>21 september 2026</w:t>
            </w:r>
          </w:p>
        </w:tc>
      </w:tr>
      <w:tr w14:paraId="2D0045F6" w14:textId="77777777">
        <w:tblPrEx>
          <w:tblW w:w="0" w:type="auto"/>
          <w:tblLayout w:type="fixed"/>
          <w:tblLook w:val="0740"/>
        </w:tblPrEx>
        <w:trPr>
          <w:trHeight w:val="240"/>
        </w:trPr>
        <w:tc>
          <w:tcPr>
            <w:tcW w:w="1140" w:type="dxa"/>
          </w:tcPr>
          <w:p w:rsidR="00D50222" w14:paraId="6EEB75CD" w14:textId="77777777">
            <w:pPr>
              <w:framePr w:w="7540" w:h="510" w:wrap="none" w:hAnchor="page" w:vAnchor="page" w:x="1589" w:y="5283" w:hRule="exact" w:anchorLock="1"/>
            </w:pPr>
            <w:r>
              <w:t>Betreft</w:t>
            </w:r>
          </w:p>
        </w:tc>
        <w:tc>
          <w:tcPr>
            <w:tcW w:w="5918" w:type="dxa"/>
          </w:tcPr>
          <w:p w:rsidR="003830B6" w14:paraId="5A132F09" w14:textId="77777777">
            <w:pPr>
              <w:framePr w:w="7540" w:h="510" w:wrap="none" w:hAnchor="page" w:vAnchor="page" w:x="1589" w:y="5283" w:hRule="exact" w:anchorLock="1"/>
            </w:pPr>
            <w:r>
              <w:fldChar w:fldCharType="begin"/>
            </w:r>
            <w:r>
              <w:instrText xml:space="preserve"> DOCPROPERTY  "Onderwerp"  \* MERGEFORMAT </w:instrText>
            </w:r>
            <w:r>
              <w:fldChar w:fldCharType="separate"/>
            </w:r>
            <w:r>
              <w:t>Actieplan Versnelling Woningbouw</w:t>
            </w:r>
            <w:r>
              <w:fldChar w:fldCharType="end"/>
            </w:r>
          </w:p>
        </w:tc>
      </w:tr>
    </w:tbl>
    <w:p w:rsidR="003830B6" w14:paraId="7E88B219" w14:textId="77777777">
      <w:pPr>
        <w:pStyle w:val="Referentiegegevens"/>
        <w:framePr w:w="2025" w:h="254" w:wrap="none" w:hAnchor="page" w:vAnchor="page" w:x="9325" w:y="16055" w:hRule="exact" w:anchorLock="1"/>
      </w:pPr>
      <w:r>
        <w:t xml:space="preserve">Pagina </w:t>
      </w:r>
      <w:r>
        <w:fldChar w:fldCharType="begin"/>
      </w:r>
      <w:r>
        <w:instrText xml:space="preserve"> PAGE </w:instrText>
      </w:r>
      <w:r>
        <w:fldChar w:fldCharType="separate"/>
      </w:r>
      <w:r>
        <w:t>1</w:t>
      </w:r>
      <w:r>
        <w:fldChar w:fldCharType="end"/>
      </w:r>
      <w:r>
        <w:t xml:space="preserve"> van </w:t>
      </w:r>
      <w:r>
        <w:fldChar w:fldCharType="begin"/>
      </w:r>
      <w:r>
        <w:instrText xml:space="preserve"> NUMPAGES </w:instrText>
      </w:r>
      <w:r>
        <w:fldChar w:fldCharType="separate"/>
      </w:r>
      <w:r>
        <w:t>5</w:t>
      </w:r>
      <w:r>
        <w:fldChar w:fldCharType="end"/>
      </w:r>
    </w:p>
    <w:p w:rsidR="00D50222" w:rsidP="00383EE4" w14:paraId="5D257113" w14:textId="77777777">
      <w:pPr>
        <w:tabs>
          <w:tab w:val="left" w:pos="4232"/>
        </w:tabs>
      </w:pPr>
      <w:r>
        <w:tab/>
      </w:r>
    </w:p>
    <w:p w:rsidR="00D50222" w:rsidP="00823F47" w14:paraId="006FD9D2" w14:textId="77777777">
      <w:pPr>
        <w:spacing w:after="180"/>
      </w:pPr>
      <w:r>
        <w:t>Geachte voorzitter,</w:t>
      </w:r>
    </w:p>
    <w:p w:rsidR="00823F47" w:rsidP="00823F47" w14:paraId="5E0400B0" w14:textId="77777777"/>
    <w:p w:rsidR="00823F47" w:rsidP="00823F47" w14:paraId="5A9B5101" w14:textId="77777777">
      <w:r w:rsidRPr="00896AA8">
        <w:t xml:space="preserve">Het tekort aan woningen is een van de grootste </w:t>
      </w:r>
      <w:r w:rsidR="00D61AB7">
        <w:t xml:space="preserve">binnenlandse </w:t>
      </w:r>
      <w:r w:rsidRPr="00896AA8">
        <w:t>problemen. Honderdduizenden Nederlanders wachten op een betaalbare woning.</w:t>
      </w:r>
    </w:p>
    <w:p w:rsidRPr="00896AA8" w:rsidR="00823F47" w:rsidP="00823F47" w14:paraId="137F7C57" w14:textId="77777777"/>
    <w:p w:rsidR="00823F47" w:rsidP="00823F47" w14:paraId="1CD1DB71" w14:textId="77777777">
      <w:r>
        <w:t>Achter deze cijfers gaan gezichten schuil</w:t>
      </w:r>
      <w:r w:rsidRPr="00896AA8">
        <w:t xml:space="preserve">. </w:t>
      </w:r>
      <w:r>
        <w:t>D</w:t>
      </w:r>
      <w:r w:rsidRPr="00896AA8">
        <w:t>e starter die niet weg kan bij haar ouders, het gezin dat al jaren te klein woont, de oudere die niet kleiner k</w:t>
      </w:r>
      <w:r w:rsidR="002B08C9">
        <w:t>a</w:t>
      </w:r>
      <w:r w:rsidRPr="00896AA8">
        <w:t xml:space="preserve">n gaan wonen. </w:t>
      </w:r>
      <w:r w:rsidR="002B08C9">
        <w:t xml:space="preserve">De woningnood raakt alle generaties en alle groepen. Van verpleegkundige tot vakman, van politieagent tot ondernemer. Veel is al in gang gezet, maar meer is nodig. </w:t>
      </w:r>
    </w:p>
    <w:p w:rsidR="002B08C9" w:rsidP="00823F47" w14:paraId="39DC3C9E" w14:textId="77777777"/>
    <w:p w:rsidR="00823F47" w:rsidP="00823F47" w14:paraId="510E4693" w14:textId="77777777">
      <w:r>
        <w:t xml:space="preserve">Om die reden heeft de Taskforce Versnelling Woningbouw gewerkt aan een Actieplan Versnelling Woningbouw, dat ik met deze brief aan uw Kamer aanbied. </w:t>
      </w:r>
      <w:r w:rsidRPr="00896AA8">
        <w:t xml:space="preserve">Het </w:t>
      </w:r>
      <w:r>
        <w:t>Actie</w:t>
      </w:r>
      <w:r w:rsidR="002B08C9">
        <w:t xml:space="preserve">plan </w:t>
      </w:r>
      <w:r w:rsidRPr="00896AA8">
        <w:t xml:space="preserve">bevat vijftig acties met één doel: dat honderdduizenden woningzoekenden in 2030 een plek hebben gevonden, in buurten die hun stad verrijken en steden die hun regio verrijken. Dat doen we </w:t>
      </w:r>
      <w:r w:rsidRPr="00823F47">
        <w:rPr>
          <w:b/>
          <w:bCs/>
        </w:rPr>
        <w:t>door meer, sneller en beter te bouwen</w:t>
      </w:r>
      <w:r w:rsidRPr="00896AA8">
        <w:t>, alle drie tegelijk, want ze zijn niet tegen elkaar uit te ruilen.</w:t>
      </w:r>
    </w:p>
    <w:p w:rsidRPr="00896AA8" w:rsidR="00823F47" w:rsidP="00823F47" w14:paraId="2BB652B1" w14:textId="77777777"/>
    <w:p w:rsidRPr="00823F47" w:rsidR="00823F47" w:rsidP="00823F47" w14:paraId="0C8F0940" w14:textId="77777777">
      <w:pPr>
        <w:rPr>
          <w:b/>
          <w:bCs/>
        </w:rPr>
      </w:pPr>
      <w:r w:rsidRPr="00823F47">
        <w:rPr>
          <w:b/>
          <w:bCs/>
        </w:rPr>
        <w:t>De keuze die dit plan maakt</w:t>
      </w:r>
    </w:p>
    <w:p w:rsidR="00823F47" w:rsidP="00823F47" w14:paraId="66629186" w14:textId="77777777">
      <w:r w:rsidRPr="00896AA8">
        <w:t>In de hele keten die doorlopen moet worden om een woning te realiseren, moeten de seinen op groen staan: van voldoende ruimte en locaties tot harde plannen, en ontwikkelaars en bouwers die de plannen ook echt realiseren. Op de meeste plekken staat minstens één sein nog op rood.</w:t>
      </w:r>
    </w:p>
    <w:p w:rsidR="00823F47" w:rsidP="00823F47" w14:paraId="6E75A123" w14:textId="77777777"/>
    <w:p w:rsidR="00823F47" w:rsidP="00823F47" w14:paraId="31B3A54A" w14:textId="77777777">
      <w:r>
        <w:t xml:space="preserve">Om alle seinen op groen te krijgen sturen we op voldoende plekken, op tempo, op het op orde krijgen van de randvoorwaarden, op geld en grond en tenslotte op integrale uitvoering. </w:t>
      </w:r>
    </w:p>
    <w:p w:rsidR="00823F47" w:rsidP="00823F47" w14:paraId="53D8DF2C" w14:textId="77777777"/>
    <w:p w:rsidRPr="00AB3425" w:rsidR="00823F47" w:rsidP="00823F47" w14:paraId="41F68C47" w14:textId="77777777">
      <w:r w:rsidRPr="00366588">
        <w:t xml:space="preserve">De plannen zijn er, nu komt het aan op de uitvoering. </w:t>
      </w:r>
      <w:r w:rsidRPr="00AE4054">
        <w:t xml:space="preserve">Samen met de </w:t>
      </w:r>
      <w:r w:rsidR="000E19DB">
        <w:t>T</w:t>
      </w:r>
      <w:r w:rsidRPr="00AE4054">
        <w:t xml:space="preserve">askforce heb ik met </w:t>
      </w:r>
      <w:r w:rsidR="000E19DB">
        <w:t>A</w:t>
      </w:r>
      <w:r w:rsidRPr="00AE4054">
        <w:t>ctieplan het “wat” bepaald</w:t>
      </w:r>
      <w:r>
        <w:t>. N</w:t>
      </w:r>
      <w:r w:rsidRPr="00AE4054">
        <w:t xml:space="preserve">u is het aan de medeoverheden, projectontwikkelaars, bouwbedrijven, investeerders en corporaties om het “hoe” te bepalen. Dit vraagt </w:t>
      </w:r>
      <w:r w:rsidRPr="00366588">
        <w:t xml:space="preserve">actie van alle betrokkenen, met duidelijke afspraken, scherpe monitoring en partijen die hun verantwoordelijkheid nemen. Zo krijgen we de woningbouwproductie voor langere termijn omhoog naar 100.000 woningen per jaar. Voor </w:t>
      </w:r>
      <w:r>
        <w:t>al die</w:t>
      </w:r>
      <w:r w:rsidRPr="00366588">
        <w:t xml:space="preserve"> mensen </w:t>
      </w:r>
      <w:r>
        <w:t>en</w:t>
      </w:r>
      <w:r w:rsidRPr="00366588">
        <w:t xml:space="preserve"> huishoudens die nu nog wachten op een thuis. </w:t>
      </w:r>
    </w:p>
    <w:p w:rsidR="00823F47" w:rsidP="00823F47" w14:paraId="2A704BD9" w14:textId="77777777"/>
    <w:p w:rsidR="00823F47" w:rsidP="00823F47" w14:paraId="311A8552" w14:textId="77777777"/>
    <w:p w:rsidRPr="00823F47" w:rsidR="00823F47" w:rsidP="00823F47" w14:paraId="61796B2F" w14:textId="77777777">
      <w:pPr>
        <w:rPr>
          <w:b/>
          <w:bCs/>
        </w:rPr>
      </w:pPr>
      <w:r w:rsidRPr="00823F47">
        <w:rPr>
          <w:b/>
          <w:bCs/>
        </w:rPr>
        <w:t>Meer, sneller en beter bouwen</w:t>
      </w:r>
    </w:p>
    <w:p w:rsidRPr="00896AA8" w:rsidR="00823F47" w:rsidP="00823F47" w14:paraId="0A11E675" w14:textId="77777777">
      <w:r w:rsidRPr="00823F47">
        <w:rPr>
          <w:b/>
          <w:bCs/>
        </w:rPr>
        <w:t>Meer.</w:t>
      </w:r>
      <w:r w:rsidRPr="00823F47">
        <w:t xml:space="preserve"> </w:t>
      </w:r>
      <w:r w:rsidRPr="00896AA8">
        <w:t xml:space="preserve">Naast de tien nieuwe nationale </w:t>
      </w:r>
      <w:r>
        <w:t xml:space="preserve">grootschalige </w:t>
      </w:r>
      <w:r w:rsidRPr="00896AA8">
        <w:t xml:space="preserve">woningbouwlocaties, bovenop de bestaande 21, zetten we even hard in op de bestaande voorraad. </w:t>
      </w:r>
      <w:r w:rsidRPr="00823F47">
        <w:t>Met de Landelijke Aanpak Beter Benutten streeft het kabinet naar 10.000 tot 20.000 extra woningen per jaar</w:t>
      </w:r>
      <w:r w:rsidRPr="00896AA8">
        <w:t xml:space="preserve"> </w:t>
      </w:r>
      <w:r>
        <w:t>door o</w:t>
      </w:r>
      <w:r w:rsidRPr="00896AA8">
        <w:t xml:space="preserve">ptoppen, splitsen, woningdelen en hospitaverhuur. Het kabinet maakt </w:t>
      </w:r>
      <w:r>
        <w:t>de groei naar 100.000 per jaar mogelijk</w:t>
      </w:r>
      <w:r w:rsidRPr="00896AA8">
        <w:t xml:space="preserve"> met €7 mld</w:t>
      </w:r>
      <w:r>
        <w:t>.</w:t>
      </w:r>
      <w:r w:rsidRPr="00896AA8">
        <w:t xml:space="preserve"> tot en met 2035, en fiscale en huurmaatregelen laten de investeringscapaciteit van corporaties met </w:t>
      </w:r>
      <w:r w:rsidRPr="00896AA8">
        <w:t>circa</w:t>
      </w:r>
      <w:r w:rsidRPr="00896AA8">
        <w:t xml:space="preserve"> €2</w:t>
      </w:r>
      <w:r>
        <w:t>8</w:t>
      </w:r>
      <w:r w:rsidRPr="00896AA8">
        <w:t xml:space="preserve"> mld</w:t>
      </w:r>
      <w:r>
        <w:t>.</w:t>
      </w:r>
      <w:r w:rsidRPr="00896AA8">
        <w:t xml:space="preserve"> groeien.</w:t>
      </w:r>
    </w:p>
    <w:p w:rsidR="00823F47" w:rsidP="00823F47" w14:paraId="6BC2DE0F" w14:textId="77777777">
      <w:pPr>
        <w:rPr>
          <w:b/>
          <w:bCs/>
        </w:rPr>
      </w:pPr>
    </w:p>
    <w:p w:rsidRPr="00896AA8" w:rsidR="00823F47" w:rsidP="00823F47" w14:paraId="2DCDD133" w14:textId="77777777">
      <w:r w:rsidRPr="00823F47">
        <w:rPr>
          <w:b/>
          <w:bCs/>
        </w:rPr>
        <w:t>Sneller.</w:t>
      </w:r>
      <w:r w:rsidRPr="00823F47">
        <w:t xml:space="preserve"> </w:t>
      </w:r>
      <w:r w:rsidRPr="00896AA8">
        <w:t xml:space="preserve">Stappen die nu ná elkaar gaan, zetten we parallel, en wat nu per gemeente verschilt, standaardiseren we landelijk. </w:t>
      </w:r>
      <w:r>
        <w:t>Met p</w:t>
      </w:r>
      <w:r w:rsidRPr="00896AA8">
        <w:t xml:space="preserve">arallel </w:t>
      </w:r>
      <w:r>
        <w:t>p</w:t>
      </w:r>
      <w:r w:rsidRPr="00896AA8">
        <w:t xml:space="preserve">lannen </w:t>
      </w:r>
      <w:r>
        <w:t xml:space="preserve">en het digitaliseren van het </w:t>
      </w:r>
      <w:r w:rsidRPr="00896AA8">
        <w:t xml:space="preserve">ontwerp- en vergunning traject </w:t>
      </w:r>
      <w:r>
        <w:t>kan een versnelling van 4 jaar worden gerealiseerd</w:t>
      </w:r>
      <w:r w:rsidRPr="00896AA8">
        <w:t>, en met volledige typegoedkeuring vervalt de vergunningplicht voor industriële woningconcepten. In 2030 komt de helft van de woningen uit een fabriek.</w:t>
      </w:r>
    </w:p>
    <w:p w:rsidR="00823F47" w:rsidP="00823F47" w14:paraId="4BDF4CCC" w14:textId="77777777">
      <w:pPr>
        <w:rPr>
          <w:b/>
          <w:bCs/>
        </w:rPr>
      </w:pPr>
      <w:bookmarkStart w:name="_Hlk239942957" w:id="1"/>
    </w:p>
    <w:p w:rsidR="00823F47" w:rsidP="00823F47" w14:paraId="5091FB96" w14:textId="77777777">
      <w:r w:rsidRPr="002D3781">
        <w:rPr>
          <w:b/>
          <w:bCs/>
        </w:rPr>
        <w:t>Beter.</w:t>
      </w:r>
      <w:r w:rsidRPr="002D3781">
        <w:t xml:space="preserve"> Een woning is onderdeel van een buurt. Daarom </w:t>
      </w:r>
      <w:r w:rsidRPr="002D3781" w:rsidR="00FB4715">
        <w:t>stellen</w:t>
      </w:r>
      <w:r w:rsidRPr="002D3781">
        <w:t xml:space="preserve"> we per grootschalige woningbouwlocatie met betrokken gemeenten en partners een wederkerig uitvoeringsconvenant </w:t>
      </w:r>
      <w:r w:rsidRPr="002D3781" w:rsidR="00FB4715">
        <w:t xml:space="preserve">op </w:t>
      </w:r>
      <w:r w:rsidRPr="002D3781">
        <w:t>om voorzieningen en</w:t>
      </w:r>
      <w:r w:rsidRPr="002D3781" w:rsidR="00FB4715">
        <w:t xml:space="preserve"> een</w:t>
      </w:r>
      <w:r w:rsidRPr="002D3781">
        <w:t xml:space="preserve"> goede leefomgeving te borgen. In de wijken die worden gebouwd, komen</w:t>
      </w:r>
      <w:r w:rsidRPr="002D3781" w:rsidR="00FB4715">
        <w:t xml:space="preserve"> er</w:t>
      </w:r>
      <w:r w:rsidRPr="002D3781">
        <w:t xml:space="preserve"> meer en passende woningen voor ouderen, studenten en mensen die het moeilijkst aan een passende woning komen. Niet als sluitstuk, maar vanaf dag één.</w:t>
      </w:r>
      <w:bookmarkEnd w:id="1"/>
    </w:p>
    <w:p w:rsidR="00823F47" w:rsidP="00823F47" w14:paraId="0B6D7C4B" w14:textId="77777777"/>
    <w:p w:rsidRPr="00823F47" w:rsidR="00823F47" w:rsidP="00823F47" w14:paraId="0245F1B6" w14:textId="77777777">
      <w:pPr>
        <w:rPr>
          <w:b/>
          <w:bCs/>
        </w:rPr>
      </w:pPr>
      <w:r w:rsidRPr="00823F47">
        <w:rPr>
          <w:b/>
          <w:bCs/>
        </w:rPr>
        <w:t>De inhoud van het Actieplan</w:t>
      </w:r>
    </w:p>
    <w:p w:rsidRPr="00823F47" w:rsidR="00823F47" w:rsidP="00823F47" w14:paraId="505689E4" w14:textId="77777777">
      <w:pPr>
        <w:rPr>
          <w:u w:val="single"/>
        </w:rPr>
      </w:pPr>
      <w:r w:rsidRPr="00823F47">
        <w:rPr>
          <w:u w:val="single"/>
        </w:rPr>
        <w:t>We bouwen meer</w:t>
      </w:r>
    </w:p>
    <w:p w:rsidR="00823F47" w:rsidP="00823F47" w14:paraId="22F4C134" w14:textId="77777777">
      <w:r w:rsidRPr="00D23A88">
        <w:t>We bouwen overal in Nederland</w:t>
      </w:r>
      <w:r>
        <w:t xml:space="preserve"> en op alle manieren</w:t>
      </w:r>
      <w:r w:rsidRPr="00D23A88">
        <w:t xml:space="preserve">, </w:t>
      </w:r>
      <w:r>
        <w:t xml:space="preserve">van </w:t>
      </w:r>
      <w:r w:rsidRPr="00D23A88">
        <w:t>beter benutten</w:t>
      </w:r>
      <w:r>
        <w:t xml:space="preserve"> van de bestaande gebouwen</w:t>
      </w:r>
      <w:r w:rsidRPr="00D23A88">
        <w:t xml:space="preserve">, </w:t>
      </w:r>
      <w:r>
        <w:t xml:space="preserve">een </w:t>
      </w:r>
      <w:r w:rsidRPr="00D23A88">
        <w:t xml:space="preserve">straatje erbij </w:t>
      </w:r>
      <w:r>
        <w:t>tot</w:t>
      </w:r>
      <w:r w:rsidRPr="00D23A88">
        <w:t xml:space="preserve"> gebiedsontwikkelingen klein en groot</w:t>
      </w:r>
      <w:r>
        <w:t xml:space="preserve">. </w:t>
      </w:r>
    </w:p>
    <w:p w:rsidR="00823F47" w:rsidP="00823F47" w14:paraId="22A4BC69" w14:textId="77777777"/>
    <w:p w:rsidR="00823F47" w:rsidP="00823F47" w14:paraId="24DCDDCA" w14:textId="77777777">
      <w:r>
        <w:t>M</w:t>
      </w:r>
      <w:r w:rsidRPr="00AE4054">
        <w:t>et de Landelijke Aanpak Beter Benutten</w:t>
      </w:r>
      <w:r>
        <w:t xml:space="preserve"> zet ik</w:t>
      </w:r>
      <w:r w:rsidRPr="00AE4054">
        <w:t xml:space="preserve"> in op </w:t>
      </w:r>
      <w:r>
        <w:t xml:space="preserve">het beter benutten van </w:t>
      </w:r>
      <w:r w:rsidRPr="00AE4054">
        <w:t xml:space="preserve">de bestaande </w:t>
      </w:r>
      <w:r>
        <w:t>gebouwen</w:t>
      </w:r>
      <w:r w:rsidRPr="00AE4054">
        <w:t xml:space="preserve">, door </w:t>
      </w:r>
      <w:r>
        <w:t xml:space="preserve">transformaties van onder andere kantoren, door </w:t>
      </w:r>
      <w:r w:rsidRPr="00AE4054">
        <w:t xml:space="preserve">woningen bovenop bestaande bouw te plaatsen, woningen te splitsen, te delen en hospitaverhuur makkelijker te maken. Hierdoor komen er zo 10.000 tot 20.000 woningen per jaar bij. </w:t>
      </w:r>
    </w:p>
    <w:p w:rsidR="00823F47" w:rsidP="00823F47" w14:paraId="48355976" w14:textId="77777777"/>
    <w:p w:rsidR="00823F47" w:rsidP="00823F47" w14:paraId="41B5DDDB" w14:textId="77777777">
      <w:r>
        <w:t xml:space="preserve">Om voldoende te bouwen moeten er voldoende plannen zijn en voldoende locaties om te bouwen. Om die </w:t>
      </w:r>
      <w:r w:rsidRPr="00AE46FA">
        <w:t>reden komen er tien nieuwe nationaal grootschalige woningbouwlocaties</w:t>
      </w:r>
      <w:r>
        <w:t xml:space="preserve"> (hierna; NGW-locaties)</w:t>
      </w:r>
      <w:r w:rsidRPr="00AE46FA">
        <w:t xml:space="preserve">, waarvan ik de eerst vijf (Leeuwarden, Deventer, Haarlem, Weert en Maastricht) al heb aangewezen. Alle 31 </w:t>
      </w:r>
      <w:r>
        <w:t xml:space="preserve">nationaal </w:t>
      </w:r>
      <w:r w:rsidRPr="00AE46FA">
        <w:t xml:space="preserve">grootschalige </w:t>
      </w:r>
      <w:r w:rsidR="00FB4715">
        <w:t>woningbouw</w:t>
      </w:r>
      <w:r w:rsidRPr="00AE46FA">
        <w:t xml:space="preserve">locaties zorgen de komende 10 jaar </w:t>
      </w:r>
      <w:r>
        <w:t xml:space="preserve">samen </w:t>
      </w:r>
      <w:r w:rsidRPr="00AE46FA">
        <w:t>voor meer dan 400.000 woningen.</w:t>
      </w:r>
      <w:r w:rsidRPr="00AE4054">
        <w:t xml:space="preserve"> </w:t>
      </w:r>
      <w:r>
        <w:t>We kijken hier niet alleen hoe we meer bouwen</w:t>
      </w:r>
      <w:r w:rsidR="00FB4715">
        <w:t>,</w:t>
      </w:r>
      <w:r>
        <w:t xml:space="preserve"> maar ook beter bouwen door verschillende opgaven te combineren in gebiedsontwikkeling. </w:t>
      </w:r>
      <w:r w:rsidRPr="00D76D85">
        <w:t xml:space="preserve">Om deze kansen te benutten werken we aan een gebiedsgerichte totaalaanpak die versnelling mogelijk maakt én zorgt dat nieuwe wijken toekomstbestendig, gezond, bereikbaar en sociaal sterk worden. </w:t>
      </w:r>
      <w:r>
        <w:t>D</w:t>
      </w:r>
      <w:r w:rsidRPr="00D76D85">
        <w:t>eze totaalaanpak ontwikkelen we in nauwe samenwerking met de huidige 21 NGW</w:t>
      </w:r>
      <w:r w:rsidRPr="00823F47">
        <w:rPr>
          <w:rFonts w:ascii="Cambria Math" w:hAnsi="Cambria Math" w:cs="Cambria Math"/>
        </w:rPr>
        <w:t>‑</w:t>
      </w:r>
      <w:r>
        <w:t>locaties</w:t>
      </w:r>
      <w:r w:rsidRPr="00D76D85">
        <w:t xml:space="preserve"> (toenemend tot 31) en leggen we vast in wederkerige uitvoeringsconvenanten. </w:t>
      </w:r>
    </w:p>
    <w:p w:rsidRPr="00D76D85" w:rsidR="00823F47" w:rsidP="00823F47" w14:paraId="790CFA2A" w14:textId="77777777"/>
    <w:p w:rsidR="00823F47" w:rsidP="00823F47" w14:paraId="01E614C6" w14:textId="77777777">
      <w:r w:rsidRPr="00AE4054">
        <w:t>Ik stel €7 mld. beschikbaar voor ondersteuning van de woningbouw in de periode tot en met 2035, hiermee bied ik passende financiële randvoorwaarde</w:t>
      </w:r>
      <w:r>
        <w:t>n</w:t>
      </w:r>
      <w:r w:rsidRPr="00AE4054">
        <w:t xml:space="preserve"> voor de woningbouw en zorg ik voor langere termijn duidelijkheid en zekerheid. Dankzij deze middelen worden onder ander de realisatiestimulans en de </w:t>
      </w:r>
      <w:r>
        <w:t>woningbouwimpuls</w:t>
      </w:r>
      <w:r w:rsidRPr="00AE4054">
        <w:t xml:space="preserve"> </w:t>
      </w:r>
      <w:r>
        <w:t xml:space="preserve">langjarig </w:t>
      </w:r>
      <w:r w:rsidRPr="00AE4054">
        <w:t>gecontinueerd.</w:t>
      </w:r>
      <w:r>
        <w:t xml:space="preserve"> Dit geeft langjarige financiële </w:t>
      </w:r>
      <w:r>
        <w:t xml:space="preserve">zekerheid voor </w:t>
      </w:r>
      <w:r w:rsidR="005131E7">
        <w:t xml:space="preserve">de </w:t>
      </w:r>
      <w:r>
        <w:t>woningbouwprojecten die nu in voorbereiding zijn en de partijen die hierbij betrokken zijn.</w:t>
      </w:r>
      <w:r w:rsidRPr="00AE4054">
        <w:t xml:space="preserve"> Ook wordt de inzet op ondersteuning van gemeente</w:t>
      </w:r>
      <w:r w:rsidR="00FB4715">
        <w:t>n</w:t>
      </w:r>
      <w:r w:rsidRPr="00AE4054">
        <w:t xml:space="preserve">, industrialisatie en digitalisering extra geïntensiveerd. </w:t>
      </w:r>
      <w:r>
        <w:t>Er komen ook middelen beschikbaar voor</w:t>
      </w:r>
      <w:r w:rsidRPr="00AE4054">
        <w:t xml:space="preserve"> </w:t>
      </w:r>
      <w:r>
        <w:t xml:space="preserve">de </w:t>
      </w:r>
      <w:r w:rsidRPr="00AE4054">
        <w:t>ontwikkeling van onzelfstandige woonruimte en</w:t>
      </w:r>
      <w:r w:rsidR="00FB4715">
        <w:t xml:space="preserve"> voor</w:t>
      </w:r>
      <w:r w:rsidRPr="00AE4054">
        <w:t xml:space="preserve"> geclusterd</w:t>
      </w:r>
      <w:r>
        <w:t>e</w:t>
      </w:r>
      <w:r w:rsidRPr="00AE4054">
        <w:t xml:space="preserve"> en zorggeschikt</w:t>
      </w:r>
      <w:r>
        <w:t>e</w:t>
      </w:r>
      <w:r w:rsidRPr="00AE4054">
        <w:t xml:space="preserve"> woonvormen.</w:t>
      </w:r>
      <w:r>
        <w:t xml:space="preserve"> </w:t>
      </w:r>
    </w:p>
    <w:p w:rsidRPr="00AE4054" w:rsidR="00823F47" w:rsidP="00823F47" w14:paraId="72B7989D" w14:textId="77777777"/>
    <w:p w:rsidRPr="00AE4054" w:rsidR="00823F47" w:rsidP="00823F47" w14:paraId="0866B115" w14:textId="77777777">
      <w:r w:rsidRPr="00AE4054">
        <w:t xml:space="preserve">Ik ben blij u te kunnen melden dat er een impuls voor betaalbare huurwoningen komt. </w:t>
      </w:r>
      <w:r>
        <w:t>Er zijn aanzienlijke investeringen nodig voor het realiseren van voldoende betaalbare huurwoningen</w:t>
      </w:r>
      <w:r w:rsidR="005131E7">
        <w:t>.</w:t>
      </w:r>
      <w:r>
        <w:t xml:space="preserve"> </w:t>
      </w:r>
      <w:r w:rsidR="00FB4715">
        <w:t>D</w:t>
      </w:r>
      <w:r>
        <w:t>e</w:t>
      </w:r>
      <w:r w:rsidRPr="00D23A88">
        <w:t xml:space="preserve"> impuls betaalbare </w:t>
      </w:r>
      <w:r>
        <w:t>huurwoningen</w:t>
      </w:r>
      <w:r w:rsidRPr="00D23A88">
        <w:t xml:space="preserve"> geeft corporaties en investeerders </w:t>
      </w:r>
      <w:r>
        <w:t>m</w:t>
      </w:r>
      <w:r w:rsidRPr="00D23A88">
        <w:t>eer mogelijkheden om te investeren</w:t>
      </w:r>
      <w:r>
        <w:t>. Voor private investeerders wordt een integraal pakket aan maatregelen genomen.</w:t>
      </w:r>
      <w:r>
        <w:rPr>
          <w:vertAlign w:val="superscript"/>
        </w:rPr>
        <w:footnoteReference w:id="2"/>
      </w:r>
      <w:r>
        <w:t xml:space="preserve"> Zo wordt onder andere d</w:t>
      </w:r>
      <w:r w:rsidRPr="00AE4054">
        <w:t>e overdrachtsbelasting voor investeerders van 8% naar 7% verlaagd</w:t>
      </w:r>
      <w:r w:rsidRPr="00631CFD">
        <w:t xml:space="preserve"> </w:t>
      </w:r>
      <w:r w:rsidRPr="00AE4054">
        <w:t>in 2027</w:t>
      </w:r>
      <w:r>
        <w:t xml:space="preserve"> en wordt er een </w:t>
      </w:r>
      <w:r w:rsidRPr="00AE4054">
        <w:t xml:space="preserve">objectsubsidie voor middenhuurwoningen </w:t>
      </w:r>
      <w:r>
        <w:t xml:space="preserve">voor de periode 2029 t/m 2033 geïntroduceerd die </w:t>
      </w:r>
      <w:r w:rsidRPr="00AE4054">
        <w:t xml:space="preserve">het aantrekkelijker </w:t>
      </w:r>
      <w:r>
        <w:t xml:space="preserve">maakt </w:t>
      </w:r>
      <w:r w:rsidRPr="00AE4054">
        <w:t xml:space="preserve">om in deze woningen te investeren. </w:t>
      </w:r>
      <w:r w:rsidRPr="007F2955">
        <w:t>Het kabinet neemt</w:t>
      </w:r>
      <w:r>
        <w:t xml:space="preserve"> ook</w:t>
      </w:r>
      <w:r w:rsidRPr="007F2955">
        <w:t xml:space="preserve"> maatregelen om de investeringscapaciteit van corporaties te verbeteren.</w:t>
      </w:r>
      <w:r w:rsidRPr="00823F47">
        <w:t xml:space="preserve"> </w:t>
      </w:r>
      <w:r w:rsidRPr="007F2955">
        <w:t xml:space="preserve">Per saldo leiden deze maatregelen tot </w:t>
      </w:r>
      <w:r w:rsidRPr="007F2955">
        <w:t>circa</w:t>
      </w:r>
      <w:r w:rsidRPr="007F2955">
        <w:t xml:space="preserve"> €2</w:t>
      </w:r>
      <w:r>
        <w:t>8</w:t>
      </w:r>
      <w:r w:rsidRPr="007F2955">
        <w:t xml:space="preserve"> mld</w:t>
      </w:r>
      <w:r>
        <w:t>.</w:t>
      </w:r>
      <w:r w:rsidRPr="007F2955">
        <w:t xml:space="preserve"> extra investeringscapaciteit. </w:t>
      </w:r>
      <w:r>
        <w:t xml:space="preserve">Het gaat </w:t>
      </w:r>
      <w:r w:rsidRPr="00AE4054">
        <w:t xml:space="preserve">onder meer </w:t>
      </w:r>
      <w:r>
        <w:t xml:space="preserve">om een vrijstelling van de renteaftrekbeperking uit de </w:t>
      </w:r>
      <w:r w:rsidRPr="00AE4054">
        <w:t>ATAD</w:t>
      </w:r>
      <w:r>
        <w:t>-richtlijn</w:t>
      </w:r>
      <w:r w:rsidRPr="00AE4054">
        <w:t>, hogere huurverhogingen voor draagkrachtige huishoudens</w:t>
      </w:r>
      <w:r>
        <w:t xml:space="preserve"> en meer mogelijkheden voor corporaties om te investeren in middenhuurwoningen</w:t>
      </w:r>
      <w:r w:rsidRPr="00AE4054">
        <w:t xml:space="preserve">. Hierdoor </w:t>
      </w:r>
      <w:r>
        <w:t xml:space="preserve">kunnen </w:t>
      </w:r>
      <w:r w:rsidRPr="00AE4054">
        <w:t>zij</w:t>
      </w:r>
      <w:r>
        <w:t xml:space="preserve"> de komende jaren fors blijven investeren</w:t>
      </w:r>
      <w:r w:rsidRPr="00AE4054">
        <w:t xml:space="preserve"> </w:t>
      </w:r>
      <w:r>
        <w:t>in de benodigde nieuwe (sociale) huurwoningen.</w:t>
      </w:r>
      <w:r w:rsidRPr="00AE4054">
        <w:t xml:space="preserve"> </w:t>
      </w:r>
      <w:r>
        <w:t>Hiermee zorgen we dat er gebouwd wordt voor iedereen.</w:t>
      </w:r>
    </w:p>
    <w:p w:rsidR="00823F47" w:rsidP="00823F47" w14:paraId="66A4285A" w14:textId="77777777"/>
    <w:p w:rsidRPr="00823F47" w:rsidR="00823F47" w:rsidP="00823F47" w14:paraId="42ACE79A" w14:textId="77777777">
      <w:pPr>
        <w:rPr>
          <w:u w:val="single"/>
        </w:rPr>
      </w:pPr>
      <w:r w:rsidRPr="00823F47">
        <w:rPr>
          <w:u w:val="single"/>
        </w:rPr>
        <w:t>We bouwen sneller</w:t>
      </w:r>
    </w:p>
    <w:p w:rsidR="00823F47" w:rsidP="00823F47" w14:paraId="7E3DCFCA" w14:textId="77777777">
      <w:r w:rsidRPr="00AE4054">
        <w:t xml:space="preserve">Door gerichte acties </w:t>
      </w:r>
      <w:r>
        <w:t>ten aanzien van</w:t>
      </w:r>
      <w:r w:rsidRPr="00AE4054">
        <w:t xml:space="preserve"> digitalisering en standaardisatie zorg ik </w:t>
      </w:r>
      <w:r>
        <w:t>er</w:t>
      </w:r>
      <w:r w:rsidRPr="00AE4054">
        <w:t xml:space="preserve">voor dat het ontwerp- en vergunningstraject, gehalveerd kan worden van 8 naar 4 jaar. In de Woondeals, Nationale Prestatieafspraken en </w:t>
      </w:r>
      <w:r w:rsidR="00F1265F">
        <w:t>g</w:t>
      </w:r>
      <w:r w:rsidRPr="00AE4054">
        <w:t xml:space="preserve">rootschalige woningbouwlocaties wordt </w:t>
      </w:r>
      <w:r>
        <w:t xml:space="preserve">het doel </w:t>
      </w:r>
      <w:r w:rsidRPr="00AE4054">
        <w:t>om</w:t>
      </w:r>
      <w:r w:rsidRPr="00823F47">
        <w:t xml:space="preserve"> </w:t>
      </w:r>
      <w:r w:rsidRPr="00366588">
        <w:t xml:space="preserve">in 2030 de helft van de woningen in fabrieken </w:t>
      </w:r>
      <w:r w:rsidRPr="00AE4054">
        <w:t>te bouwen</w:t>
      </w:r>
      <w:r w:rsidRPr="00366588">
        <w:t xml:space="preserve">. Dat is naast sneller ook betaalbaarder en duurzamer. </w:t>
      </w:r>
      <w:r w:rsidRPr="00AE4054">
        <w:t>Ik maak</w:t>
      </w:r>
      <w:r w:rsidRPr="00366588">
        <w:t xml:space="preserve"> industrieel bouwen makkelijker door regels te verminderen en afspraken te maken. </w:t>
      </w:r>
    </w:p>
    <w:p w:rsidR="00823F47" w:rsidP="00823F47" w14:paraId="24597836" w14:textId="77777777"/>
    <w:p w:rsidRPr="00366588" w:rsidR="00823F47" w:rsidP="00823F47" w14:paraId="176584F7" w14:textId="77777777">
      <w:r w:rsidRPr="00D23A88">
        <w:t>Regelgeving wordt eenvoudiger en gericht op versnellen</w:t>
      </w:r>
      <w:r>
        <w:t xml:space="preserve">. </w:t>
      </w:r>
      <w:r w:rsidRPr="00366588">
        <w:t xml:space="preserve">Knelpunten bij projecten die vastlopen </w:t>
      </w:r>
      <w:r w:rsidRPr="00AE4054">
        <w:t>worden opge</w:t>
      </w:r>
      <w:r w:rsidRPr="00366588">
        <w:t>los</w:t>
      </w:r>
      <w:r w:rsidRPr="00AE4054">
        <w:t>t</w:t>
      </w:r>
      <w:r w:rsidRPr="00366588">
        <w:t xml:space="preserve"> door alle partijen aan tafel te krijgen</w:t>
      </w:r>
      <w:r w:rsidRPr="00AE4054">
        <w:t>, via versnellingstafels en doorbraakaanpak</w:t>
      </w:r>
      <w:r w:rsidRPr="00366588">
        <w:t xml:space="preserve">. </w:t>
      </w:r>
      <w:r w:rsidRPr="00AE4054">
        <w:t>Met het kabinet z</w:t>
      </w:r>
      <w:r w:rsidRPr="00366588">
        <w:t xml:space="preserve">orgen </w:t>
      </w:r>
      <w:r w:rsidRPr="00AE4054">
        <w:t xml:space="preserve">we </w:t>
      </w:r>
      <w:r w:rsidRPr="00366588">
        <w:t>dat randvoorwaarden als ruimte op het elektriciteitsnet, luchtkwaliteit en het stikstofniveau op orde zijn.</w:t>
      </w:r>
      <w:r>
        <w:t xml:space="preserve"> Zo verstevigen we onze inzet op het oplossen van netcongestie als knelpunt voor de woningbouw door samen met projectontwikkelaars, bouwers en netbeheerders afspraken te maken over het congestieneutraal aansluiten van nieuwbouwprojecten. Dit komt </w:t>
      </w:r>
      <w:r w:rsidR="00F1265F">
        <w:t>boven op</w:t>
      </w:r>
      <w:r>
        <w:t xml:space="preserve"> de lopende maatregelen die onderdeel zijn van het </w:t>
      </w:r>
      <w:r w:rsidRPr="0079358D">
        <w:t>Landelijk Actieprogramma Netcongestie, zoals landelijke eisen voor netbewuste nieuwbouw.</w:t>
      </w:r>
      <w:r>
        <w:rPr>
          <w:vertAlign w:val="superscript"/>
        </w:rPr>
        <w:footnoteReference w:id="3"/>
      </w:r>
      <w:r w:rsidRPr="0079358D">
        <w:t xml:space="preserve"> Met de in het </w:t>
      </w:r>
      <w:r w:rsidR="000E19DB">
        <w:t>A</w:t>
      </w:r>
      <w:r w:rsidRPr="0079358D">
        <w:t xml:space="preserve">ctieplan opgenomen probleemanalyse en gerichte maatregelen op de grootste knelpunten in vergunningverlening beschouw ik de motie van </w:t>
      </w:r>
      <w:r w:rsidRPr="0079358D">
        <w:t>Flach</w:t>
      </w:r>
      <w:r w:rsidRPr="0079358D">
        <w:t xml:space="preserve"> en Nobel </w:t>
      </w:r>
      <w:r>
        <w:t xml:space="preserve">als </w:t>
      </w:r>
      <w:r w:rsidRPr="0079358D">
        <w:t>afgedaan.</w:t>
      </w:r>
      <w:r>
        <w:rPr>
          <w:vertAlign w:val="superscript"/>
        </w:rPr>
        <w:footnoteReference w:id="4"/>
      </w:r>
    </w:p>
    <w:p w:rsidR="00823F47" w:rsidP="00823F47" w14:paraId="2CAAA6F0" w14:textId="77777777"/>
    <w:p w:rsidR="00FB4715" w:rsidP="00823F47" w14:paraId="29D3094D" w14:textId="77777777"/>
    <w:p w:rsidRPr="00823F47" w:rsidR="00823F47" w:rsidP="00823F47" w14:paraId="201886B9" w14:textId="77777777">
      <w:pPr>
        <w:rPr>
          <w:u w:val="single"/>
        </w:rPr>
      </w:pPr>
      <w:r w:rsidRPr="00823F47">
        <w:rPr>
          <w:u w:val="single"/>
        </w:rPr>
        <w:t>We bouwen beter</w:t>
      </w:r>
    </w:p>
    <w:p w:rsidRPr="00AE4054" w:rsidR="00823F47" w:rsidP="00823F47" w14:paraId="67F52013" w14:textId="77777777">
      <w:bookmarkStart w:name="_Hlk239942563" w:id="2"/>
      <w:r w:rsidRPr="00AE4054">
        <w:t xml:space="preserve">Want een woning is onderdeel van een wijk en een regio. Daarom zorgt het </w:t>
      </w:r>
      <w:r w:rsidR="000E19DB">
        <w:t>A</w:t>
      </w:r>
      <w:r w:rsidRPr="00AE4054">
        <w:t xml:space="preserve">ctieplan ook </w:t>
      </w:r>
      <w:r>
        <w:t xml:space="preserve">voor </w:t>
      </w:r>
      <w:r w:rsidRPr="00AE4054">
        <w:t xml:space="preserve">meer dan alleen stenen stapelen. Het is nodig dat we bouwen aan complete nieuwe wijken, die klaar zijn voor de toekomst. Wijken die bestendig zijn tegen een </w:t>
      </w:r>
      <w:r w:rsidRPr="002D3781">
        <w:t>veranderend klimaat, goed bereikbaar en met voldoende voorzieningen in de buurt, zoals onderwijs en zorg. Wijken waar iedereen een plek heeft: ouderen en studenten, maar ook mensen met een beperking, mensen die verward en onbegrepen gedrag vertonen en andere aandachtsgroepen. Het kabinet neemt samen met medeoverheden de verantwoordelijkheid met een eenvoudig, voorspelbaar en gebundeld budget. Hierdoor komt er een betere koppeling tussen fysieke en sociale infrastructuur waardoor</w:t>
      </w:r>
      <w:r w:rsidRPr="00AE4054">
        <w:t xml:space="preserve"> opgaves zoals wonen, zorg, werk, mobiliteit en groen in samenhang aan te pakken</w:t>
      </w:r>
      <w:r>
        <w:t xml:space="preserve"> zijn</w:t>
      </w:r>
      <w:r w:rsidRPr="00AE4054">
        <w:t xml:space="preserve">. </w:t>
      </w:r>
    </w:p>
    <w:bookmarkEnd w:id="2"/>
    <w:p w:rsidR="00823F47" w:rsidP="00823F47" w14:paraId="41DC73EF" w14:textId="77777777"/>
    <w:p w:rsidRPr="00AE46FA" w:rsidR="00823F47" w:rsidP="00823F47" w14:paraId="41587B67" w14:textId="77777777">
      <w:r w:rsidRPr="00AE46FA">
        <w:t>In de volkshuisvestingsprogramma’s maken gemeenten, provincies en Rijk helder voor wie, hoeveel en waar ze bouwen en welke maatregelen ze daarvoor inzetten. Woningen voor starters, voor ouderen, en voor gezinnen. Zo vertalen we doelstelling van jaarlijks 100.000 woningen, waarvan 2/3 betaalbaar door naar de lokale praktijk</w:t>
      </w:r>
      <w:r>
        <w:t>.</w:t>
      </w:r>
      <w:r w:rsidRPr="00AE46FA">
        <w:t> </w:t>
      </w:r>
    </w:p>
    <w:p w:rsidRPr="00823F47" w:rsidR="00823F47" w:rsidP="00823F47" w14:paraId="7A83079D" w14:textId="77777777"/>
    <w:p w:rsidRPr="00823F47" w:rsidR="00823F47" w:rsidP="00823F47" w14:paraId="0FC81324" w14:textId="77777777">
      <w:pPr>
        <w:rPr>
          <w:b/>
          <w:bCs/>
        </w:rPr>
      </w:pPr>
      <w:r w:rsidRPr="00823F47">
        <w:rPr>
          <w:b/>
          <w:bCs/>
        </w:rPr>
        <w:t>Tot slot</w:t>
      </w:r>
    </w:p>
    <w:p w:rsidR="00823F47" w:rsidP="00823F47" w14:paraId="0992FE5C" w14:textId="77777777">
      <w:r w:rsidRPr="00EA424C">
        <w:t xml:space="preserve">De toekomst begint thuis. Met dit plan leg </w:t>
      </w:r>
      <w:r>
        <w:t>ik</w:t>
      </w:r>
      <w:r w:rsidRPr="00EA424C">
        <w:t xml:space="preserve"> de fundering voor wijken waar mensen zich thuis voelen, waar gemeenschappen ontstaan en waar alle voorwaarden voor een goed leven samenkomen: wonen, werken, zorg, mobiliteit en groen. We bouwen niet voor de statistieken, maar voor de woningzoekenden van vandaag en de komende generaties.</w:t>
      </w:r>
      <w:r>
        <w:t xml:space="preserve"> </w:t>
      </w:r>
    </w:p>
    <w:p w:rsidR="00D61AB7" w:rsidP="00823F47" w14:paraId="6734BE53" w14:textId="77777777"/>
    <w:p w:rsidRPr="004B0169" w:rsidR="00823F47" w:rsidP="00823F47" w14:paraId="6D766B1D" w14:textId="77777777">
      <w:r w:rsidRPr="002D3781">
        <w:t>Ten slotte is de woningbouwopgave een gezamenlijk opgave. In de afgelopen maanden heb ik</w:t>
      </w:r>
      <w:r w:rsidR="00D61AB7">
        <w:t xml:space="preserve"> daarom</w:t>
      </w:r>
      <w:r w:rsidRPr="002D3781">
        <w:t xml:space="preserve"> samen met de Taskforce Versnell</w:t>
      </w:r>
      <w:r w:rsidR="00D61AB7">
        <w:t>ing</w:t>
      </w:r>
      <w:r w:rsidRPr="002D3781">
        <w:t xml:space="preserve"> Woningbouw gesproken met bouwers, ontwikkelaars, investeerders en medeoverheden via de </w:t>
      </w:r>
      <w:r w:rsidRPr="002D3781" w:rsidR="00F1265F">
        <w:t>WoonAlliantie</w:t>
      </w:r>
      <w:r w:rsidRPr="002D3781">
        <w:t xml:space="preserve">. Ook heb ik de voorgenomen acties besproken met natuurorganisaties via de Groene11, waarmee ik invulling heb gegeven aan de motie </w:t>
      </w:r>
      <w:r w:rsidRPr="002D3781">
        <w:t>Kosti</w:t>
      </w:r>
      <w:r w:rsidRPr="00D61AB7" w:rsidR="00D61AB7">
        <w:t>ć</w:t>
      </w:r>
      <w:r w:rsidRPr="002D3781">
        <w:t>.</w:t>
      </w:r>
      <w:r>
        <w:rPr>
          <w:vertAlign w:val="superscript"/>
        </w:rPr>
        <w:footnoteReference w:id="5"/>
      </w:r>
      <w:r w:rsidRPr="002D3781">
        <w:t xml:space="preserve"> </w:t>
      </w:r>
      <w:r w:rsidR="00D61AB7">
        <w:t>Met hen wil aan de slag om de acties uit het plan uit te voeren</w:t>
      </w:r>
      <w:r w:rsidRPr="002D3781">
        <w:t xml:space="preserve">. </w:t>
      </w:r>
      <w:r w:rsidR="00D61AB7">
        <w:t>Want dat is waar woningzoekenden op mogen rekenen.</w:t>
      </w:r>
      <w:r w:rsidRPr="004B0169">
        <w:t xml:space="preserve"> </w:t>
      </w:r>
    </w:p>
    <w:p w:rsidR="00D50222" w14:paraId="72F82620" w14:textId="77777777"/>
    <w:p w:rsidR="00823F47" w14:paraId="34DB9DB9" w14:textId="77777777"/>
    <w:tbl>
      <w:tblPr>
        <w:tblStyle w:val="Tabelzonderranden"/>
        <w:tblW w:w="7541" w:type="dxa"/>
        <w:tblInd w:w="0" w:type="dxa"/>
        <w:tblLayout w:type="fixed"/>
        <w:tblLook w:val="0740"/>
      </w:tblPr>
      <w:tblGrid>
        <w:gridCol w:w="3394"/>
        <w:gridCol w:w="754"/>
        <w:gridCol w:w="3393"/>
      </w:tblGrid>
      <w:tr w14:paraId="4227912D" w14:textId="77777777">
        <w:tblPrEx>
          <w:tblW w:w="7541" w:type="dxa"/>
          <w:tblInd w:w="0" w:type="dxa"/>
          <w:tblLayout w:type="fixed"/>
          <w:tblLook w:val="0740"/>
        </w:tblPrEx>
        <w:trPr>
          <w:gridAfter w:val="1"/>
          <w:wAfter w:w="360" w:type="dxa"/>
        </w:trPr>
        <w:tc>
          <w:tcPr>
            <w:tcW w:w="3393" w:type="dxa"/>
          </w:tcPr>
          <w:p w:rsidR="00D50222" w14:paraId="683EA509" w14:textId="77777777">
            <w:r>
              <w:t>De Minister van Volkshuisvesting en Ruimtelijke Ordening,</w:t>
            </w:r>
          </w:p>
        </w:tc>
        <w:tc>
          <w:tcPr>
            <w:tcW w:w="754" w:type="dxa"/>
          </w:tcPr>
          <w:p w:rsidR="00D50222" w14:paraId="464E3A83" w14:textId="77777777"/>
        </w:tc>
      </w:tr>
      <w:tr w14:paraId="51B1B689" w14:textId="77777777">
        <w:tblPrEx>
          <w:tblW w:w="7541" w:type="dxa"/>
          <w:tblInd w:w="0" w:type="dxa"/>
          <w:tblLayout w:type="fixed"/>
          <w:tblLook w:val="0740"/>
        </w:tblPrEx>
        <w:tc>
          <w:tcPr>
            <w:tcW w:w="3393" w:type="dxa"/>
          </w:tcPr>
          <w:p w:rsidR="00D50222" w14:paraId="02F9402C" w14:textId="77777777"/>
          <w:p w:rsidR="00D50222" w14:paraId="2F1F7CC7" w14:textId="77777777"/>
          <w:p w:rsidR="00D50222" w14:paraId="660298E3" w14:textId="77777777"/>
          <w:p w:rsidR="00D50222" w14:paraId="0CB02EF5" w14:textId="77777777"/>
          <w:p w:rsidR="00D50222" w14:paraId="5E063575" w14:textId="77777777"/>
        </w:tc>
        <w:tc>
          <w:tcPr>
            <w:tcW w:w="754" w:type="dxa"/>
          </w:tcPr>
          <w:p w:rsidR="00D50222" w14:paraId="2F3DBC25" w14:textId="77777777"/>
          <w:p w:rsidR="00D50222" w14:paraId="6E67ADD5" w14:textId="77777777"/>
          <w:p w:rsidR="00D50222" w14:paraId="1A84AEC8" w14:textId="77777777"/>
          <w:p w:rsidR="00D50222" w14:paraId="6F31DF6F" w14:textId="77777777"/>
          <w:p w:rsidR="00D50222" w14:paraId="675588AD" w14:textId="77777777"/>
        </w:tc>
        <w:tc>
          <w:tcPr>
            <w:tcW w:w="3393" w:type="dxa"/>
          </w:tcPr>
          <w:p w:rsidR="00D50222" w14:paraId="57694FA7" w14:textId="77777777"/>
          <w:p w:rsidR="00D50222" w14:paraId="7E21AEB4" w14:textId="77777777"/>
          <w:p w:rsidR="00D50222" w14:paraId="6D3824F3" w14:textId="77777777"/>
          <w:p w:rsidR="00D50222" w14:paraId="1DEE7E55" w14:textId="77777777"/>
          <w:p w:rsidR="00D50222" w14:paraId="617146B0" w14:textId="77777777"/>
        </w:tc>
      </w:tr>
      <w:tr w14:paraId="6077B26E" w14:textId="77777777">
        <w:tblPrEx>
          <w:tblW w:w="7541" w:type="dxa"/>
          <w:tblInd w:w="0" w:type="dxa"/>
          <w:tblLayout w:type="fixed"/>
          <w:tblLook w:val="0740"/>
        </w:tblPrEx>
        <w:trPr>
          <w:gridAfter w:val="1"/>
          <w:wAfter w:w="360" w:type="dxa"/>
        </w:trPr>
        <w:tc>
          <w:tcPr>
            <w:tcW w:w="3393" w:type="dxa"/>
          </w:tcPr>
          <w:p w:rsidR="00D50222" w14:paraId="29B4957D" w14:textId="77777777">
            <w:r>
              <w:t>Elanor Boekholt-O'Sullivan</w:t>
            </w:r>
          </w:p>
        </w:tc>
        <w:tc>
          <w:tcPr>
            <w:tcW w:w="754" w:type="dxa"/>
          </w:tcPr>
          <w:p w:rsidR="00D50222" w14:paraId="0FD7AF95" w14:textId="77777777"/>
        </w:tc>
      </w:tr>
    </w:tbl>
    <w:p w:rsidR="00D50222" w14:paraId="6B0514DA" w14:textId="77777777">
      <w:pPr>
        <w:pStyle w:val="Pagina-eindeKop1"/>
      </w:pPr>
      <w:r>
        <w:t>Bijlagen</w:t>
      </w:r>
    </w:p>
    <w:tbl>
      <w:tblPr>
        <w:tblStyle w:val="TabelRijkshuisstijl"/>
        <w:tblW w:w="7541" w:type="dxa"/>
        <w:tblInd w:w="0" w:type="dxa"/>
        <w:tblLayout w:type="fixed"/>
        <w:tblLook w:val="07E0"/>
      </w:tblPr>
      <w:tblGrid>
        <w:gridCol w:w="1509"/>
        <w:gridCol w:w="3016"/>
        <w:gridCol w:w="3016"/>
      </w:tblGrid>
      <w:tr w14:paraId="4F4770CA" w14:textId="77777777">
        <w:tblPrEx>
          <w:tblW w:w="7541" w:type="dxa"/>
          <w:tblInd w:w="0" w:type="dxa"/>
          <w:tblLayout w:type="fixed"/>
          <w:tblLook w:val="07E0"/>
        </w:tblPrEx>
        <w:tc>
          <w:tcPr>
            <w:tcW w:w="1508" w:type="dxa"/>
          </w:tcPr>
          <w:p w:rsidR="00D50222" w14:paraId="3CFDE8CE" w14:textId="77777777">
            <w:r>
              <w:t>Volgnummer</w:t>
            </w:r>
          </w:p>
        </w:tc>
        <w:tc>
          <w:tcPr>
            <w:tcW w:w="3016" w:type="dxa"/>
          </w:tcPr>
          <w:p w:rsidR="00D50222" w14:paraId="73D8F92E" w14:textId="77777777">
            <w:r>
              <w:t>Naam</w:t>
            </w:r>
          </w:p>
        </w:tc>
        <w:tc>
          <w:tcPr>
            <w:tcW w:w="360" w:type="dxa"/>
          </w:tcPr>
          <w:p w:rsidR="00D50222" w14:paraId="65DC4B73" w14:textId="77777777">
            <w:r>
              <w:t>Classificatie</w:t>
            </w:r>
          </w:p>
        </w:tc>
      </w:tr>
      <w:tr w14:paraId="7B985F82" w14:textId="77777777">
        <w:tblPrEx>
          <w:tblW w:w="7541" w:type="dxa"/>
          <w:tblInd w:w="0" w:type="dxa"/>
          <w:tblLayout w:type="fixed"/>
          <w:tblLook w:val="07E0"/>
        </w:tblPrEx>
        <w:tc>
          <w:tcPr>
            <w:tcW w:w="1508" w:type="dxa"/>
          </w:tcPr>
          <w:p w:rsidR="00D50222" w14:paraId="02BED273" w14:textId="77777777">
            <w:r>
              <w:t>1</w:t>
            </w:r>
          </w:p>
        </w:tc>
        <w:tc>
          <w:tcPr>
            <w:tcW w:w="3016" w:type="dxa"/>
          </w:tcPr>
          <w:p w:rsidR="00D50222" w14:paraId="6D9C29D1" w14:textId="77777777">
            <w:bookmarkStart w:name="_Hlk240824259" w:id="3"/>
            <w:r>
              <w:t>Actieplan Versnelling Woningbouw</w:t>
            </w:r>
            <w:bookmarkEnd w:id="3"/>
          </w:p>
        </w:tc>
        <w:tc>
          <w:tcPr>
            <w:tcW w:w="3016" w:type="dxa"/>
          </w:tcPr>
          <w:p w:rsidR="00D50222" w14:paraId="1AFD1EEE" w14:textId="77777777"/>
        </w:tc>
      </w:tr>
    </w:tbl>
    <w:p w:rsidR="00D50222" w14:paraId="1F94F045" w14:textId="77777777"/>
    <w:sectPr>
      <w:headerReference w:type="even" r:id="rId9"/>
      <w:headerReference w:type="default" r:id="rId10"/>
      <w:footerReference w:type="even" r:id="rId11"/>
      <w:footerReference w:type="default" r:id="rId12"/>
      <w:headerReference w:type="first" r:id="rId13"/>
      <w:footerReference w:type="first" r:id="rId14"/>
      <w:pgSz w:w="11905" w:h="16837"/>
      <w:pgMar w:top="3050" w:right="2777" w:bottom="1076" w:left="1587" w:header="0" w:footer="0" w:gutter="0"/>
      <w:cols w:space="708"/>
      <w:titlePg/>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Verdana">
    <w:panose1 w:val="020B0604030504040204"/>
    <w:charset w:val="00"/>
    <w:family w:val="swiss"/>
    <w:pitch w:val="variable"/>
    <w:sig w:usb0="A00006FF" w:usb1="4000205B" w:usb2="00000010" w:usb3="00000000" w:csb0="0000019F" w:csb1="00000000"/>
  </w:font>
  <w:font w:name="KIX Barcode">
    <w:panose1 w:val="020B7200000000000000"/>
    <w:charset w:val="00"/>
    <w:family w:val="swiss"/>
    <w:pitch w:val="variable"/>
    <w:sig w:usb0="8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23F47" w14:paraId="69A567BB"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50222" w14:paraId="75DABF02" w14:textId="77777777">
    <w:pPr>
      <w:spacing w:after="1077" w:line="14" w:lineRule="exac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50222" w14:paraId="4FE3DC9F"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BB6F94" w14:paraId="61D1F5F3" w14:textId="77777777">
      <w:pPr>
        <w:pStyle w:val="FootnoteText"/>
      </w:pPr>
    </w:p>
  </w:footnote>
  <w:footnote w:type="continuationSeparator" w:id="1">
    <w:p w:rsidR="00BB6F94" w14:paraId="6A94F5DB" w14:textId="77777777">
      <w:pPr>
        <w:pStyle w:val="FootnoteText"/>
      </w:pPr>
    </w:p>
  </w:footnote>
  <w:footnote w:id="2">
    <w:p w:rsidR="00823F47" w:rsidRPr="00D61AB7" w:rsidP="00823F47" w14:paraId="14534992" w14:textId="77777777">
      <w:pPr>
        <w:pStyle w:val="FootnoteText"/>
        <w:rPr>
          <w:sz w:val="14"/>
          <w:szCs w:val="14"/>
        </w:rPr>
      </w:pPr>
      <w:r w:rsidRPr="00D61AB7">
        <w:rPr>
          <w:rStyle w:val="FootnoteReference"/>
          <w:sz w:val="14"/>
          <w:szCs w:val="14"/>
        </w:rPr>
        <w:footnoteRef/>
      </w:r>
      <w:r w:rsidRPr="00D61AB7">
        <w:rPr>
          <w:sz w:val="14"/>
          <w:szCs w:val="14"/>
        </w:rPr>
        <w:t xml:space="preserve"> In het kader van een brede inventarisatie naar opties om het investeringsklimaat te verbeteren voor private partijen heeft het kabinet SEO gevraagd om het rapport ‘investeringsklimaat middenhuur’ te actualiseren en om het effect van een aantal maatregelen door te rekenen. De uitkomsten hiervan zijn bijgevoegd.</w:t>
      </w:r>
    </w:p>
  </w:footnote>
  <w:footnote w:id="3">
    <w:p w:rsidR="00823F47" w:rsidRPr="00D61AB7" w:rsidP="00823F47" w14:paraId="5A3A1E4F" w14:textId="77777777">
      <w:pPr>
        <w:pStyle w:val="FootnoteText"/>
        <w:rPr>
          <w:sz w:val="14"/>
          <w:szCs w:val="14"/>
        </w:rPr>
      </w:pPr>
      <w:r w:rsidRPr="00D61AB7">
        <w:rPr>
          <w:rStyle w:val="FootnoteReference"/>
          <w:sz w:val="14"/>
          <w:szCs w:val="14"/>
        </w:rPr>
        <w:footnoteRef/>
      </w:r>
      <w:r w:rsidRPr="00D61AB7">
        <w:rPr>
          <w:sz w:val="14"/>
          <w:szCs w:val="14"/>
        </w:rPr>
        <w:t xml:space="preserve"> Kamerbrief netcongestie volgt</w:t>
      </w:r>
    </w:p>
  </w:footnote>
  <w:footnote w:id="4">
    <w:p w:rsidR="00823F47" w:rsidRPr="00FB4715" w:rsidP="00823F47" w14:paraId="02A9A65A" w14:textId="77777777">
      <w:pPr>
        <w:rPr>
          <w:rStyle w:val="FootnoteReference"/>
          <w:color w:val="auto"/>
          <w:sz w:val="16"/>
          <w:szCs w:val="16"/>
        </w:rPr>
      </w:pPr>
      <w:r w:rsidRPr="00D61AB7">
        <w:rPr>
          <w:rStyle w:val="FootnoteReference"/>
          <w:color w:val="auto"/>
          <w:sz w:val="14"/>
          <w:szCs w:val="14"/>
        </w:rPr>
        <w:footnoteRef/>
      </w:r>
      <w:r w:rsidRPr="00D61AB7">
        <w:rPr>
          <w:rStyle w:val="FootnoteReference"/>
          <w:color w:val="auto"/>
          <w:sz w:val="14"/>
          <w:szCs w:val="14"/>
        </w:rPr>
        <w:t xml:space="preserve"> </w:t>
      </w:r>
      <w:r w:rsidRPr="00D61AB7">
        <w:rPr>
          <w:sz w:val="14"/>
          <w:szCs w:val="14"/>
        </w:rPr>
        <w:t xml:space="preserve">Motie </w:t>
      </w:r>
      <w:r w:rsidRPr="00D61AB7">
        <w:rPr>
          <w:sz w:val="14"/>
          <w:szCs w:val="14"/>
        </w:rPr>
        <w:t>Flach</w:t>
      </w:r>
      <w:r w:rsidRPr="00D61AB7">
        <w:rPr>
          <w:sz w:val="14"/>
          <w:szCs w:val="14"/>
        </w:rPr>
        <w:t xml:space="preserve"> en Nobel </w:t>
      </w:r>
      <w:hyperlink r:id="rId1" w:history="1">
        <w:r w:rsidRPr="00D61AB7">
          <w:rPr>
            <w:sz w:val="14"/>
            <w:szCs w:val="14"/>
          </w:rPr>
          <w:t xml:space="preserve">Kamerstuk 2025-2026 36881, nr. 12 </w:t>
        </w:r>
      </w:hyperlink>
    </w:p>
  </w:footnote>
  <w:footnote w:id="5">
    <w:p w:rsidR="00823F47" w:rsidRPr="004B0169" w:rsidP="00823F47" w14:paraId="415F8284" w14:textId="77777777">
      <w:pPr>
        <w:pStyle w:val="FootnoteText"/>
      </w:pPr>
      <w:r w:rsidRPr="002D3781">
        <w:rPr>
          <w:rStyle w:val="FootnoteReference"/>
        </w:rPr>
        <w:footnoteRef/>
      </w:r>
      <w:r w:rsidRPr="002D3781">
        <w:t xml:space="preserve"> </w:t>
      </w:r>
      <w:r w:rsidRPr="00D61AB7">
        <w:rPr>
          <w:sz w:val="14"/>
          <w:szCs w:val="14"/>
        </w:rPr>
        <w:t xml:space="preserve">motie </w:t>
      </w:r>
      <w:r w:rsidRPr="00D61AB7">
        <w:rPr>
          <w:sz w:val="14"/>
          <w:szCs w:val="14"/>
        </w:rPr>
        <w:t>Kosti</w:t>
      </w:r>
      <w:r w:rsidRPr="00D61AB7" w:rsidR="00D61AB7">
        <w:rPr>
          <w:sz w:val="14"/>
          <w:szCs w:val="14"/>
        </w:rPr>
        <w:t>ć</w:t>
      </w:r>
      <w:r w:rsidRPr="00D61AB7">
        <w:rPr>
          <w:sz w:val="14"/>
          <w:szCs w:val="14"/>
        </w:rPr>
        <w:t xml:space="preserve"> </w:t>
      </w:r>
      <w:hyperlink r:id="rId2" w:history="1">
        <w:r w:rsidRPr="00D61AB7">
          <w:rPr>
            <w:rStyle w:val="Hyperlink"/>
            <w:sz w:val="14"/>
            <w:szCs w:val="14"/>
          </w:rPr>
          <w:t xml:space="preserve">Kamerstuk 2025-2026 </w:t>
        </w:r>
        <w:r w:rsidRPr="00D61AB7">
          <w:rPr>
            <w:rStyle w:val="Hyperlink"/>
            <w:sz w:val="14"/>
            <w:szCs w:val="14"/>
            <w:lang w:val="en-US"/>
          </w:rPr>
          <w:t>32847, nr 1460</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23F47" w14:paraId="3BE6A754"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50222" w14:paraId="24FD3C7D" w14:textId="77777777">
    <w:r>
      <w:rPr>
        <w:noProof/>
      </w:rPr>
      <mc:AlternateContent>
        <mc:Choice Requires="wps">
          <w:drawing>
            <wp:anchor distT="0" distB="0" distL="0" distR="0" simplePos="0" relativeHeight="251658240" behindDoc="0" locked="1" layoutInCell="1" allowOverlap="1">
              <wp:simplePos x="0" y="0"/>
              <wp:positionH relativeFrom="page">
                <wp:posOffset>5921375</wp:posOffset>
              </wp:positionH>
              <wp:positionV relativeFrom="paragraph">
                <wp:posOffset>1965325</wp:posOffset>
              </wp:positionV>
              <wp:extent cx="1277620" cy="8009890"/>
              <wp:effectExtent l="0" t="0" r="0" b="0"/>
              <wp:wrapNone/>
              <wp:docPr id="1" name="46fef022-aa3c-11ea-a756-beb5f67e67be" descr="Colofon"/>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7620" cy="8009890"/>
                      </a:xfrm>
                      <a:prstGeom prst="rect">
                        <a:avLst/>
                      </a:prstGeom>
                      <a:noFill/>
                    </wps:spPr>
                    <wps:txbx>
                      <w:txbxContent>
                        <w:p w:rsidR="00D50222" w14:textId="77777777">
                          <w:pPr>
                            <w:pStyle w:val="Referentiegegevensbold"/>
                          </w:pPr>
                          <w:r>
                            <w:t>DGVB</w:t>
                          </w:r>
                        </w:p>
                        <w:p w:rsidR="00D50222" w14:textId="77777777">
                          <w:pPr>
                            <w:pStyle w:val="Referentiegegevens"/>
                          </w:pPr>
                          <w:r>
                            <w:t>Woningbouwbeleid</w:t>
                          </w:r>
                        </w:p>
                        <w:p w:rsidR="00D50222" w14:textId="77777777">
                          <w:pPr>
                            <w:pStyle w:val="Referentiegegevens"/>
                          </w:pPr>
                          <w:r>
                            <w:t>Programmering en Regie</w:t>
                          </w:r>
                        </w:p>
                        <w:p w:rsidR="00D50222" w14:textId="77777777">
                          <w:pPr>
                            <w:pStyle w:val="WitregelW2"/>
                          </w:pPr>
                        </w:p>
                        <w:p w:rsidR="00D50222" w14:textId="77777777">
                          <w:pPr>
                            <w:pStyle w:val="Referentiegegevensbold"/>
                          </w:pPr>
                          <w:r>
                            <w:t>Datum</w:t>
                          </w:r>
                        </w:p>
                        <w:p w:rsidR="003830B6" w14:textId="5B343FC8">
                          <w:pPr>
                            <w:pStyle w:val="Referentiegegevens"/>
                          </w:pPr>
                          <w:r>
                            <w:fldChar w:fldCharType="begin"/>
                          </w:r>
                          <w:r>
                            <w:instrText xml:space="preserve"> DOCPROPERTY  "Datum"  \* MERGEFORMAT </w:instrText>
                          </w:r>
                          <w:r>
                            <w:fldChar w:fldCharType="separate"/>
                          </w:r>
                          <w:r>
                            <w:fldChar w:fldCharType="end"/>
                          </w:r>
                        </w:p>
                        <w:p w:rsidR="00D50222" w14:textId="77777777">
                          <w:pPr>
                            <w:pStyle w:val="WitregelW1"/>
                          </w:pPr>
                        </w:p>
                        <w:p w:rsidR="00D50222" w14:textId="77777777">
                          <w:pPr>
                            <w:pStyle w:val="Referentiegegevensbold"/>
                          </w:pPr>
                          <w:r>
                            <w:t>Onze referentie</w:t>
                          </w:r>
                        </w:p>
                        <w:p w:rsidR="003830B6" w14:textId="04A1D7F8">
                          <w:pPr>
                            <w:pStyle w:val="Referentiegegevens"/>
                          </w:pPr>
                          <w:r>
                            <w:fldChar w:fldCharType="begin"/>
                          </w:r>
                          <w:r>
                            <w:instrText xml:space="preserve"> DOCPROPERTY  "Kenmerk"  \* MERGEFORMAT </w:instrText>
                          </w:r>
                          <w:r>
                            <w:fldChar w:fldCharType="separate"/>
                          </w:r>
                          <w:r w:rsidR="002041EE">
                            <w:t>2026-0000484849</w:t>
                          </w:r>
                          <w:r w:rsidR="002041EE">
                            <w:fldChar w:fldCharType="end"/>
                          </w:r>
                        </w:p>
                      </w:txbxContent>
                    </wps:txbx>
                    <wps:bodyPr vert="horz" wrap="square" lIns="0" tIns="0" rIns="0" bIns="0" anchor="t" anchorCtr="0"/>
                  </wps:wsp>
                </a:graphicData>
              </a:graphic>
            </wp:anchor>
          </w:drawing>
        </mc:Choice>
        <mc:Fallback>
          <w:pict>
            <v:shapetype id="_x0000_t202" coordsize="21600,21600" o:spt="202" path="m,l,21600r21600,l21600,xe">
              <v:stroke joinstyle="miter"/>
              <v:path gradientshapeok="t" o:connecttype="rect"/>
            </v:shapetype>
            <v:shape id="46fef022-aa3c-11ea-a756-beb5f67e67be" o:spid="_x0000_s2049" type="#_x0000_t202" alt="Colofon" style="width:100.6pt;height:630.7pt;margin-top:154.75pt;margin-left:466.25pt;mso-position-horizontal-relative:page;mso-wrap-distance-bottom:0;mso-wrap-distance-left:0;mso-wrap-distance-right:0;mso-wrap-distance-top:0;mso-wrap-style:square;position:absolute;v-text-anchor:top;visibility:visible;z-index:251659264" filled="f" stroked="f">
              <v:textbox inset="0,0,0,0">
                <w:txbxContent>
                  <w:p w:rsidR="00D50222" w14:paraId="24BD2E16" w14:textId="77777777">
                    <w:pPr>
                      <w:pStyle w:val="Referentiegegevensbold"/>
                    </w:pPr>
                    <w:r>
                      <w:t>DGVB</w:t>
                    </w:r>
                  </w:p>
                  <w:p w:rsidR="00D50222" w14:paraId="089DB685" w14:textId="77777777">
                    <w:pPr>
                      <w:pStyle w:val="Referentiegegevens"/>
                    </w:pPr>
                    <w:r>
                      <w:t>Woningbouwbeleid</w:t>
                    </w:r>
                  </w:p>
                  <w:p w:rsidR="00D50222" w14:paraId="256FCC75" w14:textId="77777777">
                    <w:pPr>
                      <w:pStyle w:val="Referentiegegevens"/>
                    </w:pPr>
                    <w:r>
                      <w:t>Programmering en Regie</w:t>
                    </w:r>
                  </w:p>
                  <w:p w:rsidR="00D50222" w14:paraId="4D036A90" w14:textId="77777777">
                    <w:pPr>
                      <w:pStyle w:val="WitregelW2"/>
                    </w:pPr>
                  </w:p>
                  <w:p w:rsidR="00D50222" w14:paraId="171BE9C9" w14:textId="77777777">
                    <w:pPr>
                      <w:pStyle w:val="Referentiegegevensbold"/>
                    </w:pPr>
                    <w:r>
                      <w:t>Datum</w:t>
                    </w:r>
                  </w:p>
                  <w:p w:rsidR="003830B6" w14:paraId="24E484D6" w14:textId="5B343FC8">
                    <w:pPr>
                      <w:pStyle w:val="Referentiegegevens"/>
                    </w:pPr>
                    <w:r>
                      <w:fldChar w:fldCharType="begin"/>
                    </w:r>
                    <w:r>
                      <w:instrText xml:space="preserve"> DOCPROPERTY  "Datum"  \* MERGEFORMAT </w:instrText>
                    </w:r>
                    <w:r>
                      <w:fldChar w:fldCharType="separate"/>
                    </w:r>
                    <w:r>
                      <w:fldChar w:fldCharType="end"/>
                    </w:r>
                  </w:p>
                  <w:p w:rsidR="00D50222" w14:paraId="6DC8BDC9" w14:textId="77777777">
                    <w:pPr>
                      <w:pStyle w:val="WitregelW1"/>
                    </w:pPr>
                  </w:p>
                  <w:p w:rsidR="00D50222" w14:paraId="4925C320" w14:textId="77777777">
                    <w:pPr>
                      <w:pStyle w:val="Referentiegegevensbold"/>
                    </w:pPr>
                    <w:r>
                      <w:t>Onze referentie</w:t>
                    </w:r>
                  </w:p>
                  <w:p w:rsidR="003830B6" w14:paraId="48BB8D3F" w14:textId="04A1D7F8">
                    <w:pPr>
                      <w:pStyle w:val="Referentiegegevens"/>
                    </w:pPr>
                    <w:r>
                      <w:fldChar w:fldCharType="begin"/>
                    </w:r>
                    <w:r>
                      <w:instrText xml:space="preserve"> DOCPROPERTY  "Kenmerk"  \* MERGEFORMAT </w:instrText>
                    </w:r>
                    <w:r>
                      <w:fldChar w:fldCharType="separate"/>
                    </w:r>
                    <w:r w:rsidR="002041EE">
                      <w:t>2026-0000484849</w:t>
                    </w:r>
                    <w:r w:rsidR="002041EE">
                      <w:fldChar w:fldCharType="end"/>
                    </w:r>
                  </w:p>
                </w:txbxContent>
              </v:textbox>
              <w10:anchorlock/>
            </v:shape>
          </w:pict>
        </mc:Fallback>
      </mc:AlternateContent>
    </w:r>
    <w:r>
      <w:rPr>
        <w:noProof/>
      </w:rPr>
      <mc:AlternateContent>
        <mc:Choice Requires="wps">
          <w:drawing>
            <wp:anchor distT="0" distB="0" distL="0" distR="0" simplePos="0" relativeHeight="251660288" behindDoc="0" locked="1" layoutInCell="1" allowOverlap="1">
              <wp:simplePos x="0" y="0"/>
              <wp:positionH relativeFrom="page">
                <wp:posOffset>1007744</wp:posOffset>
              </wp:positionH>
              <wp:positionV relativeFrom="paragraph">
                <wp:posOffset>10194925</wp:posOffset>
              </wp:positionV>
              <wp:extent cx="4787900" cy="161290"/>
              <wp:effectExtent l="0" t="0" r="0" b="0"/>
              <wp:wrapNone/>
              <wp:docPr id="2" name="46fef06f-aa3c-11ea-a756-beb5f67e67be" descr="Voettekst"/>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61290"/>
                      </a:xfrm>
                      <a:prstGeom prst="rect">
                        <a:avLst/>
                      </a:prstGeom>
                      <a:noFill/>
                    </wps:spPr>
                    <wps:txbx>
                      <w:txbxContent>
                        <w:p w:rsidR="00383EE4" w14:textId="77777777"/>
                      </w:txbxContent>
                    </wps:txbx>
                    <wps:bodyPr vert="horz" wrap="square" lIns="0" tIns="0" rIns="0" bIns="0" anchor="t" anchorCtr="0"/>
                  </wps:wsp>
                </a:graphicData>
              </a:graphic>
            </wp:anchor>
          </w:drawing>
        </mc:Choice>
        <mc:Fallback>
          <w:pict>
            <v:shape id="46fef06f-aa3c-11ea-a756-beb5f67e67be" o:spid="_x0000_s2050" type="#_x0000_t202" alt="Voettekst" style="width:377pt;height:12.7pt;margin-top:802.75pt;margin-left:79.35pt;mso-position-horizontal-relative:page;mso-wrap-distance-bottom:0;mso-wrap-distance-left:0;mso-wrap-distance-right:0;mso-wrap-distance-top:0;mso-wrap-style:square;position:absolute;v-text-anchor:top;visibility:visible;z-index:251661312" filled="f" stroked="f">
              <v:textbox inset="0,0,0,0">
                <w:txbxContent>
                  <w:p w:rsidR="00383EE4" w14:paraId="0952C8D2" w14:textId="77777777"/>
                </w:txbxContent>
              </v:textbox>
              <w10:anchorlock/>
            </v:shape>
          </w:pict>
        </mc:Fallback>
      </mc:AlternateContent>
    </w:r>
    <w:r>
      <w:rPr>
        <w:noProof/>
      </w:rPr>
      <mc:AlternateContent>
        <mc:Choice Requires="wps">
          <w:drawing>
            <wp:anchor distT="0" distB="0" distL="0" distR="0" simplePos="0" relativeHeight="251662336" behindDoc="0" locked="1" layoutInCell="1" allowOverlap="1">
              <wp:simplePos x="0" y="0"/>
              <wp:positionH relativeFrom="page">
                <wp:posOffset>5921375</wp:posOffset>
              </wp:positionH>
              <wp:positionV relativeFrom="paragraph">
                <wp:posOffset>10194925</wp:posOffset>
              </wp:positionV>
              <wp:extent cx="1285875" cy="161290"/>
              <wp:effectExtent l="0" t="0" r="0" b="0"/>
              <wp:wrapNone/>
              <wp:docPr id="3" name="46fef0b8-aa3c-11ea-a756-beb5f67e67be" descr="Paginanummering"/>
              <wp:cNvGraphicFramePr/>
              <a:graphic xmlns:a="http://schemas.openxmlformats.org/drawingml/2006/main">
                <a:graphicData uri="http://schemas.microsoft.com/office/word/2010/wordprocessingShape">
                  <wps:wsp xmlns:wps="http://schemas.microsoft.com/office/word/2010/wordprocessingShape">
                    <wps:cNvSpPr txBox="1"/>
                    <wps:spPr>
                      <a:xfrm>
                        <a:off x="0" y="0"/>
                        <a:ext cx="1285875" cy="161290"/>
                      </a:xfrm>
                      <a:prstGeom prst="rect">
                        <a:avLst/>
                      </a:prstGeom>
                      <a:noFill/>
                    </wps:spPr>
                    <wps:txbx>
                      <w:txbxContent>
                        <w:p w:rsidR="003830B6" w14:textId="77777777">
                          <w:pPr>
                            <w:pStyle w:val="Referentiegegevens"/>
                          </w:pPr>
                          <w:r>
                            <w:t xml:space="preserve">Pagina </w:t>
                          </w:r>
                          <w:r>
                            <w:fldChar w:fldCharType="begin"/>
                          </w:r>
                          <w:r>
                            <w:instrText xml:space="preserve"> PAGE </w:instrText>
                          </w:r>
                          <w:r>
                            <w:fldChar w:fldCharType="separate"/>
                          </w:r>
                          <w:r>
                            <w:t>1</w:t>
                          </w:r>
                          <w:r>
                            <w:fldChar w:fldCharType="end"/>
                          </w:r>
                          <w:r>
                            <w:t xml:space="preserve"> van </w:t>
                          </w:r>
                          <w:r>
                            <w:fldChar w:fldCharType="begin"/>
                          </w:r>
                          <w:r>
                            <w:instrText xml:space="preserve"> NUMPAGES </w:instrText>
                          </w:r>
                          <w:r>
                            <w:fldChar w:fldCharType="separate"/>
                          </w:r>
                          <w:r>
                            <w:t>1</w:t>
                          </w:r>
                          <w:r>
                            <w:fldChar w:fldCharType="end"/>
                          </w:r>
                        </w:p>
                      </w:txbxContent>
                    </wps:txbx>
                    <wps:bodyPr vert="horz" wrap="square" lIns="0" tIns="0" rIns="0" bIns="0" anchor="t" anchorCtr="0"/>
                  </wps:wsp>
                </a:graphicData>
              </a:graphic>
            </wp:anchor>
          </w:drawing>
        </mc:Choice>
        <mc:Fallback>
          <w:pict>
            <v:shape id="46fef0b8-aa3c-11ea-a756-beb5f67e67be" o:spid="_x0000_s2051" type="#_x0000_t202" alt="Paginanummering" style="width:101.25pt;height:12.7pt;margin-top:802.75pt;margin-left:466.25pt;mso-position-horizontal-relative:page;mso-wrap-distance-bottom:0;mso-wrap-distance-left:0;mso-wrap-distance-right:0;mso-wrap-distance-top:0;mso-wrap-style:square;position:absolute;v-text-anchor:top;visibility:visible;z-index:251663360" filled="f" stroked="f">
              <v:textbox inset="0,0,0,0">
                <w:txbxContent>
                  <w:p w:rsidR="003830B6" w14:paraId="2F953F82" w14:textId="77777777">
                    <w:pPr>
                      <w:pStyle w:val="Referentiegegevens"/>
                    </w:pPr>
                    <w:r>
                      <w:t xml:space="preserve">Pagina </w:t>
                    </w:r>
                    <w:r>
                      <w:fldChar w:fldCharType="begin"/>
                    </w:r>
                    <w:r>
                      <w:instrText xml:space="preserve"> PAGE </w:instrText>
                    </w:r>
                    <w:r>
                      <w:fldChar w:fldCharType="separate"/>
                    </w:r>
                    <w:r>
                      <w:t>1</w:t>
                    </w:r>
                    <w:r>
                      <w:fldChar w:fldCharType="end"/>
                    </w:r>
                    <w:r>
                      <w:t xml:space="preserve"> van </w:t>
                    </w:r>
                    <w:r>
                      <w:fldChar w:fldCharType="begin"/>
                    </w:r>
                    <w:r>
                      <w:instrText xml:space="preserve"> NUMPAGES </w:instrText>
                    </w:r>
                    <w:r>
                      <w:fldChar w:fldCharType="separate"/>
                    </w:r>
                    <w:r>
                      <w:t>1</w:t>
                    </w:r>
                    <w:r>
                      <w:fldChar w:fldCharType="end"/>
                    </w:r>
                  </w:p>
                </w:txbxContent>
              </v:textbox>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50222" w14:paraId="709754A3" w14:textId="77777777">
    <w:pPr>
      <w:spacing w:after="6377" w:line="14"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9517BF1C"/>
    <w:multiLevelType w:val="multilevel"/>
    <w:tmpl w:val="8ECD2ECA"/>
    <w:name w:val="Genummerde lijst"/>
    <w:styleLink w:val="Genummerdelijst"/>
    <w:lvl w:ilvl="0">
      <w:start w:val="1"/>
      <w:numFmt w:val="decimal"/>
      <w:pStyle w:val="Nummering"/>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1">
    <w:nsid w:val="F523ABE5"/>
    <w:multiLevelType w:val="multilevel"/>
    <w:tmpl w:val="0CA01E1B"/>
    <w:name w:val="Artikelnummering"/>
    <w:lvl w:ilvl="0">
      <w:start w:val="1"/>
      <w:numFmt w:val="decimal"/>
      <w:pStyle w:val="Artikelnummer"/>
      <w:lvlText w:val="Artikel %1."/>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Jc w:val="left"/>
      <w:pPr>
        <w:ind w:left="0" w:firstLine="0"/>
      </w:pPr>
    </w:lvl>
    <w:lvl w:ilvl="6">
      <w:start w:val="1"/>
      <w:numFmt w:val="none"/>
      <w:lvlJc w:val="left"/>
      <w:pPr>
        <w:ind w:left="0" w:firstLine="0"/>
      </w:pPr>
    </w:lvl>
    <w:lvl w:ilvl="7">
      <w:start w:val="1"/>
      <w:numFmt w:val="none"/>
      <w:lvlJc w:val="left"/>
      <w:pPr>
        <w:ind w:left="0" w:firstLine="0"/>
      </w:pPr>
    </w:lvl>
    <w:lvl w:ilvl="8">
      <w:start w:val="1"/>
      <w:numFmt w:val="none"/>
      <w:lvlJc w:val="left"/>
      <w:pPr>
        <w:ind w:left="0" w:firstLine="0"/>
      </w:pPr>
    </w:lvl>
  </w:abstractNum>
  <w:abstractNum w:abstractNumId="2">
    <w:nsid w:val="FABEC032"/>
    <w:multiLevelType w:val="multilevel"/>
    <w:tmpl w:val="7EF765F9"/>
    <w:name w:val="Lijst met opsommingstekens"/>
    <w:styleLink w:val="Lijstmetopsommingstekens"/>
    <w:lvl w:ilvl="0">
      <w:start w:val="1"/>
      <w:numFmt w:val="bullet"/>
      <w:pStyle w:val="Opsomming"/>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3">
    <w:nsid w:val="619E2D7B"/>
    <w:multiLevelType w:val="multilevel"/>
    <w:tmpl w:val="0DA8F4FB"/>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num w:numId="1" w16cid:durableId="983508462">
    <w:abstractNumId w:val="1"/>
  </w:num>
  <w:num w:numId="2" w16cid:durableId="1461223235">
    <w:abstractNumId w:val="3"/>
  </w:num>
  <w:num w:numId="3" w16cid:durableId="976684334">
    <w:abstractNumId w:val="0"/>
  </w:num>
  <w:num w:numId="4" w16cid:durableId="40403170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defaultTableStyle w:val="TableNormal"/>
  <w:hyphenationZone w:val="425"/>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0222"/>
    <w:rsid w:val="00000FF5"/>
    <w:rsid w:val="000E19DB"/>
    <w:rsid w:val="001B0007"/>
    <w:rsid w:val="002041EE"/>
    <w:rsid w:val="002B08C9"/>
    <w:rsid w:val="002B373B"/>
    <w:rsid w:val="002D3781"/>
    <w:rsid w:val="0033434D"/>
    <w:rsid w:val="00366588"/>
    <w:rsid w:val="003830B6"/>
    <w:rsid w:val="00383EE4"/>
    <w:rsid w:val="003D7DA9"/>
    <w:rsid w:val="004B0169"/>
    <w:rsid w:val="005131E7"/>
    <w:rsid w:val="005555FF"/>
    <w:rsid w:val="00631CFD"/>
    <w:rsid w:val="0079358D"/>
    <w:rsid w:val="007D251D"/>
    <w:rsid w:val="007F2955"/>
    <w:rsid w:val="00823F47"/>
    <w:rsid w:val="00896AA8"/>
    <w:rsid w:val="009579A9"/>
    <w:rsid w:val="00AB3425"/>
    <w:rsid w:val="00AE4054"/>
    <w:rsid w:val="00AE46FA"/>
    <w:rsid w:val="00B44563"/>
    <w:rsid w:val="00B6719C"/>
    <w:rsid w:val="00BB6F94"/>
    <w:rsid w:val="00C55E85"/>
    <w:rsid w:val="00CC3AB0"/>
    <w:rsid w:val="00D1156F"/>
    <w:rsid w:val="00D23A88"/>
    <w:rsid w:val="00D50222"/>
    <w:rsid w:val="00D61AB7"/>
    <w:rsid w:val="00D76D85"/>
    <w:rsid w:val="00E77C70"/>
    <w:rsid w:val="00EA2159"/>
    <w:rsid w:val="00EA424C"/>
    <w:rsid w:val="00F1265F"/>
    <w:rsid w:val="00FB4715"/>
  </w:rsids>
  <m:mathPr>
    <m:mathFont m:val="Cambria Math"/>
  </m:mathPr>
  <w:themeFontLang w:val="nl-NL"/>
  <w:clrSchemeMapping w:bg1="light1" w:t1="dark1" w:bg2="light2" w:t2="dark2" w:accent1="accent1" w:accent2="accent2" w:accent3="accent3" w:accent4="accent4" w:accent5="accent5" w:accent6="accent6" w:hyperlink="hyperlink" w:followedHyperlink="followedHyperlink"/>
  <w14:docId w14:val="1540AD47"/>
  <w15:docId w15:val="{8F8D8A51-E9FD-444B-95DE-E9AF8424E7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line="240" w:lineRule="atLeast"/>
    </w:pPr>
    <w:rPr>
      <w:rFonts w:ascii="Verdana" w:hAnsi="Verdana"/>
      <w:color w:val="000000"/>
      <w:sz w:val="18"/>
      <w:szCs w:val="18"/>
    </w:rPr>
  </w:style>
  <w:style w:type="paragraph" w:styleId="Heading1">
    <w:name w:val="heading 1"/>
    <w:basedOn w:val="Normal"/>
    <w:next w:val="Normal"/>
    <w:uiPriority w:val="1"/>
    <w:qFormat/>
    <w:pPr>
      <w:tabs>
        <w:tab w:val="left" w:pos="0"/>
      </w:tabs>
      <w:spacing w:before="240"/>
      <w:outlineLvl w:val="0"/>
    </w:pPr>
    <w:rPr>
      <w:b/>
    </w:rPr>
  </w:style>
  <w:style w:type="paragraph" w:styleId="Heading2">
    <w:name w:val="heading 2"/>
    <w:basedOn w:val="Normal"/>
    <w:next w:val="Normal"/>
    <w:uiPriority w:val="2"/>
    <w:qFormat/>
    <w:pPr>
      <w:tabs>
        <w:tab w:val="left" w:pos="0"/>
      </w:tabs>
      <w:spacing w:before="240" w:line="240" w:lineRule="exact"/>
      <w:outlineLvl w:val="1"/>
    </w:pPr>
    <w:rPr>
      <w:i/>
    </w:rPr>
  </w:style>
  <w:style w:type="paragraph" w:styleId="Heading3">
    <w:name w:val="heading 3"/>
    <w:basedOn w:val="Normal"/>
    <w:next w:val="Normal"/>
    <w:pPr>
      <w:tabs>
        <w:tab w:val="left" w:pos="0"/>
      </w:tabs>
      <w:spacing w:before="240" w:line="240" w:lineRule="exact"/>
      <w:ind w:left="-1120"/>
      <w:outlineLvl w:val="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1B78"/>
    <w:rPr>
      <w:color w:val="467886" w:themeColor="hyperlink"/>
      <w:u w:val="single"/>
    </w:rPr>
  </w:style>
  <w:style w:type="paragraph" w:customStyle="1" w:styleId="Artikelstreepje">
    <w:name w:val="Artikel streepje"/>
    <w:basedOn w:val="Normal"/>
    <w:next w:val="Normal"/>
    <w:pPr>
      <w:numPr>
        <w:ilvl w:val="3"/>
        <w:numId w:val="1"/>
      </w:numPr>
    </w:pPr>
  </w:style>
  <w:style w:type="paragraph" w:customStyle="1" w:styleId="Artikelstreepjeinspringen">
    <w:name w:val="Artikel streepje inspringen"/>
    <w:basedOn w:val="Normal"/>
    <w:next w:val="Normal"/>
    <w:pPr>
      <w:numPr>
        <w:ilvl w:val="4"/>
        <w:numId w:val="1"/>
      </w:numPr>
    </w:pPr>
  </w:style>
  <w:style w:type="paragraph" w:customStyle="1" w:styleId="Artikelnummer">
    <w:name w:val="Artikelnummer"/>
    <w:basedOn w:val="Normal"/>
    <w:pPr>
      <w:numPr>
        <w:numId w:val="1"/>
      </w:numPr>
      <w:spacing w:before="360"/>
    </w:pPr>
    <w:rPr>
      <w:b/>
    </w:rPr>
  </w:style>
  <w:style w:type="paragraph" w:customStyle="1" w:styleId="Comparitienummer">
    <w:name w:val="Comparitienummer"/>
    <w:basedOn w:val="Normal"/>
    <w:next w:val="Normal"/>
    <w:pPr>
      <w:numPr>
        <w:numId w:val="2"/>
      </w:numPr>
    </w:pPr>
  </w:style>
  <w:style w:type="numbering" w:customStyle="1" w:styleId="Genummerdelijst">
    <w:name w:val="Genummerde lijst"/>
    <w:pPr>
      <w:numPr>
        <w:numId w:val="3"/>
      </w:numPr>
    </w:pPr>
  </w:style>
  <w:style w:type="paragraph" w:styleId="TOC1">
    <w:name w:val="toc 1"/>
    <w:basedOn w:val="Normal"/>
    <w:next w:val="Normal"/>
  </w:style>
  <w:style w:type="paragraph" w:styleId="TOC2">
    <w:name w:val="toc 2"/>
    <w:basedOn w:val="TOC1"/>
    <w:next w:val="Normal"/>
    <w:pPr>
      <w:spacing w:line="240" w:lineRule="exact"/>
    </w:pPr>
  </w:style>
  <w:style w:type="paragraph" w:styleId="TOC3">
    <w:name w:val="toc 3"/>
    <w:basedOn w:val="TOC2"/>
    <w:next w:val="Normal"/>
  </w:style>
  <w:style w:type="paragraph" w:styleId="TOC4">
    <w:name w:val="toc 4"/>
    <w:basedOn w:val="TOC3"/>
    <w:next w:val="Normal"/>
  </w:style>
  <w:style w:type="paragraph" w:styleId="TOC5">
    <w:name w:val="toc 5"/>
    <w:basedOn w:val="TOC4"/>
    <w:next w:val="Normal"/>
  </w:style>
  <w:style w:type="paragraph" w:styleId="TOC6">
    <w:name w:val="toc 6"/>
    <w:basedOn w:val="TOC5"/>
    <w:next w:val="Normal"/>
  </w:style>
  <w:style w:type="paragraph" w:styleId="TOC7">
    <w:name w:val="toc 7"/>
    <w:basedOn w:val="TOC6"/>
    <w:next w:val="Normal"/>
  </w:style>
  <w:style w:type="paragraph" w:styleId="TOC8">
    <w:name w:val="toc 8"/>
    <w:basedOn w:val="TOC7"/>
    <w:next w:val="Normal"/>
  </w:style>
  <w:style w:type="paragraph" w:styleId="TOC9">
    <w:name w:val="toc 9"/>
    <w:basedOn w:val="TOC8"/>
    <w:next w:val="Normal"/>
  </w:style>
  <w:style w:type="paragraph" w:customStyle="1" w:styleId="KixBarcode">
    <w:name w:val="Kix Barcode"/>
    <w:basedOn w:val="Normal"/>
    <w:next w:val="Normal"/>
    <w:pPr>
      <w:spacing w:before="120"/>
    </w:pPr>
    <w:rPr>
      <w:rFonts w:ascii="KIX Barcode" w:hAnsi="KIX Barcode"/>
      <w:sz w:val="20"/>
      <w:szCs w:val="20"/>
    </w:rPr>
  </w:style>
  <w:style w:type="paragraph" w:customStyle="1" w:styleId="Lidnummer">
    <w:name w:val="Lidnummer"/>
    <w:basedOn w:val="Normal"/>
    <w:pPr>
      <w:numPr>
        <w:ilvl w:val="1"/>
        <w:numId w:val="1"/>
      </w:numPr>
      <w:tabs>
        <w:tab w:val="left" w:pos="419"/>
      </w:tabs>
    </w:pPr>
  </w:style>
  <w:style w:type="paragraph" w:customStyle="1" w:styleId="Lidnummerabc">
    <w:name w:val="Lidnummer abc"/>
    <w:basedOn w:val="Normal"/>
    <w:pPr>
      <w:numPr>
        <w:ilvl w:val="2"/>
        <w:numId w:val="1"/>
      </w:numPr>
      <w:tabs>
        <w:tab w:val="left" w:pos="402"/>
      </w:tabs>
    </w:pPr>
  </w:style>
  <w:style w:type="numbering" w:customStyle="1" w:styleId="Lijstmetopsommingstekens">
    <w:name w:val="Lijst met opsommingstekens"/>
    <w:pPr>
      <w:numPr>
        <w:numId w:val="4"/>
      </w:numPr>
    </w:pPr>
  </w:style>
  <w:style w:type="paragraph" w:customStyle="1" w:styleId="Nummering">
    <w:name w:val="Nummering"/>
    <w:basedOn w:val="Normal"/>
    <w:uiPriority w:val="3"/>
    <w:qFormat/>
    <w:pPr>
      <w:numPr>
        <w:numId w:val="3"/>
      </w:numPr>
    </w:pPr>
  </w:style>
  <w:style w:type="paragraph" w:styleId="Subtitle">
    <w:name w:val="Subtitle"/>
    <w:basedOn w:val="Normal"/>
    <w:next w:val="Normal"/>
    <w:pPr>
      <w:spacing w:line="320" w:lineRule="atLeast"/>
    </w:pPr>
    <w:rPr>
      <w:sz w:val="24"/>
      <w:szCs w:val="24"/>
    </w:rPr>
  </w:style>
  <w:style w:type="paragraph" w:customStyle="1" w:styleId="Opsomming">
    <w:name w:val="Opsomming"/>
    <w:basedOn w:val="Normal"/>
    <w:uiPriority w:val="3"/>
    <w:qFormat/>
    <w:pPr>
      <w:numPr>
        <w:numId w:val="4"/>
      </w:numPr>
    </w:pPr>
  </w:style>
  <w:style w:type="paragraph" w:customStyle="1" w:styleId="Pagina-eindeKop1">
    <w:name w:val="Pagina-einde Kop 1"/>
    <w:basedOn w:val="Normal"/>
    <w:next w:val="Normal"/>
    <w:pPr>
      <w:pageBreakBefore/>
      <w:spacing w:line="240" w:lineRule="exact"/>
      <w:outlineLvl w:val="0"/>
    </w:pPr>
    <w:rPr>
      <w:b/>
    </w:rPr>
  </w:style>
  <w:style w:type="paragraph" w:customStyle="1" w:styleId="Referentiegegevens">
    <w:name w:val="Referentiegegevens"/>
    <w:basedOn w:val="Normal"/>
    <w:next w:val="Normal"/>
    <w:pPr>
      <w:spacing w:line="180" w:lineRule="exact"/>
      <w:outlineLvl w:val="4"/>
    </w:pPr>
    <w:rPr>
      <w:sz w:val="13"/>
      <w:szCs w:val="13"/>
    </w:rPr>
  </w:style>
  <w:style w:type="paragraph" w:customStyle="1" w:styleId="Referentiegegevensbold">
    <w:name w:val="Referentiegegevens bold"/>
    <w:basedOn w:val="Normal"/>
    <w:next w:val="Normal"/>
    <w:pPr>
      <w:spacing w:line="180" w:lineRule="exact"/>
      <w:outlineLvl w:val="4"/>
    </w:pPr>
    <w:rPr>
      <w:b/>
      <w:sz w:val="13"/>
      <w:szCs w:val="13"/>
    </w:rPr>
  </w:style>
  <w:style w:type="paragraph" w:customStyle="1" w:styleId="Referentiegegevenscursief">
    <w:name w:val="Referentiegegevens cursief"/>
    <w:basedOn w:val="Normal"/>
    <w:next w:val="Normal"/>
    <w:pPr>
      <w:spacing w:line="180" w:lineRule="exact"/>
      <w:outlineLvl w:val="4"/>
    </w:pPr>
    <w:rPr>
      <w:i/>
      <w:sz w:val="13"/>
      <w:szCs w:val="13"/>
    </w:rPr>
  </w:style>
  <w:style w:type="paragraph" w:customStyle="1" w:styleId="Referentiegegevensrechtsuitgelijnd">
    <w:name w:val="Referentiegegevens rechts uitgelijnd"/>
    <w:basedOn w:val="Normal"/>
    <w:next w:val="Normal"/>
    <w:pPr>
      <w:spacing w:line="180" w:lineRule="exact"/>
      <w:jc w:val="right"/>
      <w:outlineLvl w:val="4"/>
    </w:pPr>
    <w:rPr>
      <w:sz w:val="13"/>
      <w:szCs w:val="13"/>
    </w:rPr>
  </w:style>
  <w:style w:type="paragraph" w:customStyle="1" w:styleId="Rubricering">
    <w:name w:val="Rubricering"/>
    <w:basedOn w:val="Normal"/>
    <w:next w:val="Normal"/>
    <w:pPr>
      <w:spacing w:line="180" w:lineRule="exact"/>
    </w:pPr>
    <w:rPr>
      <w:b/>
      <w:caps/>
      <w:sz w:val="13"/>
      <w:szCs w:val="13"/>
    </w:rPr>
  </w:style>
  <w:style w:type="paragraph" w:customStyle="1" w:styleId="Standaardcursief">
    <w:name w:val="Standaard cursief"/>
    <w:basedOn w:val="Normal"/>
    <w:next w:val="Normal"/>
    <w:qFormat/>
    <w:pPr>
      <w:spacing w:line="240" w:lineRule="exact"/>
    </w:pPr>
    <w:rPr>
      <w:i/>
    </w:rPr>
  </w:style>
  <w:style w:type="paragraph" w:customStyle="1" w:styleId="StandaarddeDE">
    <w:name w:val="Standaard de_DE"/>
    <w:basedOn w:val="Normal"/>
    <w:next w:val="Normal"/>
    <w:rPr>
      <w:lang w:val="de-DE"/>
    </w:rPr>
  </w:style>
  <w:style w:type="paragraph" w:customStyle="1" w:styleId="StandaardenGB">
    <w:name w:val="Standaard en_GB"/>
    <w:basedOn w:val="Normal"/>
    <w:next w:val="Normal"/>
    <w:rPr>
      <w:lang w:val="en-GB"/>
    </w:rPr>
  </w:style>
  <w:style w:type="paragraph" w:customStyle="1" w:styleId="StandaardesES">
    <w:name w:val="Standaard es_ES"/>
    <w:basedOn w:val="Normal"/>
    <w:next w:val="Normal"/>
    <w:rPr>
      <w:lang w:val="es-ES"/>
    </w:rPr>
  </w:style>
  <w:style w:type="paragraph" w:customStyle="1" w:styleId="StandaardfrFR">
    <w:name w:val="Standaard fr_FR"/>
    <w:basedOn w:val="Normal"/>
    <w:next w:val="Normal"/>
    <w:rPr>
      <w:lang w:val="fr-FR"/>
    </w:rPr>
  </w:style>
  <w:style w:type="paragraph" w:customStyle="1" w:styleId="Standaardvet">
    <w:name w:val="Standaard vet"/>
    <w:basedOn w:val="Normal"/>
    <w:next w:val="Normal"/>
    <w:qFormat/>
    <w:pPr>
      <w:spacing w:line="240" w:lineRule="exact"/>
    </w:pPr>
    <w:rPr>
      <w:b/>
    </w:r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 w:type="table" w:customStyle="1" w:styleId="Tabelzonderranden">
    <w:name w:val="Tabel zonder randen"/>
    <w:rPr>
      <w:rFonts w:ascii="Verdana" w:hAnsi="Verdana"/>
      <w:color w:val="000000"/>
      <w:sz w:val="24"/>
      <w:szCs w:val="24"/>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leGrid">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le">
    <w:name w:val="Title"/>
    <w:basedOn w:val="Normal"/>
    <w:next w:val="Normal"/>
    <w:pPr>
      <w:spacing w:line="320" w:lineRule="atLeast"/>
    </w:pPr>
    <w:rPr>
      <w:b/>
      <w:sz w:val="24"/>
      <w:szCs w:val="24"/>
    </w:rPr>
  </w:style>
  <w:style w:type="character" w:customStyle="1" w:styleId="Voetnootreferentie">
    <w:name w:val="Voetnootreferentie"/>
    <w:rPr>
      <w:rFonts w:ascii="Verdana" w:hAnsi="Verdana"/>
      <w:sz w:val="13"/>
      <w:szCs w:val="13"/>
      <w:vertAlign w:val="baseline"/>
      <w:lang w:val="nl-NL"/>
    </w:rPr>
  </w:style>
  <w:style w:type="paragraph" w:styleId="FootnoteText">
    <w:name w:val="footnote text"/>
    <w:link w:val="VoetnoottekstChar"/>
    <w:uiPriority w:val="99"/>
    <w:pPr>
      <w:spacing w:line="180" w:lineRule="exact"/>
    </w:pPr>
    <w:rPr>
      <w:rFonts w:ascii="Verdana" w:hAnsi="Verdana"/>
      <w:sz w:val="13"/>
      <w:szCs w:val="13"/>
    </w:rPr>
  </w:style>
  <w:style w:type="character" w:customStyle="1" w:styleId="Voetnoottekstverwijzing">
    <w:name w:val="Voetnoottekstverwijzing"/>
    <w:rPr>
      <w:rFonts w:ascii="Verdana" w:hAnsi="Verdana"/>
      <w:sz w:val="24"/>
      <w:szCs w:val="24"/>
      <w:vertAlign w:val="superscript"/>
      <w:lang w:val="nl-NL"/>
    </w:rPr>
  </w:style>
  <w:style w:type="paragraph" w:customStyle="1" w:styleId="WitregelW1">
    <w:name w:val="Witregel W1"/>
    <w:basedOn w:val="Normal"/>
    <w:next w:val="Normal"/>
    <w:pPr>
      <w:spacing w:line="90" w:lineRule="exact"/>
    </w:pPr>
    <w:rPr>
      <w:sz w:val="9"/>
      <w:szCs w:val="9"/>
    </w:rPr>
  </w:style>
  <w:style w:type="paragraph" w:customStyle="1" w:styleId="WitregelW1bodytekst">
    <w:name w:val="Witregel W1 (bodytekst)"/>
    <w:basedOn w:val="Normal"/>
    <w:next w:val="Normal"/>
    <w:pPr>
      <w:spacing w:line="240" w:lineRule="exact"/>
    </w:pPr>
  </w:style>
  <w:style w:type="paragraph" w:customStyle="1" w:styleId="WitregelW2">
    <w:name w:val="Witregel W2"/>
    <w:basedOn w:val="Normal"/>
    <w:next w:val="Normal"/>
    <w:pPr>
      <w:spacing w:line="270" w:lineRule="exact"/>
    </w:pPr>
    <w:rPr>
      <w:sz w:val="27"/>
      <w:szCs w:val="27"/>
    </w:rPr>
  </w:style>
  <w:style w:type="paragraph" w:styleId="Header">
    <w:name w:val="header"/>
    <w:basedOn w:val="Normal"/>
    <w:link w:val="KoptekstChar"/>
    <w:uiPriority w:val="99"/>
    <w:unhideWhenUsed/>
    <w:rsid w:val="00823F47"/>
    <w:pPr>
      <w:tabs>
        <w:tab w:val="center" w:pos="4536"/>
        <w:tab w:val="right" w:pos="9072"/>
      </w:tabs>
      <w:spacing w:line="240" w:lineRule="auto"/>
    </w:pPr>
  </w:style>
  <w:style w:type="character" w:customStyle="1" w:styleId="KoptekstChar">
    <w:name w:val="Koptekst Char"/>
    <w:basedOn w:val="DefaultParagraphFont"/>
    <w:link w:val="Header"/>
    <w:uiPriority w:val="99"/>
    <w:rsid w:val="00823F47"/>
    <w:rPr>
      <w:rFonts w:ascii="Verdana" w:hAnsi="Verdana"/>
      <w:color w:val="000000"/>
      <w:sz w:val="18"/>
      <w:szCs w:val="18"/>
    </w:rPr>
  </w:style>
  <w:style w:type="paragraph" w:styleId="Footer">
    <w:name w:val="footer"/>
    <w:basedOn w:val="Normal"/>
    <w:link w:val="VoettekstChar"/>
    <w:uiPriority w:val="99"/>
    <w:unhideWhenUsed/>
    <w:rsid w:val="00823F47"/>
    <w:pPr>
      <w:tabs>
        <w:tab w:val="center" w:pos="4536"/>
        <w:tab w:val="right" w:pos="9072"/>
      </w:tabs>
      <w:spacing w:line="240" w:lineRule="auto"/>
    </w:pPr>
  </w:style>
  <w:style w:type="character" w:customStyle="1" w:styleId="VoettekstChar">
    <w:name w:val="Voettekst Char"/>
    <w:basedOn w:val="DefaultParagraphFont"/>
    <w:link w:val="Footer"/>
    <w:uiPriority w:val="99"/>
    <w:rsid w:val="00823F47"/>
    <w:rPr>
      <w:rFonts w:ascii="Verdana" w:hAnsi="Verdana"/>
      <w:color w:val="000000"/>
      <w:sz w:val="18"/>
      <w:szCs w:val="18"/>
    </w:rPr>
  </w:style>
  <w:style w:type="character" w:customStyle="1" w:styleId="VoetnoottekstChar">
    <w:name w:val="Voetnoottekst Char"/>
    <w:basedOn w:val="DefaultParagraphFont"/>
    <w:link w:val="FootnoteText"/>
    <w:uiPriority w:val="99"/>
    <w:rsid w:val="00823F47"/>
    <w:rPr>
      <w:rFonts w:ascii="Verdana" w:hAnsi="Verdana"/>
      <w:sz w:val="13"/>
      <w:szCs w:val="13"/>
    </w:rPr>
  </w:style>
  <w:style w:type="character" w:styleId="FootnoteReference">
    <w:name w:val="footnote reference"/>
    <w:basedOn w:val="DefaultParagraphFont"/>
    <w:uiPriority w:val="99"/>
    <w:semiHidden/>
    <w:unhideWhenUsed/>
    <w:rsid w:val="00823F4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&#65279;<?xml version="1.0" encoding="utf-8"?><Relationships xmlns="http://schemas.openxmlformats.org/package/2006/relationships"><Relationship Type="http://schemas.openxmlformats.org/officeDocument/2006/relationships/footnotes" Target="footnotes.xml" Id="rId1" /><Relationship Type="http://schemas.openxmlformats.org/officeDocument/2006/relationships/header" Target="header2.xml" Id="rId10" /><Relationship Type="http://schemas.openxmlformats.org/officeDocument/2006/relationships/footer" Target="footer1.xml" Id="rId11" /><Relationship Type="http://schemas.openxmlformats.org/officeDocument/2006/relationships/footer" Target="footer2.xml" Id="rId12" /><Relationship Type="http://schemas.openxmlformats.org/officeDocument/2006/relationships/header" Target="header3.xml" Id="rId13" /><Relationship Type="http://schemas.openxmlformats.org/officeDocument/2006/relationships/footer" Target="footer3.xml" Id="rId14" /><Relationship Type="http://schemas.openxmlformats.org/officeDocument/2006/relationships/theme" Target="theme/theme1.xml" Id="rId15" /><Relationship Type="http://schemas.openxmlformats.org/officeDocument/2006/relationships/numbering" Target="numbering.xml" Id="rId16" /><Relationship Type="http://schemas.openxmlformats.org/officeDocument/2006/relationships/styles" Target="styles.xml" Id="rId17" /><Relationship Type="http://schemas.openxmlformats.org/officeDocument/2006/relationships/settings" Target="settings.xml" Id="rId2" /><Relationship Type="http://schemas.openxmlformats.org/officeDocument/2006/relationships/webSettings" Target="webSettings.xml" Id="rId3" /><Relationship Type="http://schemas.openxmlformats.org/officeDocument/2006/relationships/fontTable" Target="fontTable.xml" Id="rId4" /><Relationship Type="http://schemas.openxmlformats.org/officeDocument/2006/relationships/image" Target="media/image1.png" Id="rId7" /><Relationship Type="http://schemas.openxmlformats.org/officeDocument/2006/relationships/image" Target="media/image2.png" Id="rId8" /><Relationship Type="http://schemas.openxmlformats.org/officeDocument/2006/relationships/header" Target="header1.xml" Id="rId9" /></Relationships>
</file>

<file path=word/_rels/footnotes.xml.rels><?xml version="1.0" encoding="utf-8" standalone="yes"?><Relationships xmlns="http://schemas.openxmlformats.org/package/2006/relationships"><Relationship Id="rId1" Type="http://schemas.openxmlformats.org/officeDocument/2006/relationships/hyperlink" Target="https://zoek.officielebekendmakingen.nl/kst-36881-12.html" TargetMode="External" /><Relationship Id="rId2" Type="http://schemas.openxmlformats.org/officeDocument/2006/relationships/hyperlink" Target="https://www.tweedekamer.nl/kamerstukken/moties/detail?id=2026Z11307&amp;did=2026D25737" TargetMode="External"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5</ap:Pages>
  <ap:Words>1658</ap:Words>
  <ap:Characters>9122</ap:Characters>
  <ap:DocSecurity>0</ap:DocSecurity>
  <ap:Lines>76</ap:Lines>
  <ap:Paragraphs>21</ap:Paragraphs>
  <ap:ScaleCrop>false</ap:ScaleCrop>
  <ap:HeadingPairs>
    <vt:vector baseType="variant" size="2">
      <vt:variant>
        <vt:lpstr>Titel</vt:lpstr>
      </vt:variant>
      <vt:variant>
        <vt:i4>1</vt:i4>
      </vt:variant>
    </vt:vector>
  </ap:HeadingPairs>
  <ap:TitlesOfParts>
    <vt:vector baseType="lpstr" size="1">
      <vt:lpstr>Brief aan Parlement - Actieplan Versnelling Woningbouw</vt:lpstr>
    </vt:vector>
  </ap:TitlesOfParts>
  <ap:LinksUpToDate>false</ap:LinksUpToDate>
  <ap:CharactersWithSpaces>10759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revision/>
  <lastPrinted>2026-09-17T13:11:00.0000000Z</lastPrinted>
  <dcterms:created xsi:type="dcterms:W3CDTF">2026-09-20T17:17:00.0000000Z</dcterms:created>
  <dcterms:modified xsi:type="dcterms:W3CDTF">2026-09-20T17:17:00.0000000Z</dcterms:modified>
  <dc:creator/>
  <lastModifiedBy/>
  <dc:description>------------------------</dc:description>
  <dc:subject/>
  <keywords/>
  <version/>
  <category/>
</coreProperties>
</file>