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700355" w:rsidRDefault="00700355" w14:paraId="28FC29DF" w14:textId="047719D8">
      <w:pPr>
        <w:rPr>
          <w:b/>
        </w:rPr>
      </w:pPr>
      <w:r>
        <w:rPr>
          <w:b/>
        </w:rPr>
        <w:t>AH 0029</w:t>
      </w:r>
    </w:p>
    <w:p w:rsidR="00700355" w:rsidRDefault="00700355" w14:paraId="40B7A777" w14:textId="64ADFFF7">
      <w:pPr>
        <w:rPr>
          <w:b/>
        </w:rPr>
      </w:pPr>
      <w:r>
        <w:rPr>
          <w:b/>
        </w:rPr>
        <w:t>2026Z16406</w:t>
      </w:r>
    </w:p>
    <w:p w:rsidR="00700355" w:rsidRDefault="00700355" w14:paraId="2705062B" w14:textId="464FC257">
      <w:pPr>
        <w:rPr>
          <w:b/>
        </w:rPr>
      </w:pPr>
      <w:r w:rsidRPr="00700355">
        <w:rPr>
          <w:b/>
          <w:sz w:val="24"/>
          <w:szCs w:val="24"/>
        </w:rPr>
        <w:t xml:space="preserve">Antwoord van minister Van Weel (Justitie en Veiligheid) (ontvangen </w:t>
      </w:r>
      <w:r>
        <w:rPr>
          <w:b/>
          <w:sz w:val="24"/>
          <w:szCs w:val="24"/>
        </w:rPr>
        <w:t xml:space="preserve"> 18 september 2026)</w:t>
      </w:r>
    </w:p>
    <w:p w:rsidR="00700355" w:rsidRDefault="00700355" w14:paraId="03E2A83F" w14:textId="77777777">
      <w:pPr>
        <w:rPr>
          <w:b/>
        </w:rPr>
      </w:pPr>
    </w:p>
    <w:p w:rsidRPr="00700355" w:rsidR="00700355" w:rsidRDefault="00700355" w14:paraId="78B4E3D9" w14:textId="23448E1D">
      <w:pPr>
        <w:rPr>
          <w:sz w:val="24"/>
        </w:rPr>
      </w:pPr>
      <w:r w:rsidRPr="002F1096">
        <w:rPr>
          <w:color w:val="000000"/>
          <w:sz w:val="24"/>
          <w:szCs w:val="24"/>
        </w:rPr>
        <w:t>Zie ook Aanhangsel Handelingen, vergaderjaar 202</w:t>
      </w:r>
      <w:r>
        <w:rPr>
          <w:color w:val="000000"/>
          <w:sz w:val="24"/>
          <w:szCs w:val="24"/>
        </w:rPr>
        <w:t>5</w:t>
      </w:r>
      <w:r w:rsidRPr="002F1096">
        <w:rPr>
          <w:color w:val="000000"/>
          <w:sz w:val="24"/>
          <w:szCs w:val="24"/>
        </w:rPr>
        <w:t>-202</w:t>
      </w:r>
      <w:r>
        <w:rPr>
          <w:color w:val="000000"/>
          <w:sz w:val="24"/>
          <w:szCs w:val="24"/>
        </w:rPr>
        <w:t>6</w:t>
      </w:r>
      <w:r w:rsidRPr="002F1096">
        <w:rPr>
          <w:color w:val="000000"/>
          <w:sz w:val="24"/>
          <w:szCs w:val="24"/>
        </w:rPr>
        <w:t xml:space="preserve">, nr. </w:t>
      </w:r>
      <w:r>
        <w:rPr>
          <w:sz w:val="24"/>
        </w:rPr>
        <w:t>2654</w:t>
      </w:r>
    </w:p>
    <w:p w:rsidRPr="00886250" w:rsidR="00700355" w:rsidRDefault="00700355" w14:paraId="6CDF267A" w14:textId="77777777">
      <w:pPr>
        <w:rPr>
          <w:b/>
          <w:bCs/>
        </w:rPr>
      </w:pPr>
      <w:r>
        <w:rPr>
          <w:b/>
          <w:bCs/>
        </w:rPr>
        <w:t xml:space="preserve">Vraag </w:t>
      </w:r>
      <w:r w:rsidRPr="00886250">
        <w:rPr>
          <w:b/>
          <w:bCs/>
        </w:rPr>
        <w:t>1</w:t>
      </w:r>
      <w:r>
        <w:rPr>
          <w:b/>
          <w:bCs/>
        </w:rPr>
        <w:br/>
      </w:r>
      <w:r w:rsidRPr="00886250">
        <w:rPr>
          <w:b/>
          <w:bCs/>
        </w:rPr>
        <w:t>Bent u bekend met signalen dat gecertificeerde RTGB-toetsers (Regeling Toetsing</w:t>
      </w:r>
      <w:r>
        <w:rPr>
          <w:b/>
          <w:bCs/>
        </w:rPr>
        <w:t xml:space="preserve"> </w:t>
      </w:r>
      <w:r w:rsidRPr="00886250">
        <w:rPr>
          <w:b/>
          <w:bCs/>
        </w:rPr>
        <w:t>Geweldsbeheersing), die door de Politieacademie zijn opgeleid en gecertificeerd, hun bevoegdheid</w:t>
      </w:r>
      <w:r>
        <w:rPr>
          <w:b/>
          <w:bCs/>
        </w:rPr>
        <w:t xml:space="preserve"> </w:t>
      </w:r>
      <w:r w:rsidRPr="00886250">
        <w:rPr>
          <w:b/>
          <w:bCs/>
        </w:rPr>
        <w:t>slechts beperkt kunnen inzetten omdat zij uitsluitend boa's mogen toetsen van gemeenten waarmee hun werkgever een convenant heeft?</w:t>
      </w:r>
    </w:p>
    <w:p w:rsidRPr="00886250" w:rsidR="00700355" w:rsidRDefault="00700355" w14:paraId="47D407B0" w14:textId="77777777">
      <w:pPr>
        <w:rPr>
          <w:b/>
          <w:bCs/>
        </w:rPr>
      </w:pPr>
      <w:r w:rsidRPr="00886250">
        <w:rPr>
          <w:b/>
          <w:bCs/>
        </w:rPr>
        <w:t> </w:t>
      </w:r>
    </w:p>
    <w:p w:rsidR="00700355" w:rsidRDefault="00700355" w14:paraId="2C37BE09" w14:textId="77777777">
      <w:pPr>
        <w:rPr>
          <w:b/>
          <w:bCs/>
        </w:rPr>
      </w:pPr>
      <w:r>
        <w:rPr>
          <w:b/>
          <w:bCs/>
        </w:rPr>
        <w:t xml:space="preserve">Vraag </w:t>
      </w:r>
      <w:r w:rsidRPr="00886250">
        <w:rPr>
          <w:b/>
          <w:bCs/>
        </w:rPr>
        <w:t>2</w:t>
      </w:r>
      <w:r>
        <w:rPr>
          <w:b/>
          <w:bCs/>
        </w:rPr>
        <w:br/>
      </w:r>
      <w:r w:rsidRPr="00886250">
        <w:rPr>
          <w:b/>
          <w:bCs/>
        </w:rPr>
        <w:t>Hoe beoordeelt u de signalen dat beschikbare, gecertificeerde RTGB-toetsers door de huidige</w:t>
      </w:r>
      <w:r>
        <w:rPr>
          <w:b/>
          <w:bCs/>
        </w:rPr>
        <w:t xml:space="preserve"> </w:t>
      </w:r>
      <w:r w:rsidRPr="00886250">
        <w:rPr>
          <w:b/>
          <w:bCs/>
        </w:rPr>
        <w:t>convenantconstructie niet volledig kunnen worden ingezet, terwijl er in de praktijk behoefte bestaat aan extra toets</w:t>
      </w:r>
      <w:r>
        <w:rPr>
          <w:b/>
          <w:bCs/>
        </w:rPr>
        <w:t xml:space="preserve"> </w:t>
      </w:r>
      <w:r w:rsidRPr="00886250">
        <w:rPr>
          <w:b/>
          <w:bCs/>
        </w:rPr>
        <w:t>capaciteit?</w:t>
      </w:r>
    </w:p>
    <w:p w:rsidR="00700355" w:rsidRDefault="00700355" w14:paraId="7182239A" w14:textId="77777777">
      <w:pPr>
        <w:rPr>
          <w:b/>
          <w:bCs/>
        </w:rPr>
      </w:pPr>
    </w:p>
    <w:p w:rsidR="00700355" w:rsidRDefault="00700355" w14:paraId="289CBDF6" w14:textId="77777777">
      <w:pPr>
        <w:rPr>
          <w:b/>
          <w:bCs/>
        </w:rPr>
      </w:pPr>
      <w:r>
        <w:rPr>
          <w:b/>
          <w:bCs/>
        </w:rPr>
        <w:t>Antwoord op vragen 1 en 2</w:t>
      </w:r>
    </w:p>
    <w:p w:rsidRPr="00176217" w:rsidR="00700355" w:rsidP="00176217" w:rsidRDefault="00700355" w14:paraId="20305951" w14:textId="77777777">
      <w:r w:rsidRPr="00176217">
        <w:t xml:space="preserve">De RTGB geeft aan wie er als toetser kan optreden om de boa’s te certificeren. Dit zijn ambtenaren van de politie, ambtenaren in vaste dienst bij een overheidsinstantie die opsporingsambtenaren in dienst heeft of werknemers in vaste dienst bij een particuliere werkgever van buitengewoon opsporingsambtenaren. De toetsers worden altijd gecertificeerd door de Politieacademie. </w:t>
      </w:r>
    </w:p>
    <w:p w:rsidRPr="00176217" w:rsidR="00700355" w:rsidP="00176217" w:rsidRDefault="00700355" w14:paraId="79DF2ED2" w14:textId="77777777"/>
    <w:p w:rsidRPr="00176217" w:rsidR="00700355" w:rsidP="00176217" w:rsidRDefault="00700355" w14:paraId="0214298D" w14:textId="77777777">
      <w:r w:rsidRPr="00980B30">
        <w:t>Zoals ook aangegeven in het eerste Halfjaarbericht Politie 2026</w:t>
      </w:r>
      <w:r w:rsidRPr="00980B30">
        <w:rPr>
          <w:vertAlign w:val="superscript"/>
        </w:rPr>
        <w:footnoteReference w:id="1"/>
      </w:r>
      <w:r w:rsidRPr="00980B30">
        <w:t xml:space="preserve"> kunnen boa-werkgevers gebruik maken van elkaars gecertificeerde toetsers. </w:t>
      </w:r>
      <w:bookmarkStart w:name="_Hlk235790892" w:id="0"/>
      <w:r w:rsidRPr="00980B30">
        <w:t>De certificering in een dergelijk geval vindt daarmee plaats uit hoofde van de boa-organisatie waar de toetser in vaste dienst is. Er dient hiervoor een overeenkomst te bestaan tussen de beide boa-werkgevers.</w:t>
      </w:r>
      <w:bookmarkEnd w:id="0"/>
      <w:r w:rsidRPr="00980B30">
        <w:t xml:space="preserve"> Hiermee is het mogelijk om extra toets-capaciteit te creëren. Gelet op de grote impact van de toepassing van geweld en geweldmiddelen door opsporingsambtenaren, wordt de examinering en certificering hiervoor op dit</w:t>
      </w:r>
      <w:r>
        <w:t xml:space="preserve"> moment gezien als publieke taak. </w:t>
      </w:r>
      <w:r w:rsidRPr="00176217">
        <w:t xml:space="preserve">Het is onwenselijk dat gecertificeerde toetsers </w:t>
      </w:r>
      <w:r>
        <w:t>zich</w:t>
      </w:r>
      <w:r w:rsidRPr="00176217">
        <w:t xml:space="preserve"> als ZZP’ers laten inhuren om toetsen af te neme</w:t>
      </w:r>
      <w:r>
        <w:t xml:space="preserve">n vanwege het risico dit het toezicht op de (objectieve) afname van toetsen erg bemoeilijkt. </w:t>
      </w:r>
    </w:p>
    <w:p w:rsidRPr="00886250" w:rsidR="00700355" w:rsidRDefault="00700355" w14:paraId="5A8AB20E" w14:textId="77777777">
      <w:pPr>
        <w:rPr>
          <w:b/>
          <w:bCs/>
        </w:rPr>
      </w:pPr>
    </w:p>
    <w:p w:rsidR="00700355" w:rsidRDefault="00700355" w14:paraId="15DDA6E5" w14:textId="77777777">
      <w:pPr>
        <w:rPr>
          <w:b/>
          <w:bCs/>
        </w:rPr>
      </w:pPr>
      <w:r>
        <w:rPr>
          <w:b/>
          <w:bCs/>
        </w:rPr>
        <w:t xml:space="preserve">Vraag </w:t>
      </w:r>
      <w:r w:rsidRPr="00886250">
        <w:rPr>
          <w:b/>
          <w:bCs/>
        </w:rPr>
        <w:t xml:space="preserve">3 </w:t>
      </w:r>
      <w:r>
        <w:rPr>
          <w:b/>
          <w:bCs/>
        </w:rPr>
        <w:br/>
      </w:r>
      <w:r w:rsidRPr="00886250">
        <w:rPr>
          <w:b/>
          <w:bCs/>
        </w:rPr>
        <w:t>Hoeveel gecertificeerde RTGB-toetsers zijn momenteel bevoegd om RTGB-toetsen af te nemen en hoeveel van hen kunnen vanwege de huidige convenantconstructie niet of slechts gedeeltelijk worden ingezet?</w:t>
      </w:r>
    </w:p>
    <w:p w:rsidR="00700355" w:rsidRDefault="00700355" w14:paraId="73586792" w14:textId="77777777">
      <w:pPr>
        <w:rPr>
          <w:b/>
          <w:bCs/>
        </w:rPr>
      </w:pPr>
    </w:p>
    <w:p w:rsidR="00700355" w:rsidRDefault="00700355" w14:paraId="218A37B7" w14:textId="77777777">
      <w:pPr>
        <w:rPr>
          <w:b/>
          <w:bCs/>
        </w:rPr>
      </w:pPr>
      <w:r>
        <w:rPr>
          <w:b/>
          <w:bCs/>
        </w:rPr>
        <w:lastRenderedPageBreak/>
        <w:t>Antwoord op vraag 3</w:t>
      </w:r>
    </w:p>
    <w:p w:rsidRPr="00176217" w:rsidR="00700355" w:rsidRDefault="00700355" w14:paraId="4E881BB4" w14:textId="77777777">
      <w:r w:rsidRPr="00176217">
        <w:t>Er is geen landelijk register van het aantal gecertificeerde toet</w:t>
      </w:r>
      <w:r>
        <w:t>s</w:t>
      </w:r>
      <w:r w:rsidRPr="00176217">
        <w:t xml:space="preserve">ers. De Politieacademie heeft een overzicht van het aantal toetsers die zij de afgelopen vijf jaar heeft ge(her)certificeerd. De afgelopen vijf jaar (sinds 2021) heeft de Politieacademie circa 25 toetsers getoetst en gecertificeerd voor externe boa-werkgevers. Het gaat hierbij om toetsers van onder meer gemeenten, vervoersbedrijven, provincies en andere publieke of private boa-organisaties. Voor de Fiscale Inlichtingen- en Opsporingsdienst, de Koninklijke Marechaussee, de Dienst Justitiële Inrichtingen en de Douane heeft de Politieacademie sinds 2021 circa 94 toetsers getoetst en gecertificeerd. Zoals ook bij het antwoord op vraag 1 </w:t>
      </w:r>
      <w:r>
        <w:t xml:space="preserve">en 2 </w:t>
      </w:r>
      <w:r w:rsidRPr="00176217">
        <w:t xml:space="preserve">staat aangegeven kunnen deze personen </w:t>
      </w:r>
      <w:r>
        <w:t>(</w:t>
      </w:r>
      <w:r w:rsidRPr="00176217">
        <w:t>onder voorwaarden</w:t>
      </w:r>
      <w:r>
        <w:t>)</w:t>
      </w:r>
      <w:r w:rsidRPr="00176217">
        <w:t xml:space="preserve"> ook toetsen afnemen</w:t>
      </w:r>
      <w:r>
        <w:t xml:space="preserve"> voor andere werkgevers</w:t>
      </w:r>
      <w:r w:rsidRPr="00176217">
        <w:t>. Zij doen dit als ambtenaar van politie, bij de boa-werkgever waar zij in vaste dienst zijn of bij andere boa-werkgevers namens hun eigen werkgever. Het is niet bekend hoeveel gecertificeerde toetsers niet gelden als ambtenaar van politie of in vaste dienst zijn bij een boa-werkgever, en dus niet als toetser via deze constructie kunnen worden ingezet.</w:t>
      </w:r>
    </w:p>
    <w:p w:rsidRPr="00886250" w:rsidR="00700355" w:rsidRDefault="00700355" w14:paraId="569BB962" w14:textId="77777777">
      <w:pPr>
        <w:rPr>
          <w:b/>
          <w:bCs/>
        </w:rPr>
      </w:pPr>
      <w:r w:rsidRPr="00886250">
        <w:rPr>
          <w:b/>
          <w:bCs/>
        </w:rPr>
        <w:t> </w:t>
      </w:r>
    </w:p>
    <w:p w:rsidRPr="00886250" w:rsidR="00700355" w:rsidRDefault="00700355" w14:paraId="2F23BB25" w14:textId="77777777">
      <w:pPr>
        <w:rPr>
          <w:b/>
          <w:bCs/>
        </w:rPr>
      </w:pPr>
      <w:r>
        <w:rPr>
          <w:b/>
          <w:bCs/>
        </w:rPr>
        <w:t xml:space="preserve">Vraag </w:t>
      </w:r>
      <w:r w:rsidRPr="00886250">
        <w:rPr>
          <w:b/>
          <w:bCs/>
        </w:rPr>
        <w:t>4</w:t>
      </w:r>
      <w:r>
        <w:rPr>
          <w:b/>
          <w:bCs/>
        </w:rPr>
        <w:br/>
      </w:r>
      <w:r w:rsidRPr="00886250">
        <w:rPr>
          <w:b/>
          <w:bCs/>
        </w:rPr>
        <w:t>Deelt u de opvatting dat beschikbare en gecertificeerde toetscapaciteit optimaal benut zou moeten worden, zeker nu er signalen zijn dat boa's moeite hebben om tijdig een RTGB-toets af te leggen? Zo nee, waarom niet?</w:t>
      </w:r>
    </w:p>
    <w:p w:rsidRPr="00886250" w:rsidR="00700355" w:rsidRDefault="00700355" w14:paraId="08CF4C6B" w14:textId="77777777">
      <w:pPr>
        <w:rPr>
          <w:b/>
          <w:bCs/>
        </w:rPr>
      </w:pPr>
      <w:r w:rsidRPr="00886250">
        <w:rPr>
          <w:b/>
          <w:bCs/>
        </w:rPr>
        <w:t> </w:t>
      </w:r>
    </w:p>
    <w:p w:rsidRPr="00886250" w:rsidR="00700355" w:rsidRDefault="00700355" w14:paraId="13B34D69" w14:textId="77777777">
      <w:pPr>
        <w:rPr>
          <w:b/>
          <w:bCs/>
        </w:rPr>
      </w:pPr>
      <w:r>
        <w:rPr>
          <w:b/>
          <w:bCs/>
        </w:rPr>
        <w:t xml:space="preserve">Vraag </w:t>
      </w:r>
      <w:r w:rsidRPr="00886250">
        <w:rPr>
          <w:b/>
          <w:bCs/>
        </w:rPr>
        <w:t>5</w:t>
      </w:r>
      <w:r>
        <w:rPr>
          <w:b/>
          <w:bCs/>
        </w:rPr>
        <w:br/>
      </w:r>
      <w:r w:rsidRPr="00886250">
        <w:rPr>
          <w:b/>
          <w:bCs/>
        </w:rPr>
        <w:t>Bent u bereid te onderzoeken of de huidige convenantconstructie kan worden verruimd of worden aangepast, zodat gecertificeerde RTGB-toetsers ook buiten de bestaande convenanten kunnen worden ingezet? Zo nee, waarom niet?</w:t>
      </w:r>
    </w:p>
    <w:p w:rsidRPr="00886250" w:rsidR="00700355" w:rsidRDefault="00700355" w14:paraId="60AD72E2" w14:textId="77777777">
      <w:pPr>
        <w:rPr>
          <w:b/>
          <w:bCs/>
        </w:rPr>
      </w:pPr>
      <w:r w:rsidRPr="00886250">
        <w:rPr>
          <w:b/>
          <w:bCs/>
        </w:rPr>
        <w:t> </w:t>
      </w:r>
    </w:p>
    <w:p w:rsidRPr="00176217" w:rsidR="00700355" w:rsidRDefault="00700355" w14:paraId="791D3BB6" w14:textId="77777777">
      <w:pPr>
        <w:rPr>
          <w:b/>
          <w:bCs/>
        </w:rPr>
      </w:pPr>
      <w:r w:rsidRPr="00176217">
        <w:rPr>
          <w:b/>
          <w:bCs/>
        </w:rPr>
        <w:t>Antwoord op vragen 4 en 5</w:t>
      </w:r>
    </w:p>
    <w:p w:rsidR="00700355" w:rsidP="00176217" w:rsidRDefault="00700355" w14:paraId="7188BFBB" w14:textId="77777777">
      <w:r>
        <w:t>De beschikbare en gecertificeerde toets-capaciteit zou zo optimaal mogelijk benut moeten worden. Met het oog op de impact van de toepassing van geweld en geweldmiddelen</w:t>
      </w:r>
      <w:r w:rsidRPr="003662F5">
        <w:t xml:space="preserve"> </w:t>
      </w:r>
      <w:r>
        <w:t xml:space="preserve">op burgers en de kwaliteit en objectiviteit van het toetsen, hecht ik er waarde aan om de uitvoering van de toetsen niet vrij te laten aan de markt en voor de uitvoering van de toetsen nadere regels te stellen. Het afnemen van de toetsen en het certificeren staat in direct verband met de toepassing van geweld door de boa’s en daarmee met het geweldsmonopolie van de overheid. </w:t>
      </w:r>
    </w:p>
    <w:p w:rsidR="00700355" w:rsidP="00176217" w:rsidRDefault="00700355" w14:paraId="26306AA3" w14:textId="77777777"/>
    <w:p w:rsidR="00700355" w:rsidRDefault="00700355" w14:paraId="2A77B2E0" w14:textId="77777777">
      <w:r w:rsidRPr="00980B30">
        <w:t>Voor dit jaar heeft de Politieacademie aangegeven nogmaals toetsen af te zullen nemen voor de her-certificering voor 2027, waardoor er geen acuut probleem is waarvoor de toets-mogelijkheden zouden moeten worden opgerekt. Voor de lange termijn ben ik bezig met een structurele oplossing. Belangrijke aandachtspunten hierbij zijn de registratie, de randvoorwaarden, de waarborgen en de juridische/wettelijke vastlegging.</w:t>
      </w:r>
    </w:p>
    <w:p w:rsidR="005750DD" w:rsidRDefault="005750DD" w14:paraId="4D16160A" w14:textId="77777777"/>
    <w:sectPr w:rsidR="005750DD">
      <w:headerReference w:type="even" r:id="rId6"/>
      <w:headerReference w:type="default" r:id="rId7"/>
      <w:footerReference w:type="even" r:id="rId8"/>
      <w:footerReference w:type="default" r:id="rId9"/>
      <w:headerReference w:type="first" r:id="rId10"/>
      <w:footerReference w:type="first" r:id="rId11"/>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0B9A6C" w14:textId="77777777" w:rsidR="000020C2" w:rsidRDefault="000020C2" w:rsidP="00700355">
      <w:pPr>
        <w:spacing w:after="0" w:line="240" w:lineRule="auto"/>
      </w:pPr>
      <w:r>
        <w:separator/>
      </w:r>
    </w:p>
  </w:endnote>
  <w:endnote w:type="continuationSeparator" w:id="0">
    <w:p w14:paraId="5E570239" w14:textId="77777777" w:rsidR="000020C2" w:rsidRDefault="000020C2" w:rsidP="007003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DejaVu Sans">
    <w:altName w:val="Verdana"/>
    <w:charset w:val="00"/>
    <w:family w:val="swiss"/>
    <w:pitch w:val="variable"/>
    <w:sig w:usb0="E7002EFF" w:usb1="D200FDFF" w:usb2="0A246029" w:usb3="00000000" w:csb0="800001FF" w:csb1="00000000"/>
  </w:font>
  <w:font w:name="Lohit Hindi">
    <w:altName w:val="Cambria"/>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AF9E37" w14:textId="77777777" w:rsidR="00700355" w:rsidRPr="00700355" w:rsidRDefault="00700355" w:rsidP="00700355">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FBEE1B" w14:textId="77777777" w:rsidR="00700355" w:rsidRPr="00700355" w:rsidRDefault="00700355" w:rsidP="00700355">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7C24C2" w14:textId="77777777" w:rsidR="00700355" w:rsidRPr="00700355" w:rsidRDefault="00700355" w:rsidP="00700355">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6A1B71" w14:textId="77777777" w:rsidR="000020C2" w:rsidRDefault="000020C2" w:rsidP="00700355">
      <w:pPr>
        <w:spacing w:after="0" w:line="240" w:lineRule="auto"/>
      </w:pPr>
      <w:r>
        <w:separator/>
      </w:r>
    </w:p>
  </w:footnote>
  <w:footnote w:type="continuationSeparator" w:id="0">
    <w:p w14:paraId="36E2A9FA" w14:textId="77777777" w:rsidR="000020C2" w:rsidRDefault="000020C2" w:rsidP="00700355">
      <w:pPr>
        <w:spacing w:after="0" w:line="240" w:lineRule="auto"/>
      </w:pPr>
      <w:r>
        <w:continuationSeparator/>
      </w:r>
    </w:p>
  </w:footnote>
  <w:footnote w:id="1">
    <w:p w14:paraId="4265E9E0" w14:textId="77777777" w:rsidR="00700355" w:rsidRPr="000F0352" w:rsidRDefault="00700355" w:rsidP="007B291F">
      <w:pPr>
        <w:pStyle w:val="Voetnoottekst"/>
        <w:rPr>
          <w:sz w:val="16"/>
          <w:szCs w:val="16"/>
        </w:rPr>
      </w:pPr>
      <w:r w:rsidRPr="000F0352">
        <w:rPr>
          <w:rStyle w:val="Voetnootmarkering"/>
          <w:sz w:val="16"/>
          <w:szCs w:val="16"/>
        </w:rPr>
        <w:footnoteRef/>
      </w:r>
      <w:r w:rsidRPr="000F0352">
        <w:rPr>
          <w:sz w:val="16"/>
          <w:szCs w:val="16"/>
        </w:rPr>
        <w:t xml:space="preserve"> Kamerstukken II, 29628, nr. 1345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1D07CD" w14:textId="77777777" w:rsidR="00700355" w:rsidRPr="00700355" w:rsidRDefault="00700355" w:rsidP="00700355">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788957" w14:textId="77777777" w:rsidR="00700355" w:rsidRPr="00700355" w:rsidRDefault="00700355" w:rsidP="00700355">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300A7E" w14:textId="77777777" w:rsidR="00700355" w:rsidRPr="00700355" w:rsidRDefault="00700355" w:rsidP="00700355">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0355"/>
    <w:rsid w:val="000020C2"/>
    <w:rsid w:val="005750DD"/>
    <w:rsid w:val="00700355"/>
    <w:rsid w:val="00A14A6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05CD7F"/>
  <w15:chartTrackingRefBased/>
  <w15:docId w15:val="{36BC71AE-B003-4198-96AF-286CBC3FD2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70035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70035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700355"/>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700355"/>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700355"/>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700355"/>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700355"/>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700355"/>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700355"/>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700355"/>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700355"/>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700355"/>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700355"/>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700355"/>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700355"/>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700355"/>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700355"/>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700355"/>
    <w:rPr>
      <w:rFonts w:eastAsiaTheme="majorEastAsia" w:cstheme="majorBidi"/>
      <w:color w:val="272727" w:themeColor="text1" w:themeTint="D8"/>
    </w:rPr>
  </w:style>
  <w:style w:type="paragraph" w:styleId="Titel">
    <w:name w:val="Title"/>
    <w:basedOn w:val="Standaard"/>
    <w:next w:val="Standaard"/>
    <w:link w:val="TitelChar"/>
    <w:uiPriority w:val="10"/>
    <w:qFormat/>
    <w:rsid w:val="0070035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700355"/>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700355"/>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700355"/>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700355"/>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700355"/>
    <w:rPr>
      <w:i/>
      <w:iCs/>
      <w:color w:val="404040" w:themeColor="text1" w:themeTint="BF"/>
    </w:rPr>
  </w:style>
  <w:style w:type="paragraph" w:styleId="Lijstalinea">
    <w:name w:val="List Paragraph"/>
    <w:basedOn w:val="Standaard"/>
    <w:uiPriority w:val="34"/>
    <w:qFormat/>
    <w:rsid w:val="00700355"/>
    <w:pPr>
      <w:ind w:left="720"/>
      <w:contextualSpacing/>
    </w:pPr>
  </w:style>
  <w:style w:type="character" w:styleId="Intensievebenadrukking">
    <w:name w:val="Intense Emphasis"/>
    <w:basedOn w:val="Standaardalinea-lettertype"/>
    <w:uiPriority w:val="21"/>
    <w:qFormat/>
    <w:rsid w:val="00700355"/>
    <w:rPr>
      <w:i/>
      <w:iCs/>
      <w:color w:val="2F5496" w:themeColor="accent1" w:themeShade="BF"/>
    </w:rPr>
  </w:style>
  <w:style w:type="paragraph" w:styleId="Duidelijkcitaat">
    <w:name w:val="Intense Quote"/>
    <w:basedOn w:val="Standaard"/>
    <w:next w:val="Standaard"/>
    <w:link w:val="DuidelijkcitaatChar"/>
    <w:uiPriority w:val="30"/>
    <w:qFormat/>
    <w:rsid w:val="0070035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700355"/>
    <w:rPr>
      <w:i/>
      <w:iCs/>
      <w:color w:val="2F5496" w:themeColor="accent1" w:themeShade="BF"/>
    </w:rPr>
  </w:style>
  <w:style w:type="character" w:styleId="Intensieveverwijzing">
    <w:name w:val="Intense Reference"/>
    <w:basedOn w:val="Standaardalinea-lettertype"/>
    <w:uiPriority w:val="32"/>
    <w:qFormat/>
    <w:rsid w:val="00700355"/>
    <w:rPr>
      <w:b/>
      <w:bCs/>
      <w:smallCaps/>
      <w:color w:val="2F5496" w:themeColor="accent1" w:themeShade="BF"/>
      <w:spacing w:val="5"/>
    </w:rPr>
  </w:style>
  <w:style w:type="paragraph" w:styleId="Voetnoottekst">
    <w:name w:val="footnote text"/>
    <w:link w:val="VoetnoottekstChar"/>
    <w:rsid w:val="00700355"/>
    <w:pPr>
      <w:autoSpaceDN w:val="0"/>
      <w:spacing w:after="0" w:line="180" w:lineRule="exact"/>
      <w:textAlignment w:val="baseline"/>
    </w:pPr>
    <w:rPr>
      <w:rFonts w:ascii="Verdana" w:eastAsia="DejaVu Sans" w:hAnsi="Verdana" w:cs="Lohit Hindi"/>
      <w:kern w:val="0"/>
      <w:sz w:val="13"/>
      <w:szCs w:val="13"/>
      <w:lang w:eastAsia="nl-NL"/>
      <w14:ligatures w14:val="none"/>
    </w:rPr>
  </w:style>
  <w:style w:type="character" w:customStyle="1" w:styleId="VoetnoottekstChar">
    <w:name w:val="Voetnoottekst Char"/>
    <w:basedOn w:val="Standaardalinea-lettertype"/>
    <w:link w:val="Voetnoottekst"/>
    <w:rsid w:val="00700355"/>
    <w:rPr>
      <w:rFonts w:ascii="Verdana" w:eastAsia="DejaVu Sans" w:hAnsi="Verdana" w:cs="Lohit Hindi"/>
      <w:kern w:val="0"/>
      <w:sz w:val="13"/>
      <w:szCs w:val="13"/>
      <w:lang w:eastAsia="nl-NL"/>
      <w14:ligatures w14:val="none"/>
    </w:rPr>
  </w:style>
  <w:style w:type="character" w:styleId="Voetnootmarkering">
    <w:name w:val="footnote reference"/>
    <w:basedOn w:val="Standaardalinea-lettertype"/>
    <w:uiPriority w:val="99"/>
    <w:semiHidden/>
    <w:unhideWhenUsed/>
    <w:rsid w:val="00700355"/>
    <w:rPr>
      <w:vertAlign w:val="superscript"/>
    </w:rPr>
  </w:style>
  <w:style w:type="paragraph" w:styleId="Koptekst">
    <w:name w:val="header"/>
    <w:basedOn w:val="Standaard"/>
    <w:link w:val="KoptekstChar"/>
    <w:uiPriority w:val="99"/>
    <w:unhideWhenUsed/>
    <w:rsid w:val="00700355"/>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700355"/>
  </w:style>
  <w:style w:type="paragraph" w:styleId="Voettekst">
    <w:name w:val="footer"/>
    <w:basedOn w:val="Standaard"/>
    <w:link w:val="VoettekstChar"/>
    <w:uiPriority w:val="99"/>
    <w:unhideWhenUsed/>
    <w:rsid w:val="00700355"/>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7003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2</ap:Pages>
  <ap:Words>733</ap:Words>
  <ap:Characters>4033</ap:Characters>
  <ap:DocSecurity>0</ap:DocSecurity>
  <ap:Lines>33</ap:Lines>
  <ap:Paragraphs>9</ap:Paragraphs>
  <ap:ScaleCrop>false</ap:ScaleCrop>
  <ap:LinksUpToDate>false</ap:LinksUpToDate>
  <ap:CharactersWithSpaces>4757</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2026-09-18T14:44:00.0000000Z</dcterms:created>
  <dcterms:modified xsi:type="dcterms:W3CDTF">2026-09-18T14:45:00.0000000Z</dcterms:modified>
  <version/>
  <category/>
</coreProperties>
</file>