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Pr="00CD56ED" w:rsidR="004E52B3" w:rsidP="004E52B3" w14:paraId="223A65B4" w14:textId="77777777">
      <w:pPr>
        <w:autoSpaceDN/>
        <w:spacing w:after="160" w:line="278" w:lineRule="auto"/>
        <w:textAlignment w:val="auto"/>
        <w:rPr>
          <w:rFonts w:eastAsia="Aptos" w:cs="Times New Roman"/>
          <w:color w:val="auto"/>
          <w:kern w:val="2"/>
          <w:lang w:eastAsia="en-US"/>
          <w14:ligatures w14:val="standardContextual"/>
        </w:rPr>
      </w:pPr>
      <w:r w:rsidRPr="00CD56ED">
        <w:rPr>
          <w:rFonts w:eastAsia="Aptos" w:cs="Times New Roman"/>
          <w:color w:val="auto"/>
          <w:kern w:val="2"/>
          <w:lang w:eastAsia="en-US"/>
          <w14:ligatures w14:val="standardContextual"/>
        </w:rPr>
        <w:t xml:space="preserve">Op 25 augustus jl. heeft het Adviescollege Veiligheid Groningen (hierna: ACVG) mij zijn advies over </w:t>
      </w:r>
      <w:r>
        <w:rPr>
          <w:rFonts w:eastAsia="Aptos" w:cs="Times New Roman"/>
          <w:color w:val="auto"/>
          <w:kern w:val="2"/>
          <w:lang w:eastAsia="en-US"/>
          <w14:ligatures w14:val="standardContextual"/>
        </w:rPr>
        <w:t xml:space="preserve">het instrument </w:t>
      </w:r>
      <w:r w:rsidRPr="00CD56ED">
        <w:rPr>
          <w:rFonts w:eastAsia="Aptos" w:cs="Times New Roman"/>
          <w:color w:val="auto"/>
          <w:kern w:val="2"/>
          <w:lang w:eastAsia="en-US"/>
          <w14:ligatures w14:val="standardContextual"/>
        </w:rPr>
        <w:t>Uniforme Wandenaanpak ten behoeve van de versterkingsoperatie in Groningen aangeboden.</w:t>
      </w:r>
      <w:r w:rsidR="00E725D1">
        <w:rPr>
          <w:rFonts w:eastAsia="Aptos" w:cs="Times New Roman"/>
          <w:color w:val="auto"/>
          <w:kern w:val="2"/>
          <w:lang w:eastAsia="en-US"/>
          <w14:ligatures w14:val="standardContextual"/>
        </w:rPr>
        <w:t xml:space="preserve"> Dit advies is door ACVG op 8 september</w:t>
      </w:r>
      <w:r w:rsidR="007412F0">
        <w:rPr>
          <w:rFonts w:eastAsia="Aptos" w:cs="Times New Roman"/>
          <w:color w:val="auto"/>
          <w:kern w:val="2"/>
          <w:lang w:eastAsia="en-US"/>
          <w14:ligatures w14:val="standardContextual"/>
        </w:rPr>
        <w:t xml:space="preserve"> jl.</w:t>
      </w:r>
      <w:r w:rsidR="00E725D1">
        <w:rPr>
          <w:rFonts w:eastAsia="Aptos" w:cs="Times New Roman"/>
          <w:color w:val="auto"/>
          <w:kern w:val="2"/>
          <w:lang w:eastAsia="en-US"/>
          <w14:ligatures w14:val="standardContextual"/>
        </w:rPr>
        <w:t xml:space="preserve"> op hun website gepubliceerd.</w:t>
      </w:r>
      <w:r w:rsidRPr="00CD56ED">
        <w:rPr>
          <w:rFonts w:eastAsia="Aptos" w:cs="Times New Roman"/>
          <w:color w:val="auto"/>
          <w:kern w:val="2"/>
          <w:lang w:eastAsia="en-US"/>
          <w14:ligatures w14:val="standardContextual"/>
        </w:rPr>
        <w:t xml:space="preserve"> Met deze brief stuur ik u dit advies toe met daarbij mijn appreciatie van het ACVG-advies.</w:t>
      </w:r>
    </w:p>
    <w:p w:rsidR="007412F0" w:rsidP="004E52B3" w14:paraId="355C73E5" w14:textId="77777777">
      <w:pPr>
        <w:autoSpaceDN/>
        <w:spacing w:after="160" w:line="278" w:lineRule="auto"/>
        <w:textAlignment w:val="auto"/>
        <w:rPr>
          <w:rFonts w:eastAsia="Aptos" w:cs="Times New Roman"/>
          <w:color w:val="auto"/>
          <w:kern w:val="2"/>
          <w:lang w:eastAsia="en-US"/>
          <w14:ligatures w14:val="standardContextual"/>
        </w:rPr>
      </w:pPr>
      <w:r w:rsidRPr="007412F0">
        <w:rPr>
          <w:rFonts w:eastAsia="Aptos" w:cs="Times New Roman"/>
          <w:color w:val="auto"/>
          <w:kern w:val="2"/>
          <w:lang w:eastAsia="en-US"/>
          <w14:ligatures w14:val="standardContextual"/>
        </w:rPr>
        <w:t xml:space="preserve">De wandenaanpak is ontwikkeld om te ondersteunen bij het berekenen van de aardbevingsbestendigheid van metselwerkwanden. </w:t>
      </w:r>
      <w:r w:rsidR="00C35EE7">
        <w:rPr>
          <w:rFonts w:eastAsia="Aptos" w:cs="Times New Roman"/>
          <w:color w:val="auto"/>
          <w:kern w:val="2"/>
          <w:lang w:eastAsia="en-US"/>
          <w14:ligatures w14:val="standardContextual"/>
        </w:rPr>
        <w:t>Met een</w:t>
      </w:r>
      <w:r w:rsidRPr="007412F0">
        <w:rPr>
          <w:rFonts w:eastAsia="Aptos" w:cs="Times New Roman"/>
          <w:color w:val="auto"/>
          <w:kern w:val="2"/>
          <w:lang w:eastAsia="en-US"/>
          <w14:ligatures w14:val="standardContextual"/>
        </w:rPr>
        <w:t xml:space="preserve"> digitale rekentool kan een ingenieur</w:t>
      </w:r>
      <w:r w:rsidR="00C35EE7">
        <w:rPr>
          <w:rFonts w:eastAsia="Aptos" w:cs="Times New Roman"/>
          <w:color w:val="auto"/>
          <w:kern w:val="2"/>
          <w:lang w:eastAsia="en-US"/>
          <w14:ligatures w14:val="standardContextual"/>
        </w:rPr>
        <w:t xml:space="preserve"> </w:t>
      </w:r>
      <w:r w:rsidRPr="007412F0">
        <w:rPr>
          <w:rFonts w:eastAsia="Aptos" w:cs="Times New Roman"/>
          <w:color w:val="auto"/>
          <w:kern w:val="2"/>
          <w:lang w:eastAsia="en-US"/>
          <w14:ligatures w14:val="standardContextual"/>
        </w:rPr>
        <w:t>bepalen of deze wand stevig genoeg is, of dat versterking nodig is. Als de wand versterkt moet worden, worden versterkingsmaatregelen voorgesteld waarvan direct zichtbaar is wat het effect is.</w:t>
      </w:r>
    </w:p>
    <w:p w:rsidR="00E725D1" w:rsidP="004E52B3" w14:paraId="36D6F94D" w14:textId="77777777">
      <w:pPr>
        <w:autoSpaceDN/>
        <w:spacing w:after="160" w:line="278" w:lineRule="auto"/>
        <w:textAlignment w:val="auto"/>
        <w:rPr>
          <w:rFonts w:eastAsia="Aptos" w:cs="Times New Roman"/>
          <w:color w:val="auto"/>
          <w:kern w:val="2"/>
          <w:lang w:eastAsia="en-US"/>
          <w14:ligatures w14:val="standardContextual"/>
        </w:rPr>
      </w:pPr>
      <w:r w:rsidRPr="003B4672">
        <w:rPr>
          <w:rFonts w:eastAsia="Aptos" w:cs="Times New Roman"/>
          <w:color w:val="auto"/>
          <w:kern w:val="2"/>
          <w:lang w:eastAsia="en-US"/>
          <w14:ligatures w14:val="standardContextual"/>
        </w:rPr>
        <w:t>Het ACVG adviseert om de Uniforme Wandenaanpak toe te passen als hulpmiddel voor de beoordeling van metselwerkwanden</w:t>
      </w:r>
      <w:r w:rsidR="00082949">
        <w:rPr>
          <w:rFonts w:eastAsia="Aptos" w:cs="Times New Roman"/>
          <w:color w:val="auto"/>
          <w:kern w:val="2"/>
          <w:lang w:eastAsia="en-US"/>
          <w14:ligatures w14:val="standardContextual"/>
        </w:rPr>
        <w:t xml:space="preserve">, de keuze in versterkingsmaatregelen wanneer </w:t>
      </w:r>
      <w:r w:rsidR="00BE1E09">
        <w:rPr>
          <w:rFonts w:eastAsia="Aptos" w:cs="Times New Roman"/>
          <w:color w:val="auto"/>
          <w:kern w:val="2"/>
          <w:lang w:eastAsia="en-US"/>
          <w14:ligatures w14:val="standardContextual"/>
        </w:rPr>
        <w:t xml:space="preserve">de wand onvoldoende sterk </w:t>
      </w:r>
      <w:r w:rsidR="00082949">
        <w:rPr>
          <w:rFonts w:eastAsia="Aptos" w:cs="Times New Roman"/>
          <w:color w:val="auto"/>
          <w:kern w:val="2"/>
          <w:lang w:eastAsia="en-US"/>
          <w14:ligatures w14:val="standardContextual"/>
        </w:rPr>
        <w:t>blijkt te zijn en voor</w:t>
      </w:r>
      <w:r w:rsidR="00BE1E09">
        <w:rPr>
          <w:rFonts w:eastAsia="Aptos" w:cs="Times New Roman"/>
          <w:color w:val="auto"/>
          <w:kern w:val="2"/>
          <w:lang w:eastAsia="en-US"/>
          <w14:ligatures w14:val="standardContextual"/>
        </w:rPr>
        <w:t xml:space="preserve"> het ontwerpen van </w:t>
      </w:r>
      <w:r w:rsidR="00082949">
        <w:rPr>
          <w:rFonts w:eastAsia="Aptos" w:cs="Times New Roman"/>
          <w:color w:val="auto"/>
          <w:kern w:val="2"/>
          <w:lang w:eastAsia="en-US"/>
          <w14:ligatures w14:val="standardContextual"/>
        </w:rPr>
        <w:t xml:space="preserve">deze </w:t>
      </w:r>
      <w:r w:rsidR="00BE1E09">
        <w:rPr>
          <w:rFonts w:eastAsia="Aptos" w:cs="Times New Roman"/>
          <w:color w:val="auto"/>
          <w:kern w:val="2"/>
          <w:lang w:eastAsia="en-US"/>
          <w14:ligatures w14:val="standardContextual"/>
        </w:rPr>
        <w:t>versterkingsmaatregelen</w:t>
      </w:r>
      <w:r w:rsidR="00082949">
        <w:rPr>
          <w:rFonts w:eastAsia="Aptos" w:cs="Times New Roman"/>
          <w:color w:val="auto"/>
          <w:kern w:val="2"/>
          <w:lang w:eastAsia="en-US"/>
          <w14:ligatures w14:val="standardContextual"/>
        </w:rPr>
        <w:t xml:space="preserve"> in de ontwerpfase.</w:t>
      </w:r>
      <w:r w:rsidRPr="003B4672">
        <w:rPr>
          <w:rFonts w:eastAsia="Aptos" w:cs="Times New Roman"/>
          <w:color w:val="auto"/>
          <w:kern w:val="2"/>
          <w:lang w:eastAsia="en-US"/>
          <w14:ligatures w14:val="standardContextual"/>
        </w:rPr>
        <w:t xml:space="preserve"> Het ACVG heeft de Uniforme Wandenaanpak en de achterliggende rekenmodellen gevalideerd en is tot de conclusie gekomen dat deze betrouwbare resultaten opleveren.</w:t>
      </w:r>
      <w:r>
        <w:rPr>
          <w:rFonts w:eastAsia="Aptos" w:cs="Times New Roman"/>
          <w:color w:val="auto"/>
          <w:kern w:val="2"/>
          <w:lang w:eastAsia="en-US"/>
          <w14:ligatures w14:val="standardContextual"/>
        </w:rPr>
        <w:t xml:space="preserve"> </w:t>
      </w:r>
    </w:p>
    <w:p w:rsidR="00E725D1" w:rsidP="004E52B3" w14:paraId="7026C208" w14:textId="77777777">
      <w:pPr>
        <w:autoSpaceDN/>
        <w:spacing w:after="160" w:line="278" w:lineRule="auto"/>
        <w:textAlignment w:val="auto"/>
        <w:rPr>
          <w:rFonts w:eastAsia="Aptos" w:cs="Times New Roman"/>
          <w:color w:val="auto"/>
          <w:kern w:val="2"/>
          <w:lang w:eastAsia="en-US"/>
          <w14:ligatures w14:val="standardContextual"/>
        </w:rPr>
      </w:pPr>
      <w:r>
        <w:rPr>
          <w:rFonts w:eastAsia="Aptos" w:cs="Times New Roman"/>
          <w:color w:val="auto"/>
          <w:kern w:val="2"/>
          <w:lang w:eastAsia="en-US"/>
          <w14:ligatures w14:val="standardContextual"/>
        </w:rPr>
        <w:t xml:space="preserve">Het grootste deel van de beoordelingen is al uitgevoerd. Voor deze beoordelingen heeft de wandenaanpak in principe geen gevolgen. </w:t>
      </w:r>
      <w:r w:rsidR="007412F0">
        <w:rPr>
          <w:rFonts w:eastAsia="Aptos" w:cs="Times New Roman"/>
          <w:color w:val="auto"/>
          <w:kern w:val="2"/>
          <w:lang w:eastAsia="en-US"/>
          <w14:ligatures w14:val="standardContextual"/>
        </w:rPr>
        <w:t>De</w:t>
      </w:r>
      <w:r w:rsidRPr="00E725D1">
        <w:rPr>
          <w:rFonts w:eastAsia="Aptos" w:cs="Times New Roman"/>
          <w:color w:val="auto"/>
          <w:kern w:val="2"/>
          <w:lang w:eastAsia="en-US"/>
          <w14:ligatures w14:val="standardContextual"/>
        </w:rPr>
        <w:t xml:space="preserve"> wandenaanpak zal worden gebruikt voor </w:t>
      </w:r>
      <w:r>
        <w:rPr>
          <w:rFonts w:eastAsia="Aptos" w:cs="Times New Roman"/>
          <w:color w:val="auto"/>
          <w:kern w:val="2"/>
          <w:lang w:eastAsia="en-US"/>
          <w14:ligatures w14:val="standardContextual"/>
        </w:rPr>
        <w:t xml:space="preserve">controles </w:t>
      </w:r>
      <w:r w:rsidRPr="00E725D1">
        <w:rPr>
          <w:rFonts w:eastAsia="Aptos" w:cs="Times New Roman"/>
          <w:color w:val="auto"/>
          <w:kern w:val="2"/>
          <w:lang w:eastAsia="en-US"/>
          <w14:ligatures w14:val="standardContextual"/>
        </w:rPr>
        <w:t xml:space="preserve">of voor berekeningen aan woningen die mogelijk nog aan de versterkingsoperatie worden toegevoegd. </w:t>
      </w:r>
    </w:p>
    <w:p w:rsidRPr="00CD56ED" w:rsidR="004E52B3" w:rsidP="004E52B3" w14:paraId="19EE9C8D" w14:textId="77777777">
      <w:pPr>
        <w:autoSpaceDN/>
        <w:spacing w:after="160" w:line="278" w:lineRule="auto"/>
        <w:textAlignment w:val="auto"/>
        <w:rPr>
          <w:rFonts w:eastAsia="Aptos" w:cs="Times New Roman"/>
          <w:color w:val="auto"/>
          <w:kern w:val="2"/>
          <w:lang w:eastAsia="en-US"/>
          <w14:ligatures w14:val="standardContextual"/>
        </w:rPr>
      </w:pPr>
      <w:r>
        <w:rPr>
          <w:rFonts w:eastAsia="Aptos" w:cs="Times New Roman"/>
          <w:color w:val="auto"/>
          <w:kern w:val="2"/>
          <w:lang w:eastAsia="en-US"/>
          <w14:ligatures w14:val="standardContextual"/>
        </w:rPr>
        <w:t>Er zal in overleg met NCG worden onderzocht hoe het instrument</w:t>
      </w:r>
      <w:r w:rsidR="00C35EE7">
        <w:rPr>
          <w:rFonts w:eastAsia="Aptos" w:cs="Times New Roman"/>
          <w:color w:val="auto"/>
          <w:kern w:val="2"/>
          <w:lang w:eastAsia="en-US"/>
          <w14:ligatures w14:val="standardContextual"/>
        </w:rPr>
        <w:t xml:space="preserve"> in de praktijk kan worden ingezet en in het bijzonder voor</w:t>
      </w:r>
      <w:r>
        <w:rPr>
          <w:rFonts w:eastAsia="Aptos" w:cs="Times New Roman"/>
          <w:color w:val="auto"/>
          <w:kern w:val="2"/>
          <w:lang w:eastAsia="en-US"/>
          <w14:ligatures w14:val="standardContextual"/>
        </w:rPr>
        <w:t xml:space="preserve"> uitvoering van de aanbevelingen uit het ACVG-advies Beoordeeld, maar vertrouwen onder druk.</w:t>
      </w:r>
      <w:r>
        <w:rPr>
          <w:rStyle w:val="FootnoteReference"/>
          <w:rFonts w:eastAsia="Aptos" w:cs="Times New Roman"/>
          <w:color w:val="auto"/>
          <w:kern w:val="2"/>
          <w:lang w:eastAsia="en-US"/>
          <w14:ligatures w14:val="standardContextual"/>
        </w:rPr>
        <w:footnoteReference w:id="2"/>
      </w:r>
    </w:p>
    <w:p w:rsidR="002A0C00" w:rsidP="004E52B3" w14:paraId="71F89992" w14:textId="77777777">
      <w:pPr>
        <w:autoSpaceDN/>
        <w:spacing w:after="160" w:line="278" w:lineRule="auto"/>
        <w:textAlignment w:val="auto"/>
        <w:rPr>
          <w:rFonts w:eastAsia="Aptos" w:cs="Times New Roman"/>
          <w:color w:val="auto"/>
          <w:kern w:val="2"/>
          <w:lang w:eastAsia="en-US"/>
          <w14:ligatures w14:val="standardContextual"/>
        </w:rPr>
      </w:pPr>
    </w:p>
    <w:p w:rsidRPr="00CD56ED" w:rsidR="004E52B3" w:rsidP="004E52B3" w14:paraId="692879C3" w14:textId="77777777">
      <w:pPr>
        <w:autoSpaceDN/>
        <w:spacing w:after="160" w:line="278" w:lineRule="auto"/>
        <w:textAlignment w:val="auto"/>
        <w:rPr>
          <w:rFonts w:eastAsia="Aptos" w:cs="Times New Roman"/>
          <w:color w:val="auto"/>
          <w:kern w:val="2"/>
          <w:lang w:eastAsia="en-US"/>
          <w14:ligatures w14:val="standardContextual"/>
        </w:rPr>
      </w:pPr>
      <w:r w:rsidRPr="00CD56ED">
        <w:rPr>
          <w:rFonts w:eastAsia="Aptos" w:cs="Times New Roman"/>
          <w:color w:val="auto"/>
          <w:kern w:val="2"/>
          <w:lang w:eastAsia="en-US"/>
          <w14:ligatures w14:val="standardContextual"/>
        </w:rPr>
        <w:t xml:space="preserve">De </w:t>
      </w:r>
      <w:r w:rsidR="00F04E8F">
        <w:rPr>
          <w:rFonts w:eastAsia="Aptos" w:cs="Times New Roman"/>
          <w:color w:val="auto"/>
          <w:kern w:val="2"/>
          <w:lang w:eastAsia="en-US"/>
          <w14:ligatures w14:val="standardContextual"/>
        </w:rPr>
        <w:t>m</w:t>
      </w:r>
      <w:r w:rsidRPr="00CD56ED">
        <w:rPr>
          <w:rFonts w:eastAsia="Aptos" w:cs="Times New Roman"/>
          <w:color w:val="auto"/>
          <w:kern w:val="2"/>
          <w:lang w:eastAsia="en-US"/>
          <w14:ligatures w14:val="standardContextual"/>
        </w:rPr>
        <w:t xml:space="preserve">inister van Binnenlandse Zaken en Koninkrijksrelaties,  </w:t>
      </w:r>
    </w:p>
    <w:p w:rsidRPr="00CD56ED" w:rsidR="004E52B3" w:rsidP="004E52B3" w14:paraId="50D41444" w14:textId="77777777">
      <w:pPr>
        <w:autoSpaceDN/>
        <w:spacing w:after="160" w:line="278" w:lineRule="auto"/>
        <w:textAlignment w:val="auto"/>
        <w:rPr>
          <w:rFonts w:eastAsia="Aptos" w:cs="Times New Roman"/>
          <w:color w:val="auto"/>
          <w:kern w:val="2"/>
          <w:lang w:eastAsia="en-US"/>
          <w14:ligatures w14:val="standardContextual"/>
        </w:rPr>
      </w:pPr>
    </w:p>
    <w:p w:rsidRPr="00CD56ED" w:rsidR="004E52B3" w:rsidP="004E52B3" w14:paraId="731A5A27" w14:textId="77777777">
      <w:pPr>
        <w:autoSpaceDN/>
        <w:spacing w:after="160" w:line="278" w:lineRule="auto"/>
        <w:textAlignment w:val="auto"/>
        <w:rPr>
          <w:rFonts w:eastAsia="Aptos" w:cs="Times New Roman"/>
          <w:color w:val="auto"/>
          <w:kern w:val="2"/>
          <w:lang w:eastAsia="en-US"/>
          <w14:ligatures w14:val="standardContextual"/>
        </w:rPr>
      </w:pPr>
    </w:p>
    <w:p w:rsidRPr="00555302" w:rsidR="004E52B3" w:rsidP="00555302" w14:paraId="36CFF424" w14:textId="1D277FB8">
      <w:pPr>
        <w:autoSpaceDN/>
        <w:spacing w:after="160" w:line="278" w:lineRule="auto"/>
        <w:textAlignment w:val="auto"/>
        <w:rPr>
          <w:rFonts w:eastAsia="Aptos" w:cs="Times New Roman"/>
          <w:color w:val="auto"/>
          <w:kern w:val="2"/>
          <w:lang w:eastAsia="en-US"/>
          <w14:ligatures w14:val="standardContextual"/>
        </w:rPr>
      </w:pPr>
      <w:r w:rsidRPr="00CD56ED">
        <w:rPr>
          <w:rFonts w:eastAsia="Aptos" w:cs="Times New Roman"/>
          <w:color w:val="auto"/>
          <w:kern w:val="2"/>
          <w:lang w:eastAsia="en-US"/>
          <w14:ligatures w14:val="standardContextual"/>
        </w:rPr>
        <w:t>Pieter Heerma</w:t>
      </w:r>
    </w:p>
    <w:p w:rsidRPr="004E52B3" w:rsidR="001E5FB8" w:rsidP="004E52B3" w14:paraId="62D5CB9D" w14:textId="77777777"/>
    <w:sectPr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55302" w14:paraId="67F9258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E5FB8" w14:paraId="7D5CE3E8" w14:textId="77777777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55302" w14:paraId="1CE0AB13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E5FB8" w14:paraId="679DD321" w14:textId="77777777">
      <w:pPr>
        <w:pStyle w:val="FootnoteText"/>
      </w:pPr>
    </w:p>
  </w:footnote>
  <w:footnote w:type="continuationSeparator" w:id="1">
    <w:p w:rsidR="001E5FB8" w14:paraId="628254A9" w14:textId="77777777">
      <w:pPr>
        <w:pStyle w:val="FootnoteText"/>
      </w:pPr>
    </w:p>
  </w:footnote>
  <w:footnote w:id="2">
    <w:p w:rsidR="00AE45F0" w:rsidRPr="00AE45F0" w14:paraId="79B07CBF" w14:textId="77777777">
      <w:pPr>
        <w:pStyle w:val="FootnoteText"/>
        <w:rPr>
          <w:sz w:val="16"/>
          <w:szCs w:val="16"/>
        </w:rPr>
      </w:pPr>
      <w:r w:rsidRPr="00AE45F0">
        <w:rPr>
          <w:rStyle w:val="FootnoteReference"/>
          <w:sz w:val="16"/>
          <w:szCs w:val="16"/>
        </w:rPr>
        <w:footnoteRef/>
      </w:r>
      <w:r w:rsidRPr="00AE45F0">
        <w:rPr>
          <w:sz w:val="16"/>
          <w:szCs w:val="16"/>
        </w:rPr>
        <w:t xml:space="preserve"> Kamerstukken II 2025/26, 33529, nr. 1378.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55302" w14:paraId="40A2237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E5FB8" w14:paraId="69CE8E67" w14:textId="77777777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E5FB8" w14:textId="77777777">
                          <w:pPr>
                            <w:pStyle w:val="Referentiegegevensbold"/>
                          </w:pPr>
                          <w:r>
                            <w:t>Directoraat-Generaal Openbaar Bestuur en Democratische Rechtstaat</w:t>
                          </w:r>
                        </w:p>
                        <w:p w:rsidR="001E5FB8" w14:textId="77777777">
                          <w:pPr>
                            <w:pStyle w:val="WitregelW2"/>
                          </w:pPr>
                        </w:p>
                        <w:p w:rsidR="001E5FB8" w14:textId="777777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:rsidR="001E5FB8" w14:textId="77777777">
                          <w:pPr>
                            <w:pStyle w:val="WitregelW1"/>
                          </w:pPr>
                        </w:p>
                        <w:p w:rsidR="004E52B3" w:rsidRPr="004E52B3" w:rsidP="004E52B3" w14:textId="77777777"/>
                        <w:p w:rsidR="001E5FB8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B64908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2026-0000459513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2049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59264" filled="f" stroked="f">
              <v:textbox inset="0,0,0,0">
                <w:txbxContent>
                  <w:p w:rsidR="001E5FB8" w14:paraId="7F30B1AC" w14:textId="77777777">
                    <w:pPr>
                      <w:pStyle w:val="Referentiegegevensbold"/>
                    </w:pPr>
                    <w:r>
                      <w:t>Directoraat-Generaal Openbaar Bestuur en Democratische Rechtstaat</w:t>
                    </w:r>
                  </w:p>
                  <w:p w:rsidR="001E5FB8" w14:paraId="0A1D0C6D" w14:textId="77777777">
                    <w:pPr>
                      <w:pStyle w:val="WitregelW2"/>
                    </w:pPr>
                  </w:p>
                  <w:p w:rsidR="001E5FB8" w14:paraId="17725C3C" w14:textId="77777777">
                    <w:pPr>
                      <w:pStyle w:val="Referentiegegevensbold"/>
                    </w:pPr>
                    <w:r>
                      <w:t>Datum</w:t>
                    </w:r>
                  </w:p>
                  <w:p w:rsidR="001E5FB8" w14:paraId="19492AD6" w14:textId="77777777">
                    <w:pPr>
                      <w:pStyle w:val="WitregelW1"/>
                    </w:pPr>
                  </w:p>
                  <w:p w:rsidR="004E52B3" w:rsidRPr="004E52B3" w:rsidP="004E52B3" w14:paraId="26FD20B2" w14:textId="77777777"/>
                  <w:p w:rsidR="001E5FB8" w14:paraId="57DC150B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B64908" w14:paraId="312032AB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2026-0000459513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41F1E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6f-aa3c-11ea-a756-beb5f67e67be" o:spid="_x0000_s2050" type="#_x0000_t202" alt="Voettekst" style="width:377pt;height:12.7pt;margin-top:802.75pt;margin-left:79.35pt;mso-position-horizontal-relative:page;mso-wrap-distance-bottom:0;mso-wrap-distance-left:0;mso-wrap-distance-right:0;mso-wrap-distance-top:0;mso-wrap-style:square;position:absolute;v-text-anchor:top;visibility:visible;z-index:251661312" filled="f" stroked="f">
              <v:textbox inset="0,0,0,0">
                <w:txbxContent>
                  <w:p w:rsidR="00D41F1E" w14:paraId="536CC4E0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B64908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b8-aa3c-11ea-a756-beb5f67e67be" o:spid="_x0000_s2051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63360" filled="f" stroked="f">
              <v:textbox inset="0,0,0,0">
                <w:txbxContent>
                  <w:p w:rsidR="00B64908" w14:paraId="680D713A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E5FB8" w14:paraId="6DFD797C" w14:textId="77777777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 descr="Adresva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E5FB8" w14:textId="77777777">
                          <w:r>
                            <w:t xml:space="preserve">Aan de Voorzitter van de </w:t>
                          </w:r>
                          <w:r w:rsidR="005D2239">
                            <w:t>Tweede</w:t>
                          </w:r>
                          <w:r>
                            <w:t xml:space="preserve"> Kamer der Staten-Generaal</w:t>
                          </w:r>
                        </w:p>
                        <w:p w:rsidR="001E5FB8" w14:textId="77777777">
                          <w:r>
                            <w:t xml:space="preserve">Postbus </w:t>
                          </w:r>
                          <w:r w:rsidR="00D41F1E">
                            <w:t>2001</w:t>
                          </w:r>
                          <w:r>
                            <w:t>8</w:t>
                          </w:r>
                        </w:p>
                        <w:p w:rsidR="001E5FB8" w14:textId="77777777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2052" type="#_x0000_t202" alt="Adresvak" style="width:377pt;height:87.85pt;margin-top:153.9pt;margin-left:79.35pt;mso-position-horizontal-relative:page;mso-wrap-distance-bottom:0;mso-wrap-distance-left:0;mso-wrap-distance-right:0;mso-wrap-distance-top:0;mso-wrap-style:square;position:absolute;v-text-anchor:top;visibility:visible;z-index:251665408" filled="f" stroked="f">
              <v:textbox inset="0,0,0,0">
                <w:txbxContent>
                  <w:p w:rsidR="001E5FB8" w14:paraId="171CC1E8" w14:textId="77777777">
                    <w:r>
                      <w:t xml:space="preserve">Aan de Voorzitter van de </w:t>
                    </w:r>
                    <w:r w:rsidR="005D2239">
                      <w:t>Tweede</w:t>
                    </w:r>
                    <w:r>
                      <w:t xml:space="preserve"> Kamer der Staten-Generaal</w:t>
                    </w:r>
                  </w:p>
                  <w:p w:rsidR="001E5FB8" w14:paraId="4547ACA9" w14:textId="77777777">
                    <w:r>
                      <w:t xml:space="preserve">Postbus </w:t>
                    </w:r>
                    <w:r w:rsidR="00D41F1E">
                      <w:t>2001</w:t>
                    </w:r>
                    <w:r>
                      <w:t>8</w:t>
                    </w:r>
                  </w:p>
                  <w:p w:rsidR="001E5FB8" w14:paraId="69B79EE4" w14:textId="77777777">
                    <w:r>
                      <w:t>2500 EA  Den Haag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6432" behindDoc="0" locked="1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3352800</wp:posOffset>
              </wp:positionV>
              <wp:extent cx="4787900" cy="57150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5715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40"/>
                          </w:tblPr>
                          <w:tblGrid>
                            <w:gridCol w:w="1140"/>
                            <w:gridCol w:w="5918"/>
                          </w:tblGrid>
                          <w:tr w14:paraId="272883EB" w14:textId="77777777">
                            <w:tblPrEx>
                              <w:tblW w:w="0" w:type="auto"/>
                              <w:tblLayout w:type="fixed"/>
                              <w:tblLook w:val="0740"/>
                            </w:tblPrEx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:rsidR="001E5FB8" w14:textId="7777777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:rsidR="006236A1" w14:textId="7C374CB4">
                                <w:r>
                                  <w:t>18 september 2026</w:t>
                                </w:r>
                              </w:p>
                            </w:tc>
                          </w:tr>
                          <w:tr w14:paraId="7D5FFC58" w14:textId="77777777">
                            <w:tblPrEx>
                              <w:tblW w:w="0" w:type="auto"/>
                              <w:tblLayout w:type="fixed"/>
                              <w:tblLook w:val="0740"/>
                            </w:tblPrEx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:rsidR="001E5FB8" w14:textId="77777777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:rsidR="00B64908" w14:textId="77777777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Advies ACVG Uniforme Wandenaanpak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D41F1E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46feebd0-aa3c-11ea-a756-beb5f67e67be" o:spid="_x0000_s2053" type="#_x0000_t202" style="width:377pt;height:45pt;margin-top:264pt;margin-left:325.8pt;mso-height-percent:0;mso-height-relative:margin;mso-position-horizontal:right;mso-position-horizontal-relative:margin;mso-wrap-distance-bottom:0;mso-wrap-distance-left:0;mso-wrap-distance-right:0;mso-wrap-distance-top:0;mso-wrap-style:square;position:absolute;v-text-anchor:top;visibility:visible;z-index:251667456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40"/>
                    </w:tblPr>
                    <w:tblGrid>
                      <w:gridCol w:w="1140"/>
                      <w:gridCol w:w="5918"/>
                    </w:tblGrid>
                    <w:tr w14:paraId="272883EA" w14:textId="77777777">
                      <w:tblPrEx>
                        <w:tblW w:w="0" w:type="auto"/>
                        <w:tblLayout w:type="fixed"/>
                        <w:tblLook w:val="0740"/>
                      </w:tblPrEx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:rsidR="001E5FB8" w14:paraId="6CC8A412" w14:textId="77777777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:rsidR="006236A1" w14:paraId="684B2DCA" w14:textId="7C374CB4">
                          <w:r>
                            <w:t>18 september 2026</w:t>
                          </w:r>
                        </w:p>
                      </w:tc>
                    </w:tr>
                    <w:tr w14:paraId="7D5FFC57" w14:textId="77777777">
                      <w:tblPrEx>
                        <w:tblW w:w="0" w:type="auto"/>
                        <w:tblLayout w:type="fixed"/>
                        <w:tblLook w:val="0740"/>
                      </w:tblPrEx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:rsidR="001E5FB8" w14:paraId="58596034" w14:textId="77777777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:rsidR="00B64908" w14:paraId="77CC8D91" w14:textId="77777777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>
                            <w:t>Advies ACVG Uniforme Wandenaanpak</w:t>
                          </w:r>
                          <w:r>
                            <w:fldChar w:fldCharType="end"/>
                          </w:r>
                        </w:p>
                      </w:tc>
                    </w:tr>
                  </w:tbl>
                  <w:p w:rsidR="00D41F1E" w14:paraId="6660A1CB" w14:textId="77777777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848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E5FB8" w14:textId="77777777">
                          <w:pPr>
                            <w:pStyle w:val="Referentiegegevensbold"/>
                          </w:pPr>
                          <w:r>
                            <w:t>Directoraat-Generaal Openbaar Bestuur en Democratische Rechtstaat</w:t>
                          </w:r>
                        </w:p>
                        <w:p w:rsidR="001E5FB8" w14:textId="77777777">
                          <w:pPr>
                            <w:pStyle w:val="WitregelW1"/>
                          </w:pPr>
                        </w:p>
                        <w:p w:rsidR="001E5FB8" w:rsidRPr="005D2239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5D2239">
                            <w:rPr>
                              <w:lang w:val="de-DE"/>
                            </w:rPr>
                            <w:t>Turfmarkt</w:t>
                          </w:r>
                          <w:r w:rsidRPr="005D2239">
                            <w:rPr>
                              <w:lang w:val="de-DE"/>
                            </w:rPr>
                            <w:t xml:space="preserve"> 147</w:t>
                          </w:r>
                        </w:p>
                        <w:p w:rsidR="001E5FB8" w:rsidRPr="005D2239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5D2239">
                            <w:rPr>
                              <w:lang w:val="de-DE"/>
                            </w:rPr>
                            <w:t xml:space="preserve">2511 </w:t>
                          </w:r>
                          <w:r w:rsidRPr="005D2239">
                            <w:rPr>
                              <w:lang w:val="de-DE"/>
                            </w:rPr>
                            <w:t>DP  Den</w:t>
                          </w:r>
                          <w:r w:rsidRPr="005D2239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:rsidR="001E5FB8" w:rsidRPr="005D2239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5D2239">
                            <w:rPr>
                              <w:lang w:val="de-DE"/>
                            </w:rPr>
                            <w:t>Postbus 20011</w:t>
                          </w:r>
                        </w:p>
                        <w:p w:rsidR="001E5FB8" w:rsidRPr="005D2239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5D2239">
                            <w:rPr>
                              <w:lang w:val="de-DE"/>
                            </w:rPr>
                            <w:t xml:space="preserve">2500 </w:t>
                          </w:r>
                          <w:r w:rsidRPr="005D2239">
                            <w:rPr>
                              <w:lang w:val="de-DE"/>
                            </w:rPr>
                            <w:t>EA  Den</w:t>
                          </w:r>
                          <w:r w:rsidRPr="005D2239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:rsidR="001E5FB8" w:rsidRPr="005D2239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5D2239">
                            <w:rPr>
                              <w:lang w:val="de-DE"/>
                            </w:rPr>
                            <w:t>www.rijksoverheid.nl</w:t>
                          </w:r>
                        </w:p>
                        <w:p w:rsidR="001E5FB8" w:rsidRPr="005D2239" w14:textId="77777777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:rsidR="001E5FB8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B64908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2026-0000459513</w:t>
                          </w:r>
                          <w:r>
                            <w:fldChar w:fldCharType="end"/>
                          </w:r>
                        </w:p>
                        <w:p w:rsidR="001E5FB8" w14:textId="77777777">
                          <w:pPr>
                            <w:pStyle w:val="WitregelW1"/>
                          </w:pPr>
                        </w:p>
                        <w:p w:rsidR="001E5FB8" w14:textId="77777777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:rsidR="001E5FB8" w14:textId="77777777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  <w:p w:rsidR="001E5FB8" w14:textId="77777777">
                          <w:pPr>
                            <w:pStyle w:val="WitregelW2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20-aa3c-11ea-a756-beb5f67e67be" o:spid="_x0000_s2054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69504" filled="f" stroked="f">
              <v:textbox inset="0,0,0,0">
                <w:txbxContent>
                  <w:p w:rsidR="001E5FB8" w14:paraId="42BA0DC7" w14:textId="77777777">
                    <w:pPr>
                      <w:pStyle w:val="Referentiegegevensbold"/>
                    </w:pPr>
                    <w:r>
                      <w:t>Directoraat-Generaal Openbaar Bestuur en Democratische Rechtstaat</w:t>
                    </w:r>
                  </w:p>
                  <w:p w:rsidR="001E5FB8" w14:paraId="76AF6AF9" w14:textId="77777777">
                    <w:pPr>
                      <w:pStyle w:val="WitregelW1"/>
                    </w:pPr>
                  </w:p>
                  <w:p w:rsidR="001E5FB8" w:rsidRPr="005D2239" w14:paraId="42A7D0F0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5D2239">
                      <w:rPr>
                        <w:lang w:val="de-DE"/>
                      </w:rPr>
                      <w:t>Turfmarkt</w:t>
                    </w:r>
                    <w:r w:rsidRPr="005D2239">
                      <w:rPr>
                        <w:lang w:val="de-DE"/>
                      </w:rPr>
                      <w:t xml:space="preserve"> 147</w:t>
                    </w:r>
                  </w:p>
                  <w:p w:rsidR="001E5FB8" w:rsidRPr="005D2239" w14:paraId="3B07520B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5D2239">
                      <w:rPr>
                        <w:lang w:val="de-DE"/>
                      </w:rPr>
                      <w:t xml:space="preserve">2511 </w:t>
                    </w:r>
                    <w:r w:rsidRPr="005D2239">
                      <w:rPr>
                        <w:lang w:val="de-DE"/>
                      </w:rPr>
                      <w:t>DP  Den</w:t>
                    </w:r>
                    <w:r w:rsidRPr="005D2239">
                      <w:rPr>
                        <w:lang w:val="de-DE"/>
                      </w:rPr>
                      <w:t xml:space="preserve"> Haag</w:t>
                    </w:r>
                  </w:p>
                  <w:p w:rsidR="001E5FB8" w:rsidRPr="005D2239" w14:paraId="22E33515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5D2239">
                      <w:rPr>
                        <w:lang w:val="de-DE"/>
                      </w:rPr>
                      <w:t>Postbus 20011</w:t>
                    </w:r>
                  </w:p>
                  <w:p w:rsidR="001E5FB8" w:rsidRPr="005D2239" w14:paraId="01782C3E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5D2239">
                      <w:rPr>
                        <w:lang w:val="de-DE"/>
                      </w:rPr>
                      <w:t xml:space="preserve">2500 </w:t>
                    </w:r>
                    <w:r w:rsidRPr="005D2239">
                      <w:rPr>
                        <w:lang w:val="de-DE"/>
                      </w:rPr>
                      <w:t>EA  Den</w:t>
                    </w:r>
                    <w:r w:rsidRPr="005D2239">
                      <w:rPr>
                        <w:lang w:val="de-DE"/>
                      </w:rPr>
                      <w:t xml:space="preserve"> Haag</w:t>
                    </w:r>
                  </w:p>
                  <w:p w:rsidR="001E5FB8" w:rsidRPr="005D2239" w14:paraId="7A45F02E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5D2239">
                      <w:rPr>
                        <w:lang w:val="de-DE"/>
                      </w:rPr>
                      <w:t>www.rijksoverheid.nl</w:t>
                    </w:r>
                  </w:p>
                  <w:p w:rsidR="001E5FB8" w:rsidRPr="005D2239" w14:paraId="681C149D" w14:textId="77777777">
                    <w:pPr>
                      <w:pStyle w:val="WitregelW2"/>
                      <w:rPr>
                        <w:lang w:val="de-DE"/>
                      </w:rPr>
                    </w:pPr>
                  </w:p>
                  <w:p w:rsidR="001E5FB8" w14:paraId="184FB2D0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B64908" w14:paraId="448B9EFE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2026-0000459513</w:t>
                    </w:r>
                    <w:r>
                      <w:fldChar w:fldCharType="end"/>
                    </w:r>
                  </w:p>
                  <w:p w:rsidR="001E5FB8" w14:paraId="3B5F506A" w14:textId="77777777">
                    <w:pPr>
                      <w:pStyle w:val="WitregelW1"/>
                    </w:pPr>
                  </w:p>
                  <w:p w:rsidR="001E5FB8" w14:paraId="529CB9B0" w14:textId="77777777">
                    <w:pPr>
                      <w:pStyle w:val="Referentiegegevensbold"/>
                    </w:pPr>
                    <w:r>
                      <w:t>Bijlage(n)</w:t>
                    </w:r>
                  </w:p>
                  <w:p w:rsidR="001E5FB8" w14:paraId="618C8434" w14:textId="77777777">
                    <w:pPr>
                      <w:pStyle w:val="Referentiegegevens"/>
                    </w:pPr>
                    <w:r>
                      <w:t>1</w:t>
                    </w:r>
                  </w:p>
                  <w:p w:rsidR="001E5FB8" w14:paraId="66B8B4FA" w14:textId="77777777">
                    <w:pPr>
                      <w:pStyle w:val="WitregelW2"/>
                    </w:pP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052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41F1E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6f-aa3c-11ea-a756-beb5f67e67be" o:spid="_x0000_s2055" type="#_x0000_t202" alt="Voettekst" style="width:377pt;height:12.75pt;margin-top:802.75pt;margin-left:79.35pt;mso-position-horizontal-relative:page;mso-wrap-distance-bottom:0;mso-wrap-distance-left:0;mso-wrap-distance-right:0;mso-wrap-distance-top:0;mso-wrap-style:square;position:absolute;v-text-anchor:top;visibility:visible;z-index:251671552" filled="f" stroked="f">
              <v:textbox inset="0,0,0,0">
                <w:txbxContent>
                  <w:p w:rsidR="00D41F1E" w14:paraId="45BD777A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257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B64908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be-aa3c-11ea-a756-beb5f67e67be" o:spid="_x0000_s2056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73600" filled="f" stroked="f">
              <v:textbox inset="0,0,0,0">
                <w:txbxContent>
                  <w:p w:rsidR="00B64908" w14:paraId="0239667B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4624" behindDoc="0" locked="1" layoutInCell="1" allowOverlap="1">
              <wp:simplePos x="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E5FB8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7995" cy="1583865"/>
                                <wp:effectExtent l="0" t="0" r="0" b="0"/>
                                <wp:docPr id="656014458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56014458" name="Logo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d0e-aa3c-11ea-a756-beb5f67e67be" o:spid="_x0000_s2057" type="#_x0000_t202" alt="Container voor beeldmerk" style="width:36.85pt;height:124.65pt;margin-top:0;margin-left:279.2pt;mso-position-horizontal-relative:page;mso-wrap-distance-bottom:0;mso-wrap-distance-left:0;mso-wrap-distance-right:0;mso-wrap-distance-top:0;mso-wrap-style:square;position:absolute;v-text-anchor:top;visibility:visible;z-index:251675648" filled="f" stroked="f">
              <v:textbox inset="0,0,0,0">
                <w:txbxContent>
                  <w:p w:rsidR="001E5FB8" w14:paraId="4EA7DCBD" w14:textId="77777777">
                    <w:pPr>
                      <w:spacing w:line="240" w:lineRule="auto"/>
                    </w:pPr>
                    <w:drawing>
                      <wp:inline distT="0" distB="0" distL="0" distR="0">
                        <wp:extent cx="467995" cy="1583865"/>
                        <wp:effectExtent l="0" t="0" r="0" b="0"/>
                        <wp:docPr id="10" name="Logo" descr="Rijkslint, logo van de Rijksoverheid (blauw)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Logo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7995" cy="15838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6672" behindDoc="0" locked="1" layoutInCell="1" allowOverlap="1">
              <wp:simplePos x="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E5FB8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292710097" name="Logotype" descr="Ministerie van Binnenlandse Zaken en Koninkrijksrelaties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92710097" name="Logotype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d67-aa3c-11ea-a756-beb5f67e67be" o:spid="_x0000_s2058" type="#_x0000_t202" alt="Container voor woordmerk" style="width:184.25pt;height:124.7pt;margin-top:0;margin-left:314.6pt;mso-position-horizontal-relative:page;mso-wrap-distance-bottom:0;mso-wrap-distance-left:0;mso-wrap-distance-right:0;mso-wrap-distance-top:0;mso-wrap-style:square;position:absolute;v-text-anchor:top;visibility:visible;z-index:251677696" filled="f" stroked="f">
              <v:textbox inset="0,0,0,0">
                <w:txbxContent>
                  <w:p w:rsidR="001E5FB8" w14:paraId="6B475BFA" w14:textId="77777777">
                    <w:pPr>
                      <w:spacing w:line="240" w:lineRule="auto"/>
                    </w:pPr>
                    <w:drawing>
                      <wp:inline distT="0" distB="0" distL="0" distR="0">
                        <wp:extent cx="2339975" cy="1582834"/>
                        <wp:effectExtent l="0" t="0" r="0" b="0"/>
                        <wp:docPr id="12" name="Logotype" descr="Ministerie van Binnenlandse Zaken en Koninkrijksrelaties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Logotype"/>
                                <pic:cNvPicPr/>
                              </pic:nvPicPr>
                              <pic:blipFill>
                                <a:blip xmlns:r="http://schemas.openxmlformats.org/officeDocument/2006/relationships" r:embed="rId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39975" cy="15828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8720" behindDoc="0" locked="1" layoutInCell="1" allowOverlap="1">
              <wp:simplePos x="0" y="0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E5FB8" w14:textId="77777777">
                          <w:pPr>
                            <w:pStyle w:val="Referentiegegevens"/>
                          </w:pPr>
                          <w:r>
                            <w:t>&gt; Retouradres Postbus 20011 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5920b9fb-d041-4aa9-8d80-26b233cc0f6e" o:spid="_x0000_s2059" type="#_x0000_t202" style="width:377pt;height:12.75pt;margin-top:135.45pt;margin-left:79.6pt;mso-position-horizontal-relative:page;mso-wrap-distance-bottom:0;mso-wrap-distance-left:0;mso-wrap-distance-right:0;mso-wrap-distance-top:0;mso-wrap-style:square;position:absolute;v-text-anchor:top;visibility:visible;z-index:251679744" filled="f" stroked="f">
              <v:textbox inset="0,0,0,0">
                <w:txbxContent>
                  <w:p w:rsidR="001E5FB8" w14:paraId="45CA0261" w14:textId="77777777">
                    <w:pPr>
                      <w:pStyle w:val="Referentiegegevens"/>
                    </w:pPr>
                    <w:r>
                      <w:t>&gt; Retouradres Postbus 20011 2500 EA  Den Haag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82AA9339"/>
    <w:multiLevelType w:val="multilevel"/>
    <w:tmpl w:val="459390A1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>
    <w:nsid w:val="ED276260"/>
    <w:multiLevelType w:val="multilevel"/>
    <w:tmpl w:val="942F68EB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65F31131"/>
    <w:multiLevelType w:val="multilevel"/>
    <w:tmpl w:val="6D7DADE6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Jc w:val="left"/>
      <w:pPr>
        <w:ind w:left="0" w:firstLine="0"/>
      </w:pPr>
    </w:lvl>
    <w:lvl w:ilvl="6">
      <w:start w:val="1"/>
      <w:numFmt w:val="none"/>
      <w:lvlJc w:val="left"/>
      <w:pPr>
        <w:ind w:left="0" w:firstLine="0"/>
      </w:pPr>
    </w:lvl>
    <w:lvl w:ilvl="7">
      <w:start w:val="1"/>
      <w:numFmt w:val="none"/>
      <w:lvlJc w:val="left"/>
      <w:pPr>
        <w:ind w:left="0" w:firstLine="0"/>
      </w:pPr>
    </w:lvl>
    <w:lvl w:ilvl="8">
      <w:start w:val="1"/>
      <w:numFmt w:val="none"/>
      <w:lvlJc w:val="left"/>
      <w:pPr>
        <w:ind w:left="0" w:firstLine="0"/>
      </w:pPr>
    </w:lvl>
  </w:abstractNum>
  <w:abstractNum w:abstractNumId="3">
    <w:nsid w:val="6EBDB2B5"/>
    <w:multiLevelType w:val="multilevel"/>
    <w:tmpl w:val="534AAFEC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1523007275">
    <w:abstractNumId w:val="2"/>
  </w:num>
  <w:num w:numId="2" w16cid:durableId="1554195254">
    <w:abstractNumId w:val="3"/>
  </w:num>
  <w:num w:numId="3" w16cid:durableId="1364793094">
    <w:abstractNumId w:val="0"/>
  </w:num>
  <w:num w:numId="4" w16cid:durableId="2144495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efaultTableStyle w:val="TableNormal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FB8"/>
    <w:rsid w:val="0000519D"/>
    <w:rsid w:val="000303F1"/>
    <w:rsid w:val="0004186D"/>
    <w:rsid w:val="00060DC1"/>
    <w:rsid w:val="00082949"/>
    <w:rsid w:val="000866AE"/>
    <w:rsid w:val="0010584B"/>
    <w:rsid w:val="001243DA"/>
    <w:rsid w:val="00154767"/>
    <w:rsid w:val="001751BB"/>
    <w:rsid w:val="00191FFB"/>
    <w:rsid w:val="001A405A"/>
    <w:rsid w:val="001C6708"/>
    <w:rsid w:val="001E0DE2"/>
    <w:rsid w:val="001E5FB8"/>
    <w:rsid w:val="001F4631"/>
    <w:rsid w:val="001F4B88"/>
    <w:rsid w:val="00256280"/>
    <w:rsid w:val="00261BF4"/>
    <w:rsid w:val="002928E3"/>
    <w:rsid w:val="002A0C00"/>
    <w:rsid w:val="00314FE5"/>
    <w:rsid w:val="0032217E"/>
    <w:rsid w:val="00371BF4"/>
    <w:rsid w:val="003A22D7"/>
    <w:rsid w:val="003B4672"/>
    <w:rsid w:val="003F3230"/>
    <w:rsid w:val="003F3F97"/>
    <w:rsid w:val="00473DF3"/>
    <w:rsid w:val="004E52B3"/>
    <w:rsid w:val="00555302"/>
    <w:rsid w:val="00594E62"/>
    <w:rsid w:val="005D2239"/>
    <w:rsid w:val="005E18A4"/>
    <w:rsid w:val="005F2124"/>
    <w:rsid w:val="006236A1"/>
    <w:rsid w:val="00641C31"/>
    <w:rsid w:val="006422AE"/>
    <w:rsid w:val="0066429F"/>
    <w:rsid w:val="00693738"/>
    <w:rsid w:val="006D4F47"/>
    <w:rsid w:val="006D574C"/>
    <w:rsid w:val="007412F0"/>
    <w:rsid w:val="00835669"/>
    <w:rsid w:val="008A142A"/>
    <w:rsid w:val="009B474F"/>
    <w:rsid w:val="009C1B03"/>
    <w:rsid w:val="00A51847"/>
    <w:rsid w:val="00AA46D8"/>
    <w:rsid w:val="00AA537B"/>
    <w:rsid w:val="00AB495A"/>
    <w:rsid w:val="00AC321E"/>
    <w:rsid w:val="00AD2AD0"/>
    <w:rsid w:val="00AE45F0"/>
    <w:rsid w:val="00AF4A27"/>
    <w:rsid w:val="00B25476"/>
    <w:rsid w:val="00B64908"/>
    <w:rsid w:val="00B701C2"/>
    <w:rsid w:val="00BE1E09"/>
    <w:rsid w:val="00C35EE7"/>
    <w:rsid w:val="00C850F2"/>
    <w:rsid w:val="00CA3F9F"/>
    <w:rsid w:val="00CB72F3"/>
    <w:rsid w:val="00CD56ED"/>
    <w:rsid w:val="00D00AAB"/>
    <w:rsid w:val="00D16E38"/>
    <w:rsid w:val="00D41F1E"/>
    <w:rsid w:val="00D43C3C"/>
    <w:rsid w:val="00D5719C"/>
    <w:rsid w:val="00D90BDE"/>
    <w:rsid w:val="00DD203A"/>
    <w:rsid w:val="00E424D6"/>
    <w:rsid w:val="00E725D1"/>
    <w:rsid w:val="00EA3B35"/>
    <w:rsid w:val="00ED1E37"/>
    <w:rsid w:val="00F04E8F"/>
    <w:rsid w:val="00F41051"/>
    <w:rsid w:val="00F47C2E"/>
    <w:rsid w:val="00F83B05"/>
    <w:rsid w:val="00F96BAE"/>
    <w:rsid w:val="00FC6E00"/>
    <w:rsid w:val="00FE3322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191F01"/>
  <w15:docId w15:val="{C75841C5-D18D-4889-8643-9F6771E62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FootnoteTex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KoptekstChar"/>
    <w:uiPriority w:val="99"/>
    <w:unhideWhenUsed/>
    <w:rsid w:val="005D223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5D2239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VoettekstChar"/>
    <w:uiPriority w:val="99"/>
    <w:unhideWhenUsed/>
    <w:rsid w:val="005D223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DefaultParagraphFont"/>
    <w:link w:val="Footer"/>
    <w:uiPriority w:val="99"/>
    <w:rsid w:val="005D2239"/>
    <w:rPr>
      <w:rFonts w:ascii="Verdana" w:hAnsi="Verdana"/>
      <w:color w:val="000000"/>
      <w:sz w:val="18"/>
      <w:szCs w:val="18"/>
    </w:rPr>
  </w:style>
  <w:style w:type="paragraph" w:styleId="Revision">
    <w:name w:val="Revision"/>
    <w:hidden/>
    <w:uiPriority w:val="99"/>
    <w:semiHidden/>
    <w:rsid w:val="00EA3B35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A3B35"/>
    <w:rPr>
      <w:sz w:val="16"/>
      <w:szCs w:val="16"/>
    </w:rPr>
  </w:style>
  <w:style w:type="paragraph" w:styleId="CommentText">
    <w:name w:val="annotation text"/>
    <w:basedOn w:val="Normal"/>
    <w:link w:val="TekstopmerkingChar"/>
    <w:uiPriority w:val="99"/>
    <w:unhideWhenUsed/>
    <w:rsid w:val="00EA3B3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DefaultParagraphFont"/>
    <w:link w:val="CommentText"/>
    <w:uiPriority w:val="99"/>
    <w:rsid w:val="00EA3B35"/>
    <w:rPr>
      <w:rFonts w:ascii="Verdana" w:hAnsi="Verdana"/>
      <w:color w:val="000000"/>
    </w:rPr>
  </w:style>
  <w:style w:type="paragraph" w:styleId="CommentSubject">
    <w:name w:val="annotation subject"/>
    <w:basedOn w:val="CommentText"/>
    <w:next w:val="CommentText"/>
    <w:link w:val="OnderwerpvanopmerkingChar"/>
    <w:uiPriority w:val="99"/>
    <w:semiHidden/>
    <w:unhideWhenUsed/>
    <w:rsid w:val="00EA3B35"/>
    <w:rPr>
      <w:b/>
      <w:bCs/>
    </w:rPr>
  </w:style>
  <w:style w:type="character" w:customStyle="1" w:styleId="OnderwerpvanopmerkingChar">
    <w:name w:val="Onderwerp van opmerking Char"/>
    <w:basedOn w:val="TekstopmerkingChar"/>
    <w:link w:val="CommentSubject"/>
    <w:uiPriority w:val="99"/>
    <w:semiHidden/>
    <w:rsid w:val="00EA3B35"/>
    <w:rPr>
      <w:rFonts w:ascii="Verdana" w:hAnsi="Verdana"/>
      <w:b/>
      <w:bCs/>
      <w:color w:val="000000"/>
    </w:rPr>
  </w:style>
  <w:style w:type="character" w:styleId="FootnoteReference">
    <w:name w:val="footnote reference"/>
    <w:basedOn w:val="DefaultParagraphFont"/>
    <w:uiPriority w:val="99"/>
    <w:semiHidden/>
    <w:unhideWhenUsed/>
    <w:rsid w:val="00AE45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1" /><Relationship Type="http://schemas.openxmlformats.org/officeDocument/2006/relationships/footer" Target="footer2.xml" Id="rId10" /><Relationship Type="http://schemas.openxmlformats.org/officeDocument/2006/relationships/header" Target="header3.xml" Id="rId11" /><Relationship Type="http://schemas.openxmlformats.org/officeDocument/2006/relationships/footer" Target="footer3.xml" Id="rId12" /><Relationship Type="http://schemas.openxmlformats.org/officeDocument/2006/relationships/theme" Target="theme/theme1.xml" Id="rId13" /><Relationship Type="http://schemas.openxmlformats.org/officeDocument/2006/relationships/numbering" Target="numbering.xml" Id="rId14" /><Relationship Type="http://schemas.openxmlformats.org/officeDocument/2006/relationships/styles" Target="styles.xml" Id="rId15" /><Relationship Type="http://schemas.openxmlformats.org/officeDocument/2006/relationships/settings" Target="settings.xml" Id="rId2" /><Relationship Type="http://schemas.openxmlformats.org/officeDocument/2006/relationships/webSettings" Target="webSettings.xml" Id="rId3" /><Relationship Type="http://schemas.openxmlformats.org/officeDocument/2006/relationships/fontTable" Target="fontTable.xml" Id="rId4" /><Relationship Type="http://schemas.openxmlformats.org/officeDocument/2006/relationships/header" Target="header1.xml" Id="rId7" /><Relationship Type="http://schemas.openxmlformats.org/officeDocument/2006/relationships/header" Target="header2.xml" Id="rId8" /><Relationship Type="http://schemas.openxmlformats.org/officeDocument/2006/relationships/footer" Target="footer1.xml" Id="rId9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267</ap:Words>
  <ap:Characters>1470</ap:Characters>
  <ap:DocSecurity>0</ap:DocSecurity>
  <ap:Lines>12</ap:Lines>
  <ap:Paragraphs>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Parlement - Advies ACVG Uniforme Wandenaanpak</vt:lpstr>
    </vt:vector>
  </ap:TitlesOfParts>
  <ap:LinksUpToDate>false</ap:LinksUpToDate>
  <ap:CharactersWithSpaces>1734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revision/>
  <dcterms:created xsi:type="dcterms:W3CDTF">2026-08-27T07:41:00.0000000Z</dcterms:created>
  <dcterms:modified xsi:type="dcterms:W3CDTF">2026-09-18T07:54:00.0000000Z</dcterms:modified>
  <dc:creator/>
  <lastModifiedBy/>
  <dc:description>------------------------</dc:description>
  <dc:subject/>
  <keywords/>
  <version/>
  <category/>
</coreProperties>
</file>