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2026Z19189</w:t>
        <w:br/>
      </w:r>
      <w:proofErr w:type="spellEnd"/>
    </w:p>
    <w:p>
      <w:pPr>
        <w:pStyle w:val="Normal"/>
        <w:rPr>
          <w:b w:val="1"/>
          <w:bCs w:val="1"/>
        </w:rPr>
      </w:pPr>
      <w:r w:rsidR="250AE766">
        <w:rPr>
          <w:b w:val="0"/>
          <w:bCs w:val="0"/>
        </w:rPr>
        <w:t>(ingezonden 18 september 2026)</w:t>
        <w:br/>
      </w:r>
    </w:p>
    <w:p>
      <w:r>
        <w:t xml:space="preserve">Vragen van het lid Zalinyan (PRO) aan de minister van Klimaat en Groene Groei over de uitwerking van de Europese regels ten aanzien van verpakkingen (PPWR) en de uitwerking op micro-ondernemers.</w:t>
      </w:r>
      <w:r>
        <w:br/>
      </w:r>
    </w:p>
    <w:p>
      <w:pPr>
        <w:pStyle w:val="ListParagraph"/>
        <w:numPr>
          <w:ilvl w:val="0"/>
          <w:numId w:val="100519200"/>
        </w:numPr>
        <w:ind w:left="360"/>
      </w:pPr>
      <w:r>
        <w:t xml:space="preserve">Hoe zorgt u ervoor dat de uitvoering van de PPWR (Packaging and Packaging Waste Regulation) ook voor micro- en kleine ondernemingen werkbaar is, zodat zij kunnen profiteren van de Europese interne markt?</w:t>
      </w:r>
      <w:r>
        <w:br/>
      </w:r>
    </w:p>
    <w:p>
      <w:pPr>
        <w:pStyle w:val="ListParagraph"/>
        <w:numPr>
          <w:ilvl w:val="0"/>
          <w:numId w:val="100519200"/>
        </w:numPr>
        <w:ind w:left="360"/>
      </w:pPr>
      <w:r>
        <w:t xml:space="preserve">Welke mogelijkheden ziet u om de administratieve uitvoering van verplichtingen op grond van de Extended Producer Responsibility (EPR) voor kleine ondernemers te vereenvoudigen, zonder afbreuk te doen aan de verantwoordelijkheid van producenten en positieve impact op circulariteit?</w:t>
      </w:r>
      <w:r>
        <w:br/>
      </w:r>
    </w:p>
    <w:p>
      <w:pPr>
        <w:pStyle w:val="ListParagraph"/>
        <w:numPr>
          <w:ilvl w:val="0"/>
          <w:numId w:val="100519200"/>
        </w:numPr>
        <w:ind w:left="360"/>
      </w:pPr>
      <w:r>
        <w:t xml:space="preserve">Hoe kijkt u naar het voorstel van de Europese Commissie om de verplichting tot een Authorised Representative bij grensoverschrijdende verkoop tijdelijk op te schorten en wat zou er volgens u na deze tijdelijke maatregel moeten gebeuren?</w:t>
      </w:r>
      <w:r>
        <w:br/>
      </w:r>
    </w:p>
    <w:p>
      <w:pPr>
        <w:pStyle w:val="ListParagraph"/>
        <w:numPr>
          <w:ilvl w:val="0"/>
          <w:numId w:val="100519200"/>
        </w:numPr>
        <w:ind w:left="360"/>
      </w:pPr>
      <w:r>
        <w:t xml:space="preserve">Bent u bereid zich in Brussel in te zetten voor één Europees registratiemechanisme voor EPR-verplichtingen, vergelijkbaar met de btw-One-Stop-Shop?</w:t>
      </w:r>
      <w:r>
        <w:br/>
      </w:r>
    </w:p>
    <w:p>
      <w:pPr>
        <w:pStyle w:val="ListParagraph"/>
        <w:numPr>
          <w:ilvl w:val="0"/>
          <w:numId w:val="100519200"/>
        </w:numPr>
        <w:ind w:left="360"/>
      </w:pPr>
      <w:r>
        <w:t xml:space="preserve">Bent u bereid te pleiten voor verdere harmonisatie van registratie-, rapportage- en gegevensvereisten, zodat ondernemers niet per lidstaat met verschillende systemen worden geconfronteerd?</w:t>
      </w:r>
      <w:r>
        <w:br/>
      </w:r>
    </w:p>
    <w:p>
      <w:pPr>
        <w:pStyle w:val="ListParagraph"/>
        <w:numPr>
          <w:ilvl w:val="0"/>
          <w:numId w:val="100519200"/>
        </w:numPr>
        <w:ind w:left="360"/>
      </w:pPr>
      <w:r>
        <w:t xml:space="preserve">Hoe kan harmonisatie volgens u juist bijdragen aan méér ambitie op het gebied van circulariteit en producentenverantwoordelijkheid, bijvoorbeeld door naleving eenvoudiger te maken?</w:t>
      </w:r>
      <w:r>
        <w:br/>
      </w:r>
    </w:p>
    <w:p>
      <w:pPr>
        <w:pStyle w:val="ListParagraph"/>
        <w:numPr>
          <w:ilvl w:val="0"/>
          <w:numId w:val="100519200"/>
        </w:numPr>
        <w:ind w:left="360"/>
      </w:pPr>
      <w:r>
        <w:t xml:space="preserve">Bent u in gesprek met Nederlandse micro- en kleine ondernemers over de verdere uitwerking van de PPWR, zodat de regels ook voor deze groep werkbaar zijn en tegelijkertijd positieve impact hebben?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