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2026Z19188</w:t>
        <w:br/>
      </w:r>
      <w:proofErr w:type="spellEnd"/>
    </w:p>
    <w:p>
      <w:pPr>
        <w:pStyle w:val="Normal"/>
        <w:rPr>
          <w:b w:val="1"/>
          <w:bCs w:val="1"/>
        </w:rPr>
      </w:pPr>
      <w:r w:rsidR="250AE766">
        <w:rPr>
          <w:b w:val="0"/>
          <w:bCs w:val="0"/>
        </w:rPr>
        <w:t>(ingezonden 18 september 2026)</w:t>
        <w:br/>
      </w:r>
    </w:p>
    <w:p>
      <w:r>
        <w:t xml:space="preserve">Vragen van het lid Van Houwelingen (FVD) aan de minister van Justitie en Veiligheid over databronnen die op De Raffinaderij zijn aangesloten</w:t>
      </w:r>
      <w:r>
        <w:br/>
      </w:r>
    </w:p>
    <w:p>
      <w:pPr>
        <w:pStyle w:val="ListParagraph"/>
        <w:numPr>
          <w:ilvl w:val="0"/>
          <w:numId w:val="100519190"/>
        </w:numPr>
        <w:ind w:left="360"/>
      </w:pPr>
      <w:r>
        <w:t xml:space="preserve">Kan de Kamer een overzicht ontvangen van de databronnen die op De Raffinaderij zijn aangesloten, desnoods vertrouwelijk? </w:t>
      </w:r>
      <w:r>
        <w:br/>
      </w:r>
    </w:p>
    <w:p>
      <w:pPr>
        <w:pStyle w:val="ListParagraph"/>
        <w:numPr>
          <w:ilvl w:val="0"/>
          <w:numId w:val="100519190"/>
        </w:numPr>
        <w:ind w:left="360"/>
      </w:pPr>
      <w:r>
        <w:t xml:space="preserve">Worden binnen De Raffinaderij gegevens uit openbare bronnen verwerkt, waaronder sociale media of andere openbronneninlichtingen? Zo ja, op welke grondslag en hoe verhoudt zich dat tot de Wet politiegegevens (Wpg) artikel 8, 9 en 10?</w:t>
      </w:r>
      <w:r>
        <w:br/>
      </w:r>
    </w:p>
    <w:p>
      <w:pPr>
        <w:pStyle w:val="ListParagraph"/>
        <w:numPr>
          <w:ilvl w:val="0"/>
          <w:numId w:val="100519190"/>
        </w:numPr>
        <w:ind w:left="360"/>
      </w:pPr>
      <w:r>
        <w:t xml:space="preserve">De staatssecretaris van defensie heeft aangegeven dat het gebruik van Palantir geleidelijk zal worden afgebouwd binnen defensie, geldt dit ook voor het gebruik van Palantir door de politie?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