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728EB" w:rsidTr="008728EB" w14:paraId="007F9137" w14:textId="77777777">
        <w:sdt>
          <w:sdtPr>
            <w:tag w:val="bmZaakNummerAdvies"/>
            <w:id w:val="1067147901"/>
            <w:lock w:val="sdtLocked"/>
            <w:placeholder>
              <w:docPart w:val="DefaultPlaceholder_-1854013440"/>
            </w:placeholder>
          </w:sdtPr>
          <w:sdtEndPr/>
          <w:sdtContent>
            <w:tc>
              <w:tcPr>
                <w:tcW w:w="4251" w:type="dxa"/>
              </w:tcPr>
              <w:p w:rsidR="008728EB" w:rsidP="00C37ED4" w:rsidRDefault="008728EB" w14:paraId="24F366EF" w14:textId="48B45078">
                <w:r>
                  <w:t>No. W06.26.00249/III</w:t>
                </w:r>
              </w:p>
            </w:tc>
          </w:sdtContent>
        </w:sdt>
        <w:sdt>
          <w:sdtPr>
            <w:tag w:val="bmDatumAdvies"/>
            <w:id w:val="-1758284861"/>
            <w:lock w:val="sdtLocked"/>
            <w:placeholder>
              <w:docPart w:val="DefaultPlaceholder_-1854013440"/>
            </w:placeholder>
          </w:sdtPr>
          <w:sdtEndPr/>
          <w:sdtContent>
            <w:tc>
              <w:tcPr>
                <w:tcW w:w="4252" w:type="dxa"/>
              </w:tcPr>
              <w:p w:rsidR="008728EB" w:rsidP="00C37ED4" w:rsidRDefault="008728EB" w14:paraId="28C09E24" w14:textId="665E85B5">
                <w:r>
                  <w:t>'s-Gravenhage, 9 september 2026</w:t>
                </w:r>
              </w:p>
            </w:tc>
          </w:sdtContent>
        </w:sdt>
      </w:tr>
    </w:tbl>
    <w:p w:rsidR="008728EB" w:rsidP="00C37ED4" w:rsidRDefault="008728EB" w14:paraId="5167BC90" w14:textId="77777777"/>
    <w:p w:rsidR="008728EB" w:rsidP="00C37ED4" w:rsidRDefault="008728EB" w14:paraId="590A261D" w14:textId="77777777"/>
    <w:p w:rsidR="00B12036" w:rsidP="00C37ED4" w:rsidRDefault="000E5D33" w14:paraId="2F0CAA41" w14:textId="053FA835">
      <w:sdt>
        <w:sdtPr>
          <w:tag w:val="bmAanhef"/>
          <w:id w:val="832567330"/>
          <w:lock w:val="sdtLocked"/>
          <w:placeholder>
            <w:docPart w:val="A09D53FB19C74AE69F6CAFD77E60EBF2"/>
          </w:placeholder>
        </w:sdtPr>
        <w:sdtEndPr/>
        <w:sdtContent>
          <w:r w:rsidR="008728EB">
            <w:rPr>
              <w:color w:val="000000"/>
            </w:rPr>
            <w:t>Bij Kabinetsmissive van 1 september 2026, no.2026001700, heeft Uwe Majesteit, op voordracht van de Minister van Financiën, bij de Afdeling advisering van de Raad van State ter overweging aanhangig gemaakt het ontwerp-Miljoenennota 2027 en Septemberrapportage OBT 2026, met memorie van toelichting.</w:t>
          </w:r>
        </w:sdtContent>
      </w:sdt>
    </w:p>
    <w:p w:rsidR="00526834" w:rsidP="00C37ED4" w:rsidRDefault="00526834" w14:paraId="5AA5DC58" w14:textId="77777777"/>
    <w:sdt>
      <w:sdtPr>
        <w:tag w:val="bmVrijeTekst1"/>
        <w:id w:val="-828903771"/>
        <w:lock w:val="sdtLocked"/>
        <w:placeholder>
          <w:docPart w:val="A09D53FB19C74AE69F6CAFD77E60EBF2"/>
        </w:placeholder>
      </w:sdtPr>
      <w:sdtEndPr/>
      <w:sdtContent>
        <w:p w:rsidR="00CC7724" w:rsidP="00CC7724" w:rsidRDefault="00CC7724" w14:paraId="1C0104F3" w14:textId="7A176AF1">
          <w:r>
            <w:t xml:space="preserve">A. </w:t>
          </w:r>
          <w:r>
            <w:tab/>
            <w:t>INLEIDING EN CONCLUSIE</w:t>
          </w:r>
        </w:p>
        <w:p w:rsidR="00CC7724" w:rsidP="00CC7724" w:rsidRDefault="00CC7724" w14:paraId="6E2791C0" w14:textId="77777777"/>
        <w:p w:rsidR="00CC7724" w:rsidP="00CC7724" w:rsidRDefault="00CC7724" w14:paraId="7F0F6AC8" w14:textId="77777777">
          <w:pPr>
            <w:rPr>
              <w:u w:val="single"/>
            </w:rPr>
          </w:pPr>
          <w:r>
            <w:t>1.</w:t>
          </w:r>
          <w:r>
            <w:tab/>
          </w:r>
          <w:r w:rsidRPr="009A1662">
            <w:rPr>
              <w:u w:val="single"/>
            </w:rPr>
            <w:t>Inleiding</w:t>
          </w:r>
        </w:p>
        <w:p w:rsidR="00CC7724" w:rsidP="00CC7724" w:rsidRDefault="00CC7724" w14:paraId="0D807A90" w14:textId="77777777">
          <w:pPr>
            <w:rPr>
              <w:u w:val="single"/>
            </w:rPr>
          </w:pPr>
        </w:p>
        <w:p w:rsidR="00CC7724" w:rsidP="00CC7724" w:rsidRDefault="00CC7724" w14:paraId="14EA9C30" w14:textId="778C3EFD">
          <w:r w:rsidRPr="005F60E0">
            <w:t xml:space="preserve">De Afdeling </w:t>
          </w:r>
          <w:r>
            <w:t>a</w:t>
          </w:r>
          <w:r w:rsidRPr="005F60E0">
            <w:t>dvisering van de Raad van State presenteert in deze rapportage zowel haar advies over de Miljoenennota 202</w:t>
          </w:r>
          <w:r>
            <w:t>7</w:t>
          </w:r>
          <w:r w:rsidRPr="005F60E0">
            <w:t xml:space="preserve"> als de rapportage in het kader van het onafhankelijk begrotingstoezicht (Septemberrapportage</w:t>
          </w:r>
          <w:r>
            <w:t xml:space="preserve"> 2026</w:t>
          </w:r>
          <w:r w:rsidRPr="005F60E0">
            <w:t>)</w:t>
          </w:r>
          <w:r w:rsidRPr="006B6E4C">
            <w:t>.</w:t>
          </w:r>
          <w:r>
            <w:rPr>
              <w:rStyle w:val="Voetnootmarkering"/>
            </w:rPr>
            <w:footnoteReference w:id="2"/>
          </w:r>
          <w:r w:rsidRPr="006B6E4C">
            <w:t xml:space="preserve"> </w:t>
          </w:r>
          <w:r w:rsidRPr="00D72132">
            <w:t>In het advies over de Miljoenennota 202</w:t>
          </w:r>
          <w:r>
            <w:t>7</w:t>
          </w:r>
          <w:r w:rsidRPr="00D72132">
            <w:t xml:space="preserve"> besteedt de Afdeling aandacht aan </w:t>
          </w:r>
          <w:r>
            <w:t>de intergenerationele verdelingseffecten van het door het kabinet voorgestelde begrotingsbeleid.</w:t>
          </w:r>
          <w:r>
            <w:rPr>
              <w:rStyle w:val="Voetnootmarkering"/>
            </w:rPr>
            <w:footnoteReference w:id="3"/>
          </w:r>
          <w:r>
            <w:t xml:space="preserve"> In de rapportage over </w:t>
          </w:r>
          <w:r w:rsidRPr="006B6E4C">
            <w:t xml:space="preserve">het onafhankelijk begrotingstoezicht </w:t>
          </w:r>
          <w:r>
            <w:t xml:space="preserve">beoordeelt de Afdeling </w:t>
          </w:r>
          <w:r w:rsidRPr="006B6E4C">
            <w:t xml:space="preserve">de naleving van de </w:t>
          </w:r>
          <w:r>
            <w:t>nationale en Europese</w:t>
          </w:r>
          <w:r w:rsidRPr="006B6E4C">
            <w:t xml:space="preserve"> begrotingsregels.</w:t>
          </w:r>
          <w:r>
            <w:rPr>
              <w:rStyle w:val="Voetnootmarkering"/>
            </w:rPr>
            <w:footnoteReference w:id="4"/>
          </w:r>
        </w:p>
        <w:p w:rsidR="00CC7724" w:rsidP="00CC7724" w:rsidRDefault="00CC7724" w14:paraId="0776A7EC" w14:textId="77777777"/>
        <w:p w:rsidR="00CC7724" w:rsidP="00CC7724" w:rsidRDefault="00CC7724" w14:paraId="6E14AAF9" w14:textId="77777777">
          <w:r>
            <w:t>D</w:t>
          </w:r>
          <w:r w:rsidRPr="0035613D">
            <w:t xml:space="preserve">e Afdeling </w:t>
          </w:r>
          <w:r>
            <w:t>heeft</w:t>
          </w:r>
          <w:r w:rsidRPr="0035613D">
            <w:t xml:space="preserve"> kennis kunnen nemen van</w:t>
          </w:r>
          <w:r>
            <w:t xml:space="preserve"> de bij haar op 1 september jl. ingediende </w:t>
          </w:r>
          <w:r w:rsidRPr="0035613D">
            <w:t>Miljoenennota. Op basis daarvan heeft de Afdeling een conceptbeoordeling in het kader van het onafhankelijk begrotingstoezicht opg</w:t>
          </w:r>
          <w:r>
            <w:t>esteld wa</w:t>
          </w:r>
          <w:r w:rsidRPr="0035613D">
            <w:t xml:space="preserve">arover </w:t>
          </w:r>
          <w:r>
            <w:t>h</w:t>
          </w:r>
          <w:r w:rsidRPr="0035613D">
            <w:t xml:space="preserve">et kabinet </w:t>
          </w:r>
          <w:r>
            <w:t>is</w:t>
          </w:r>
          <w:r w:rsidRPr="0035613D">
            <w:t xml:space="preserve"> gehoord. De Afdeling heeft na kennisneming van de reactie van het kabinet haar definitieve beoordeling vastgesteld. De reactie van het kabinet is integraal in deze rapportage opgenomen.</w:t>
          </w:r>
        </w:p>
        <w:p w:rsidR="00CC7724" w:rsidP="00CC7724" w:rsidRDefault="00CC7724" w14:paraId="29F01309" w14:textId="77777777"/>
        <w:p w:rsidR="00CC7724" w:rsidP="00CC7724" w:rsidRDefault="00CC7724" w14:paraId="7A170E6B" w14:textId="77777777">
          <w:pPr>
            <w:rPr>
              <w:szCs w:val="22"/>
            </w:rPr>
          </w:pPr>
          <w:r w:rsidRPr="00602DF2">
            <w:rPr>
              <w:szCs w:val="22"/>
            </w:rPr>
            <w:t>Het begrotingsproces is met de bij Prinsjesdag ingediende stukken in formele zin ni</w:t>
          </w:r>
          <w:r>
            <w:rPr>
              <w:szCs w:val="22"/>
            </w:rPr>
            <w:t>et</w:t>
          </w:r>
          <w:r w:rsidRPr="00602DF2">
            <w:rPr>
              <w:szCs w:val="22"/>
            </w:rPr>
            <w:t xml:space="preserve"> voltooid, aangezien daarmee de parlementaire behandeling </w:t>
          </w:r>
          <w:r>
            <w:rPr>
              <w:szCs w:val="22"/>
            </w:rPr>
            <w:t xml:space="preserve">pas </w:t>
          </w:r>
          <w:r w:rsidRPr="00602DF2">
            <w:rPr>
              <w:szCs w:val="22"/>
            </w:rPr>
            <w:t>aanvangt</w:t>
          </w:r>
          <w:r>
            <w:rPr>
              <w:szCs w:val="22"/>
            </w:rPr>
            <w:t xml:space="preserve">. </w:t>
          </w:r>
        </w:p>
        <w:p w:rsidR="00CC7724" w:rsidP="00CC7724" w:rsidRDefault="00CC7724" w14:paraId="61910A04" w14:textId="77777777">
          <w:pPr>
            <w:rPr>
              <w:szCs w:val="22"/>
            </w:rPr>
          </w:pPr>
          <w:r>
            <w:rPr>
              <w:szCs w:val="22"/>
            </w:rPr>
            <w:t>Het is niet ondenkbaar dat nog meer dan andere jaren de behandeling in de Tweede Kamer van zowel de ontwerpbegrotingen als de fiscale wetsvoorstellen tot bijstellingen leidt (nota’s van wijzigingen en amendementen).</w:t>
          </w:r>
        </w:p>
        <w:p w:rsidR="00CC7724" w:rsidP="00CC7724" w:rsidRDefault="00CC7724" w14:paraId="143A3211" w14:textId="77777777">
          <w:pPr>
            <w:rPr>
              <w:szCs w:val="22"/>
            </w:rPr>
          </w:pPr>
        </w:p>
        <w:p w:rsidR="00CC7724" w:rsidP="00CC7724" w:rsidRDefault="00CC7724" w14:paraId="179F7E42" w14:textId="12A70C73">
          <w:pPr>
            <w:rPr>
              <w:szCs w:val="22"/>
            </w:rPr>
          </w:pPr>
          <w:r>
            <w:rPr>
              <w:szCs w:val="22"/>
            </w:rPr>
            <w:t>Omdat kabinet en beide Kamers gediend zijn met het kunnen afwegen van het totale resultaat van een aanzienlijk aantal wijzigingen</w:t>
          </w:r>
          <w:r w:rsidR="00DE0A64">
            <w:rPr>
              <w:szCs w:val="22"/>
            </w:rPr>
            <w:t xml:space="preserve"> (door bijvoorbeeld nota’s van wijzigingen </w:t>
          </w:r>
          <w:r w:rsidR="00CE7EB5">
            <w:rPr>
              <w:szCs w:val="22"/>
            </w:rPr>
            <w:t>en amendementen van begrotingen en belastingplan),</w:t>
          </w:r>
          <w:r>
            <w:rPr>
              <w:szCs w:val="22"/>
            </w:rPr>
            <w:t xml:space="preserve"> kan de </w:t>
          </w:r>
          <w:r>
            <w:rPr>
              <w:szCs w:val="22"/>
            </w:rPr>
            <w:lastRenderedPageBreak/>
            <w:t xml:space="preserve">Afdeling een </w:t>
          </w:r>
          <w:r w:rsidR="00CE7EB5">
            <w:rPr>
              <w:szCs w:val="22"/>
            </w:rPr>
            <w:t>aanvullend ad</w:t>
          </w:r>
          <w:r>
            <w:rPr>
              <w:szCs w:val="22"/>
            </w:rPr>
            <w:t>vies uitbrengen over de in de loop van het najaar aangepast geheel.</w:t>
          </w:r>
          <w:r>
            <w:rPr>
              <w:rStyle w:val="Voetnootmarkering"/>
              <w:szCs w:val="22"/>
            </w:rPr>
            <w:footnoteReference w:id="5"/>
          </w:r>
          <w:r>
            <w:rPr>
              <w:szCs w:val="22"/>
            </w:rPr>
            <w:t xml:space="preserve"> Dit </w:t>
          </w:r>
          <w:r w:rsidR="00CE7EB5">
            <w:rPr>
              <w:szCs w:val="22"/>
            </w:rPr>
            <w:t xml:space="preserve">komt de integrale afweging ten goede en </w:t>
          </w:r>
          <w:r>
            <w:rPr>
              <w:szCs w:val="22"/>
            </w:rPr>
            <w:t>voorkomt tevens de noodzaak van reparatiewetgeving, al dan niet voortkomend uit technische onvolkomenheden, gebleken onuitvoerbaarheid en nadere politieke inzichten.</w:t>
          </w:r>
        </w:p>
        <w:p w:rsidR="004E62B4" w:rsidP="00CC7724" w:rsidRDefault="004E62B4" w14:paraId="664B69CE" w14:textId="77777777"/>
        <w:p w:rsidRPr="00AE61AB" w:rsidR="00CC7724" w:rsidP="00CC7724" w:rsidRDefault="00CC7724" w14:paraId="1F3B8BEE" w14:textId="77777777">
          <w:r w:rsidRPr="00AE61AB">
            <w:t>Deze rapportage kent de volgende opzet:</w:t>
          </w:r>
        </w:p>
        <w:p w:rsidR="00CC7724" w:rsidP="00CC7724" w:rsidRDefault="00CC7724" w14:paraId="4A73EB9F" w14:textId="77777777">
          <w:pPr>
            <w:pStyle w:val="Lijstalinea"/>
            <w:numPr>
              <w:ilvl w:val="0"/>
              <w:numId w:val="5"/>
            </w:numPr>
          </w:pPr>
          <w:r>
            <w:t xml:space="preserve">INLEIDING EN CONCLUSIE </w:t>
          </w:r>
        </w:p>
        <w:p w:rsidR="00CC7724" w:rsidP="00CC7724" w:rsidRDefault="00CC7724" w14:paraId="5C231B83" w14:textId="77777777">
          <w:pPr>
            <w:pStyle w:val="Lijstalinea"/>
          </w:pPr>
          <w:r>
            <w:t xml:space="preserve">A.1. </w:t>
          </w:r>
          <w:r>
            <w:tab/>
            <w:t xml:space="preserve">Inleiding </w:t>
          </w:r>
        </w:p>
        <w:p w:rsidR="00CC7724" w:rsidP="00CC7724" w:rsidRDefault="00CC7724" w14:paraId="49E347E2" w14:textId="77777777">
          <w:pPr>
            <w:pStyle w:val="Lijstalinea"/>
          </w:pPr>
          <w:r>
            <w:t xml:space="preserve">A.2. </w:t>
          </w:r>
          <w:r>
            <w:tab/>
            <w:t xml:space="preserve">Samenvattende conclusie en advies </w:t>
          </w:r>
        </w:p>
        <w:p w:rsidR="00CC7724" w:rsidP="00CC7724" w:rsidRDefault="00CC7724" w14:paraId="2F497408" w14:textId="77777777">
          <w:pPr>
            <w:pStyle w:val="Lijstalinea"/>
            <w:numPr>
              <w:ilvl w:val="0"/>
              <w:numId w:val="5"/>
            </w:numPr>
          </w:pPr>
          <w:r>
            <w:t>ANALYSE</w:t>
          </w:r>
        </w:p>
        <w:p w:rsidR="00CC7724" w:rsidP="00CC7724" w:rsidRDefault="00CC7724" w14:paraId="2FF522F6" w14:textId="77777777">
          <w:pPr>
            <w:pStyle w:val="Lijstalinea"/>
          </w:pPr>
          <w:r>
            <w:t xml:space="preserve">B.1. </w:t>
          </w:r>
          <w:r>
            <w:tab/>
            <w:t xml:space="preserve">De macro-economische context </w:t>
          </w:r>
        </w:p>
        <w:p w:rsidR="00CC7724" w:rsidP="00CC7724" w:rsidRDefault="00CC7724" w14:paraId="6A4AF8DA" w14:textId="77777777">
          <w:pPr>
            <w:pStyle w:val="Lijstalinea"/>
          </w:pPr>
          <w:r>
            <w:t xml:space="preserve">B.2. </w:t>
          </w:r>
          <w:r>
            <w:tab/>
            <w:t xml:space="preserve">De budgettaire context </w:t>
          </w:r>
        </w:p>
        <w:p w:rsidR="00CC7724" w:rsidP="00CC7724" w:rsidRDefault="00CC7724" w14:paraId="5939B9F5" w14:textId="77777777">
          <w:pPr>
            <w:pStyle w:val="Lijstalinea"/>
            <w:numPr>
              <w:ilvl w:val="0"/>
              <w:numId w:val="5"/>
            </w:numPr>
          </w:pPr>
          <w:r>
            <w:t>ADVIES OVER DE MILJOENENNOTA 2027</w:t>
          </w:r>
        </w:p>
        <w:p w:rsidRPr="00990B16" w:rsidR="00CC7724" w:rsidP="00CC7724" w:rsidRDefault="00CC7724" w14:paraId="169FC206" w14:textId="77777777">
          <w:pPr>
            <w:pStyle w:val="Lijstalinea"/>
          </w:pPr>
          <w:r w:rsidRPr="00990B16">
            <w:t xml:space="preserve">C.1. </w:t>
          </w:r>
          <w:r w:rsidRPr="00990B16">
            <w:tab/>
            <w:t>Beheers de schuld</w:t>
          </w:r>
        </w:p>
        <w:p w:rsidR="00CC7724" w:rsidP="00CC7724" w:rsidRDefault="00CC7724" w14:paraId="09E327BD" w14:textId="77777777">
          <w:pPr>
            <w:ind w:firstLine="708"/>
          </w:pPr>
          <w:r w:rsidRPr="00990B16">
            <w:t>C.2.</w:t>
          </w:r>
          <w:r w:rsidRPr="00990B16">
            <w:tab/>
            <w:t>Bevorder de arbeidsproductiviteit</w:t>
          </w:r>
        </w:p>
        <w:p w:rsidR="00CC7724" w:rsidP="00CC7724" w:rsidRDefault="00CC7724" w14:paraId="6A78430B" w14:textId="77777777">
          <w:pPr>
            <w:ind w:left="1418"/>
            <w:rPr>
              <w:u w:val="single"/>
            </w:rPr>
          </w:pPr>
          <w:r>
            <w:t xml:space="preserve">C.2.1 </w:t>
          </w:r>
          <w:r w:rsidRPr="00BB2281">
            <w:t>Stimuleer arbeidsproductiviteit door samenstelling overheidsuitgaven</w:t>
          </w:r>
          <w:r w:rsidRPr="002B26B2">
            <w:rPr>
              <w:u w:val="single"/>
            </w:rPr>
            <w:t xml:space="preserve"> </w:t>
          </w:r>
        </w:p>
        <w:p w:rsidRPr="00BB2281" w:rsidR="00CC7724" w:rsidP="00CC7724" w:rsidRDefault="00CC7724" w14:paraId="22B0DE7B" w14:textId="77777777">
          <w:pPr>
            <w:ind w:left="1418"/>
          </w:pPr>
          <w:r w:rsidRPr="00BB2281">
            <w:t>C.2.</w:t>
          </w:r>
          <w:r>
            <w:t>2 Stuur actief op de sectormix</w:t>
          </w:r>
        </w:p>
        <w:p w:rsidR="00CC7724" w:rsidP="00CC7724" w:rsidRDefault="00CC7724" w14:paraId="7653D438" w14:textId="77777777">
          <w:pPr>
            <w:ind w:left="1418"/>
          </w:pPr>
          <w:r>
            <w:t xml:space="preserve">C.2.3 </w:t>
          </w:r>
          <w:r w:rsidRPr="00440166">
            <w:t>Be</w:t>
          </w:r>
          <w:r>
            <w:t>steed aandacht aan</w:t>
          </w:r>
          <w:r w:rsidRPr="00440166">
            <w:t xml:space="preserve"> de </w:t>
          </w:r>
          <w:r>
            <w:t>bedrijfsdynamiek</w:t>
          </w:r>
        </w:p>
        <w:p w:rsidRPr="00BB2281" w:rsidR="00CC7724" w:rsidP="00CC7724" w:rsidRDefault="00CC7724" w14:paraId="090169C0" w14:textId="77777777">
          <w:pPr>
            <w:ind w:left="1418"/>
          </w:pPr>
          <w:r>
            <w:t>C.2.4 Rapporteer over de bijdrage van beleid aan productiviteitsgroei</w:t>
          </w:r>
        </w:p>
        <w:p w:rsidR="00CC7724" w:rsidP="00CC7724" w:rsidRDefault="00CC7724" w14:paraId="1642928A" w14:textId="77777777">
          <w:pPr>
            <w:pStyle w:val="Lijstalinea"/>
          </w:pPr>
          <w:r>
            <w:t>C.3.</w:t>
          </w:r>
          <w:r>
            <w:tab/>
            <w:t>Versnel de energietransitie</w:t>
          </w:r>
        </w:p>
        <w:p w:rsidR="00CC7724" w:rsidP="00CC7724" w:rsidRDefault="00CC7724" w14:paraId="12FC7CEC" w14:textId="77777777">
          <w:pPr>
            <w:pStyle w:val="Lijstalinea"/>
          </w:pPr>
          <w:r>
            <w:tab/>
            <w:t xml:space="preserve">C.3.1 </w:t>
          </w:r>
          <w:r w:rsidRPr="00990B16">
            <w:t>Inhaalslag op klimaat</w:t>
          </w:r>
        </w:p>
        <w:p w:rsidR="00CC7724" w:rsidP="00CC7724" w:rsidRDefault="00CC7724" w14:paraId="7B511377" w14:textId="77777777">
          <w:pPr>
            <w:pStyle w:val="Lijstalinea"/>
          </w:pPr>
          <w:r>
            <w:tab/>
            <w:t xml:space="preserve">C.3.2 </w:t>
          </w:r>
          <w:r w:rsidRPr="00990B16">
            <w:t>Meer energie-autonomie</w:t>
          </w:r>
        </w:p>
        <w:p w:rsidR="00CC7724" w:rsidP="00CC7724" w:rsidRDefault="00CC7724" w14:paraId="7064C319" w14:textId="77777777">
          <w:pPr>
            <w:pStyle w:val="Lijstalinea"/>
          </w:pPr>
          <w:r>
            <w:t>C.4.</w:t>
          </w:r>
          <w:r>
            <w:tab/>
            <w:t>Conclusie</w:t>
          </w:r>
        </w:p>
        <w:p w:rsidR="00CC7724" w:rsidP="00CC7724" w:rsidRDefault="00CC7724" w14:paraId="649D947C" w14:textId="77777777">
          <w:pPr>
            <w:pStyle w:val="Lijstalinea"/>
            <w:numPr>
              <w:ilvl w:val="0"/>
              <w:numId w:val="5"/>
            </w:numPr>
          </w:pPr>
          <w:r>
            <w:t xml:space="preserve">SEPTEMBERRAPPORTAGE 2026 </w:t>
          </w:r>
        </w:p>
        <w:p w:rsidR="00CC7724" w:rsidP="00CC7724" w:rsidRDefault="00CC7724" w14:paraId="0C564360" w14:textId="77777777">
          <w:pPr>
            <w:pStyle w:val="Lijstalinea"/>
          </w:pPr>
          <w:r>
            <w:t xml:space="preserve">D.1. </w:t>
          </w:r>
          <w:r>
            <w:tab/>
            <w:t>Europese begrotingstoetsing</w:t>
          </w:r>
        </w:p>
        <w:p w:rsidR="00CC7724" w:rsidP="00CC7724" w:rsidRDefault="00CC7724" w14:paraId="646363AF" w14:textId="77777777">
          <w:pPr>
            <w:pStyle w:val="Lijstalinea"/>
          </w:pPr>
          <w:r>
            <w:tab/>
            <w:t>D.1.1 Relevante context</w:t>
          </w:r>
        </w:p>
        <w:p w:rsidR="00CC7724" w:rsidP="00CC7724" w:rsidRDefault="00CC7724" w14:paraId="53F4180D" w14:textId="77777777">
          <w:pPr>
            <w:pStyle w:val="Lijstalinea"/>
          </w:pPr>
          <w:r>
            <w:tab/>
            <w:t xml:space="preserve">D.1.2 Toetsing aan de Europese begrotingsregels </w:t>
          </w:r>
        </w:p>
        <w:p w:rsidR="00CC7724" w:rsidP="00CC7724" w:rsidRDefault="00CC7724" w14:paraId="564B7EA4" w14:textId="77777777">
          <w:pPr>
            <w:pStyle w:val="Lijstalinea"/>
          </w:pPr>
          <w:r>
            <w:t>D.2.</w:t>
          </w:r>
          <w:r>
            <w:tab/>
            <w:t xml:space="preserve">Nationale begrotingstoetsing </w:t>
          </w:r>
        </w:p>
        <w:p w:rsidR="00CC7724" w:rsidP="00CC7724" w:rsidRDefault="00CC7724" w14:paraId="29464434" w14:textId="77777777">
          <w:pPr>
            <w:pStyle w:val="Lijstalinea"/>
          </w:pPr>
          <w:r>
            <w:tab/>
            <w:t>D.2.1</w:t>
          </w:r>
          <w:r>
            <w:tab/>
            <w:t xml:space="preserve">Toetsing aan de nationale begrotingsregels </w:t>
          </w:r>
        </w:p>
        <w:p w:rsidR="00CC7724" w:rsidP="00CC7724" w:rsidRDefault="00CC7724" w14:paraId="07B34494" w14:textId="77777777">
          <w:pPr>
            <w:pStyle w:val="Lijstalinea"/>
          </w:pPr>
          <w:r>
            <w:tab/>
            <w:t>D.2.2</w:t>
          </w:r>
          <w:r>
            <w:tab/>
            <w:t>Begrotingsproces</w:t>
          </w:r>
        </w:p>
        <w:p w:rsidR="00CC7724" w:rsidP="00CC7724" w:rsidRDefault="00CC7724" w14:paraId="035A9266" w14:textId="77777777">
          <w:pPr>
            <w:pStyle w:val="Lijstalinea"/>
          </w:pPr>
          <w:r>
            <w:tab/>
            <w:t>D.2.3</w:t>
          </w:r>
          <w:r>
            <w:tab/>
            <w:t xml:space="preserve">Aandachtspunten bij de uitgavenkaders </w:t>
          </w:r>
        </w:p>
        <w:p w:rsidR="00CC7724" w:rsidP="00CC7724" w:rsidRDefault="00CC7724" w14:paraId="44AF021C" w14:textId="77777777">
          <w:pPr>
            <w:pStyle w:val="Lijstalinea"/>
          </w:pPr>
          <w:r>
            <w:tab/>
            <w:t>D.2.4</w:t>
          </w:r>
          <w:r>
            <w:tab/>
            <w:t>Aandachtspunten bij het inkomstenkader</w:t>
          </w:r>
        </w:p>
        <w:p w:rsidR="00CC7724" w:rsidP="00CC7724" w:rsidRDefault="00CC7724" w14:paraId="08F0C8B6" w14:textId="77777777">
          <w:pPr>
            <w:ind w:left="851" w:hanging="567"/>
          </w:pPr>
          <w:r>
            <w:t>E.</w:t>
          </w:r>
          <w:r>
            <w:tab/>
            <w:t>REACTIE VAN DE REGERING</w:t>
          </w:r>
        </w:p>
        <w:p w:rsidR="00CC7724" w:rsidP="00CC7724" w:rsidRDefault="00CC7724" w14:paraId="1850AE1C" w14:textId="77777777">
          <w:r>
            <w:br w:type="page"/>
          </w:r>
        </w:p>
        <w:p w:rsidR="00CC7724" w:rsidP="00CC7724" w:rsidRDefault="00CC7724" w14:paraId="6A34204A" w14:textId="77777777">
          <w:pPr>
            <w:rPr>
              <w:u w:val="single"/>
            </w:rPr>
          </w:pPr>
          <w:r>
            <w:lastRenderedPageBreak/>
            <w:t>2.</w:t>
          </w:r>
          <w:r>
            <w:tab/>
          </w:r>
          <w:r w:rsidRPr="009A1662">
            <w:rPr>
              <w:u w:val="single"/>
            </w:rPr>
            <w:t>Samenvattende conclusie en advies</w:t>
          </w:r>
        </w:p>
        <w:p w:rsidR="00CC7724" w:rsidP="00CC7724" w:rsidRDefault="00CC7724" w14:paraId="6CC7B8F5" w14:textId="77777777">
          <w:pPr>
            <w:rPr>
              <w:u w:val="single"/>
            </w:rPr>
          </w:pPr>
        </w:p>
        <w:p w:rsidRPr="00D369FB" w:rsidR="00CC7724" w:rsidP="00CC7724" w:rsidRDefault="00CC7724" w14:paraId="450F756E" w14:textId="77777777">
          <w:pPr>
            <w:rPr>
              <w:i/>
            </w:rPr>
          </w:pPr>
          <w:r>
            <w:rPr>
              <w:i/>
            </w:rPr>
            <w:t>Miljoenennota</w:t>
          </w:r>
        </w:p>
        <w:p w:rsidR="00CC7724" w:rsidP="00CC7724" w:rsidRDefault="00CC7724" w14:paraId="7D18E27C" w14:textId="0C1E9F9C">
          <w:r>
            <w:t>De Miljoenennota 2027 wordt gepresenteerd in een tijd waarin de stapeling van maatschappelijke opgaven</w:t>
          </w:r>
          <w:r w:rsidR="00347080">
            <w:rPr>
              <w:rStyle w:val="Voetnootmarkering"/>
            </w:rPr>
            <w:footnoteReference w:id="6"/>
          </w:r>
          <w:r>
            <w:t xml:space="preserve"> de begrotingsruimte wezenlijk beperkt. Geen van deze ontwikkelingen is op zichzelf nieuw; het is hun intensiteit en onderlinge samenhang die steeds meer urgentie oproept. Direct relevant is de marginale economische groei, die terugvalt van gemiddeld 2,0% bbp in de periode 1996-2025</w:t>
          </w:r>
          <w:r>
            <w:rPr>
              <w:rStyle w:val="Voetnootmarkering"/>
            </w:rPr>
            <w:footnoteReference w:id="7"/>
          </w:r>
          <w:r>
            <w:t xml:space="preserve"> tot 1,3% bbp in 2028 en 0,8% bbp in 2031.</w:t>
          </w:r>
          <w:r>
            <w:rPr>
              <w:rStyle w:val="Voetnootmarkering"/>
            </w:rPr>
            <w:footnoteReference w:id="8"/>
          </w:r>
        </w:p>
        <w:p w:rsidR="00CC7724" w:rsidP="00CC7724" w:rsidRDefault="00CC7724" w14:paraId="3EB5B3F8" w14:textId="77777777"/>
        <w:p w:rsidRPr="00D70E50" w:rsidR="00CC7724" w:rsidP="00CC7724" w:rsidRDefault="00CC7724" w14:paraId="5BC613EC" w14:textId="77777777">
          <w:r>
            <w:t xml:space="preserve">De geraamde groei op middellange termijn is onvoldoende om de stapeling van opgaven zonder nadere politieke keuzes te adresseren, laat staan te financieren zonder lastenverzwaring of verslechtering van de overheidsfinanciën. </w:t>
          </w:r>
        </w:p>
        <w:p w:rsidR="00CC7724" w:rsidP="00CC7724" w:rsidRDefault="00CC7724" w14:paraId="58F734FA" w14:textId="77777777"/>
        <w:p w:rsidRPr="00D70E50" w:rsidR="00CC7724" w:rsidP="00CC7724" w:rsidRDefault="00CC7724" w14:paraId="1EB83868" w14:textId="0F1ED564">
          <w:r>
            <w:t>De staatsschuld steekt op korte termijn gunstig af bij die van andere Europese landen</w:t>
          </w:r>
          <w:r w:rsidR="002A3982">
            <w:t>,</w:t>
          </w:r>
          <w:r>
            <w:t xml:space="preserve"> maar loopt wel degelijk op, ook bij realisatie van beoogde ombuigingen, terwijl de rentelasten nu al fors toenemen.</w:t>
          </w:r>
          <w:r>
            <w:rPr>
              <w:rStyle w:val="Voetnootmarkering"/>
            </w:rPr>
            <w:footnoteReference w:id="9"/>
          </w:r>
          <w:r>
            <w:t xml:space="preserve"> </w:t>
          </w:r>
          <w:r w:rsidR="002A3982">
            <w:t xml:space="preserve">De gemiddelde </w:t>
          </w:r>
          <w:proofErr w:type="spellStart"/>
          <w:r w:rsidR="002A3982">
            <w:t>brutoschuld</w:t>
          </w:r>
          <w:proofErr w:type="spellEnd"/>
          <w:r w:rsidR="002A3982">
            <w:t xml:space="preserve"> bedraagt in het eurogebied gemiddeld 87,8% bbp.</w:t>
          </w:r>
        </w:p>
        <w:p w:rsidR="00CC7724" w:rsidP="00CC7724" w:rsidRDefault="00CC7724" w14:paraId="1C58C29A" w14:textId="77777777"/>
        <w:p w:rsidRPr="00D70E50" w:rsidR="00CC7724" w:rsidP="00CC7724" w:rsidRDefault="00CC7724" w14:paraId="142E591A" w14:textId="257D181B">
          <w:r>
            <w:t xml:space="preserve">De Afdeling stelt vast dat het kabinet Jetten deze opgaven in het coalitieakkoord onderkent en beoogt te beantwoorden door meer te investeren, vergrijzingskosten te beheersen en houdbare overheidsfinanciën te bestendigen. De voorliggende Miljoenennota biedt hiervan een heldere onderbouwing, met een gedegen structuuranalyse, een beschouwing over investeringen en een overzicht van de macro-economische onevenwichtigheden. </w:t>
          </w:r>
        </w:p>
        <w:p w:rsidR="00CC7724" w:rsidP="00CC7724" w:rsidRDefault="00CC7724" w14:paraId="511CF50A" w14:textId="77777777"/>
        <w:p w:rsidR="00CC7724" w:rsidP="00CC7724" w:rsidRDefault="00CC7724" w14:paraId="5EF15C1E" w14:textId="77777777">
          <w:r>
            <w:t>De ontwerpbegrotingen en de voorgestelde fiscale wetsvoorstellen zoals die nu voorliggen, sluiten echter niet aan bij deze eigen analyse van het kabinet. Een substantieel deel van de aangekondigde initiatieven en hervormingen is uitgesteld of afgesteld. De budgettaire dekking daarvan is eerder boekhoudkundig dan vervangend economie-versterkend. De rekening van dit uitstel wordt doorgeschoven naar de komende jaren en komt daarmee in overwegende mate terecht bij de werkzame beroepsbevolking en bij de jongere en toekomstige generaties.</w:t>
          </w:r>
        </w:p>
        <w:p w:rsidR="00CC7724" w:rsidP="00CC7724" w:rsidRDefault="00CC7724" w14:paraId="6C67E2C8" w14:textId="77777777"/>
        <w:p w:rsidR="00CC7724" w:rsidP="00CC7724" w:rsidRDefault="00CC7724" w14:paraId="68740478" w14:textId="77777777">
          <w:r>
            <w:t xml:space="preserve">De Afdeling verdiept dit dilemma van intergenerationele afwenteling hierna langs drie lijnen: de overheidsschuld, de productiviteit en economische structuur, en energie en klimaat: </w:t>
          </w:r>
        </w:p>
        <w:p w:rsidRPr="00D70E50" w:rsidR="00CC7724" w:rsidP="00CC7724" w:rsidRDefault="00CC7724" w14:paraId="45DC6C80" w14:textId="77777777"/>
        <w:p w:rsidR="00CC7724" w:rsidP="00912825" w:rsidRDefault="00AB0F5B" w14:paraId="343B3C79" w14:textId="1A1787A0">
          <w:pPr>
            <w:pStyle w:val="Lijstalinea"/>
            <w:numPr>
              <w:ilvl w:val="0"/>
              <w:numId w:val="9"/>
            </w:numPr>
            <w:ind w:left="284" w:hanging="284"/>
          </w:pPr>
          <w:r>
            <w:lastRenderedPageBreak/>
            <w:t>zo</w:t>
          </w:r>
          <w:r w:rsidR="00CC7724">
            <w:t>dat ook op langere termijn toekomstige generaties voldoende ruimte hebben om keuzes te maken en economische en ecologische schokken op te vangen, blijft beheersing van de overheidsschuld noodzakelijk.</w:t>
          </w:r>
        </w:p>
        <w:p w:rsidR="00CC7724" w:rsidP="00912825" w:rsidRDefault="00612CCC" w14:paraId="5F8BBCDB" w14:textId="52BC943E">
          <w:pPr>
            <w:pStyle w:val="Lijstalinea"/>
            <w:numPr>
              <w:ilvl w:val="0"/>
              <w:numId w:val="9"/>
            </w:numPr>
            <w:ind w:left="284" w:hanging="284"/>
          </w:pPr>
          <w:r>
            <w:t>zo</w:t>
          </w:r>
          <w:r w:rsidR="00CC7724">
            <w:t>dat de groei van de Nederlandse economie langjarig wordt vergroot, moeten de begrotingen meer aandacht geven aan uitgaven die productiviteit bevorderen, waaronder investeringen, en moet actiever worden gestuurd op economisch productieve sectoren.</w:t>
          </w:r>
        </w:p>
        <w:p w:rsidR="00CC7724" w:rsidP="00912825" w:rsidRDefault="00787391" w14:paraId="0ED901AB" w14:textId="7E015B6B">
          <w:pPr>
            <w:pStyle w:val="Lijstalinea"/>
            <w:numPr>
              <w:ilvl w:val="0"/>
              <w:numId w:val="9"/>
            </w:numPr>
            <w:ind w:left="284" w:hanging="284"/>
          </w:pPr>
          <w:r>
            <w:t>o</w:t>
          </w:r>
          <w:r w:rsidR="00CC7724">
            <w:t>mdat zowel de voortdurende buitenlandse afhankelijkheid van energie als de kosten van actueel alweer toegenomen klimaatveranderingen burgers en bedrijven raken, moet een versnelde inzet op de energietransitie deze kabinetsperiode prioriteit krijgen.</w:t>
          </w:r>
        </w:p>
        <w:p w:rsidR="00CC7724" w:rsidP="00CC7724" w:rsidRDefault="00CC7724" w14:paraId="3621A403" w14:textId="77777777"/>
        <w:p w:rsidR="00992704" w:rsidP="00CC7724" w:rsidRDefault="00CC7724" w14:paraId="5708C6D6" w14:textId="77777777">
          <w:r>
            <w:t>Al met al zou op ten minste deze drie terreinen (schuldbeheersing, productiviteitsgroei en het versnellen van de energietransitie) Nederland erop moeten inzetten de problemen van vandaag niet door te schuiven naar een volgende generatie. De uitdagingen zijn niet willekeurig gekozen</w:t>
          </w:r>
          <w:r w:rsidR="00434296">
            <w:t>;</w:t>
          </w:r>
          <w:r>
            <w:t xml:space="preserve"> zij hangen onderling samen. Een beheersbare schuld en een hoge productiviteit stellen Nederland in staat om een (versnelling van de) energietransitie te financieren. </w:t>
          </w:r>
        </w:p>
        <w:p w:rsidR="00992704" w:rsidP="00CC7724" w:rsidRDefault="00992704" w14:paraId="3233BA9A" w14:textId="77777777"/>
        <w:p w:rsidR="00CC7724" w:rsidP="00CC7724" w:rsidRDefault="00CC7724" w14:paraId="439DC4FB" w14:textId="06C0EC3E">
          <w:r>
            <w:t>Door een geslaagde transitie wordt Nederland minder afhankelijk van het buitenland voor zijn energie, kan het daarmee de kosten beter beheersen en kan het kritieke, productieve bedrijfstakken, ook energie-intensieve, behouden en verduurzamen. Duurzaam productieve bedrijfstakken zijn ook de bron waaruit de welvaart, lonen, koopkracht voor alle Nederlanders én de collectieve voorzieningen kunnen worden bekostigd. Daarmee laten wij volgende generaties een weerbaarder land na met een gezonde, duurzame economie.</w:t>
          </w:r>
        </w:p>
        <w:p w:rsidR="00CC7724" w:rsidP="00CC7724" w:rsidRDefault="00CC7724" w14:paraId="169AAC60" w14:textId="77777777"/>
        <w:p w:rsidRPr="00D369FB" w:rsidR="00CC7724" w:rsidP="00CC7724" w:rsidRDefault="00CC7724" w14:paraId="46D39486" w14:textId="77777777">
          <w:pPr>
            <w:rPr>
              <w:i/>
            </w:rPr>
          </w:pPr>
          <w:r>
            <w:rPr>
              <w:i/>
            </w:rPr>
            <w:t>Begrotingsrapportage</w:t>
          </w:r>
        </w:p>
        <w:p w:rsidR="00CC7724" w:rsidP="00CC7724" w:rsidRDefault="00CC7724" w14:paraId="3DF5B49E" w14:textId="1E907602">
          <w:r>
            <w:t xml:space="preserve">Met betrekking tot de naleving van de Europese en nationale begrotingsregels komt de Afdeling tot de conclusie dat Nederland naar verwachting een hogere uitgavengroei laat zien dan op grond van de Europese regels is voorgeschreven. </w:t>
          </w:r>
          <w:r w:rsidR="004A7B78">
            <w:t xml:space="preserve">Toch </w:t>
          </w:r>
          <w:r>
            <w:t>blijven het overheidstekort (maximaal 3% bbp) en overheidsschuld (maximaal 60% bbp) in 2026 en 2027 binnen de Europese vereisten.</w:t>
          </w:r>
        </w:p>
        <w:p w:rsidR="00CC7724" w:rsidP="00CC7724" w:rsidRDefault="00CC7724" w14:paraId="161EE65F" w14:textId="77777777"/>
        <w:p w:rsidR="00CC7724" w:rsidP="00CC7724" w:rsidRDefault="00CC7724" w14:paraId="2F813784" w14:textId="4E536B9B">
          <w:r>
            <w:t xml:space="preserve">Met betrekking tot de naleving van de nationale begrotingsregels concludeert de Afdeling dat de Miljoenennota het trendmatig begrotingsbeleid handhaaft. De Afdeling maakt daarbij wel enkele specifieke opmerkingen over </w:t>
          </w:r>
          <w:proofErr w:type="spellStart"/>
          <w:r>
            <w:t>onderuitputting</w:t>
          </w:r>
          <w:proofErr w:type="spellEnd"/>
          <w:r>
            <w:t xml:space="preserve">, prijsbijstelling, verdeling van lasten, en de stijging van de </w:t>
          </w:r>
          <w:proofErr w:type="spellStart"/>
          <w:r>
            <w:t>Aof</w:t>
          </w:r>
          <w:proofErr w:type="spellEnd"/>
          <w:r>
            <w:t>-premie.</w:t>
          </w:r>
        </w:p>
        <w:p w:rsidR="008352C3" w:rsidRDefault="008352C3" w14:paraId="46B7912C" w14:textId="77777777">
          <w:r>
            <w:br w:type="page"/>
          </w:r>
        </w:p>
        <w:p w:rsidRPr="00891B49" w:rsidR="00CC7724" w:rsidP="00CC7724" w:rsidRDefault="00CC7724" w14:paraId="0B3B8B90" w14:textId="77777777">
          <w:r w:rsidRPr="00891B49">
            <w:lastRenderedPageBreak/>
            <w:t>B.</w:t>
          </w:r>
          <w:r>
            <w:t xml:space="preserve"> </w:t>
          </w:r>
          <w:r>
            <w:tab/>
          </w:r>
          <w:r w:rsidRPr="00891B49">
            <w:t>ANALYSE</w:t>
          </w:r>
          <w:r>
            <w:t xml:space="preserve"> </w:t>
          </w:r>
        </w:p>
        <w:p w:rsidRPr="00724BB8" w:rsidR="00CC7724" w:rsidP="00CC7724" w:rsidRDefault="00CC7724" w14:paraId="0665C72B" w14:textId="77777777">
          <w:pPr>
            <w:rPr>
              <w:u w:val="single"/>
            </w:rPr>
          </w:pPr>
        </w:p>
        <w:p w:rsidRPr="00A23674" w:rsidR="00CC7724" w:rsidP="00CC7724" w:rsidRDefault="00CC7724" w14:paraId="09966469" w14:textId="77777777">
          <w:pPr>
            <w:pStyle w:val="Lijstalinea"/>
            <w:numPr>
              <w:ilvl w:val="0"/>
              <w:numId w:val="1"/>
            </w:numPr>
            <w:ind w:hanging="720"/>
            <w:rPr>
              <w:u w:val="single"/>
            </w:rPr>
          </w:pPr>
          <w:r w:rsidRPr="00616D15">
            <w:rPr>
              <w:u w:val="single"/>
            </w:rPr>
            <w:t>De macro-economische context</w:t>
          </w:r>
          <w:r w:rsidRPr="00D90EAF">
            <w:rPr>
              <w:u w:val="single"/>
            </w:rPr>
            <w:t xml:space="preserve"> </w:t>
          </w:r>
          <w:r w:rsidRPr="00D90EAF">
            <w:rPr>
              <w:u w:val="single"/>
            </w:rPr>
            <w:br/>
          </w:r>
        </w:p>
        <w:p w:rsidR="00CC7724" w:rsidP="00CC7724" w:rsidRDefault="00CC7724" w14:paraId="6996D4ED" w14:textId="77777777">
          <w:r>
            <w:t>Ondanks aanhoudende onzekerheid op geopolitiek vlak laat de Nederlandse economie veerkracht zien. De economische groei wordt door het CPB geraamd op 1,4% bbp voor 2026 en 1,2% bbp voor 2027.</w:t>
          </w:r>
          <w:r>
            <w:rPr>
              <w:rStyle w:val="Voetnootmarkering"/>
            </w:rPr>
            <w:footnoteReference w:id="10"/>
          </w:r>
          <w:r>
            <w:t xml:space="preserve"> Deze ramingen verschillen niet veel ten opzichte van het Centraal Economisch Plan van dit voorjaar.</w:t>
          </w:r>
          <w:r>
            <w:rPr>
              <w:rStyle w:val="Voetnootmarkering"/>
            </w:rPr>
            <w:footnoteReference w:id="11"/>
          </w:r>
          <w:r>
            <w:t xml:space="preserve"> De overheidsuitgaven leiden dit en volgend jaar tot een volumetoename van de overheidsconsumptie, maar ook de investeringen en de consumptie van huishoudens dragen bij aan de groei.</w:t>
          </w:r>
          <w:r>
            <w:rPr>
              <w:rStyle w:val="Voetnootmarkering"/>
            </w:rPr>
            <w:footnoteReference w:id="12"/>
          </w:r>
          <w:r>
            <w:t xml:space="preserve"> In die zin wordt de economische ontwikkeling breed gedragen. De huidige ramingen blijven echter gevoelig voor neerwaartse risico’s door bijvoorbeeld hoge energieprijzen en importheffingen. Ook blijft de geschatte groei naar verwachting de komende periode onder de 1,5% bbp die het kabinet zich als doel heeft gesteld.</w:t>
          </w:r>
          <w:r>
            <w:rPr>
              <w:rStyle w:val="Voetnootmarkering"/>
            </w:rPr>
            <w:footnoteReference w:id="13"/>
          </w:r>
        </w:p>
        <w:p w:rsidR="00CC7724" w:rsidP="00CC7724" w:rsidRDefault="00CC7724" w14:paraId="5A737E8F" w14:textId="77777777"/>
        <w:p w:rsidR="00CC7724" w:rsidP="00CC7724" w:rsidRDefault="00CC7724" w14:paraId="1BCB1476" w14:textId="77777777">
          <w:r>
            <w:t>Door de aanhoudend hoge energieprijzen is de inflatie dit jaar naar verwachting met 3,3% even hoog als in 2025. De hogere energieprijzen werken inmiddels ook door in prijsverhogingen voor andere goederen. Mede door de krappe arbeidsmarkt nemen de lonen echter meer toe dan de inflatie, waardoor in 2026 naar verwachting toch sprake is van een stijging van de koopkracht met 0,6%. Dit is wel wezenlijk lager dan de raming uit het CEP, die de stijging voor 2026 op 1,4% raamde. Ook volgend jaar is er sprake van een reële loonstijging (lonen nemen meer toe dan de inflatie), ondanks een iets afnemende krapte op de arbeidsmarkt. Door een verhoging van de belastingen daalt de koopkracht in 2027 beperkt. Het CPB schat een lichte afname van de armoede in 2026 door verruiming van de huurtoeslag en de reële loongroei die doorwerkt naar de uitkeringen. In 2027 blijft de armoede naar verwachting gelijk.</w:t>
          </w:r>
          <w:r>
            <w:rPr>
              <w:rStyle w:val="Voetnootmarkering"/>
            </w:rPr>
            <w:footnoteReference w:id="14"/>
          </w:r>
        </w:p>
        <w:p w:rsidR="00CC7724" w:rsidP="00CC7724" w:rsidRDefault="00CC7724" w14:paraId="58DCA48B" w14:textId="77777777"/>
        <w:p w:rsidR="00CC7724" w:rsidP="00CC7724" w:rsidRDefault="00CC7724" w14:paraId="7EF03297" w14:textId="726C2B5C">
          <w:r>
            <w:t>De augustusbesluitvorming heeft vooral effect op de koopkracht. De koopkracht</w:t>
          </w:r>
          <w:r w:rsidR="00540C43">
            <w:rPr>
              <w:rStyle w:val="Voetnootmarkering"/>
            </w:rPr>
            <w:footnoteReference w:id="15"/>
          </w:r>
          <w:r>
            <w:t xml:space="preserve">  daalt met 0,1% in plaats van de daling van 0,3% die was geraamd voor de aankondiging van de augustusbesluitvorming. Het grootste deel van dit verschil is afkomstig van een verhoging van de arbeidskorting. Daarnaast worden de tarieven van de eerste en tweede schijf verlaagd met 0,06%-punt.</w:t>
          </w:r>
          <w:r>
            <w:br w:type="page"/>
          </w:r>
        </w:p>
        <w:p w:rsidRPr="001A2D14" w:rsidR="00CC7724" w:rsidP="00CC7724" w:rsidRDefault="00CC7724" w14:paraId="5FD1B673" w14:textId="77777777">
          <w:pPr>
            <w:rPr>
              <w:b/>
            </w:rPr>
          </w:pPr>
          <w:r w:rsidRPr="001A2D14">
            <w:rPr>
              <w:b/>
            </w:rPr>
            <w:lastRenderedPageBreak/>
            <w:t>Tabel B.1. Macro-economische kernindicatoren</w:t>
          </w:r>
        </w:p>
        <w:tbl>
          <w:tblPr>
            <w:tblW w:w="8260" w:type="dxa"/>
            <w:tblCellMar>
              <w:left w:w="70" w:type="dxa"/>
              <w:right w:w="70" w:type="dxa"/>
            </w:tblCellMar>
            <w:tblLook w:val="04A0" w:firstRow="1" w:lastRow="0" w:firstColumn="1" w:lastColumn="0" w:noHBand="0" w:noVBand="1"/>
          </w:tblPr>
          <w:tblGrid>
            <w:gridCol w:w="4540"/>
            <w:gridCol w:w="620"/>
            <w:gridCol w:w="620"/>
            <w:gridCol w:w="620"/>
            <w:gridCol w:w="620"/>
            <w:gridCol w:w="620"/>
            <w:gridCol w:w="620"/>
          </w:tblGrid>
          <w:tr w:rsidRPr="003B0ED8" w:rsidR="00CC7724" w14:paraId="75E6C478" w14:textId="77777777">
            <w:trPr>
              <w:cantSplit/>
              <w:trHeight w:val="315"/>
            </w:trPr>
            <w:tc>
              <w:tcPr>
                <w:tcW w:w="4540" w:type="dxa"/>
                <w:tcBorders>
                  <w:top w:val="single" w:color="auto" w:sz="8" w:space="0"/>
                  <w:left w:val="nil"/>
                  <w:bottom w:val="single" w:color="auto" w:sz="4" w:space="0"/>
                  <w:right w:val="nil"/>
                </w:tcBorders>
                <w:noWrap/>
                <w:vAlign w:val="center"/>
                <w:hideMark/>
              </w:tcPr>
              <w:p w:rsidRPr="003B0ED8" w:rsidR="00CC7724" w:rsidRDefault="00CC7724" w14:paraId="0B5153B0" w14:textId="77777777">
                <w:pPr>
                  <w:keepNext/>
                  <w:rPr>
                    <w:rFonts w:cs="Calibri"/>
                    <w:b/>
                    <w:bCs/>
                    <w:color w:val="000000"/>
                    <w:sz w:val="16"/>
                    <w:szCs w:val="16"/>
                  </w:rPr>
                </w:pPr>
                <w:r w:rsidRPr="003B0ED8">
                  <w:rPr>
                    <w:rFonts w:cs="Calibri"/>
                    <w:b/>
                    <w:bCs/>
                    <w:color w:val="000000"/>
                    <w:sz w:val="16"/>
                    <w:szCs w:val="16"/>
                  </w:rPr>
                  <w:t> </w:t>
                </w:r>
              </w:p>
            </w:tc>
            <w:tc>
              <w:tcPr>
                <w:tcW w:w="1860" w:type="dxa"/>
                <w:gridSpan w:val="3"/>
                <w:tcBorders>
                  <w:top w:val="single" w:color="auto" w:sz="8" w:space="0"/>
                  <w:left w:val="nil"/>
                  <w:bottom w:val="single" w:color="auto" w:sz="4" w:space="0"/>
                  <w:right w:val="nil"/>
                </w:tcBorders>
                <w:noWrap/>
                <w:vAlign w:val="center"/>
                <w:hideMark/>
              </w:tcPr>
              <w:p w:rsidRPr="003B0ED8" w:rsidR="00CC7724" w:rsidRDefault="00CC7724" w14:paraId="4A044EB8" w14:textId="77777777">
                <w:pPr>
                  <w:keepNext/>
                  <w:jc w:val="center"/>
                  <w:rPr>
                    <w:rFonts w:cs="Calibri"/>
                    <w:b/>
                    <w:bCs/>
                    <w:color w:val="000000"/>
                    <w:sz w:val="16"/>
                    <w:szCs w:val="16"/>
                  </w:rPr>
                </w:pPr>
                <w:r w:rsidRPr="003B0ED8">
                  <w:rPr>
                    <w:rFonts w:cs="Calibri"/>
                    <w:b/>
                    <w:bCs/>
                    <w:color w:val="000000"/>
                    <w:sz w:val="16"/>
                    <w:szCs w:val="16"/>
                  </w:rPr>
                  <w:t>MEV 2027</w:t>
                </w:r>
              </w:p>
            </w:tc>
            <w:tc>
              <w:tcPr>
                <w:tcW w:w="1860" w:type="dxa"/>
                <w:gridSpan w:val="3"/>
                <w:tcBorders>
                  <w:top w:val="single" w:color="auto" w:sz="8" w:space="0"/>
                  <w:left w:val="nil"/>
                  <w:bottom w:val="single" w:color="auto" w:sz="4" w:space="0"/>
                  <w:right w:val="nil"/>
                </w:tcBorders>
                <w:shd w:val="clear" w:color="000000" w:fill="E7E6E6"/>
                <w:noWrap/>
                <w:vAlign w:val="center"/>
                <w:hideMark/>
              </w:tcPr>
              <w:p w:rsidRPr="003B0ED8" w:rsidR="00CC7724" w:rsidRDefault="00CC7724" w14:paraId="224CC322" w14:textId="77777777">
                <w:pPr>
                  <w:keepNext/>
                  <w:jc w:val="center"/>
                  <w:rPr>
                    <w:rFonts w:cs="Calibri"/>
                    <w:b/>
                    <w:bCs/>
                    <w:color w:val="000000"/>
                    <w:sz w:val="16"/>
                    <w:szCs w:val="16"/>
                  </w:rPr>
                </w:pPr>
                <w:r w:rsidRPr="003B0ED8">
                  <w:rPr>
                    <w:rFonts w:cs="Calibri"/>
                    <w:b/>
                    <w:bCs/>
                    <w:color w:val="000000"/>
                    <w:sz w:val="16"/>
                    <w:szCs w:val="16"/>
                  </w:rPr>
                  <w:t>CEP 2026</w:t>
                </w:r>
              </w:p>
            </w:tc>
          </w:tr>
          <w:tr w:rsidRPr="003B0ED8" w:rsidR="00CC7724" w14:paraId="2B31D723" w14:textId="77777777">
            <w:trPr>
              <w:cantSplit/>
              <w:trHeight w:val="240"/>
            </w:trPr>
            <w:tc>
              <w:tcPr>
                <w:tcW w:w="4540" w:type="dxa"/>
                <w:tcBorders>
                  <w:top w:val="nil"/>
                  <w:left w:val="nil"/>
                  <w:bottom w:val="single" w:color="auto" w:sz="4" w:space="0"/>
                  <w:right w:val="nil"/>
                </w:tcBorders>
                <w:noWrap/>
                <w:vAlign w:val="center"/>
                <w:hideMark/>
              </w:tcPr>
              <w:p w:rsidRPr="003B0ED8" w:rsidR="00CC7724" w:rsidRDefault="00CC7724" w14:paraId="310C169F" w14:textId="77777777">
                <w:pPr>
                  <w:keepNext/>
                  <w:rPr>
                    <w:rFonts w:cs="Calibri"/>
                    <w:b/>
                    <w:bCs/>
                    <w:color w:val="000000"/>
                    <w:sz w:val="16"/>
                    <w:szCs w:val="16"/>
                  </w:rPr>
                </w:pPr>
                <w:r w:rsidRPr="003B0ED8">
                  <w:rPr>
                    <w:rFonts w:cs="Calibri"/>
                    <w:b/>
                    <w:bCs/>
                    <w:color w:val="000000"/>
                    <w:sz w:val="16"/>
                    <w:szCs w:val="16"/>
                  </w:rPr>
                  <w:t> </w:t>
                </w:r>
              </w:p>
            </w:tc>
            <w:tc>
              <w:tcPr>
                <w:tcW w:w="620" w:type="dxa"/>
                <w:tcBorders>
                  <w:top w:val="nil"/>
                  <w:left w:val="nil"/>
                  <w:bottom w:val="single" w:color="auto" w:sz="4" w:space="0"/>
                  <w:right w:val="nil"/>
                </w:tcBorders>
                <w:noWrap/>
                <w:vAlign w:val="center"/>
                <w:hideMark/>
              </w:tcPr>
              <w:p w:rsidRPr="003B0ED8" w:rsidR="00CC7724" w:rsidRDefault="00CC7724" w14:paraId="37CCA24F" w14:textId="77777777">
                <w:pPr>
                  <w:keepNext/>
                  <w:jc w:val="center"/>
                  <w:rPr>
                    <w:rFonts w:cs="Calibri"/>
                    <w:b/>
                    <w:bCs/>
                    <w:color w:val="000000"/>
                    <w:sz w:val="16"/>
                    <w:szCs w:val="16"/>
                  </w:rPr>
                </w:pPr>
                <w:r w:rsidRPr="003B0ED8">
                  <w:rPr>
                    <w:rFonts w:cs="Calibri"/>
                    <w:b/>
                    <w:bCs/>
                    <w:color w:val="000000"/>
                    <w:sz w:val="16"/>
                    <w:szCs w:val="16"/>
                  </w:rPr>
                  <w:t>2025</w:t>
                </w:r>
              </w:p>
            </w:tc>
            <w:tc>
              <w:tcPr>
                <w:tcW w:w="620" w:type="dxa"/>
                <w:tcBorders>
                  <w:top w:val="nil"/>
                  <w:left w:val="nil"/>
                  <w:bottom w:val="single" w:color="auto" w:sz="4" w:space="0"/>
                  <w:right w:val="nil"/>
                </w:tcBorders>
                <w:noWrap/>
                <w:vAlign w:val="center"/>
                <w:hideMark/>
              </w:tcPr>
              <w:p w:rsidRPr="003B0ED8" w:rsidR="00CC7724" w:rsidRDefault="00CC7724" w14:paraId="407B94A7" w14:textId="77777777">
                <w:pPr>
                  <w:keepNext/>
                  <w:jc w:val="center"/>
                  <w:rPr>
                    <w:rFonts w:cs="Calibri"/>
                    <w:b/>
                    <w:bCs/>
                    <w:color w:val="000000"/>
                    <w:sz w:val="16"/>
                    <w:szCs w:val="16"/>
                  </w:rPr>
                </w:pPr>
                <w:r w:rsidRPr="003B0ED8">
                  <w:rPr>
                    <w:rFonts w:cs="Calibri"/>
                    <w:b/>
                    <w:bCs/>
                    <w:color w:val="000000"/>
                    <w:sz w:val="16"/>
                    <w:szCs w:val="16"/>
                  </w:rPr>
                  <w:t>2026</w:t>
                </w:r>
              </w:p>
            </w:tc>
            <w:tc>
              <w:tcPr>
                <w:tcW w:w="620" w:type="dxa"/>
                <w:tcBorders>
                  <w:top w:val="nil"/>
                  <w:left w:val="nil"/>
                  <w:bottom w:val="single" w:color="auto" w:sz="4" w:space="0"/>
                  <w:right w:val="nil"/>
                </w:tcBorders>
                <w:noWrap/>
                <w:vAlign w:val="center"/>
                <w:hideMark/>
              </w:tcPr>
              <w:p w:rsidRPr="003B0ED8" w:rsidR="00CC7724" w:rsidRDefault="00CC7724" w14:paraId="6002B058" w14:textId="77777777">
                <w:pPr>
                  <w:keepNext/>
                  <w:jc w:val="center"/>
                  <w:rPr>
                    <w:rFonts w:cs="Calibri"/>
                    <w:b/>
                    <w:bCs/>
                    <w:color w:val="000000"/>
                    <w:sz w:val="16"/>
                    <w:szCs w:val="16"/>
                  </w:rPr>
                </w:pPr>
                <w:r w:rsidRPr="003B0ED8">
                  <w:rPr>
                    <w:rFonts w:cs="Calibri"/>
                    <w:b/>
                    <w:bCs/>
                    <w:color w:val="000000"/>
                    <w:sz w:val="16"/>
                    <w:szCs w:val="16"/>
                  </w:rPr>
                  <w:t>2027</w:t>
                </w:r>
              </w:p>
            </w:tc>
            <w:tc>
              <w:tcPr>
                <w:tcW w:w="620" w:type="dxa"/>
                <w:tcBorders>
                  <w:top w:val="nil"/>
                  <w:left w:val="nil"/>
                  <w:bottom w:val="single" w:color="auto" w:sz="4" w:space="0"/>
                  <w:right w:val="nil"/>
                </w:tcBorders>
                <w:shd w:val="clear" w:color="000000" w:fill="E7E6E6"/>
                <w:noWrap/>
                <w:vAlign w:val="center"/>
                <w:hideMark/>
              </w:tcPr>
              <w:p w:rsidRPr="003B0ED8" w:rsidR="00CC7724" w:rsidRDefault="00CC7724" w14:paraId="62340C77" w14:textId="77777777">
                <w:pPr>
                  <w:keepNext/>
                  <w:jc w:val="center"/>
                  <w:rPr>
                    <w:rFonts w:cs="Calibri"/>
                    <w:b/>
                    <w:bCs/>
                    <w:color w:val="000000"/>
                    <w:sz w:val="16"/>
                    <w:szCs w:val="16"/>
                  </w:rPr>
                </w:pPr>
                <w:r w:rsidRPr="003B0ED8">
                  <w:rPr>
                    <w:rFonts w:cs="Calibri"/>
                    <w:b/>
                    <w:bCs/>
                    <w:color w:val="000000"/>
                    <w:sz w:val="16"/>
                    <w:szCs w:val="16"/>
                  </w:rPr>
                  <w:t>2025</w:t>
                </w:r>
              </w:p>
            </w:tc>
            <w:tc>
              <w:tcPr>
                <w:tcW w:w="620" w:type="dxa"/>
                <w:tcBorders>
                  <w:top w:val="nil"/>
                  <w:left w:val="nil"/>
                  <w:bottom w:val="single" w:color="auto" w:sz="4" w:space="0"/>
                  <w:right w:val="nil"/>
                </w:tcBorders>
                <w:shd w:val="clear" w:color="000000" w:fill="E7E6E6"/>
                <w:noWrap/>
                <w:vAlign w:val="center"/>
                <w:hideMark/>
              </w:tcPr>
              <w:p w:rsidRPr="003B0ED8" w:rsidR="00CC7724" w:rsidRDefault="00CC7724" w14:paraId="01CF0BAC" w14:textId="77777777">
                <w:pPr>
                  <w:keepNext/>
                  <w:jc w:val="center"/>
                  <w:rPr>
                    <w:rFonts w:cs="Calibri"/>
                    <w:b/>
                    <w:bCs/>
                    <w:color w:val="000000"/>
                    <w:sz w:val="16"/>
                    <w:szCs w:val="16"/>
                  </w:rPr>
                </w:pPr>
                <w:r w:rsidRPr="003B0ED8">
                  <w:rPr>
                    <w:rFonts w:cs="Calibri"/>
                    <w:b/>
                    <w:bCs/>
                    <w:color w:val="000000"/>
                    <w:sz w:val="16"/>
                    <w:szCs w:val="16"/>
                  </w:rPr>
                  <w:t>2026</w:t>
                </w:r>
              </w:p>
            </w:tc>
            <w:tc>
              <w:tcPr>
                <w:tcW w:w="620" w:type="dxa"/>
                <w:tcBorders>
                  <w:top w:val="nil"/>
                  <w:left w:val="nil"/>
                  <w:bottom w:val="single" w:color="auto" w:sz="4" w:space="0"/>
                  <w:right w:val="nil"/>
                </w:tcBorders>
                <w:shd w:val="clear" w:color="000000" w:fill="E7E6E6"/>
                <w:noWrap/>
                <w:vAlign w:val="center"/>
                <w:hideMark/>
              </w:tcPr>
              <w:p w:rsidRPr="003B0ED8" w:rsidR="00CC7724" w:rsidRDefault="00CC7724" w14:paraId="7EFF822C" w14:textId="77777777">
                <w:pPr>
                  <w:keepNext/>
                  <w:jc w:val="center"/>
                  <w:rPr>
                    <w:rFonts w:cs="Calibri"/>
                    <w:b/>
                    <w:bCs/>
                    <w:color w:val="000000"/>
                    <w:sz w:val="16"/>
                    <w:szCs w:val="16"/>
                  </w:rPr>
                </w:pPr>
                <w:r w:rsidRPr="003B0ED8">
                  <w:rPr>
                    <w:rFonts w:cs="Calibri"/>
                    <w:b/>
                    <w:bCs/>
                    <w:color w:val="000000"/>
                    <w:sz w:val="16"/>
                    <w:szCs w:val="16"/>
                  </w:rPr>
                  <w:t>2027</w:t>
                </w:r>
              </w:p>
            </w:tc>
          </w:tr>
          <w:tr w:rsidRPr="003B0ED8" w:rsidR="00CC7724" w14:paraId="3E6E7C8D"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32171B94" w14:textId="77777777">
                <w:pPr>
                  <w:keepNext/>
                  <w:rPr>
                    <w:rFonts w:cs="Calibri"/>
                    <w:color w:val="000000"/>
                    <w:sz w:val="16"/>
                    <w:szCs w:val="16"/>
                  </w:rPr>
                </w:pPr>
                <w:r w:rsidRPr="003B0ED8">
                  <w:rPr>
                    <w:rFonts w:cs="Calibri"/>
                    <w:color w:val="000000"/>
                    <w:sz w:val="16"/>
                    <w:szCs w:val="16"/>
                  </w:rPr>
                  <w:t>Bruto binnenlands product (bbp ; economische groei)</w:t>
                </w:r>
              </w:p>
            </w:tc>
            <w:tc>
              <w:tcPr>
                <w:tcW w:w="620" w:type="dxa"/>
                <w:tcBorders>
                  <w:top w:val="nil"/>
                  <w:left w:val="nil"/>
                  <w:bottom w:val="nil"/>
                  <w:right w:val="nil"/>
                </w:tcBorders>
                <w:noWrap/>
                <w:vAlign w:val="center"/>
                <w:hideMark/>
              </w:tcPr>
              <w:p w:rsidRPr="003B0ED8" w:rsidR="00CC7724" w:rsidRDefault="00CC7724" w14:paraId="3B89C9A5" w14:textId="77777777">
                <w:pPr>
                  <w:keepNext/>
                  <w:jc w:val="center"/>
                  <w:rPr>
                    <w:rFonts w:cs="Calibri"/>
                    <w:color w:val="000000"/>
                    <w:sz w:val="16"/>
                    <w:szCs w:val="16"/>
                  </w:rPr>
                </w:pPr>
                <w:r w:rsidRPr="003B0ED8">
                  <w:rPr>
                    <w:rFonts w:cs="Calibri"/>
                    <w:color w:val="000000"/>
                    <w:sz w:val="16"/>
                    <w:szCs w:val="16"/>
                  </w:rPr>
                  <w:t>1,6</w:t>
                </w:r>
              </w:p>
            </w:tc>
            <w:tc>
              <w:tcPr>
                <w:tcW w:w="620" w:type="dxa"/>
                <w:tcBorders>
                  <w:top w:val="nil"/>
                  <w:left w:val="nil"/>
                  <w:bottom w:val="nil"/>
                  <w:right w:val="nil"/>
                </w:tcBorders>
                <w:noWrap/>
                <w:vAlign w:val="center"/>
                <w:hideMark/>
              </w:tcPr>
              <w:p w:rsidRPr="003B0ED8" w:rsidR="00CC7724" w:rsidRDefault="00CC7724" w14:paraId="3009805B" w14:textId="77777777">
                <w:pPr>
                  <w:keepNext/>
                  <w:jc w:val="center"/>
                  <w:rPr>
                    <w:rFonts w:cs="Calibri"/>
                    <w:color w:val="000000"/>
                    <w:sz w:val="16"/>
                    <w:szCs w:val="16"/>
                  </w:rPr>
                </w:pPr>
                <w:r w:rsidRPr="003B0ED8">
                  <w:rPr>
                    <w:rFonts w:cs="Calibri"/>
                    <w:color w:val="000000"/>
                    <w:sz w:val="16"/>
                    <w:szCs w:val="16"/>
                  </w:rPr>
                  <w:t>1,4</w:t>
                </w:r>
              </w:p>
            </w:tc>
            <w:tc>
              <w:tcPr>
                <w:tcW w:w="620" w:type="dxa"/>
                <w:tcBorders>
                  <w:top w:val="nil"/>
                  <w:left w:val="nil"/>
                  <w:bottom w:val="nil"/>
                  <w:right w:val="nil"/>
                </w:tcBorders>
                <w:noWrap/>
                <w:vAlign w:val="center"/>
                <w:hideMark/>
              </w:tcPr>
              <w:p w:rsidRPr="003B0ED8" w:rsidR="00CC7724" w:rsidRDefault="00CC7724" w14:paraId="778DEC7C" w14:textId="77777777">
                <w:pPr>
                  <w:keepNext/>
                  <w:jc w:val="center"/>
                  <w:rPr>
                    <w:rFonts w:cs="Calibri"/>
                    <w:color w:val="000000"/>
                    <w:sz w:val="16"/>
                    <w:szCs w:val="16"/>
                  </w:rPr>
                </w:pPr>
                <w:r w:rsidRPr="003B0ED8">
                  <w:rPr>
                    <w:rFonts w:cs="Calibri"/>
                    <w:color w:val="000000"/>
                    <w:sz w:val="16"/>
                    <w:szCs w:val="16"/>
                  </w:rPr>
                  <w:t>1,2</w:t>
                </w:r>
              </w:p>
            </w:tc>
            <w:tc>
              <w:tcPr>
                <w:tcW w:w="620" w:type="dxa"/>
                <w:tcBorders>
                  <w:top w:val="nil"/>
                  <w:left w:val="nil"/>
                  <w:bottom w:val="nil"/>
                  <w:right w:val="nil"/>
                </w:tcBorders>
                <w:shd w:val="clear" w:color="000000" w:fill="E7E6E6"/>
                <w:noWrap/>
                <w:vAlign w:val="center"/>
                <w:hideMark/>
              </w:tcPr>
              <w:p w:rsidRPr="003B0ED8" w:rsidR="00CC7724" w:rsidRDefault="00CC7724" w14:paraId="1AB6518D" w14:textId="77777777">
                <w:pPr>
                  <w:keepNext/>
                  <w:jc w:val="center"/>
                  <w:rPr>
                    <w:rFonts w:cs="Calibri"/>
                    <w:color w:val="000000"/>
                    <w:sz w:val="16"/>
                    <w:szCs w:val="16"/>
                  </w:rPr>
                </w:pPr>
                <w:r w:rsidRPr="003B0ED8">
                  <w:rPr>
                    <w:rFonts w:cs="Calibri"/>
                    <w:color w:val="000000"/>
                    <w:sz w:val="16"/>
                    <w:szCs w:val="16"/>
                  </w:rPr>
                  <w:t>1,9</w:t>
                </w:r>
              </w:p>
            </w:tc>
            <w:tc>
              <w:tcPr>
                <w:tcW w:w="620" w:type="dxa"/>
                <w:tcBorders>
                  <w:top w:val="nil"/>
                  <w:left w:val="nil"/>
                  <w:bottom w:val="nil"/>
                  <w:right w:val="nil"/>
                </w:tcBorders>
                <w:shd w:val="clear" w:color="000000" w:fill="E7E6E6"/>
                <w:noWrap/>
                <w:vAlign w:val="center"/>
                <w:hideMark/>
              </w:tcPr>
              <w:p w:rsidRPr="003B0ED8" w:rsidR="00CC7724" w:rsidRDefault="00CC7724" w14:paraId="5F63557A" w14:textId="77777777">
                <w:pPr>
                  <w:keepNext/>
                  <w:jc w:val="center"/>
                  <w:rPr>
                    <w:rFonts w:cs="Calibri"/>
                    <w:color w:val="000000"/>
                    <w:sz w:val="16"/>
                    <w:szCs w:val="16"/>
                  </w:rPr>
                </w:pPr>
                <w:r w:rsidRPr="003B0ED8">
                  <w:rPr>
                    <w:rFonts w:cs="Calibri"/>
                    <w:color w:val="000000"/>
                    <w:sz w:val="16"/>
                    <w:szCs w:val="16"/>
                  </w:rPr>
                  <w:t>1,4</w:t>
                </w:r>
              </w:p>
            </w:tc>
            <w:tc>
              <w:tcPr>
                <w:tcW w:w="620" w:type="dxa"/>
                <w:tcBorders>
                  <w:top w:val="nil"/>
                  <w:left w:val="nil"/>
                  <w:bottom w:val="nil"/>
                  <w:right w:val="nil"/>
                </w:tcBorders>
                <w:shd w:val="clear" w:color="000000" w:fill="E7E6E6"/>
                <w:noWrap/>
                <w:vAlign w:val="center"/>
                <w:hideMark/>
              </w:tcPr>
              <w:p w:rsidRPr="003B0ED8" w:rsidR="00CC7724" w:rsidRDefault="00CC7724" w14:paraId="00D31F90" w14:textId="77777777">
                <w:pPr>
                  <w:keepNext/>
                  <w:jc w:val="center"/>
                  <w:rPr>
                    <w:rFonts w:cs="Calibri"/>
                    <w:color w:val="000000"/>
                    <w:sz w:val="16"/>
                    <w:szCs w:val="16"/>
                  </w:rPr>
                </w:pPr>
                <w:r w:rsidRPr="003B0ED8">
                  <w:rPr>
                    <w:rFonts w:cs="Calibri"/>
                    <w:color w:val="000000"/>
                    <w:sz w:val="16"/>
                    <w:szCs w:val="16"/>
                  </w:rPr>
                  <w:t>1,1</w:t>
                </w:r>
              </w:p>
            </w:tc>
          </w:tr>
          <w:tr w:rsidRPr="003B0ED8" w:rsidR="00CC7724" w14:paraId="2758C782"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2FAD11A1" w14:textId="77777777">
                <w:pPr>
                  <w:keepNext/>
                  <w:rPr>
                    <w:rFonts w:cs="Calibri"/>
                    <w:color w:val="000000"/>
                    <w:sz w:val="16"/>
                    <w:szCs w:val="16"/>
                  </w:rPr>
                </w:pPr>
                <w:r w:rsidRPr="003B0ED8">
                  <w:rPr>
                    <w:rFonts w:cs="Calibri"/>
                    <w:color w:val="000000"/>
                    <w:sz w:val="16"/>
                    <w:szCs w:val="16"/>
                  </w:rPr>
                  <w:t>Consumptie huishoudens</w:t>
                </w:r>
              </w:p>
            </w:tc>
            <w:tc>
              <w:tcPr>
                <w:tcW w:w="620" w:type="dxa"/>
                <w:tcBorders>
                  <w:top w:val="nil"/>
                  <w:left w:val="nil"/>
                  <w:bottom w:val="nil"/>
                  <w:right w:val="nil"/>
                </w:tcBorders>
                <w:noWrap/>
                <w:vAlign w:val="center"/>
                <w:hideMark/>
              </w:tcPr>
              <w:p w:rsidRPr="003B0ED8" w:rsidR="00CC7724" w:rsidRDefault="00CC7724" w14:paraId="1D8A1BB7" w14:textId="77777777">
                <w:pPr>
                  <w:keepNext/>
                  <w:jc w:val="center"/>
                  <w:rPr>
                    <w:rFonts w:cs="Calibri"/>
                    <w:color w:val="000000"/>
                    <w:sz w:val="16"/>
                    <w:szCs w:val="16"/>
                  </w:rPr>
                </w:pPr>
                <w:r w:rsidRPr="003B0ED8">
                  <w:rPr>
                    <w:rFonts w:cs="Calibri"/>
                    <w:color w:val="000000"/>
                    <w:sz w:val="16"/>
                    <w:szCs w:val="16"/>
                  </w:rPr>
                  <w:t>1,2</w:t>
                </w:r>
              </w:p>
            </w:tc>
            <w:tc>
              <w:tcPr>
                <w:tcW w:w="620" w:type="dxa"/>
                <w:tcBorders>
                  <w:top w:val="nil"/>
                  <w:left w:val="nil"/>
                  <w:bottom w:val="nil"/>
                  <w:right w:val="nil"/>
                </w:tcBorders>
                <w:noWrap/>
                <w:vAlign w:val="center"/>
                <w:hideMark/>
              </w:tcPr>
              <w:p w:rsidRPr="003B0ED8" w:rsidR="00CC7724" w:rsidRDefault="00CC7724" w14:paraId="5656073B" w14:textId="77777777">
                <w:pPr>
                  <w:keepNext/>
                  <w:jc w:val="center"/>
                  <w:rPr>
                    <w:rFonts w:cs="Calibri"/>
                    <w:color w:val="000000"/>
                    <w:sz w:val="16"/>
                    <w:szCs w:val="16"/>
                  </w:rPr>
                </w:pPr>
                <w:r w:rsidRPr="003B0ED8">
                  <w:rPr>
                    <w:rFonts w:cs="Calibri"/>
                    <w:color w:val="000000"/>
                    <w:sz w:val="16"/>
                    <w:szCs w:val="16"/>
                  </w:rPr>
                  <w:t>1,1</w:t>
                </w:r>
              </w:p>
            </w:tc>
            <w:tc>
              <w:tcPr>
                <w:tcW w:w="620" w:type="dxa"/>
                <w:tcBorders>
                  <w:top w:val="nil"/>
                  <w:left w:val="nil"/>
                  <w:bottom w:val="nil"/>
                  <w:right w:val="nil"/>
                </w:tcBorders>
                <w:noWrap/>
                <w:vAlign w:val="center"/>
                <w:hideMark/>
              </w:tcPr>
              <w:p w:rsidRPr="003B0ED8" w:rsidR="00CC7724" w:rsidRDefault="00CC7724" w14:paraId="3D6054C6" w14:textId="77777777">
                <w:pPr>
                  <w:keepNext/>
                  <w:jc w:val="center"/>
                  <w:rPr>
                    <w:rFonts w:cs="Calibri"/>
                    <w:color w:val="000000"/>
                    <w:sz w:val="16"/>
                    <w:szCs w:val="16"/>
                  </w:rPr>
                </w:pPr>
                <w:r w:rsidRPr="003B0ED8">
                  <w:rPr>
                    <w:rFonts w:cs="Calibri"/>
                    <w:color w:val="000000"/>
                    <w:sz w:val="16"/>
                    <w:szCs w:val="16"/>
                  </w:rPr>
                  <w:t>0,9</w:t>
                </w:r>
              </w:p>
            </w:tc>
            <w:tc>
              <w:tcPr>
                <w:tcW w:w="620" w:type="dxa"/>
                <w:tcBorders>
                  <w:top w:val="nil"/>
                  <w:left w:val="nil"/>
                  <w:bottom w:val="nil"/>
                  <w:right w:val="nil"/>
                </w:tcBorders>
                <w:shd w:val="clear" w:color="000000" w:fill="E7E6E6"/>
                <w:noWrap/>
                <w:vAlign w:val="center"/>
                <w:hideMark/>
              </w:tcPr>
              <w:p w:rsidRPr="003B0ED8" w:rsidR="00CC7724" w:rsidRDefault="00CC7724" w14:paraId="33A110D0" w14:textId="77777777">
                <w:pPr>
                  <w:keepNext/>
                  <w:jc w:val="center"/>
                  <w:rPr>
                    <w:rFonts w:cs="Calibri"/>
                    <w:color w:val="000000"/>
                    <w:sz w:val="16"/>
                    <w:szCs w:val="16"/>
                  </w:rPr>
                </w:pPr>
                <w:r w:rsidRPr="003B0ED8">
                  <w:rPr>
                    <w:rFonts w:cs="Calibri"/>
                    <w:color w:val="000000"/>
                    <w:sz w:val="16"/>
                    <w:szCs w:val="16"/>
                  </w:rPr>
                  <w:t>1,4</w:t>
                </w:r>
              </w:p>
            </w:tc>
            <w:tc>
              <w:tcPr>
                <w:tcW w:w="620" w:type="dxa"/>
                <w:tcBorders>
                  <w:top w:val="nil"/>
                  <w:left w:val="nil"/>
                  <w:bottom w:val="nil"/>
                  <w:right w:val="nil"/>
                </w:tcBorders>
                <w:shd w:val="clear" w:color="000000" w:fill="E7E6E6"/>
                <w:noWrap/>
                <w:vAlign w:val="center"/>
                <w:hideMark/>
              </w:tcPr>
              <w:p w:rsidRPr="003B0ED8" w:rsidR="00CC7724" w:rsidRDefault="00CC7724" w14:paraId="450ED015" w14:textId="77777777">
                <w:pPr>
                  <w:keepNext/>
                  <w:jc w:val="center"/>
                  <w:rPr>
                    <w:rFonts w:cs="Calibri"/>
                    <w:color w:val="000000"/>
                    <w:sz w:val="16"/>
                    <w:szCs w:val="16"/>
                  </w:rPr>
                </w:pPr>
                <w:r w:rsidRPr="003B0ED8">
                  <w:rPr>
                    <w:rFonts w:cs="Calibri"/>
                    <w:color w:val="000000"/>
                    <w:sz w:val="16"/>
                    <w:szCs w:val="16"/>
                  </w:rPr>
                  <w:t>1,5</w:t>
                </w:r>
              </w:p>
            </w:tc>
            <w:tc>
              <w:tcPr>
                <w:tcW w:w="620" w:type="dxa"/>
                <w:tcBorders>
                  <w:top w:val="nil"/>
                  <w:left w:val="nil"/>
                  <w:bottom w:val="nil"/>
                  <w:right w:val="nil"/>
                </w:tcBorders>
                <w:shd w:val="clear" w:color="000000" w:fill="E7E6E6"/>
                <w:noWrap/>
                <w:vAlign w:val="center"/>
                <w:hideMark/>
              </w:tcPr>
              <w:p w:rsidRPr="003B0ED8" w:rsidR="00CC7724" w:rsidRDefault="00CC7724" w14:paraId="64518B45" w14:textId="77777777">
                <w:pPr>
                  <w:keepNext/>
                  <w:jc w:val="center"/>
                  <w:rPr>
                    <w:rFonts w:cs="Calibri"/>
                    <w:color w:val="000000"/>
                    <w:sz w:val="16"/>
                    <w:szCs w:val="16"/>
                  </w:rPr>
                </w:pPr>
                <w:r w:rsidRPr="003B0ED8">
                  <w:rPr>
                    <w:rFonts w:cs="Calibri"/>
                    <w:color w:val="000000"/>
                    <w:sz w:val="16"/>
                    <w:szCs w:val="16"/>
                  </w:rPr>
                  <w:t>1,7</w:t>
                </w:r>
              </w:p>
            </w:tc>
          </w:tr>
          <w:tr w:rsidRPr="003B0ED8" w:rsidR="00CC7724" w14:paraId="3B33E7A6"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13EAA038" w14:textId="77777777">
                <w:pPr>
                  <w:keepNext/>
                  <w:rPr>
                    <w:rFonts w:cs="Calibri"/>
                    <w:color w:val="000000"/>
                    <w:sz w:val="16"/>
                    <w:szCs w:val="16"/>
                  </w:rPr>
                </w:pPr>
                <w:r w:rsidRPr="003B0ED8">
                  <w:rPr>
                    <w:rFonts w:cs="Calibri"/>
                    <w:color w:val="000000"/>
                    <w:sz w:val="16"/>
                    <w:szCs w:val="16"/>
                  </w:rPr>
                  <w:t>Consumptie overheid</w:t>
                </w:r>
              </w:p>
            </w:tc>
            <w:tc>
              <w:tcPr>
                <w:tcW w:w="620" w:type="dxa"/>
                <w:tcBorders>
                  <w:top w:val="nil"/>
                  <w:left w:val="nil"/>
                  <w:bottom w:val="nil"/>
                  <w:right w:val="nil"/>
                </w:tcBorders>
                <w:noWrap/>
                <w:vAlign w:val="center"/>
                <w:hideMark/>
              </w:tcPr>
              <w:p w:rsidRPr="003B0ED8" w:rsidR="00CC7724" w:rsidRDefault="00CC7724" w14:paraId="2B113D97" w14:textId="77777777">
                <w:pPr>
                  <w:keepNext/>
                  <w:jc w:val="center"/>
                  <w:rPr>
                    <w:rFonts w:cs="Calibri"/>
                    <w:color w:val="000000"/>
                    <w:sz w:val="16"/>
                    <w:szCs w:val="16"/>
                  </w:rPr>
                </w:pPr>
                <w:r w:rsidRPr="003B0ED8">
                  <w:rPr>
                    <w:rFonts w:cs="Calibri"/>
                    <w:color w:val="000000"/>
                    <w:sz w:val="16"/>
                    <w:szCs w:val="16"/>
                  </w:rPr>
                  <w:t>2,1</w:t>
                </w:r>
              </w:p>
            </w:tc>
            <w:tc>
              <w:tcPr>
                <w:tcW w:w="620" w:type="dxa"/>
                <w:tcBorders>
                  <w:top w:val="nil"/>
                  <w:left w:val="nil"/>
                  <w:bottom w:val="nil"/>
                  <w:right w:val="nil"/>
                </w:tcBorders>
                <w:noWrap/>
                <w:vAlign w:val="center"/>
                <w:hideMark/>
              </w:tcPr>
              <w:p w:rsidRPr="003B0ED8" w:rsidR="00CC7724" w:rsidRDefault="00CC7724" w14:paraId="4F749B01" w14:textId="77777777">
                <w:pPr>
                  <w:keepNext/>
                  <w:jc w:val="center"/>
                  <w:rPr>
                    <w:rFonts w:cs="Calibri"/>
                    <w:color w:val="000000"/>
                    <w:sz w:val="16"/>
                    <w:szCs w:val="16"/>
                  </w:rPr>
                </w:pPr>
                <w:r w:rsidRPr="003B0ED8">
                  <w:rPr>
                    <w:rFonts w:cs="Calibri"/>
                    <w:color w:val="000000"/>
                    <w:sz w:val="16"/>
                    <w:szCs w:val="16"/>
                  </w:rPr>
                  <w:t>2,0</w:t>
                </w:r>
              </w:p>
            </w:tc>
            <w:tc>
              <w:tcPr>
                <w:tcW w:w="620" w:type="dxa"/>
                <w:tcBorders>
                  <w:top w:val="nil"/>
                  <w:left w:val="nil"/>
                  <w:bottom w:val="nil"/>
                  <w:right w:val="nil"/>
                </w:tcBorders>
                <w:noWrap/>
                <w:vAlign w:val="center"/>
                <w:hideMark/>
              </w:tcPr>
              <w:p w:rsidRPr="003B0ED8" w:rsidR="00CC7724" w:rsidRDefault="00CC7724" w14:paraId="476B4456" w14:textId="77777777">
                <w:pPr>
                  <w:keepNext/>
                  <w:jc w:val="center"/>
                  <w:rPr>
                    <w:rFonts w:cs="Calibri"/>
                    <w:color w:val="000000"/>
                    <w:sz w:val="16"/>
                    <w:szCs w:val="16"/>
                  </w:rPr>
                </w:pPr>
                <w:r w:rsidRPr="003B0ED8">
                  <w:rPr>
                    <w:rFonts w:cs="Calibri"/>
                    <w:color w:val="000000"/>
                    <w:sz w:val="16"/>
                    <w:szCs w:val="16"/>
                  </w:rPr>
                  <w:t>1,8</w:t>
                </w:r>
              </w:p>
            </w:tc>
            <w:tc>
              <w:tcPr>
                <w:tcW w:w="620" w:type="dxa"/>
                <w:tcBorders>
                  <w:top w:val="nil"/>
                  <w:left w:val="nil"/>
                  <w:bottom w:val="nil"/>
                  <w:right w:val="nil"/>
                </w:tcBorders>
                <w:shd w:val="clear" w:color="000000" w:fill="E7E6E6"/>
                <w:noWrap/>
                <w:vAlign w:val="center"/>
                <w:hideMark/>
              </w:tcPr>
              <w:p w:rsidRPr="003B0ED8" w:rsidR="00CC7724" w:rsidRDefault="00CC7724" w14:paraId="79298250" w14:textId="77777777">
                <w:pPr>
                  <w:keepNext/>
                  <w:jc w:val="center"/>
                  <w:rPr>
                    <w:rFonts w:cs="Calibri"/>
                    <w:color w:val="000000"/>
                    <w:sz w:val="16"/>
                    <w:szCs w:val="16"/>
                  </w:rPr>
                </w:pPr>
                <w:r w:rsidRPr="003B0ED8">
                  <w:rPr>
                    <w:rFonts w:cs="Calibri"/>
                    <w:color w:val="000000"/>
                    <w:sz w:val="16"/>
                    <w:szCs w:val="16"/>
                  </w:rPr>
                  <w:t>2,2</w:t>
                </w:r>
              </w:p>
            </w:tc>
            <w:tc>
              <w:tcPr>
                <w:tcW w:w="620" w:type="dxa"/>
                <w:tcBorders>
                  <w:top w:val="nil"/>
                  <w:left w:val="nil"/>
                  <w:bottom w:val="nil"/>
                  <w:right w:val="nil"/>
                </w:tcBorders>
                <w:shd w:val="clear" w:color="000000" w:fill="E7E6E6"/>
                <w:noWrap/>
                <w:vAlign w:val="center"/>
                <w:hideMark/>
              </w:tcPr>
              <w:p w:rsidRPr="003B0ED8" w:rsidR="00CC7724" w:rsidRDefault="00CC7724" w14:paraId="4879268E" w14:textId="77777777">
                <w:pPr>
                  <w:keepNext/>
                  <w:jc w:val="center"/>
                  <w:rPr>
                    <w:rFonts w:cs="Calibri"/>
                    <w:color w:val="000000"/>
                    <w:sz w:val="16"/>
                    <w:szCs w:val="16"/>
                  </w:rPr>
                </w:pPr>
                <w:r w:rsidRPr="003B0ED8">
                  <w:rPr>
                    <w:rFonts w:cs="Calibri"/>
                    <w:color w:val="000000"/>
                    <w:sz w:val="16"/>
                    <w:szCs w:val="16"/>
                  </w:rPr>
                  <w:t>1,7</w:t>
                </w:r>
              </w:p>
            </w:tc>
            <w:tc>
              <w:tcPr>
                <w:tcW w:w="620" w:type="dxa"/>
                <w:tcBorders>
                  <w:top w:val="nil"/>
                  <w:left w:val="nil"/>
                  <w:bottom w:val="nil"/>
                  <w:right w:val="nil"/>
                </w:tcBorders>
                <w:shd w:val="clear" w:color="000000" w:fill="E7E6E6"/>
                <w:noWrap/>
                <w:vAlign w:val="center"/>
                <w:hideMark/>
              </w:tcPr>
              <w:p w:rsidRPr="003B0ED8" w:rsidR="00CC7724" w:rsidRDefault="00CC7724" w14:paraId="6AC8FA36" w14:textId="77777777">
                <w:pPr>
                  <w:keepNext/>
                  <w:jc w:val="center"/>
                  <w:rPr>
                    <w:rFonts w:cs="Calibri"/>
                    <w:color w:val="000000"/>
                    <w:sz w:val="16"/>
                    <w:szCs w:val="16"/>
                  </w:rPr>
                </w:pPr>
                <w:r w:rsidRPr="003B0ED8">
                  <w:rPr>
                    <w:rFonts w:cs="Calibri"/>
                    <w:color w:val="000000"/>
                    <w:sz w:val="16"/>
                    <w:szCs w:val="16"/>
                  </w:rPr>
                  <w:t>0,8</w:t>
                </w:r>
              </w:p>
            </w:tc>
          </w:tr>
          <w:tr w:rsidRPr="003B0ED8" w:rsidR="00CC7724" w14:paraId="70DBBD17"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514A92DC" w14:textId="77777777">
                <w:pPr>
                  <w:keepNext/>
                  <w:rPr>
                    <w:rFonts w:cs="Calibri"/>
                    <w:color w:val="000000"/>
                    <w:sz w:val="16"/>
                    <w:szCs w:val="16"/>
                  </w:rPr>
                </w:pPr>
                <w:r w:rsidRPr="003B0ED8">
                  <w:rPr>
                    <w:rFonts w:cs="Calibri"/>
                    <w:color w:val="000000"/>
                    <w:sz w:val="16"/>
                    <w:szCs w:val="16"/>
                  </w:rPr>
                  <w:t>Investeringen (inclusief voorraden)</w:t>
                </w:r>
              </w:p>
            </w:tc>
            <w:tc>
              <w:tcPr>
                <w:tcW w:w="620" w:type="dxa"/>
                <w:tcBorders>
                  <w:top w:val="nil"/>
                  <w:left w:val="nil"/>
                  <w:bottom w:val="nil"/>
                  <w:right w:val="nil"/>
                </w:tcBorders>
                <w:noWrap/>
                <w:vAlign w:val="center"/>
                <w:hideMark/>
              </w:tcPr>
              <w:p w:rsidRPr="003B0ED8" w:rsidR="00CC7724" w:rsidRDefault="00CC7724" w14:paraId="34F0EDAB" w14:textId="77777777">
                <w:pPr>
                  <w:keepNext/>
                  <w:jc w:val="center"/>
                  <w:rPr>
                    <w:rFonts w:cs="Calibri"/>
                    <w:color w:val="000000"/>
                    <w:sz w:val="16"/>
                    <w:szCs w:val="16"/>
                  </w:rPr>
                </w:pPr>
                <w:r w:rsidRPr="003B0ED8">
                  <w:rPr>
                    <w:rFonts w:cs="Calibri"/>
                    <w:color w:val="000000"/>
                    <w:sz w:val="16"/>
                    <w:szCs w:val="16"/>
                  </w:rPr>
                  <w:t>0,3</w:t>
                </w:r>
              </w:p>
            </w:tc>
            <w:tc>
              <w:tcPr>
                <w:tcW w:w="620" w:type="dxa"/>
                <w:tcBorders>
                  <w:top w:val="nil"/>
                  <w:left w:val="nil"/>
                  <w:bottom w:val="nil"/>
                  <w:right w:val="nil"/>
                </w:tcBorders>
                <w:noWrap/>
                <w:vAlign w:val="center"/>
                <w:hideMark/>
              </w:tcPr>
              <w:p w:rsidRPr="003B0ED8" w:rsidR="00CC7724" w:rsidRDefault="00CC7724" w14:paraId="19DA9A9B" w14:textId="77777777">
                <w:pPr>
                  <w:keepNext/>
                  <w:jc w:val="center"/>
                  <w:rPr>
                    <w:rFonts w:cs="Calibri"/>
                    <w:color w:val="000000"/>
                    <w:sz w:val="16"/>
                    <w:szCs w:val="16"/>
                  </w:rPr>
                </w:pPr>
                <w:r w:rsidRPr="003B0ED8">
                  <w:rPr>
                    <w:rFonts w:cs="Calibri"/>
                    <w:color w:val="000000"/>
                    <w:sz w:val="16"/>
                    <w:szCs w:val="16"/>
                  </w:rPr>
                  <w:t>1,8</w:t>
                </w:r>
              </w:p>
            </w:tc>
            <w:tc>
              <w:tcPr>
                <w:tcW w:w="620" w:type="dxa"/>
                <w:tcBorders>
                  <w:top w:val="nil"/>
                  <w:left w:val="nil"/>
                  <w:bottom w:val="nil"/>
                  <w:right w:val="nil"/>
                </w:tcBorders>
                <w:noWrap/>
                <w:vAlign w:val="center"/>
                <w:hideMark/>
              </w:tcPr>
              <w:p w:rsidRPr="003B0ED8" w:rsidR="00CC7724" w:rsidRDefault="00CC7724" w14:paraId="7269EBD8" w14:textId="77777777">
                <w:pPr>
                  <w:keepNext/>
                  <w:jc w:val="center"/>
                  <w:rPr>
                    <w:rFonts w:cs="Calibri"/>
                    <w:color w:val="000000"/>
                    <w:sz w:val="16"/>
                    <w:szCs w:val="16"/>
                  </w:rPr>
                </w:pPr>
                <w:r w:rsidRPr="003B0ED8">
                  <w:rPr>
                    <w:rFonts w:cs="Calibri"/>
                    <w:color w:val="000000"/>
                    <w:sz w:val="16"/>
                    <w:szCs w:val="16"/>
                  </w:rPr>
                  <w:t>3,1</w:t>
                </w:r>
              </w:p>
            </w:tc>
            <w:tc>
              <w:tcPr>
                <w:tcW w:w="620" w:type="dxa"/>
                <w:tcBorders>
                  <w:top w:val="nil"/>
                  <w:left w:val="nil"/>
                  <w:bottom w:val="nil"/>
                  <w:right w:val="nil"/>
                </w:tcBorders>
                <w:shd w:val="clear" w:color="000000" w:fill="E7E6E6"/>
                <w:noWrap/>
                <w:vAlign w:val="center"/>
                <w:hideMark/>
              </w:tcPr>
              <w:p w:rsidRPr="003B0ED8" w:rsidR="00CC7724" w:rsidRDefault="00CC7724" w14:paraId="6489BEDE" w14:textId="77777777">
                <w:pPr>
                  <w:keepNext/>
                  <w:jc w:val="center"/>
                  <w:rPr>
                    <w:rFonts w:cs="Calibri"/>
                    <w:color w:val="000000"/>
                    <w:sz w:val="16"/>
                    <w:szCs w:val="16"/>
                  </w:rPr>
                </w:pPr>
                <w:r w:rsidRPr="003B0ED8">
                  <w:rPr>
                    <w:rFonts w:cs="Calibri"/>
                    <w:color w:val="000000"/>
                    <w:sz w:val="16"/>
                    <w:szCs w:val="16"/>
                  </w:rPr>
                  <w:t>1,6</w:t>
                </w:r>
              </w:p>
            </w:tc>
            <w:tc>
              <w:tcPr>
                <w:tcW w:w="620" w:type="dxa"/>
                <w:tcBorders>
                  <w:top w:val="nil"/>
                  <w:left w:val="nil"/>
                  <w:bottom w:val="nil"/>
                  <w:right w:val="nil"/>
                </w:tcBorders>
                <w:shd w:val="clear" w:color="000000" w:fill="E7E6E6"/>
                <w:noWrap/>
                <w:vAlign w:val="center"/>
                <w:hideMark/>
              </w:tcPr>
              <w:p w:rsidRPr="003B0ED8" w:rsidR="00CC7724" w:rsidRDefault="00CC7724" w14:paraId="136C3F2A" w14:textId="77777777">
                <w:pPr>
                  <w:keepNext/>
                  <w:jc w:val="center"/>
                  <w:rPr>
                    <w:rFonts w:cs="Calibri"/>
                    <w:color w:val="000000"/>
                    <w:sz w:val="16"/>
                    <w:szCs w:val="16"/>
                  </w:rPr>
                </w:pPr>
                <w:r w:rsidRPr="003B0ED8">
                  <w:rPr>
                    <w:rFonts w:cs="Calibri"/>
                    <w:color w:val="000000"/>
                    <w:sz w:val="16"/>
                    <w:szCs w:val="16"/>
                  </w:rPr>
                  <w:t>1,1</w:t>
                </w:r>
              </w:p>
            </w:tc>
            <w:tc>
              <w:tcPr>
                <w:tcW w:w="620" w:type="dxa"/>
                <w:tcBorders>
                  <w:top w:val="nil"/>
                  <w:left w:val="nil"/>
                  <w:bottom w:val="nil"/>
                  <w:right w:val="nil"/>
                </w:tcBorders>
                <w:shd w:val="clear" w:color="000000" w:fill="E7E6E6"/>
                <w:noWrap/>
                <w:vAlign w:val="center"/>
                <w:hideMark/>
              </w:tcPr>
              <w:p w:rsidRPr="003B0ED8" w:rsidR="00CC7724" w:rsidRDefault="00CC7724" w14:paraId="3ABFF30B" w14:textId="77777777">
                <w:pPr>
                  <w:keepNext/>
                  <w:jc w:val="center"/>
                  <w:rPr>
                    <w:rFonts w:cs="Calibri"/>
                    <w:color w:val="000000"/>
                    <w:sz w:val="16"/>
                    <w:szCs w:val="16"/>
                  </w:rPr>
                </w:pPr>
                <w:r w:rsidRPr="003B0ED8">
                  <w:rPr>
                    <w:rFonts w:cs="Calibri"/>
                    <w:color w:val="000000"/>
                    <w:sz w:val="16"/>
                    <w:szCs w:val="16"/>
                  </w:rPr>
                  <w:t>1,8</w:t>
                </w:r>
              </w:p>
            </w:tc>
          </w:tr>
          <w:tr w:rsidRPr="003B0ED8" w:rsidR="00CC7724" w14:paraId="068CFF80"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38F2223A" w14:textId="77777777">
                <w:pPr>
                  <w:keepNext/>
                  <w:rPr>
                    <w:rFonts w:cs="Calibri"/>
                    <w:color w:val="000000"/>
                    <w:sz w:val="16"/>
                    <w:szCs w:val="16"/>
                  </w:rPr>
                </w:pPr>
                <w:r w:rsidRPr="003B0ED8">
                  <w:rPr>
                    <w:rFonts w:cs="Calibri"/>
                    <w:color w:val="000000"/>
                    <w:sz w:val="16"/>
                    <w:szCs w:val="16"/>
                  </w:rPr>
                  <w:t>Uitvoer van goederen en diensten</w:t>
                </w:r>
              </w:p>
            </w:tc>
            <w:tc>
              <w:tcPr>
                <w:tcW w:w="620" w:type="dxa"/>
                <w:tcBorders>
                  <w:top w:val="nil"/>
                  <w:left w:val="nil"/>
                  <w:bottom w:val="nil"/>
                  <w:right w:val="nil"/>
                </w:tcBorders>
                <w:noWrap/>
                <w:vAlign w:val="center"/>
                <w:hideMark/>
              </w:tcPr>
              <w:p w:rsidRPr="003B0ED8" w:rsidR="00CC7724" w:rsidRDefault="00CC7724" w14:paraId="3C17E31D" w14:textId="77777777">
                <w:pPr>
                  <w:keepNext/>
                  <w:jc w:val="center"/>
                  <w:rPr>
                    <w:rFonts w:cs="Calibri"/>
                    <w:color w:val="000000"/>
                    <w:sz w:val="16"/>
                    <w:szCs w:val="16"/>
                  </w:rPr>
                </w:pPr>
                <w:r w:rsidRPr="003B0ED8">
                  <w:rPr>
                    <w:rFonts w:cs="Calibri"/>
                    <w:color w:val="000000"/>
                    <w:sz w:val="16"/>
                    <w:szCs w:val="16"/>
                  </w:rPr>
                  <w:t>2,5</w:t>
                </w:r>
              </w:p>
            </w:tc>
            <w:tc>
              <w:tcPr>
                <w:tcW w:w="620" w:type="dxa"/>
                <w:tcBorders>
                  <w:top w:val="nil"/>
                  <w:left w:val="nil"/>
                  <w:bottom w:val="nil"/>
                  <w:right w:val="nil"/>
                </w:tcBorders>
                <w:noWrap/>
                <w:vAlign w:val="center"/>
                <w:hideMark/>
              </w:tcPr>
              <w:p w:rsidRPr="003B0ED8" w:rsidR="00CC7724" w:rsidRDefault="00CC7724" w14:paraId="7B70936B" w14:textId="77777777">
                <w:pPr>
                  <w:keepNext/>
                  <w:jc w:val="center"/>
                  <w:rPr>
                    <w:rFonts w:cs="Calibri"/>
                    <w:color w:val="000000"/>
                    <w:sz w:val="16"/>
                    <w:szCs w:val="16"/>
                  </w:rPr>
                </w:pPr>
                <w:r w:rsidRPr="003B0ED8">
                  <w:rPr>
                    <w:rFonts w:cs="Calibri"/>
                    <w:color w:val="000000"/>
                    <w:sz w:val="16"/>
                    <w:szCs w:val="16"/>
                  </w:rPr>
                  <w:t>2,2</w:t>
                </w:r>
              </w:p>
            </w:tc>
            <w:tc>
              <w:tcPr>
                <w:tcW w:w="620" w:type="dxa"/>
                <w:tcBorders>
                  <w:top w:val="nil"/>
                  <w:left w:val="nil"/>
                  <w:bottom w:val="nil"/>
                  <w:right w:val="nil"/>
                </w:tcBorders>
                <w:noWrap/>
                <w:vAlign w:val="center"/>
                <w:hideMark/>
              </w:tcPr>
              <w:p w:rsidRPr="003B0ED8" w:rsidR="00CC7724" w:rsidRDefault="00CC7724" w14:paraId="28D45F71" w14:textId="77777777">
                <w:pPr>
                  <w:keepNext/>
                  <w:jc w:val="center"/>
                  <w:rPr>
                    <w:rFonts w:cs="Calibri"/>
                    <w:color w:val="000000"/>
                    <w:sz w:val="16"/>
                    <w:szCs w:val="16"/>
                  </w:rPr>
                </w:pPr>
                <w:r w:rsidRPr="003B0ED8">
                  <w:rPr>
                    <w:rFonts w:cs="Calibri"/>
                    <w:color w:val="000000"/>
                    <w:sz w:val="16"/>
                    <w:szCs w:val="16"/>
                  </w:rPr>
                  <w:t>2,3</w:t>
                </w:r>
              </w:p>
            </w:tc>
            <w:tc>
              <w:tcPr>
                <w:tcW w:w="620" w:type="dxa"/>
                <w:tcBorders>
                  <w:top w:val="nil"/>
                  <w:left w:val="nil"/>
                  <w:bottom w:val="nil"/>
                  <w:right w:val="nil"/>
                </w:tcBorders>
                <w:shd w:val="clear" w:color="000000" w:fill="E7E6E6"/>
                <w:noWrap/>
                <w:vAlign w:val="center"/>
                <w:hideMark/>
              </w:tcPr>
              <w:p w:rsidRPr="003B0ED8" w:rsidR="00CC7724" w:rsidRDefault="00CC7724" w14:paraId="765E375B" w14:textId="77777777">
                <w:pPr>
                  <w:keepNext/>
                  <w:jc w:val="center"/>
                  <w:rPr>
                    <w:rFonts w:cs="Calibri"/>
                    <w:color w:val="000000"/>
                    <w:sz w:val="16"/>
                    <w:szCs w:val="16"/>
                  </w:rPr>
                </w:pPr>
                <w:r w:rsidRPr="003B0ED8">
                  <w:rPr>
                    <w:rFonts w:cs="Calibri"/>
                    <w:color w:val="000000"/>
                    <w:sz w:val="16"/>
                    <w:szCs w:val="16"/>
                  </w:rPr>
                  <w:t>2,6</w:t>
                </w:r>
              </w:p>
            </w:tc>
            <w:tc>
              <w:tcPr>
                <w:tcW w:w="620" w:type="dxa"/>
                <w:tcBorders>
                  <w:top w:val="nil"/>
                  <w:left w:val="nil"/>
                  <w:bottom w:val="nil"/>
                  <w:right w:val="nil"/>
                </w:tcBorders>
                <w:shd w:val="clear" w:color="000000" w:fill="E7E6E6"/>
                <w:noWrap/>
                <w:vAlign w:val="center"/>
                <w:hideMark/>
              </w:tcPr>
              <w:p w:rsidRPr="003B0ED8" w:rsidR="00CC7724" w:rsidRDefault="00CC7724" w14:paraId="177E9EF0" w14:textId="77777777">
                <w:pPr>
                  <w:keepNext/>
                  <w:jc w:val="center"/>
                  <w:rPr>
                    <w:rFonts w:cs="Calibri"/>
                    <w:color w:val="000000"/>
                    <w:sz w:val="16"/>
                    <w:szCs w:val="16"/>
                  </w:rPr>
                </w:pPr>
                <w:r w:rsidRPr="003B0ED8">
                  <w:rPr>
                    <w:rFonts w:cs="Calibri"/>
                    <w:color w:val="000000"/>
                    <w:sz w:val="16"/>
                    <w:szCs w:val="16"/>
                  </w:rPr>
                  <w:t>2,3</w:t>
                </w:r>
              </w:p>
            </w:tc>
            <w:tc>
              <w:tcPr>
                <w:tcW w:w="620" w:type="dxa"/>
                <w:tcBorders>
                  <w:top w:val="nil"/>
                  <w:left w:val="nil"/>
                  <w:bottom w:val="nil"/>
                  <w:right w:val="nil"/>
                </w:tcBorders>
                <w:shd w:val="clear" w:color="000000" w:fill="E7E6E6"/>
                <w:noWrap/>
                <w:vAlign w:val="center"/>
                <w:hideMark/>
              </w:tcPr>
              <w:p w:rsidRPr="003B0ED8" w:rsidR="00CC7724" w:rsidRDefault="00CC7724" w14:paraId="6FA420D8" w14:textId="77777777">
                <w:pPr>
                  <w:keepNext/>
                  <w:jc w:val="center"/>
                  <w:rPr>
                    <w:rFonts w:cs="Calibri"/>
                    <w:color w:val="000000"/>
                    <w:sz w:val="16"/>
                    <w:szCs w:val="16"/>
                  </w:rPr>
                </w:pPr>
                <w:r w:rsidRPr="003B0ED8">
                  <w:rPr>
                    <w:rFonts w:cs="Calibri"/>
                    <w:color w:val="000000"/>
                    <w:sz w:val="16"/>
                    <w:szCs w:val="16"/>
                  </w:rPr>
                  <w:t>1,5</w:t>
                </w:r>
              </w:p>
            </w:tc>
          </w:tr>
          <w:tr w:rsidRPr="003B0ED8" w:rsidR="00CC7724" w14:paraId="03814839"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6A327CE2" w14:textId="77777777">
                <w:pPr>
                  <w:keepNext/>
                  <w:rPr>
                    <w:rFonts w:cs="Calibri"/>
                    <w:color w:val="000000"/>
                    <w:sz w:val="16"/>
                    <w:szCs w:val="16"/>
                  </w:rPr>
                </w:pPr>
                <w:r w:rsidRPr="003B0ED8">
                  <w:rPr>
                    <w:rFonts w:cs="Calibri"/>
                    <w:color w:val="000000"/>
                    <w:sz w:val="16"/>
                    <w:szCs w:val="16"/>
                  </w:rPr>
                  <w:t>Invoer van goederen en diensten</w:t>
                </w:r>
              </w:p>
            </w:tc>
            <w:tc>
              <w:tcPr>
                <w:tcW w:w="620" w:type="dxa"/>
                <w:tcBorders>
                  <w:top w:val="nil"/>
                  <w:left w:val="nil"/>
                  <w:bottom w:val="nil"/>
                  <w:right w:val="nil"/>
                </w:tcBorders>
                <w:noWrap/>
                <w:vAlign w:val="center"/>
                <w:hideMark/>
              </w:tcPr>
              <w:p w:rsidRPr="003B0ED8" w:rsidR="00CC7724" w:rsidRDefault="00CC7724" w14:paraId="2DEDCA76" w14:textId="77777777">
                <w:pPr>
                  <w:keepNext/>
                  <w:jc w:val="center"/>
                  <w:rPr>
                    <w:rFonts w:cs="Calibri"/>
                    <w:color w:val="000000"/>
                    <w:sz w:val="16"/>
                    <w:szCs w:val="16"/>
                  </w:rPr>
                </w:pPr>
                <w:r w:rsidRPr="003B0ED8">
                  <w:rPr>
                    <w:rFonts w:cs="Calibri"/>
                    <w:color w:val="000000"/>
                    <w:sz w:val="16"/>
                    <w:szCs w:val="16"/>
                  </w:rPr>
                  <w:t>2,2</w:t>
                </w:r>
              </w:p>
            </w:tc>
            <w:tc>
              <w:tcPr>
                <w:tcW w:w="620" w:type="dxa"/>
                <w:tcBorders>
                  <w:top w:val="nil"/>
                  <w:left w:val="nil"/>
                  <w:bottom w:val="nil"/>
                  <w:right w:val="nil"/>
                </w:tcBorders>
                <w:noWrap/>
                <w:vAlign w:val="center"/>
                <w:hideMark/>
              </w:tcPr>
              <w:p w:rsidRPr="003B0ED8" w:rsidR="00CC7724" w:rsidRDefault="00CC7724" w14:paraId="167CDAF9" w14:textId="77777777">
                <w:pPr>
                  <w:keepNext/>
                  <w:jc w:val="center"/>
                  <w:rPr>
                    <w:rFonts w:cs="Calibri"/>
                    <w:color w:val="000000"/>
                    <w:sz w:val="16"/>
                    <w:szCs w:val="16"/>
                  </w:rPr>
                </w:pPr>
                <w:r w:rsidRPr="003B0ED8">
                  <w:rPr>
                    <w:rFonts w:cs="Calibri"/>
                    <w:color w:val="000000"/>
                    <w:sz w:val="16"/>
                    <w:szCs w:val="16"/>
                  </w:rPr>
                  <w:t>2,5</w:t>
                </w:r>
              </w:p>
            </w:tc>
            <w:tc>
              <w:tcPr>
                <w:tcW w:w="620" w:type="dxa"/>
                <w:tcBorders>
                  <w:top w:val="nil"/>
                  <w:left w:val="nil"/>
                  <w:bottom w:val="nil"/>
                  <w:right w:val="nil"/>
                </w:tcBorders>
                <w:noWrap/>
                <w:vAlign w:val="center"/>
                <w:hideMark/>
              </w:tcPr>
              <w:p w:rsidRPr="003B0ED8" w:rsidR="00CC7724" w:rsidRDefault="00CC7724" w14:paraId="4EE94E95" w14:textId="77777777">
                <w:pPr>
                  <w:keepNext/>
                  <w:jc w:val="center"/>
                  <w:rPr>
                    <w:rFonts w:cs="Calibri"/>
                    <w:color w:val="000000"/>
                    <w:sz w:val="16"/>
                    <w:szCs w:val="16"/>
                  </w:rPr>
                </w:pPr>
                <w:r w:rsidRPr="003B0ED8">
                  <w:rPr>
                    <w:rFonts w:cs="Calibri"/>
                    <w:color w:val="000000"/>
                    <w:sz w:val="16"/>
                    <w:szCs w:val="16"/>
                  </w:rPr>
                  <w:t>3,1</w:t>
                </w:r>
              </w:p>
            </w:tc>
            <w:tc>
              <w:tcPr>
                <w:tcW w:w="620" w:type="dxa"/>
                <w:tcBorders>
                  <w:top w:val="nil"/>
                  <w:left w:val="nil"/>
                  <w:bottom w:val="nil"/>
                  <w:right w:val="nil"/>
                </w:tcBorders>
                <w:shd w:val="clear" w:color="000000" w:fill="E7E6E6"/>
                <w:noWrap/>
                <w:vAlign w:val="center"/>
                <w:hideMark/>
              </w:tcPr>
              <w:p w:rsidRPr="003B0ED8" w:rsidR="00CC7724" w:rsidRDefault="00CC7724" w14:paraId="677898F2" w14:textId="77777777">
                <w:pPr>
                  <w:keepNext/>
                  <w:jc w:val="center"/>
                  <w:rPr>
                    <w:rFonts w:cs="Calibri"/>
                    <w:color w:val="000000"/>
                    <w:sz w:val="16"/>
                    <w:szCs w:val="16"/>
                  </w:rPr>
                </w:pPr>
                <w:r w:rsidRPr="003B0ED8">
                  <w:rPr>
                    <w:rFonts w:cs="Calibri"/>
                    <w:color w:val="000000"/>
                    <w:sz w:val="16"/>
                    <w:szCs w:val="16"/>
                  </w:rPr>
                  <w:t>2,5</w:t>
                </w:r>
              </w:p>
            </w:tc>
            <w:tc>
              <w:tcPr>
                <w:tcW w:w="620" w:type="dxa"/>
                <w:tcBorders>
                  <w:top w:val="nil"/>
                  <w:left w:val="nil"/>
                  <w:bottom w:val="nil"/>
                  <w:right w:val="nil"/>
                </w:tcBorders>
                <w:shd w:val="clear" w:color="000000" w:fill="E7E6E6"/>
                <w:noWrap/>
                <w:vAlign w:val="center"/>
                <w:hideMark/>
              </w:tcPr>
              <w:p w:rsidRPr="003B0ED8" w:rsidR="00CC7724" w:rsidRDefault="00CC7724" w14:paraId="18906E8F" w14:textId="77777777">
                <w:pPr>
                  <w:keepNext/>
                  <w:jc w:val="center"/>
                  <w:rPr>
                    <w:rFonts w:cs="Calibri"/>
                    <w:color w:val="000000"/>
                    <w:sz w:val="16"/>
                    <w:szCs w:val="16"/>
                  </w:rPr>
                </w:pPr>
                <w:r w:rsidRPr="003B0ED8">
                  <w:rPr>
                    <w:rFonts w:cs="Calibri"/>
                    <w:color w:val="000000"/>
                    <w:sz w:val="16"/>
                    <w:szCs w:val="16"/>
                  </w:rPr>
                  <w:t>2,5</w:t>
                </w:r>
              </w:p>
            </w:tc>
            <w:tc>
              <w:tcPr>
                <w:tcW w:w="620" w:type="dxa"/>
                <w:tcBorders>
                  <w:top w:val="nil"/>
                  <w:left w:val="nil"/>
                  <w:bottom w:val="nil"/>
                  <w:right w:val="nil"/>
                </w:tcBorders>
                <w:shd w:val="clear" w:color="000000" w:fill="E7E6E6"/>
                <w:noWrap/>
                <w:vAlign w:val="center"/>
                <w:hideMark/>
              </w:tcPr>
              <w:p w:rsidRPr="003B0ED8" w:rsidR="00CC7724" w:rsidRDefault="00CC7724" w14:paraId="77EE13FA" w14:textId="77777777">
                <w:pPr>
                  <w:keepNext/>
                  <w:jc w:val="center"/>
                  <w:rPr>
                    <w:rFonts w:cs="Calibri"/>
                    <w:color w:val="000000"/>
                    <w:sz w:val="16"/>
                    <w:szCs w:val="16"/>
                  </w:rPr>
                </w:pPr>
                <w:r w:rsidRPr="003B0ED8">
                  <w:rPr>
                    <w:rFonts w:cs="Calibri"/>
                    <w:color w:val="000000"/>
                    <w:sz w:val="16"/>
                    <w:szCs w:val="16"/>
                  </w:rPr>
                  <w:t>2,0</w:t>
                </w:r>
              </w:p>
            </w:tc>
          </w:tr>
          <w:tr w:rsidRPr="003B0ED8" w:rsidR="00CC7724" w14:paraId="703962FC" w14:textId="77777777">
            <w:trPr>
              <w:cantSplit/>
              <w:trHeight w:val="240"/>
            </w:trPr>
            <w:tc>
              <w:tcPr>
                <w:tcW w:w="4540" w:type="dxa"/>
                <w:tcBorders>
                  <w:top w:val="nil"/>
                  <w:left w:val="nil"/>
                  <w:bottom w:val="nil"/>
                  <w:right w:val="nil"/>
                </w:tcBorders>
                <w:noWrap/>
                <w:vAlign w:val="bottom"/>
                <w:hideMark/>
              </w:tcPr>
              <w:p w:rsidRPr="003B0ED8" w:rsidR="00CC7724" w:rsidRDefault="00CC7724" w14:paraId="11BC637D" w14:textId="77777777">
                <w:pPr>
                  <w:keepNext/>
                  <w:jc w:val="center"/>
                  <w:rPr>
                    <w:rFonts w:cs="Calibri"/>
                    <w:color w:val="000000"/>
                    <w:sz w:val="16"/>
                    <w:szCs w:val="16"/>
                  </w:rPr>
                </w:pPr>
              </w:p>
            </w:tc>
            <w:tc>
              <w:tcPr>
                <w:tcW w:w="620" w:type="dxa"/>
                <w:tcBorders>
                  <w:top w:val="nil"/>
                  <w:left w:val="nil"/>
                  <w:bottom w:val="nil"/>
                  <w:right w:val="nil"/>
                </w:tcBorders>
                <w:noWrap/>
                <w:vAlign w:val="bottom"/>
                <w:hideMark/>
              </w:tcPr>
              <w:p w:rsidRPr="003B0ED8" w:rsidR="00CC7724" w:rsidRDefault="00CC7724" w14:paraId="03416F68" w14:textId="77777777">
                <w:pPr>
                  <w:keepNext/>
                  <w:rPr>
                    <w:rFonts w:ascii="Times New Roman" w:hAnsi="Times New Roman"/>
                    <w:sz w:val="20"/>
                    <w:szCs w:val="20"/>
                  </w:rPr>
                </w:pPr>
              </w:p>
            </w:tc>
            <w:tc>
              <w:tcPr>
                <w:tcW w:w="620" w:type="dxa"/>
                <w:tcBorders>
                  <w:top w:val="nil"/>
                  <w:left w:val="nil"/>
                  <w:bottom w:val="nil"/>
                  <w:right w:val="nil"/>
                </w:tcBorders>
                <w:noWrap/>
                <w:vAlign w:val="bottom"/>
                <w:hideMark/>
              </w:tcPr>
              <w:p w:rsidRPr="003B0ED8" w:rsidR="00CC7724" w:rsidRDefault="00CC7724" w14:paraId="005B96B7" w14:textId="77777777">
                <w:pPr>
                  <w:keepNext/>
                  <w:jc w:val="center"/>
                  <w:rPr>
                    <w:rFonts w:ascii="Times New Roman" w:hAnsi="Times New Roman"/>
                    <w:sz w:val="20"/>
                    <w:szCs w:val="20"/>
                  </w:rPr>
                </w:pPr>
              </w:p>
            </w:tc>
            <w:tc>
              <w:tcPr>
                <w:tcW w:w="620" w:type="dxa"/>
                <w:tcBorders>
                  <w:top w:val="nil"/>
                  <w:left w:val="nil"/>
                  <w:bottom w:val="nil"/>
                  <w:right w:val="nil"/>
                </w:tcBorders>
                <w:noWrap/>
                <w:vAlign w:val="bottom"/>
                <w:hideMark/>
              </w:tcPr>
              <w:p w:rsidRPr="003B0ED8" w:rsidR="00CC7724" w:rsidRDefault="00CC7724" w14:paraId="54B1AB38" w14:textId="77777777">
                <w:pPr>
                  <w:keepNext/>
                  <w:jc w:val="center"/>
                  <w:rPr>
                    <w:rFonts w:ascii="Times New Roman" w:hAnsi="Times New Roman"/>
                    <w:sz w:val="20"/>
                    <w:szCs w:val="20"/>
                  </w:rPr>
                </w:pPr>
              </w:p>
            </w:tc>
            <w:tc>
              <w:tcPr>
                <w:tcW w:w="620" w:type="dxa"/>
                <w:tcBorders>
                  <w:top w:val="nil"/>
                  <w:left w:val="nil"/>
                  <w:bottom w:val="nil"/>
                  <w:right w:val="nil"/>
                </w:tcBorders>
                <w:shd w:val="clear" w:color="000000" w:fill="E7E6E6"/>
                <w:noWrap/>
                <w:vAlign w:val="center"/>
                <w:hideMark/>
              </w:tcPr>
              <w:p w:rsidRPr="003B0ED8" w:rsidR="00CC7724" w:rsidRDefault="00CC7724" w14:paraId="3F0271C8" w14:textId="77777777">
                <w:pPr>
                  <w:keepNext/>
                  <w:jc w:val="center"/>
                  <w:rPr>
                    <w:rFonts w:cs="Calibri"/>
                    <w:color w:val="000000"/>
                    <w:sz w:val="16"/>
                    <w:szCs w:val="16"/>
                  </w:rPr>
                </w:pPr>
                <w:r w:rsidRPr="003B0ED8">
                  <w:rPr>
                    <w:rFonts w:cs="Calibri"/>
                    <w:color w:val="000000"/>
                    <w:sz w:val="16"/>
                    <w:szCs w:val="16"/>
                  </w:rPr>
                  <w:t> </w:t>
                </w:r>
              </w:p>
            </w:tc>
            <w:tc>
              <w:tcPr>
                <w:tcW w:w="620" w:type="dxa"/>
                <w:tcBorders>
                  <w:top w:val="nil"/>
                  <w:left w:val="nil"/>
                  <w:bottom w:val="nil"/>
                  <w:right w:val="nil"/>
                </w:tcBorders>
                <w:shd w:val="clear" w:color="000000" w:fill="E7E6E6"/>
                <w:noWrap/>
                <w:vAlign w:val="center"/>
                <w:hideMark/>
              </w:tcPr>
              <w:p w:rsidRPr="003B0ED8" w:rsidR="00CC7724" w:rsidRDefault="00CC7724" w14:paraId="5BD3EB8F" w14:textId="77777777">
                <w:pPr>
                  <w:keepNext/>
                  <w:jc w:val="center"/>
                  <w:rPr>
                    <w:rFonts w:cs="Calibri"/>
                    <w:color w:val="000000"/>
                    <w:sz w:val="16"/>
                    <w:szCs w:val="16"/>
                  </w:rPr>
                </w:pPr>
                <w:r w:rsidRPr="003B0ED8">
                  <w:rPr>
                    <w:rFonts w:cs="Calibri"/>
                    <w:color w:val="000000"/>
                    <w:sz w:val="16"/>
                    <w:szCs w:val="16"/>
                  </w:rPr>
                  <w:t> </w:t>
                </w:r>
              </w:p>
            </w:tc>
            <w:tc>
              <w:tcPr>
                <w:tcW w:w="620" w:type="dxa"/>
                <w:tcBorders>
                  <w:top w:val="nil"/>
                  <w:left w:val="nil"/>
                  <w:bottom w:val="nil"/>
                  <w:right w:val="nil"/>
                </w:tcBorders>
                <w:shd w:val="clear" w:color="000000" w:fill="E7E6E6"/>
                <w:noWrap/>
                <w:vAlign w:val="center"/>
                <w:hideMark/>
              </w:tcPr>
              <w:p w:rsidRPr="003B0ED8" w:rsidR="00CC7724" w:rsidRDefault="00CC7724" w14:paraId="6C00A7FC" w14:textId="77777777">
                <w:pPr>
                  <w:keepNext/>
                  <w:jc w:val="center"/>
                  <w:rPr>
                    <w:rFonts w:cs="Calibri"/>
                    <w:color w:val="000000"/>
                    <w:sz w:val="16"/>
                    <w:szCs w:val="16"/>
                  </w:rPr>
                </w:pPr>
                <w:r w:rsidRPr="003B0ED8">
                  <w:rPr>
                    <w:rFonts w:cs="Calibri"/>
                    <w:color w:val="000000"/>
                    <w:sz w:val="16"/>
                    <w:szCs w:val="16"/>
                  </w:rPr>
                  <w:t> </w:t>
                </w:r>
              </w:p>
            </w:tc>
          </w:tr>
          <w:tr w:rsidRPr="003B0ED8" w:rsidR="00CC7724" w14:paraId="58969711"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649741E0" w14:textId="77777777">
                <w:pPr>
                  <w:keepNext/>
                  <w:rPr>
                    <w:rFonts w:cs="Calibri"/>
                    <w:color w:val="000000"/>
                    <w:sz w:val="16"/>
                    <w:szCs w:val="16"/>
                  </w:rPr>
                </w:pPr>
                <w:r w:rsidRPr="003B0ED8">
                  <w:rPr>
                    <w:rFonts w:cs="Calibri"/>
                    <w:color w:val="000000"/>
                    <w:sz w:val="16"/>
                    <w:szCs w:val="16"/>
                  </w:rPr>
                  <w:t>Inflatie, nationale consumentenprijsindex (</w:t>
                </w:r>
                <w:proofErr w:type="spellStart"/>
                <w:r w:rsidRPr="003B0ED8">
                  <w:rPr>
                    <w:rFonts w:cs="Calibri"/>
                    <w:color w:val="000000"/>
                    <w:sz w:val="16"/>
                    <w:szCs w:val="16"/>
                  </w:rPr>
                  <w:t>cpi</w:t>
                </w:r>
                <w:proofErr w:type="spellEnd"/>
                <w:r w:rsidRPr="003B0ED8">
                  <w:rPr>
                    <w:rFonts w:cs="Calibri"/>
                    <w:color w:val="000000"/>
                    <w:sz w:val="16"/>
                    <w:szCs w:val="16"/>
                  </w:rPr>
                  <w:t>)</w:t>
                </w:r>
              </w:p>
            </w:tc>
            <w:tc>
              <w:tcPr>
                <w:tcW w:w="620" w:type="dxa"/>
                <w:tcBorders>
                  <w:top w:val="nil"/>
                  <w:left w:val="nil"/>
                  <w:bottom w:val="nil"/>
                  <w:right w:val="nil"/>
                </w:tcBorders>
                <w:noWrap/>
                <w:vAlign w:val="center"/>
                <w:hideMark/>
              </w:tcPr>
              <w:p w:rsidRPr="003B0ED8" w:rsidR="00CC7724" w:rsidRDefault="00CC7724" w14:paraId="19C7109C" w14:textId="77777777">
                <w:pPr>
                  <w:keepNext/>
                  <w:jc w:val="center"/>
                  <w:rPr>
                    <w:rFonts w:cs="Calibri"/>
                    <w:color w:val="000000"/>
                    <w:sz w:val="16"/>
                    <w:szCs w:val="16"/>
                  </w:rPr>
                </w:pPr>
                <w:r w:rsidRPr="003B0ED8">
                  <w:rPr>
                    <w:rFonts w:cs="Calibri"/>
                    <w:color w:val="000000"/>
                    <w:sz w:val="16"/>
                    <w:szCs w:val="16"/>
                  </w:rPr>
                  <w:t>3,3</w:t>
                </w:r>
              </w:p>
            </w:tc>
            <w:tc>
              <w:tcPr>
                <w:tcW w:w="620" w:type="dxa"/>
                <w:tcBorders>
                  <w:top w:val="nil"/>
                  <w:left w:val="nil"/>
                  <w:bottom w:val="nil"/>
                  <w:right w:val="nil"/>
                </w:tcBorders>
                <w:noWrap/>
                <w:vAlign w:val="center"/>
                <w:hideMark/>
              </w:tcPr>
              <w:p w:rsidRPr="003B0ED8" w:rsidR="00CC7724" w:rsidRDefault="00CC7724" w14:paraId="04D4E92C" w14:textId="77777777">
                <w:pPr>
                  <w:keepNext/>
                  <w:jc w:val="center"/>
                  <w:rPr>
                    <w:rFonts w:cs="Calibri"/>
                    <w:color w:val="000000"/>
                    <w:sz w:val="16"/>
                    <w:szCs w:val="16"/>
                  </w:rPr>
                </w:pPr>
                <w:r w:rsidRPr="003B0ED8">
                  <w:rPr>
                    <w:rFonts w:cs="Calibri"/>
                    <w:color w:val="000000"/>
                    <w:sz w:val="16"/>
                    <w:szCs w:val="16"/>
                  </w:rPr>
                  <w:t>3,3</w:t>
                </w:r>
              </w:p>
            </w:tc>
            <w:tc>
              <w:tcPr>
                <w:tcW w:w="620" w:type="dxa"/>
                <w:tcBorders>
                  <w:top w:val="nil"/>
                  <w:left w:val="nil"/>
                  <w:bottom w:val="nil"/>
                  <w:right w:val="nil"/>
                </w:tcBorders>
                <w:noWrap/>
                <w:vAlign w:val="center"/>
                <w:hideMark/>
              </w:tcPr>
              <w:p w:rsidRPr="003B0ED8" w:rsidR="00CC7724" w:rsidRDefault="00CC7724" w14:paraId="7701EECF" w14:textId="77777777">
                <w:pPr>
                  <w:keepNext/>
                  <w:jc w:val="center"/>
                  <w:rPr>
                    <w:rFonts w:cs="Calibri"/>
                    <w:color w:val="000000"/>
                    <w:sz w:val="16"/>
                    <w:szCs w:val="16"/>
                  </w:rPr>
                </w:pPr>
                <w:r w:rsidRPr="003B0ED8">
                  <w:rPr>
                    <w:rFonts w:cs="Calibri"/>
                    <w:color w:val="000000"/>
                    <w:sz w:val="16"/>
                    <w:szCs w:val="16"/>
                  </w:rPr>
                  <w:t>2,7</w:t>
                </w:r>
              </w:p>
            </w:tc>
            <w:tc>
              <w:tcPr>
                <w:tcW w:w="620" w:type="dxa"/>
                <w:tcBorders>
                  <w:top w:val="nil"/>
                  <w:left w:val="nil"/>
                  <w:bottom w:val="nil"/>
                  <w:right w:val="nil"/>
                </w:tcBorders>
                <w:shd w:val="clear" w:color="000000" w:fill="E7E6E6"/>
                <w:noWrap/>
                <w:vAlign w:val="center"/>
                <w:hideMark/>
              </w:tcPr>
              <w:p w:rsidRPr="003B0ED8" w:rsidR="00CC7724" w:rsidRDefault="00CC7724" w14:paraId="20337363" w14:textId="77777777">
                <w:pPr>
                  <w:keepNext/>
                  <w:jc w:val="center"/>
                  <w:rPr>
                    <w:rFonts w:cs="Calibri"/>
                    <w:color w:val="000000"/>
                    <w:sz w:val="16"/>
                    <w:szCs w:val="16"/>
                  </w:rPr>
                </w:pPr>
                <w:r w:rsidRPr="003B0ED8">
                  <w:rPr>
                    <w:rFonts w:cs="Calibri"/>
                    <w:color w:val="000000"/>
                    <w:sz w:val="16"/>
                    <w:szCs w:val="16"/>
                  </w:rPr>
                  <w:t>3,3</w:t>
                </w:r>
              </w:p>
            </w:tc>
            <w:tc>
              <w:tcPr>
                <w:tcW w:w="620" w:type="dxa"/>
                <w:tcBorders>
                  <w:top w:val="nil"/>
                  <w:left w:val="nil"/>
                  <w:bottom w:val="nil"/>
                  <w:right w:val="nil"/>
                </w:tcBorders>
                <w:shd w:val="clear" w:color="000000" w:fill="E7E6E6"/>
                <w:noWrap/>
                <w:vAlign w:val="center"/>
                <w:hideMark/>
              </w:tcPr>
              <w:p w:rsidRPr="003B0ED8" w:rsidR="00CC7724" w:rsidRDefault="00CC7724" w14:paraId="70DE5DED" w14:textId="77777777">
                <w:pPr>
                  <w:keepNext/>
                  <w:jc w:val="center"/>
                  <w:rPr>
                    <w:rFonts w:cs="Calibri"/>
                    <w:color w:val="000000"/>
                    <w:sz w:val="16"/>
                    <w:szCs w:val="16"/>
                  </w:rPr>
                </w:pPr>
                <w:r w:rsidRPr="003B0ED8">
                  <w:rPr>
                    <w:rFonts w:cs="Calibri"/>
                    <w:color w:val="000000"/>
                    <w:sz w:val="16"/>
                    <w:szCs w:val="16"/>
                  </w:rPr>
                  <w:t>2,3</w:t>
                </w:r>
              </w:p>
            </w:tc>
            <w:tc>
              <w:tcPr>
                <w:tcW w:w="620" w:type="dxa"/>
                <w:tcBorders>
                  <w:top w:val="nil"/>
                  <w:left w:val="nil"/>
                  <w:bottom w:val="nil"/>
                  <w:right w:val="nil"/>
                </w:tcBorders>
                <w:shd w:val="clear" w:color="000000" w:fill="E7E6E6"/>
                <w:noWrap/>
                <w:vAlign w:val="center"/>
                <w:hideMark/>
              </w:tcPr>
              <w:p w:rsidRPr="003B0ED8" w:rsidR="00CC7724" w:rsidRDefault="00CC7724" w14:paraId="1DC63972" w14:textId="77777777">
                <w:pPr>
                  <w:keepNext/>
                  <w:jc w:val="center"/>
                  <w:rPr>
                    <w:rFonts w:cs="Calibri"/>
                    <w:color w:val="000000"/>
                    <w:sz w:val="16"/>
                    <w:szCs w:val="16"/>
                  </w:rPr>
                </w:pPr>
                <w:r w:rsidRPr="003B0ED8">
                  <w:rPr>
                    <w:rFonts w:cs="Calibri"/>
                    <w:color w:val="000000"/>
                    <w:sz w:val="16"/>
                    <w:szCs w:val="16"/>
                  </w:rPr>
                  <w:t>2,1</w:t>
                </w:r>
              </w:p>
            </w:tc>
          </w:tr>
          <w:tr w:rsidRPr="003B0ED8" w:rsidR="00CC7724" w14:paraId="7919ECE2"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242E3A0C" w14:textId="77777777">
                <w:pPr>
                  <w:keepNext/>
                  <w:rPr>
                    <w:rFonts w:cs="Calibri"/>
                    <w:color w:val="000000"/>
                    <w:sz w:val="16"/>
                    <w:szCs w:val="16"/>
                  </w:rPr>
                </w:pPr>
                <w:r w:rsidRPr="003B0ED8">
                  <w:rPr>
                    <w:rFonts w:cs="Calibri"/>
                    <w:color w:val="000000"/>
                    <w:sz w:val="16"/>
                    <w:szCs w:val="16"/>
                  </w:rPr>
                  <w:t>Loonvoet bedrijven (per uur)</w:t>
                </w:r>
              </w:p>
            </w:tc>
            <w:tc>
              <w:tcPr>
                <w:tcW w:w="620" w:type="dxa"/>
                <w:tcBorders>
                  <w:top w:val="nil"/>
                  <w:left w:val="nil"/>
                  <w:bottom w:val="nil"/>
                  <w:right w:val="nil"/>
                </w:tcBorders>
                <w:noWrap/>
                <w:vAlign w:val="center"/>
                <w:hideMark/>
              </w:tcPr>
              <w:p w:rsidRPr="003B0ED8" w:rsidR="00CC7724" w:rsidRDefault="00CC7724" w14:paraId="1C75B428" w14:textId="77777777">
                <w:pPr>
                  <w:keepNext/>
                  <w:jc w:val="center"/>
                  <w:rPr>
                    <w:rFonts w:cs="Calibri"/>
                    <w:color w:val="000000"/>
                    <w:sz w:val="16"/>
                    <w:szCs w:val="16"/>
                  </w:rPr>
                </w:pPr>
                <w:r w:rsidRPr="003B0ED8">
                  <w:rPr>
                    <w:rFonts w:cs="Calibri"/>
                    <w:color w:val="000000"/>
                    <w:sz w:val="16"/>
                    <w:szCs w:val="16"/>
                  </w:rPr>
                  <w:t>6,2</w:t>
                </w:r>
              </w:p>
            </w:tc>
            <w:tc>
              <w:tcPr>
                <w:tcW w:w="620" w:type="dxa"/>
                <w:tcBorders>
                  <w:top w:val="nil"/>
                  <w:left w:val="nil"/>
                  <w:bottom w:val="nil"/>
                  <w:right w:val="nil"/>
                </w:tcBorders>
                <w:noWrap/>
                <w:vAlign w:val="center"/>
                <w:hideMark/>
              </w:tcPr>
              <w:p w:rsidRPr="003B0ED8" w:rsidR="00CC7724" w:rsidRDefault="00CC7724" w14:paraId="6A8D152E" w14:textId="77777777">
                <w:pPr>
                  <w:keepNext/>
                  <w:jc w:val="center"/>
                  <w:rPr>
                    <w:rFonts w:cs="Calibri"/>
                    <w:color w:val="000000"/>
                    <w:sz w:val="16"/>
                    <w:szCs w:val="16"/>
                  </w:rPr>
                </w:pPr>
                <w:r w:rsidRPr="003B0ED8">
                  <w:rPr>
                    <w:rFonts w:cs="Calibri"/>
                    <w:color w:val="000000"/>
                    <w:sz w:val="16"/>
                    <w:szCs w:val="16"/>
                  </w:rPr>
                  <w:t>4,5</w:t>
                </w:r>
              </w:p>
            </w:tc>
            <w:tc>
              <w:tcPr>
                <w:tcW w:w="620" w:type="dxa"/>
                <w:tcBorders>
                  <w:top w:val="nil"/>
                  <w:left w:val="nil"/>
                  <w:bottom w:val="nil"/>
                  <w:right w:val="nil"/>
                </w:tcBorders>
                <w:noWrap/>
                <w:vAlign w:val="center"/>
                <w:hideMark/>
              </w:tcPr>
              <w:p w:rsidRPr="003B0ED8" w:rsidR="00CC7724" w:rsidRDefault="00CC7724" w14:paraId="41727DD2" w14:textId="77777777">
                <w:pPr>
                  <w:keepNext/>
                  <w:jc w:val="center"/>
                  <w:rPr>
                    <w:rFonts w:cs="Calibri"/>
                    <w:color w:val="000000"/>
                    <w:sz w:val="16"/>
                    <w:szCs w:val="16"/>
                  </w:rPr>
                </w:pPr>
                <w:r w:rsidRPr="003B0ED8">
                  <w:rPr>
                    <w:rFonts w:cs="Calibri"/>
                    <w:color w:val="000000"/>
                    <w:sz w:val="16"/>
                    <w:szCs w:val="16"/>
                  </w:rPr>
                  <w:t>4,4</w:t>
                </w:r>
              </w:p>
            </w:tc>
            <w:tc>
              <w:tcPr>
                <w:tcW w:w="620" w:type="dxa"/>
                <w:tcBorders>
                  <w:top w:val="nil"/>
                  <w:left w:val="nil"/>
                  <w:bottom w:val="nil"/>
                  <w:right w:val="nil"/>
                </w:tcBorders>
                <w:shd w:val="clear" w:color="000000" w:fill="E7E6E6"/>
                <w:noWrap/>
                <w:vAlign w:val="center"/>
                <w:hideMark/>
              </w:tcPr>
              <w:p w:rsidRPr="003B0ED8" w:rsidR="00CC7724" w:rsidRDefault="00CC7724" w14:paraId="6051C1A5" w14:textId="77777777">
                <w:pPr>
                  <w:keepNext/>
                  <w:jc w:val="center"/>
                  <w:rPr>
                    <w:rFonts w:cs="Calibri"/>
                    <w:color w:val="000000"/>
                    <w:sz w:val="16"/>
                    <w:szCs w:val="16"/>
                  </w:rPr>
                </w:pPr>
                <w:r w:rsidRPr="003B0ED8">
                  <w:rPr>
                    <w:rFonts w:cs="Calibri"/>
                    <w:color w:val="000000"/>
                    <w:sz w:val="16"/>
                    <w:szCs w:val="16"/>
                  </w:rPr>
                  <w:t>6,3</w:t>
                </w:r>
              </w:p>
            </w:tc>
            <w:tc>
              <w:tcPr>
                <w:tcW w:w="620" w:type="dxa"/>
                <w:tcBorders>
                  <w:top w:val="nil"/>
                  <w:left w:val="nil"/>
                  <w:bottom w:val="nil"/>
                  <w:right w:val="nil"/>
                </w:tcBorders>
                <w:shd w:val="clear" w:color="000000" w:fill="E7E6E6"/>
                <w:noWrap/>
                <w:vAlign w:val="center"/>
                <w:hideMark/>
              </w:tcPr>
              <w:p w:rsidRPr="003B0ED8" w:rsidR="00CC7724" w:rsidRDefault="00CC7724" w14:paraId="3B7EC769" w14:textId="77777777">
                <w:pPr>
                  <w:keepNext/>
                  <w:jc w:val="center"/>
                  <w:rPr>
                    <w:rFonts w:cs="Calibri"/>
                    <w:color w:val="000000"/>
                    <w:sz w:val="16"/>
                    <w:szCs w:val="16"/>
                  </w:rPr>
                </w:pPr>
                <w:r w:rsidRPr="003B0ED8">
                  <w:rPr>
                    <w:rFonts w:cs="Calibri"/>
                    <w:color w:val="000000"/>
                    <w:sz w:val="16"/>
                    <w:szCs w:val="16"/>
                  </w:rPr>
                  <w:t>4,1</w:t>
                </w:r>
              </w:p>
            </w:tc>
            <w:tc>
              <w:tcPr>
                <w:tcW w:w="620" w:type="dxa"/>
                <w:tcBorders>
                  <w:top w:val="nil"/>
                  <w:left w:val="nil"/>
                  <w:bottom w:val="nil"/>
                  <w:right w:val="nil"/>
                </w:tcBorders>
                <w:shd w:val="clear" w:color="000000" w:fill="E7E6E6"/>
                <w:noWrap/>
                <w:vAlign w:val="center"/>
                <w:hideMark/>
              </w:tcPr>
              <w:p w:rsidRPr="003B0ED8" w:rsidR="00CC7724" w:rsidRDefault="00CC7724" w14:paraId="09B4D346" w14:textId="77777777">
                <w:pPr>
                  <w:keepNext/>
                  <w:jc w:val="center"/>
                  <w:rPr>
                    <w:rFonts w:cs="Calibri"/>
                    <w:color w:val="000000"/>
                    <w:sz w:val="16"/>
                    <w:szCs w:val="16"/>
                  </w:rPr>
                </w:pPr>
                <w:r w:rsidRPr="003B0ED8">
                  <w:rPr>
                    <w:rFonts w:cs="Calibri"/>
                    <w:color w:val="000000"/>
                    <w:sz w:val="16"/>
                    <w:szCs w:val="16"/>
                  </w:rPr>
                  <w:t>3,9</w:t>
                </w:r>
              </w:p>
            </w:tc>
          </w:tr>
          <w:tr w:rsidRPr="003B0ED8" w:rsidR="00CC7724" w14:paraId="714A67EF" w14:textId="77777777">
            <w:trPr>
              <w:cantSplit/>
              <w:trHeight w:val="240"/>
            </w:trPr>
            <w:tc>
              <w:tcPr>
                <w:tcW w:w="4540" w:type="dxa"/>
                <w:tcBorders>
                  <w:top w:val="nil"/>
                  <w:left w:val="nil"/>
                  <w:bottom w:val="nil"/>
                  <w:right w:val="nil"/>
                </w:tcBorders>
                <w:noWrap/>
                <w:vAlign w:val="center"/>
                <w:hideMark/>
              </w:tcPr>
              <w:p w:rsidRPr="003B0ED8" w:rsidR="00CC7724" w:rsidRDefault="00CC7724" w14:paraId="72A18CBD" w14:textId="77777777">
                <w:pPr>
                  <w:keepNext/>
                  <w:rPr>
                    <w:rFonts w:cs="Calibri"/>
                    <w:color w:val="000000"/>
                    <w:sz w:val="16"/>
                    <w:szCs w:val="16"/>
                  </w:rPr>
                </w:pPr>
                <w:r w:rsidRPr="003B0ED8">
                  <w:rPr>
                    <w:rFonts w:cs="Calibri"/>
                    <w:color w:val="000000"/>
                    <w:sz w:val="16"/>
                    <w:szCs w:val="16"/>
                  </w:rPr>
                  <w:t>Werkloze beroepsbevolking (niveau in % beroepsbevolking)</w:t>
                </w:r>
              </w:p>
            </w:tc>
            <w:tc>
              <w:tcPr>
                <w:tcW w:w="620" w:type="dxa"/>
                <w:tcBorders>
                  <w:top w:val="nil"/>
                  <w:left w:val="nil"/>
                  <w:bottom w:val="nil"/>
                  <w:right w:val="nil"/>
                </w:tcBorders>
                <w:noWrap/>
                <w:vAlign w:val="center"/>
                <w:hideMark/>
              </w:tcPr>
              <w:p w:rsidRPr="003B0ED8" w:rsidR="00CC7724" w:rsidRDefault="00CC7724" w14:paraId="3AA12B91" w14:textId="77777777">
                <w:pPr>
                  <w:keepNext/>
                  <w:jc w:val="center"/>
                  <w:rPr>
                    <w:rFonts w:cs="Calibri"/>
                    <w:color w:val="000000"/>
                    <w:sz w:val="16"/>
                    <w:szCs w:val="16"/>
                  </w:rPr>
                </w:pPr>
                <w:r w:rsidRPr="003B0ED8">
                  <w:rPr>
                    <w:rFonts w:cs="Calibri"/>
                    <w:color w:val="000000"/>
                    <w:sz w:val="16"/>
                    <w:szCs w:val="16"/>
                  </w:rPr>
                  <w:t>3,9</w:t>
                </w:r>
              </w:p>
            </w:tc>
            <w:tc>
              <w:tcPr>
                <w:tcW w:w="620" w:type="dxa"/>
                <w:tcBorders>
                  <w:top w:val="nil"/>
                  <w:left w:val="nil"/>
                  <w:bottom w:val="nil"/>
                  <w:right w:val="nil"/>
                </w:tcBorders>
                <w:noWrap/>
                <w:vAlign w:val="center"/>
                <w:hideMark/>
              </w:tcPr>
              <w:p w:rsidRPr="003B0ED8" w:rsidR="00CC7724" w:rsidRDefault="00CC7724" w14:paraId="54112BB9" w14:textId="77777777">
                <w:pPr>
                  <w:keepNext/>
                  <w:jc w:val="center"/>
                  <w:rPr>
                    <w:rFonts w:cs="Calibri"/>
                    <w:color w:val="000000"/>
                    <w:sz w:val="16"/>
                    <w:szCs w:val="16"/>
                  </w:rPr>
                </w:pPr>
                <w:r w:rsidRPr="003B0ED8">
                  <w:rPr>
                    <w:rFonts w:cs="Calibri"/>
                    <w:color w:val="000000"/>
                    <w:sz w:val="16"/>
                    <w:szCs w:val="16"/>
                  </w:rPr>
                  <w:t>3,9</w:t>
                </w:r>
              </w:p>
            </w:tc>
            <w:tc>
              <w:tcPr>
                <w:tcW w:w="620" w:type="dxa"/>
                <w:tcBorders>
                  <w:top w:val="nil"/>
                  <w:left w:val="nil"/>
                  <w:bottom w:val="nil"/>
                  <w:right w:val="nil"/>
                </w:tcBorders>
                <w:noWrap/>
                <w:vAlign w:val="center"/>
                <w:hideMark/>
              </w:tcPr>
              <w:p w:rsidRPr="003B0ED8" w:rsidR="00CC7724" w:rsidRDefault="00CC7724" w14:paraId="31C72E13" w14:textId="77777777">
                <w:pPr>
                  <w:keepNext/>
                  <w:jc w:val="center"/>
                  <w:rPr>
                    <w:rFonts w:cs="Calibri"/>
                    <w:color w:val="000000"/>
                    <w:sz w:val="16"/>
                    <w:szCs w:val="16"/>
                  </w:rPr>
                </w:pPr>
                <w:r w:rsidRPr="003B0ED8">
                  <w:rPr>
                    <w:rFonts w:cs="Calibri"/>
                    <w:color w:val="000000"/>
                    <w:sz w:val="16"/>
                    <w:szCs w:val="16"/>
                  </w:rPr>
                  <w:t>4,0</w:t>
                </w:r>
              </w:p>
            </w:tc>
            <w:tc>
              <w:tcPr>
                <w:tcW w:w="620" w:type="dxa"/>
                <w:tcBorders>
                  <w:top w:val="nil"/>
                  <w:left w:val="nil"/>
                  <w:bottom w:val="nil"/>
                  <w:right w:val="nil"/>
                </w:tcBorders>
                <w:shd w:val="clear" w:color="000000" w:fill="E7E6E6"/>
                <w:noWrap/>
                <w:vAlign w:val="center"/>
                <w:hideMark/>
              </w:tcPr>
              <w:p w:rsidRPr="003B0ED8" w:rsidR="00CC7724" w:rsidRDefault="00CC7724" w14:paraId="413F6EE3" w14:textId="77777777">
                <w:pPr>
                  <w:keepNext/>
                  <w:jc w:val="center"/>
                  <w:rPr>
                    <w:rFonts w:cs="Calibri"/>
                    <w:color w:val="000000"/>
                    <w:sz w:val="16"/>
                    <w:szCs w:val="16"/>
                  </w:rPr>
                </w:pPr>
                <w:r w:rsidRPr="003B0ED8">
                  <w:rPr>
                    <w:rFonts w:cs="Calibri"/>
                    <w:color w:val="000000"/>
                    <w:sz w:val="16"/>
                    <w:szCs w:val="16"/>
                  </w:rPr>
                  <w:t>3,9</w:t>
                </w:r>
              </w:p>
            </w:tc>
            <w:tc>
              <w:tcPr>
                <w:tcW w:w="620" w:type="dxa"/>
                <w:tcBorders>
                  <w:top w:val="nil"/>
                  <w:left w:val="nil"/>
                  <w:bottom w:val="nil"/>
                  <w:right w:val="nil"/>
                </w:tcBorders>
                <w:shd w:val="clear" w:color="000000" w:fill="E7E6E6"/>
                <w:noWrap/>
                <w:vAlign w:val="center"/>
                <w:hideMark/>
              </w:tcPr>
              <w:p w:rsidRPr="003B0ED8" w:rsidR="00CC7724" w:rsidRDefault="00CC7724" w14:paraId="398DC817" w14:textId="77777777">
                <w:pPr>
                  <w:keepNext/>
                  <w:jc w:val="center"/>
                  <w:rPr>
                    <w:rFonts w:cs="Calibri"/>
                    <w:color w:val="000000"/>
                    <w:sz w:val="16"/>
                    <w:szCs w:val="16"/>
                  </w:rPr>
                </w:pPr>
                <w:r w:rsidRPr="003B0ED8">
                  <w:rPr>
                    <w:rFonts w:cs="Calibri"/>
                    <w:color w:val="000000"/>
                    <w:sz w:val="16"/>
                    <w:szCs w:val="16"/>
                  </w:rPr>
                  <w:t>4,1</w:t>
                </w:r>
              </w:p>
            </w:tc>
            <w:tc>
              <w:tcPr>
                <w:tcW w:w="620" w:type="dxa"/>
                <w:tcBorders>
                  <w:top w:val="nil"/>
                  <w:left w:val="nil"/>
                  <w:bottom w:val="nil"/>
                  <w:right w:val="nil"/>
                </w:tcBorders>
                <w:shd w:val="clear" w:color="000000" w:fill="E7E6E6"/>
                <w:noWrap/>
                <w:vAlign w:val="center"/>
                <w:hideMark/>
              </w:tcPr>
              <w:p w:rsidRPr="003B0ED8" w:rsidR="00CC7724" w:rsidRDefault="00CC7724" w14:paraId="0F41FB17" w14:textId="77777777">
                <w:pPr>
                  <w:keepNext/>
                  <w:jc w:val="center"/>
                  <w:rPr>
                    <w:rFonts w:cs="Calibri"/>
                    <w:color w:val="000000"/>
                    <w:sz w:val="16"/>
                    <w:szCs w:val="16"/>
                  </w:rPr>
                </w:pPr>
                <w:r w:rsidRPr="003B0ED8">
                  <w:rPr>
                    <w:rFonts w:cs="Calibri"/>
                    <w:color w:val="000000"/>
                    <w:sz w:val="16"/>
                    <w:szCs w:val="16"/>
                  </w:rPr>
                  <w:t>4,3</w:t>
                </w:r>
              </w:p>
            </w:tc>
          </w:tr>
          <w:tr w:rsidRPr="003B0ED8" w:rsidR="00CC7724" w14:paraId="6E087CFB" w14:textId="77777777">
            <w:trPr>
              <w:cantSplit/>
              <w:trHeight w:val="255"/>
            </w:trPr>
            <w:tc>
              <w:tcPr>
                <w:tcW w:w="4540" w:type="dxa"/>
                <w:tcBorders>
                  <w:top w:val="nil"/>
                  <w:left w:val="nil"/>
                  <w:bottom w:val="single" w:color="auto" w:sz="8" w:space="0"/>
                  <w:right w:val="nil"/>
                </w:tcBorders>
                <w:noWrap/>
                <w:vAlign w:val="center"/>
                <w:hideMark/>
              </w:tcPr>
              <w:p w:rsidRPr="003B0ED8" w:rsidR="00CC7724" w:rsidRDefault="00CC7724" w14:paraId="4E824012" w14:textId="77777777">
                <w:pPr>
                  <w:keepNext/>
                  <w:rPr>
                    <w:rFonts w:cs="Calibri"/>
                    <w:color w:val="000000"/>
                    <w:sz w:val="16"/>
                    <w:szCs w:val="16"/>
                  </w:rPr>
                </w:pPr>
                <w:r w:rsidRPr="003B0ED8">
                  <w:rPr>
                    <w:rFonts w:cs="Calibri"/>
                    <w:color w:val="000000"/>
                    <w:sz w:val="16"/>
                    <w:szCs w:val="16"/>
                  </w:rPr>
                  <w:t>Arbeidsproductiviteit bedrijven (per uur)</w:t>
                </w:r>
              </w:p>
            </w:tc>
            <w:tc>
              <w:tcPr>
                <w:tcW w:w="620" w:type="dxa"/>
                <w:tcBorders>
                  <w:top w:val="nil"/>
                  <w:left w:val="nil"/>
                  <w:bottom w:val="single" w:color="auto" w:sz="8" w:space="0"/>
                  <w:right w:val="nil"/>
                </w:tcBorders>
                <w:noWrap/>
                <w:vAlign w:val="center"/>
                <w:hideMark/>
              </w:tcPr>
              <w:p w:rsidRPr="003B0ED8" w:rsidR="00CC7724" w:rsidRDefault="00CC7724" w14:paraId="75E0E34E" w14:textId="77777777">
                <w:pPr>
                  <w:keepNext/>
                  <w:jc w:val="center"/>
                  <w:rPr>
                    <w:rFonts w:cs="Calibri"/>
                    <w:color w:val="000000"/>
                    <w:sz w:val="16"/>
                    <w:szCs w:val="16"/>
                  </w:rPr>
                </w:pPr>
                <w:r w:rsidRPr="003B0ED8">
                  <w:rPr>
                    <w:rFonts w:cs="Calibri"/>
                    <w:color w:val="000000"/>
                    <w:sz w:val="16"/>
                    <w:szCs w:val="16"/>
                  </w:rPr>
                  <w:t>2,4</w:t>
                </w:r>
              </w:p>
            </w:tc>
            <w:tc>
              <w:tcPr>
                <w:tcW w:w="620" w:type="dxa"/>
                <w:tcBorders>
                  <w:top w:val="nil"/>
                  <w:left w:val="nil"/>
                  <w:bottom w:val="single" w:color="auto" w:sz="8" w:space="0"/>
                  <w:right w:val="nil"/>
                </w:tcBorders>
                <w:noWrap/>
                <w:vAlign w:val="center"/>
                <w:hideMark/>
              </w:tcPr>
              <w:p w:rsidRPr="003B0ED8" w:rsidR="00CC7724" w:rsidRDefault="00CC7724" w14:paraId="4F7D0F56" w14:textId="77777777">
                <w:pPr>
                  <w:keepNext/>
                  <w:jc w:val="center"/>
                  <w:rPr>
                    <w:rFonts w:cs="Calibri"/>
                    <w:color w:val="000000"/>
                    <w:sz w:val="16"/>
                    <w:szCs w:val="16"/>
                  </w:rPr>
                </w:pPr>
                <w:r w:rsidRPr="003B0ED8">
                  <w:rPr>
                    <w:rFonts w:cs="Calibri"/>
                    <w:color w:val="000000"/>
                    <w:sz w:val="16"/>
                    <w:szCs w:val="16"/>
                  </w:rPr>
                  <w:t>2,5</w:t>
                </w:r>
              </w:p>
            </w:tc>
            <w:tc>
              <w:tcPr>
                <w:tcW w:w="620" w:type="dxa"/>
                <w:tcBorders>
                  <w:top w:val="nil"/>
                  <w:left w:val="nil"/>
                  <w:bottom w:val="single" w:color="auto" w:sz="8" w:space="0"/>
                  <w:right w:val="nil"/>
                </w:tcBorders>
                <w:noWrap/>
                <w:vAlign w:val="center"/>
                <w:hideMark/>
              </w:tcPr>
              <w:p w:rsidRPr="003B0ED8" w:rsidR="00CC7724" w:rsidRDefault="00CC7724" w14:paraId="0BC23495" w14:textId="77777777">
                <w:pPr>
                  <w:keepNext/>
                  <w:jc w:val="center"/>
                  <w:rPr>
                    <w:rFonts w:cs="Calibri"/>
                    <w:color w:val="000000"/>
                    <w:sz w:val="16"/>
                    <w:szCs w:val="16"/>
                  </w:rPr>
                </w:pPr>
                <w:r w:rsidRPr="003B0ED8">
                  <w:rPr>
                    <w:rFonts w:cs="Calibri"/>
                    <w:color w:val="000000"/>
                    <w:sz w:val="16"/>
                    <w:szCs w:val="16"/>
                  </w:rPr>
                  <w:t>1,2</w:t>
                </w:r>
              </w:p>
            </w:tc>
            <w:tc>
              <w:tcPr>
                <w:tcW w:w="620" w:type="dxa"/>
                <w:tcBorders>
                  <w:top w:val="nil"/>
                  <w:left w:val="nil"/>
                  <w:bottom w:val="single" w:color="auto" w:sz="8" w:space="0"/>
                  <w:right w:val="nil"/>
                </w:tcBorders>
                <w:shd w:val="clear" w:color="000000" w:fill="E7E6E6"/>
                <w:noWrap/>
                <w:vAlign w:val="center"/>
                <w:hideMark/>
              </w:tcPr>
              <w:p w:rsidRPr="003B0ED8" w:rsidR="00CC7724" w:rsidRDefault="00CC7724" w14:paraId="3467DF8B" w14:textId="77777777">
                <w:pPr>
                  <w:keepNext/>
                  <w:jc w:val="center"/>
                  <w:rPr>
                    <w:rFonts w:cs="Calibri"/>
                    <w:color w:val="000000"/>
                    <w:sz w:val="16"/>
                    <w:szCs w:val="16"/>
                  </w:rPr>
                </w:pPr>
                <w:r w:rsidRPr="003B0ED8">
                  <w:rPr>
                    <w:rFonts w:cs="Calibri"/>
                    <w:color w:val="000000"/>
                    <w:sz w:val="16"/>
                    <w:szCs w:val="16"/>
                  </w:rPr>
                  <w:t>3,2</w:t>
                </w:r>
              </w:p>
            </w:tc>
            <w:tc>
              <w:tcPr>
                <w:tcW w:w="620" w:type="dxa"/>
                <w:tcBorders>
                  <w:top w:val="nil"/>
                  <w:left w:val="nil"/>
                  <w:bottom w:val="single" w:color="auto" w:sz="8" w:space="0"/>
                  <w:right w:val="nil"/>
                </w:tcBorders>
                <w:shd w:val="clear" w:color="000000" w:fill="E7E6E6"/>
                <w:noWrap/>
                <w:vAlign w:val="center"/>
                <w:hideMark/>
              </w:tcPr>
              <w:p w:rsidRPr="003B0ED8" w:rsidR="00CC7724" w:rsidRDefault="00CC7724" w14:paraId="0FF79FCE" w14:textId="77777777">
                <w:pPr>
                  <w:keepNext/>
                  <w:jc w:val="center"/>
                  <w:rPr>
                    <w:rFonts w:cs="Calibri"/>
                    <w:color w:val="000000"/>
                    <w:sz w:val="16"/>
                    <w:szCs w:val="16"/>
                  </w:rPr>
                </w:pPr>
                <w:r w:rsidRPr="003B0ED8">
                  <w:rPr>
                    <w:rFonts w:cs="Calibri"/>
                    <w:color w:val="000000"/>
                    <w:sz w:val="16"/>
                    <w:szCs w:val="16"/>
                  </w:rPr>
                  <w:t>0,9</w:t>
                </w:r>
              </w:p>
            </w:tc>
            <w:tc>
              <w:tcPr>
                <w:tcW w:w="620" w:type="dxa"/>
                <w:tcBorders>
                  <w:top w:val="nil"/>
                  <w:left w:val="nil"/>
                  <w:bottom w:val="single" w:color="auto" w:sz="8" w:space="0"/>
                  <w:right w:val="nil"/>
                </w:tcBorders>
                <w:shd w:val="clear" w:color="000000" w:fill="E7E6E6"/>
                <w:noWrap/>
                <w:vAlign w:val="center"/>
                <w:hideMark/>
              </w:tcPr>
              <w:p w:rsidRPr="003B0ED8" w:rsidR="00CC7724" w:rsidRDefault="00CC7724" w14:paraId="29BA602E" w14:textId="77777777">
                <w:pPr>
                  <w:keepNext/>
                  <w:jc w:val="center"/>
                  <w:rPr>
                    <w:rFonts w:cs="Calibri"/>
                    <w:color w:val="000000"/>
                    <w:sz w:val="16"/>
                    <w:szCs w:val="16"/>
                  </w:rPr>
                </w:pPr>
                <w:r w:rsidRPr="003B0ED8">
                  <w:rPr>
                    <w:rFonts w:cs="Calibri"/>
                    <w:color w:val="000000"/>
                    <w:sz w:val="16"/>
                    <w:szCs w:val="16"/>
                  </w:rPr>
                  <w:t>0,6</w:t>
                </w:r>
              </w:p>
            </w:tc>
          </w:tr>
          <w:tr w:rsidRPr="003B0ED8" w:rsidR="00CC7724" w14:paraId="28A0D3B7" w14:textId="77777777">
            <w:trPr>
              <w:cantSplit/>
              <w:trHeight w:val="240"/>
            </w:trPr>
            <w:tc>
              <w:tcPr>
                <w:tcW w:w="8260" w:type="dxa"/>
                <w:gridSpan w:val="7"/>
                <w:tcBorders>
                  <w:top w:val="single" w:color="auto" w:sz="8" w:space="0"/>
                  <w:left w:val="nil"/>
                  <w:bottom w:val="nil"/>
                  <w:right w:val="nil"/>
                </w:tcBorders>
                <w:noWrap/>
                <w:vAlign w:val="center"/>
                <w:hideMark/>
              </w:tcPr>
              <w:p w:rsidRPr="003B0ED8" w:rsidR="00CC7724" w:rsidRDefault="00CC7724" w14:paraId="56AF92D5" w14:textId="77777777">
                <w:pPr>
                  <w:keepNext/>
                  <w:rPr>
                    <w:rFonts w:cs="Calibri"/>
                    <w:i/>
                    <w:iCs/>
                    <w:color w:val="000000"/>
                    <w:sz w:val="16"/>
                    <w:szCs w:val="16"/>
                  </w:rPr>
                </w:pPr>
                <w:r w:rsidRPr="003B0ED8">
                  <w:rPr>
                    <w:rFonts w:cs="Calibri"/>
                    <w:i/>
                    <w:iCs/>
                    <w:color w:val="000000"/>
                    <w:sz w:val="16"/>
                    <w:szCs w:val="16"/>
                  </w:rPr>
                  <w:t>Bron: MEV 2027, CEP 2026</w:t>
                </w:r>
              </w:p>
            </w:tc>
          </w:tr>
        </w:tbl>
        <w:p w:rsidRPr="00891B49" w:rsidR="00CC7724" w:rsidP="00CC7724" w:rsidRDefault="00CC7724" w14:paraId="3CE6E142" w14:textId="77777777">
          <w:pPr>
            <w:rPr>
              <w:u w:val="single"/>
            </w:rPr>
          </w:pPr>
        </w:p>
        <w:p w:rsidR="00CC7724" w:rsidP="00CC7724" w:rsidRDefault="00CC7724" w14:paraId="005C6949" w14:textId="77777777">
          <w:pPr>
            <w:pStyle w:val="Lijstalinea"/>
            <w:numPr>
              <w:ilvl w:val="0"/>
              <w:numId w:val="1"/>
            </w:numPr>
            <w:tabs>
              <w:tab w:val="left" w:pos="567"/>
            </w:tabs>
            <w:ind w:hanging="720"/>
            <w:rPr>
              <w:u w:val="single"/>
            </w:rPr>
          </w:pPr>
          <w:r w:rsidRPr="00302DA2">
            <w:tab/>
          </w:r>
          <w:r w:rsidRPr="00616D15">
            <w:rPr>
              <w:u w:val="single"/>
            </w:rPr>
            <w:t>De budgettaire context</w:t>
          </w:r>
        </w:p>
        <w:p w:rsidRPr="00F411CE" w:rsidR="00CC7724" w:rsidP="00CC7724" w:rsidRDefault="00CC7724" w14:paraId="743FD3DB" w14:textId="77777777">
          <w:pPr>
            <w:tabs>
              <w:tab w:val="left" w:pos="567"/>
            </w:tabs>
            <w:rPr>
              <w:u w:val="single"/>
            </w:rPr>
          </w:pPr>
        </w:p>
        <w:p w:rsidR="00CC7724" w:rsidDel="00D6347A" w:rsidP="00CC7724" w:rsidRDefault="00CC7724" w14:paraId="4FAF7D8F" w14:textId="77777777">
          <w:r>
            <w:t>Het EMU-saldo is in 2026 en 2027 met respectievelijk -2,7% bbp en -2,2% bbp minder gunstig dan in 2025.</w:t>
          </w:r>
          <w:r>
            <w:rPr>
              <w:rStyle w:val="Voetnootmarkering"/>
            </w:rPr>
            <w:footnoteReference w:id="16"/>
          </w:r>
          <w:r>
            <w:t xml:space="preserve"> De verslechtering in 2026 komt door een eenmalige uitgave voor de affinanciering van de militaire pensioenen. Hoewel de inkomsten stijgen, in 2027 onder andere door lastenverhogingen, is dit niet voldoende om de toename van de uitgaven te compenseren. Op de langere termijn dragen uitgaven aan defensie, sociale zekerheid, en zorg bij aan een toename van de overheidsuitgaven.</w:t>
          </w:r>
        </w:p>
        <w:p w:rsidR="00CC7724" w:rsidDel="00D6347A" w:rsidP="00CC7724" w:rsidRDefault="00CC7724" w14:paraId="1A70A8B3" w14:textId="77777777"/>
        <w:p w:rsidR="00CC7724" w:rsidP="00CC7724" w:rsidRDefault="00CC7724" w14:paraId="6F049505" w14:textId="46DDB3D9">
          <w:r>
            <w:t xml:space="preserve">Het CPB verwacht dat in 2026 de uitgaven € 1,4 mld. hoger liggen dan gebudgetteerd in de Miljoenennota, terwijl voor 2027 een </w:t>
          </w:r>
          <w:proofErr w:type="spellStart"/>
          <w:r>
            <w:t>onderuitputting</w:t>
          </w:r>
          <w:proofErr w:type="spellEnd"/>
          <w:r>
            <w:t xml:space="preserve"> van €5,6 mld. wordt verwacht. Dit is een aanzienlijke bijstelling van de </w:t>
          </w:r>
          <w:proofErr w:type="spellStart"/>
          <w:r>
            <w:t>onderuitputting</w:t>
          </w:r>
          <w:proofErr w:type="spellEnd"/>
          <w:r>
            <w:t xml:space="preserve"> van respectievelijk €</w:t>
          </w:r>
          <w:r w:rsidR="00BE7026">
            <w:t> </w:t>
          </w:r>
          <w:r>
            <w:t>2,4 en €</w:t>
          </w:r>
          <w:r w:rsidR="00BE7026">
            <w:t> </w:t>
          </w:r>
          <w:r>
            <w:t xml:space="preserve">9,1 </w:t>
          </w:r>
          <w:proofErr w:type="spellStart"/>
          <w:r>
            <w:t>mld</w:t>
          </w:r>
          <w:proofErr w:type="spellEnd"/>
          <w:r>
            <w:t>, waar in de CMEV van werd uitgegaan.</w:t>
          </w:r>
          <w:r>
            <w:rPr>
              <w:rStyle w:val="Voetnootmarkering"/>
            </w:rPr>
            <w:footnoteReference w:id="17"/>
          </w:r>
          <w:r>
            <w:t xml:space="preserve"> De bijstelling van de cijfers is vooral toe te schrijven aan de verwerking van kasschuiven en ingeboekte </w:t>
          </w:r>
          <w:proofErr w:type="spellStart"/>
          <w:r>
            <w:t>onderuitputting</w:t>
          </w:r>
          <w:proofErr w:type="spellEnd"/>
          <w:r>
            <w:t xml:space="preserve"> in de Miljoenennota 2027. Het CPB verwacht niet dat alle </w:t>
          </w:r>
          <w:proofErr w:type="spellStart"/>
          <w:r>
            <w:t>onderuitputting</w:t>
          </w:r>
          <w:proofErr w:type="spellEnd"/>
          <w:r>
            <w:t xml:space="preserve"> die inmiddels in de begroting is opgenomen voor 2026, na het salderen van zogenoemde kastransverschillen en kasschuiven, kan worden gerealiseerd. </w:t>
          </w:r>
          <w:r>
            <w:rPr>
              <w:rStyle w:val="Voetnootmarkering"/>
            </w:rPr>
            <w:footnoteReference w:id="18"/>
          </w:r>
        </w:p>
        <w:p w:rsidR="00CC7724" w:rsidP="00CC7724" w:rsidRDefault="00CC7724" w14:paraId="1DD5D149" w14:textId="77777777">
          <w:pPr>
            <w:rPr>
              <w:b/>
            </w:rPr>
          </w:pPr>
          <w:r>
            <w:rPr>
              <w:b/>
              <w:bCs/>
            </w:rPr>
            <w:br w:type="page"/>
          </w:r>
        </w:p>
        <w:p w:rsidRPr="00891B49" w:rsidR="00CC7724" w:rsidP="00CC7724" w:rsidRDefault="00CC7724" w14:paraId="2ECAA9B9" w14:textId="77777777">
          <w:pPr>
            <w:rPr>
              <w:b/>
              <w:bCs/>
            </w:rPr>
          </w:pPr>
          <w:r>
            <w:rPr>
              <w:b/>
              <w:bCs/>
            </w:rPr>
            <w:lastRenderedPageBreak/>
            <w:t>Tabel B.2. Kerngegevens overheidsfinanciën</w:t>
          </w:r>
        </w:p>
        <w:tbl>
          <w:tblPr>
            <w:tblW w:w="5480" w:type="dxa"/>
            <w:tblCellMar>
              <w:left w:w="70" w:type="dxa"/>
              <w:right w:w="70" w:type="dxa"/>
            </w:tblCellMar>
            <w:tblLook w:val="04A0" w:firstRow="1" w:lastRow="0" w:firstColumn="1" w:lastColumn="0" w:noHBand="0" w:noVBand="1"/>
          </w:tblPr>
          <w:tblGrid>
            <w:gridCol w:w="2600"/>
            <w:gridCol w:w="960"/>
            <w:gridCol w:w="960"/>
            <w:gridCol w:w="960"/>
          </w:tblGrid>
          <w:tr w:rsidRPr="004F071A" w:rsidR="00CC7724" w14:paraId="118973F3" w14:textId="77777777">
            <w:trPr>
              <w:cantSplit/>
              <w:trHeight w:val="240"/>
            </w:trPr>
            <w:tc>
              <w:tcPr>
                <w:tcW w:w="2600" w:type="dxa"/>
                <w:tcBorders>
                  <w:top w:val="single" w:color="auto" w:sz="8" w:space="0"/>
                  <w:left w:val="nil"/>
                  <w:bottom w:val="single" w:color="auto" w:sz="4" w:space="0"/>
                  <w:right w:val="nil"/>
                </w:tcBorders>
                <w:noWrap/>
                <w:vAlign w:val="center"/>
                <w:hideMark/>
              </w:tcPr>
              <w:p w:rsidRPr="004F071A" w:rsidR="00CC7724" w:rsidRDefault="00CC7724" w14:paraId="2FDDEDA2" w14:textId="77777777">
                <w:pPr>
                  <w:keepNext/>
                  <w:rPr>
                    <w:rFonts w:cs="Calibri"/>
                    <w:b/>
                    <w:bCs/>
                    <w:color w:val="000000"/>
                    <w:sz w:val="18"/>
                    <w:szCs w:val="18"/>
                  </w:rPr>
                </w:pPr>
                <w:r w:rsidRPr="004F071A">
                  <w:rPr>
                    <w:rFonts w:cs="Calibri"/>
                    <w:b/>
                    <w:bCs/>
                    <w:color w:val="000000"/>
                    <w:sz w:val="18"/>
                    <w:szCs w:val="18"/>
                  </w:rPr>
                  <w:t>(in % bbp)</w:t>
                </w:r>
              </w:p>
            </w:tc>
            <w:tc>
              <w:tcPr>
                <w:tcW w:w="960" w:type="dxa"/>
                <w:tcBorders>
                  <w:top w:val="single" w:color="auto" w:sz="8" w:space="0"/>
                  <w:left w:val="nil"/>
                  <w:bottom w:val="single" w:color="auto" w:sz="4" w:space="0"/>
                  <w:right w:val="nil"/>
                </w:tcBorders>
                <w:noWrap/>
                <w:vAlign w:val="center"/>
                <w:hideMark/>
              </w:tcPr>
              <w:p w:rsidRPr="004F071A" w:rsidR="00CC7724" w:rsidRDefault="00CC7724" w14:paraId="6FF22801" w14:textId="77777777">
                <w:pPr>
                  <w:keepNext/>
                  <w:jc w:val="center"/>
                  <w:rPr>
                    <w:rFonts w:cs="Calibri"/>
                    <w:b/>
                    <w:bCs/>
                    <w:color w:val="000000"/>
                    <w:sz w:val="18"/>
                    <w:szCs w:val="18"/>
                  </w:rPr>
                </w:pPr>
                <w:r w:rsidRPr="004F071A">
                  <w:rPr>
                    <w:rFonts w:cs="Calibri"/>
                    <w:b/>
                    <w:bCs/>
                    <w:color w:val="000000"/>
                    <w:sz w:val="18"/>
                    <w:szCs w:val="18"/>
                  </w:rPr>
                  <w:t>2025</w:t>
                </w:r>
              </w:p>
            </w:tc>
            <w:tc>
              <w:tcPr>
                <w:tcW w:w="960" w:type="dxa"/>
                <w:tcBorders>
                  <w:top w:val="single" w:color="auto" w:sz="8" w:space="0"/>
                  <w:left w:val="nil"/>
                  <w:bottom w:val="single" w:color="auto" w:sz="4" w:space="0"/>
                  <w:right w:val="nil"/>
                </w:tcBorders>
                <w:noWrap/>
                <w:vAlign w:val="center"/>
                <w:hideMark/>
              </w:tcPr>
              <w:p w:rsidRPr="004F071A" w:rsidR="00CC7724" w:rsidRDefault="00CC7724" w14:paraId="37F5AB7F" w14:textId="77777777">
                <w:pPr>
                  <w:keepNext/>
                  <w:jc w:val="center"/>
                  <w:rPr>
                    <w:rFonts w:cs="Calibri"/>
                    <w:b/>
                    <w:bCs/>
                    <w:color w:val="000000"/>
                    <w:sz w:val="18"/>
                    <w:szCs w:val="18"/>
                  </w:rPr>
                </w:pPr>
                <w:r w:rsidRPr="004F071A">
                  <w:rPr>
                    <w:rFonts w:cs="Calibri"/>
                    <w:b/>
                    <w:bCs/>
                    <w:color w:val="000000"/>
                    <w:sz w:val="18"/>
                    <w:szCs w:val="18"/>
                  </w:rPr>
                  <w:t>2026</w:t>
                </w:r>
              </w:p>
            </w:tc>
            <w:tc>
              <w:tcPr>
                <w:tcW w:w="960" w:type="dxa"/>
                <w:tcBorders>
                  <w:top w:val="single" w:color="auto" w:sz="8" w:space="0"/>
                  <w:left w:val="nil"/>
                  <w:bottom w:val="single" w:color="auto" w:sz="4" w:space="0"/>
                  <w:right w:val="nil"/>
                </w:tcBorders>
                <w:noWrap/>
                <w:vAlign w:val="center"/>
                <w:hideMark/>
              </w:tcPr>
              <w:p w:rsidRPr="004F071A" w:rsidR="00CC7724" w:rsidRDefault="00CC7724" w14:paraId="66C0E7CC" w14:textId="77777777">
                <w:pPr>
                  <w:keepNext/>
                  <w:jc w:val="center"/>
                  <w:rPr>
                    <w:rFonts w:cs="Calibri"/>
                    <w:b/>
                    <w:bCs/>
                    <w:color w:val="000000"/>
                    <w:sz w:val="18"/>
                    <w:szCs w:val="18"/>
                  </w:rPr>
                </w:pPr>
                <w:r w:rsidRPr="004F071A">
                  <w:rPr>
                    <w:rFonts w:cs="Calibri"/>
                    <w:b/>
                    <w:bCs/>
                    <w:color w:val="000000"/>
                    <w:sz w:val="18"/>
                    <w:szCs w:val="18"/>
                  </w:rPr>
                  <w:t>2027</w:t>
                </w:r>
              </w:p>
            </w:tc>
          </w:tr>
          <w:tr w:rsidRPr="004F071A" w:rsidR="00CC7724" w14:paraId="341D0CC3" w14:textId="77777777">
            <w:trPr>
              <w:cantSplit/>
              <w:trHeight w:val="240"/>
            </w:trPr>
            <w:tc>
              <w:tcPr>
                <w:tcW w:w="2600" w:type="dxa"/>
                <w:tcBorders>
                  <w:top w:val="nil"/>
                  <w:left w:val="nil"/>
                  <w:bottom w:val="nil"/>
                  <w:right w:val="nil"/>
                </w:tcBorders>
                <w:noWrap/>
                <w:vAlign w:val="center"/>
                <w:hideMark/>
              </w:tcPr>
              <w:p w:rsidRPr="004F071A" w:rsidR="00CC7724" w:rsidRDefault="00CC7724" w14:paraId="6131E7E6" w14:textId="77777777">
                <w:pPr>
                  <w:keepNext/>
                  <w:rPr>
                    <w:rFonts w:cs="Calibri"/>
                    <w:color w:val="000000"/>
                    <w:sz w:val="18"/>
                    <w:szCs w:val="18"/>
                  </w:rPr>
                </w:pPr>
                <w:r w:rsidRPr="004F071A">
                  <w:rPr>
                    <w:rFonts w:cs="Calibri"/>
                    <w:color w:val="000000"/>
                    <w:sz w:val="18"/>
                    <w:szCs w:val="18"/>
                  </w:rPr>
                  <w:t>Feitelijk EMU-saldo</w:t>
                </w:r>
              </w:p>
            </w:tc>
            <w:tc>
              <w:tcPr>
                <w:tcW w:w="960" w:type="dxa"/>
                <w:tcBorders>
                  <w:top w:val="nil"/>
                  <w:left w:val="nil"/>
                  <w:bottom w:val="nil"/>
                  <w:right w:val="nil"/>
                </w:tcBorders>
                <w:noWrap/>
                <w:vAlign w:val="center"/>
                <w:hideMark/>
              </w:tcPr>
              <w:p w:rsidRPr="004F071A" w:rsidR="00CC7724" w:rsidRDefault="00CC7724" w14:paraId="529A4C5A" w14:textId="77777777">
                <w:pPr>
                  <w:keepNext/>
                  <w:jc w:val="center"/>
                  <w:rPr>
                    <w:rFonts w:cs="Calibri"/>
                    <w:color w:val="000000"/>
                    <w:sz w:val="18"/>
                    <w:szCs w:val="18"/>
                  </w:rPr>
                </w:pPr>
                <w:r w:rsidRPr="004F071A">
                  <w:rPr>
                    <w:rFonts w:cs="Calibri"/>
                    <w:color w:val="000000"/>
                    <w:sz w:val="18"/>
                    <w:szCs w:val="18"/>
                  </w:rPr>
                  <w:t>-1,6</w:t>
                </w:r>
              </w:p>
            </w:tc>
            <w:tc>
              <w:tcPr>
                <w:tcW w:w="960" w:type="dxa"/>
                <w:tcBorders>
                  <w:top w:val="nil"/>
                  <w:left w:val="nil"/>
                  <w:bottom w:val="nil"/>
                  <w:right w:val="nil"/>
                </w:tcBorders>
                <w:noWrap/>
                <w:vAlign w:val="center"/>
                <w:hideMark/>
              </w:tcPr>
              <w:p w:rsidRPr="004F071A" w:rsidR="00CC7724" w:rsidRDefault="00CC7724" w14:paraId="047004D2" w14:textId="77777777">
                <w:pPr>
                  <w:keepNext/>
                  <w:jc w:val="center"/>
                  <w:rPr>
                    <w:rFonts w:cs="Calibri"/>
                    <w:color w:val="000000"/>
                    <w:sz w:val="18"/>
                    <w:szCs w:val="18"/>
                  </w:rPr>
                </w:pPr>
                <w:r w:rsidRPr="004F071A">
                  <w:rPr>
                    <w:rFonts w:cs="Calibri"/>
                    <w:color w:val="000000"/>
                    <w:sz w:val="18"/>
                    <w:szCs w:val="18"/>
                  </w:rPr>
                  <w:t>-2,7</w:t>
                </w:r>
              </w:p>
            </w:tc>
            <w:tc>
              <w:tcPr>
                <w:tcW w:w="960" w:type="dxa"/>
                <w:tcBorders>
                  <w:top w:val="nil"/>
                  <w:left w:val="nil"/>
                  <w:bottom w:val="nil"/>
                  <w:right w:val="nil"/>
                </w:tcBorders>
                <w:noWrap/>
                <w:vAlign w:val="center"/>
                <w:hideMark/>
              </w:tcPr>
              <w:p w:rsidRPr="004F071A" w:rsidR="00CC7724" w:rsidRDefault="00CC7724" w14:paraId="5875A3E2" w14:textId="77777777">
                <w:pPr>
                  <w:keepNext/>
                  <w:jc w:val="center"/>
                  <w:rPr>
                    <w:rFonts w:cs="Calibri"/>
                    <w:color w:val="000000"/>
                    <w:sz w:val="18"/>
                    <w:szCs w:val="18"/>
                  </w:rPr>
                </w:pPr>
                <w:r w:rsidRPr="004F071A">
                  <w:rPr>
                    <w:rFonts w:cs="Calibri"/>
                    <w:color w:val="000000"/>
                    <w:sz w:val="18"/>
                    <w:szCs w:val="18"/>
                  </w:rPr>
                  <w:t>-2,2</w:t>
                </w:r>
              </w:p>
            </w:tc>
          </w:tr>
          <w:tr w:rsidRPr="004F071A" w:rsidR="00CC7724" w14:paraId="03682AE3" w14:textId="77777777">
            <w:trPr>
              <w:cantSplit/>
              <w:trHeight w:val="240"/>
            </w:trPr>
            <w:tc>
              <w:tcPr>
                <w:tcW w:w="2600" w:type="dxa"/>
                <w:tcBorders>
                  <w:top w:val="nil"/>
                  <w:left w:val="nil"/>
                  <w:bottom w:val="nil"/>
                  <w:right w:val="nil"/>
                </w:tcBorders>
                <w:noWrap/>
                <w:vAlign w:val="center"/>
                <w:hideMark/>
              </w:tcPr>
              <w:p w:rsidRPr="004F071A" w:rsidR="00CC7724" w:rsidRDefault="00CC7724" w14:paraId="597F71C0" w14:textId="77777777">
                <w:pPr>
                  <w:keepNext/>
                  <w:rPr>
                    <w:rFonts w:cs="Calibri"/>
                    <w:color w:val="000000"/>
                    <w:sz w:val="18"/>
                    <w:szCs w:val="18"/>
                  </w:rPr>
                </w:pPr>
                <w:r w:rsidRPr="004F071A">
                  <w:rPr>
                    <w:rFonts w:cs="Calibri"/>
                    <w:color w:val="000000"/>
                    <w:sz w:val="18"/>
                    <w:szCs w:val="18"/>
                  </w:rPr>
                  <w:t xml:space="preserve">  w.o. saldo </w:t>
                </w:r>
                <w:proofErr w:type="spellStart"/>
                <w:r w:rsidRPr="004F071A">
                  <w:rPr>
                    <w:rFonts w:cs="Calibri"/>
                    <w:color w:val="000000"/>
                    <w:sz w:val="18"/>
                    <w:szCs w:val="18"/>
                  </w:rPr>
                  <w:t>mede-overheden</w:t>
                </w:r>
                <w:proofErr w:type="spellEnd"/>
              </w:p>
            </w:tc>
            <w:tc>
              <w:tcPr>
                <w:tcW w:w="960" w:type="dxa"/>
                <w:tcBorders>
                  <w:top w:val="nil"/>
                  <w:left w:val="nil"/>
                  <w:bottom w:val="nil"/>
                  <w:right w:val="nil"/>
                </w:tcBorders>
                <w:noWrap/>
                <w:vAlign w:val="center"/>
                <w:hideMark/>
              </w:tcPr>
              <w:p w:rsidRPr="004F071A" w:rsidR="00CC7724" w:rsidRDefault="00CC7724" w14:paraId="093BB596" w14:textId="77777777">
                <w:pPr>
                  <w:keepNext/>
                  <w:jc w:val="center"/>
                  <w:rPr>
                    <w:rFonts w:cs="Calibri"/>
                    <w:color w:val="000000"/>
                    <w:sz w:val="18"/>
                    <w:szCs w:val="18"/>
                  </w:rPr>
                </w:pPr>
                <w:r w:rsidRPr="004F071A">
                  <w:rPr>
                    <w:rFonts w:cs="Calibri"/>
                    <w:color w:val="000000"/>
                    <w:sz w:val="18"/>
                    <w:szCs w:val="18"/>
                  </w:rPr>
                  <w:t>-0,3</w:t>
                </w:r>
              </w:p>
            </w:tc>
            <w:tc>
              <w:tcPr>
                <w:tcW w:w="960" w:type="dxa"/>
                <w:tcBorders>
                  <w:top w:val="nil"/>
                  <w:left w:val="nil"/>
                  <w:bottom w:val="nil"/>
                  <w:right w:val="nil"/>
                </w:tcBorders>
                <w:noWrap/>
                <w:vAlign w:val="center"/>
                <w:hideMark/>
              </w:tcPr>
              <w:p w:rsidRPr="004F071A" w:rsidR="00CC7724" w:rsidRDefault="00CC7724" w14:paraId="52B1DF02" w14:textId="77777777">
                <w:pPr>
                  <w:keepNext/>
                  <w:jc w:val="center"/>
                  <w:rPr>
                    <w:rFonts w:cs="Calibri"/>
                    <w:color w:val="000000"/>
                    <w:sz w:val="18"/>
                    <w:szCs w:val="18"/>
                  </w:rPr>
                </w:pPr>
                <w:r w:rsidRPr="004F071A">
                  <w:rPr>
                    <w:rFonts w:cs="Calibri"/>
                    <w:color w:val="000000"/>
                    <w:sz w:val="18"/>
                    <w:szCs w:val="18"/>
                  </w:rPr>
                  <w:t>-0,4</w:t>
                </w:r>
              </w:p>
            </w:tc>
            <w:tc>
              <w:tcPr>
                <w:tcW w:w="960" w:type="dxa"/>
                <w:tcBorders>
                  <w:top w:val="nil"/>
                  <w:left w:val="nil"/>
                  <w:bottom w:val="nil"/>
                  <w:right w:val="nil"/>
                </w:tcBorders>
                <w:noWrap/>
                <w:vAlign w:val="center"/>
                <w:hideMark/>
              </w:tcPr>
              <w:p w:rsidRPr="004F071A" w:rsidR="00CC7724" w:rsidRDefault="00CC7724" w14:paraId="0CC52D51" w14:textId="77777777">
                <w:pPr>
                  <w:keepNext/>
                  <w:jc w:val="center"/>
                  <w:rPr>
                    <w:rFonts w:cs="Calibri"/>
                    <w:color w:val="000000"/>
                    <w:sz w:val="18"/>
                    <w:szCs w:val="18"/>
                  </w:rPr>
                </w:pPr>
                <w:r w:rsidRPr="004F071A">
                  <w:rPr>
                    <w:rFonts w:cs="Calibri"/>
                    <w:color w:val="000000"/>
                    <w:sz w:val="18"/>
                    <w:szCs w:val="18"/>
                  </w:rPr>
                  <w:t>-0,2</w:t>
                </w:r>
              </w:p>
            </w:tc>
          </w:tr>
          <w:tr w:rsidRPr="004F071A" w:rsidR="00CC7724" w14:paraId="4B3C6F21" w14:textId="77777777">
            <w:trPr>
              <w:cantSplit/>
              <w:trHeight w:val="240"/>
            </w:trPr>
            <w:tc>
              <w:tcPr>
                <w:tcW w:w="2600" w:type="dxa"/>
                <w:tcBorders>
                  <w:top w:val="nil"/>
                  <w:left w:val="nil"/>
                  <w:bottom w:val="nil"/>
                  <w:right w:val="nil"/>
                </w:tcBorders>
                <w:noWrap/>
                <w:vAlign w:val="center"/>
                <w:hideMark/>
              </w:tcPr>
              <w:p w:rsidRPr="004F071A" w:rsidR="00CC7724" w:rsidRDefault="00CC7724" w14:paraId="4E41EB41" w14:textId="77777777">
                <w:pPr>
                  <w:keepNext/>
                  <w:rPr>
                    <w:rFonts w:cs="Calibri"/>
                    <w:color w:val="000000"/>
                    <w:sz w:val="18"/>
                    <w:szCs w:val="18"/>
                  </w:rPr>
                </w:pPr>
                <w:r w:rsidRPr="004F071A">
                  <w:rPr>
                    <w:rFonts w:cs="Calibri"/>
                    <w:color w:val="000000"/>
                    <w:sz w:val="18"/>
                    <w:szCs w:val="18"/>
                  </w:rPr>
                  <w:t>EMU-saldo (structureel)</w:t>
                </w:r>
              </w:p>
            </w:tc>
            <w:tc>
              <w:tcPr>
                <w:tcW w:w="960" w:type="dxa"/>
                <w:tcBorders>
                  <w:top w:val="nil"/>
                  <w:left w:val="nil"/>
                  <w:bottom w:val="nil"/>
                  <w:right w:val="nil"/>
                </w:tcBorders>
                <w:noWrap/>
                <w:vAlign w:val="center"/>
                <w:hideMark/>
              </w:tcPr>
              <w:p w:rsidRPr="004F071A" w:rsidR="00CC7724" w:rsidRDefault="00CC7724" w14:paraId="51EAFD92" w14:textId="77777777">
                <w:pPr>
                  <w:keepNext/>
                  <w:jc w:val="center"/>
                  <w:rPr>
                    <w:rFonts w:cs="Calibri"/>
                    <w:color w:val="000000"/>
                    <w:sz w:val="18"/>
                    <w:szCs w:val="18"/>
                  </w:rPr>
                </w:pPr>
                <w:r w:rsidRPr="004F071A">
                  <w:rPr>
                    <w:rFonts w:cs="Calibri"/>
                    <w:color w:val="000000"/>
                    <w:sz w:val="18"/>
                    <w:szCs w:val="18"/>
                  </w:rPr>
                  <w:t>-1,3</w:t>
                </w:r>
              </w:p>
            </w:tc>
            <w:tc>
              <w:tcPr>
                <w:tcW w:w="960" w:type="dxa"/>
                <w:tcBorders>
                  <w:top w:val="nil"/>
                  <w:left w:val="nil"/>
                  <w:bottom w:val="nil"/>
                  <w:right w:val="nil"/>
                </w:tcBorders>
                <w:noWrap/>
                <w:vAlign w:val="center"/>
                <w:hideMark/>
              </w:tcPr>
              <w:p w:rsidRPr="004F071A" w:rsidR="00CC7724" w:rsidRDefault="00CC7724" w14:paraId="3F0EA587" w14:textId="77777777">
                <w:pPr>
                  <w:keepNext/>
                  <w:jc w:val="center"/>
                  <w:rPr>
                    <w:rFonts w:cs="Calibri"/>
                    <w:color w:val="000000"/>
                    <w:sz w:val="18"/>
                    <w:szCs w:val="18"/>
                  </w:rPr>
                </w:pPr>
                <w:r w:rsidRPr="004F071A">
                  <w:rPr>
                    <w:rFonts w:cs="Calibri"/>
                    <w:color w:val="000000"/>
                    <w:sz w:val="18"/>
                    <w:szCs w:val="18"/>
                  </w:rPr>
                  <w:t>-1,6</w:t>
                </w:r>
              </w:p>
            </w:tc>
            <w:tc>
              <w:tcPr>
                <w:tcW w:w="960" w:type="dxa"/>
                <w:tcBorders>
                  <w:top w:val="nil"/>
                  <w:left w:val="nil"/>
                  <w:bottom w:val="nil"/>
                  <w:right w:val="nil"/>
                </w:tcBorders>
                <w:noWrap/>
                <w:vAlign w:val="center"/>
                <w:hideMark/>
              </w:tcPr>
              <w:p w:rsidRPr="004F071A" w:rsidR="00CC7724" w:rsidRDefault="00CC7724" w14:paraId="2FF0FD91" w14:textId="77777777">
                <w:pPr>
                  <w:keepNext/>
                  <w:jc w:val="center"/>
                  <w:rPr>
                    <w:rFonts w:cs="Calibri"/>
                    <w:color w:val="000000"/>
                    <w:sz w:val="18"/>
                    <w:szCs w:val="18"/>
                  </w:rPr>
                </w:pPr>
                <w:r w:rsidRPr="004F071A">
                  <w:rPr>
                    <w:rFonts w:cs="Calibri"/>
                    <w:color w:val="000000"/>
                    <w:sz w:val="18"/>
                    <w:szCs w:val="18"/>
                  </w:rPr>
                  <w:t>-1,8</w:t>
                </w:r>
              </w:p>
            </w:tc>
          </w:tr>
          <w:tr w:rsidRPr="004F071A" w:rsidR="00CC7724" w14:paraId="778EEA2B" w14:textId="77777777">
            <w:trPr>
              <w:cantSplit/>
              <w:trHeight w:val="240"/>
            </w:trPr>
            <w:tc>
              <w:tcPr>
                <w:tcW w:w="2600" w:type="dxa"/>
                <w:tcBorders>
                  <w:top w:val="nil"/>
                  <w:left w:val="nil"/>
                  <w:bottom w:val="nil"/>
                  <w:right w:val="nil"/>
                </w:tcBorders>
                <w:noWrap/>
                <w:vAlign w:val="center"/>
                <w:hideMark/>
              </w:tcPr>
              <w:p w:rsidRPr="004F071A" w:rsidR="00CC7724" w:rsidRDefault="00CC7724" w14:paraId="68801B74" w14:textId="77777777">
                <w:pPr>
                  <w:keepNext/>
                  <w:rPr>
                    <w:rFonts w:cs="Calibri"/>
                    <w:color w:val="000000"/>
                    <w:sz w:val="18"/>
                    <w:szCs w:val="18"/>
                  </w:rPr>
                </w:pPr>
                <w:r w:rsidRPr="004F071A">
                  <w:rPr>
                    <w:rFonts w:cs="Calibri"/>
                    <w:color w:val="000000"/>
                    <w:sz w:val="18"/>
                    <w:szCs w:val="18"/>
                  </w:rPr>
                  <w:t>EMU schuld</w:t>
                </w:r>
              </w:p>
            </w:tc>
            <w:tc>
              <w:tcPr>
                <w:tcW w:w="960" w:type="dxa"/>
                <w:tcBorders>
                  <w:top w:val="nil"/>
                  <w:left w:val="nil"/>
                  <w:bottom w:val="nil"/>
                  <w:right w:val="nil"/>
                </w:tcBorders>
                <w:noWrap/>
                <w:vAlign w:val="center"/>
                <w:hideMark/>
              </w:tcPr>
              <w:p w:rsidRPr="004F071A" w:rsidR="00CC7724" w:rsidRDefault="00CC7724" w14:paraId="15AA2283" w14:textId="77777777">
                <w:pPr>
                  <w:keepNext/>
                  <w:jc w:val="center"/>
                  <w:rPr>
                    <w:rFonts w:cs="Calibri"/>
                    <w:color w:val="000000"/>
                    <w:sz w:val="18"/>
                    <w:szCs w:val="18"/>
                  </w:rPr>
                </w:pPr>
                <w:r w:rsidRPr="004F071A">
                  <w:rPr>
                    <w:rFonts w:cs="Calibri"/>
                    <w:color w:val="000000"/>
                    <w:sz w:val="18"/>
                    <w:szCs w:val="18"/>
                  </w:rPr>
                  <w:t>44,7</w:t>
                </w:r>
              </w:p>
            </w:tc>
            <w:tc>
              <w:tcPr>
                <w:tcW w:w="960" w:type="dxa"/>
                <w:tcBorders>
                  <w:top w:val="nil"/>
                  <w:left w:val="nil"/>
                  <w:bottom w:val="nil"/>
                  <w:right w:val="nil"/>
                </w:tcBorders>
                <w:noWrap/>
                <w:vAlign w:val="center"/>
                <w:hideMark/>
              </w:tcPr>
              <w:p w:rsidRPr="004F071A" w:rsidR="00CC7724" w:rsidRDefault="00CC7724" w14:paraId="3AFAA83F" w14:textId="77777777">
                <w:pPr>
                  <w:keepNext/>
                  <w:jc w:val="center"/>
                  <w:rPr>
                    <w:rFonts w:cs="Calibri"/>
                    <w:color w:val="000000"/>
                    <w:sz w:val="18"/>
                    <w:szCs w:val="18"/>
                  </w:rPr>
                </w:pPr>
                <w:r w:rsidRPr="004F071A">
                  <w:rPr>
                    <w:rFonts w:cs="Calibri"/>
                    <w:color w:val="000000"/>
                    <w:sz w:val="18"/>
                    <w:szCs w:val="18"/>
                  </w:rPr>
                  <w:t>46,1</w:t>
                </w:r>
              </w:p>
            </w:tc>
            <w:tc>
              <w:tcPr>
                <w:tcW w:w="960" w:type="dxa"/>
                <w:tcBorders>
                  <w:top w:val="nil"/>
                  <w:left w:val="nil"/>
                  <w:bottom w:val="nil"/>
                  <w:right w:val="nil"/>
                </w:tcBorders>
                <w:noWrap/>
                <w:vAlign w:val="center"/>
                <w:hideMark/>
              </w:tcPr>
              <w:p w:rsidRPr="004F071A" w:rsidR="00CC7724" w:rsidRDefault="00CC7724" w14:paraId="3D155C9E" w14:textId="77777777">
                <w:pPr>
                  <w:keepNext/>
                  <w:jc w:val="center"/>
                  <w:rPr>
                    <w:rFonts w:cs="Calibri"/>
                    <w:color w:val="000000"/>
                    <w:sz w:val="18"/>
                    <w:szCs w:val="18"/>
                  </w:rPr>
                </w:pPr>
                <w:r w:rsidRPr="004F071A">
                  <w:rPr>
                    <w:rFonts w:cs="Calibri"/>
                    <w:color w:val="000000"/>
                    <w:sz w:val="18"/>
                    <w:szCs w:val="18"/>
                  </w:rPr>
                  <w:t>46,7</w:t>
                </w:r>
              </w:p>
            </w:tc>
          </w:tr>
          <w:tr w:rsidRPr="004F071A" w:rsidR="00CC7724" w14:paraId="22C0A101" w14:textId="77777777">
            <w:trPr>
              <w:cantSplit/>
              <w:trHeight w:val="240"/>
            </w:trPr>
            <w:tc>
              <w:tcPr>
                <w:tcW w:w="2600" w:type="dxa"/>
                <w:tcBorders>
                  <w:top w:val="nil"/>
                  <w:left w:val="nil"/>
                  <w:bottom w:val="nil"/>
                  <w:right w:val="nil"/>
                </w:tcBorders>
                <w:noWrap/>
                <w:vAlign w:val="bottom"/>
                <w:hideMark/>
              </w:tcPr>
              <w:p w:rsidRPr="004F071A" w:rsidR="00CC7724" w:rsidRDefault="00CC7724" w14:paraId="40BA6C7B" w14:textId="77777777">
                <w:pPr>
                  <w:keepNext/>
                  <w:jc w:val="center"/>
                  <w:rPr>
                    <w:rFonts w:cs="Calibri"/>
                    <w:color w:val="000000"/>
                    <w:sz w:val="18"/>
                    <w:szCs w:val="18"/>
                  </w:rPr>
                </w:pPr>
              </w:p>
            </w:tc>
            <w:tc>
              <w:tcPr>
                <w:tcW w:w="960" w:type="dxa"/>
                <w:tcBorders>
                  <w:top w:val="nil"/>
                  <w:left w:val="nil"/>
                  <w:bottom w:val="nil"/>
                  <w:right w:val="nil"/>
                </w:tcBorders>
                <w:noWrap/>
                <w:vAlign w:val="center"/>
                <w:hideMark/>
              </w:tcPr>
              <w:p w:rsidRPr="004F071A" w:rsidR="00CC7724" w:rsidRDefault="00CC7724" w14:paraId="4AE08413" w14:textId="77777777">
                <w:pPr>
                  <w:keepNext/>
                  <w:rPr>
                    <w:rFonts w:ascii="Times New Roman" w:hAnsi="Times New Roman"/>
                    <w:sz w:val="20"/>
                    <w:szCs w:val="20"/>
                  </w:rPr>
                </w:pPr>
              </w:p>
            </w:tc>
            <w:tc>
              <w:tcPr>
                <w:tcW w:w="960" w:type="dxa"/>
                <w:tcBorders>
                  <w:top w:val="nil"/>
                  <w:left w:val="nil"/>
                  <w:bottom w:val="nil"/>
                  <w:right w:val="nil"/>
                </w:tcBorders>
                <w:noWrap/>
                <w:vAlign w:val="center"/>
                <w:hideMark/>
              </w:tcPr>
              <w:p w:rsidRPr="004F071A" w:rsidR="00CC7724" w:rsidRDefault="00CC7724" w14:paraId="22379B21" w14:textId="77777777">
                <w:pPr>
                  <w:keepNext/>
                  <w:jc w:val="center"/>
                  <w:rPr>
                    <w:rFonts w:ascii="Times New Roman" w:hAnsi="Times New Roman"/>
                    <w:sz w:val="20"/>
                    <w:szCs w:val="20"/>
                  </w:rPr>
                </w:pPr>
              </w:p>
            </w:tc>
            <w:tc>
              <w:tcPr>
                <w:tcW w:w="960" w:type="dxa"/>
                <w:tcBorders>
                  <w:top w:val="nil"/>
                  <w:left w:val="nil"/>
                  <w:bottom w:val="nil"/>
                  <w:right w:val="nil"/>
                </w:tcBorders>
                <w:noWrap/>
                <w:vAlign w:val="center"/>
                <w:hideMark/>
              </w:tcPr>
              <w:p w:rsidRPr="004F071A" w:rsidR="00CC7724" w:rsidRDefault="00CC7724" w14:paraId="4A470CBE" w14:textId="77777777">
                <w:pPr>
                  <w:keepNext/>
                  <w:jc w:val="center"/>
                  <w:rPr>
                    <w:rFonts w:ascii="Times New Roman" w:hAnsi="Times New Roman"/>
                    <w:sz w:val="20"/>
                    <w:szCs w:val="20"/>
                  </w:rPr>
                </w:pPr>
              </w:p>
            </w:tc>
          </w:tr>
          <w:tr w:rsidRPr="004F071A" w:rsidR="00CC7724" w14:paraId="2F7AA9C8" w14:textId="77777777">
            <w:trPr>
              <w:cantSplit/>
              <w:trHeight w:val="240"/>
            </w:trPr>
            <w:tc>
              <w:tcPr>
                <w:tcW w:w="2600" w:type="dxa"/>
                <w:tcBorders>
                  <w:top w:val="nil"/>
                  <w:left w:val="nil"/>
                  <w:bottom w:val="nil"/>
                  <w:right w:val="nil"/>
                </w:tcBorders>
                <w:noWrap/>
                <w:vAlign w:val="center"/>
                <w:hideMark/>
              </w:tcPr>
              <w:p w:rsidRPr="004F071A" w:rsidR="00CC7724" w:rsidRDefault="00CC7724" w14:paraId="52ED5DE2" w14:textId="77777777">
                <w:pPr>
                  <w:keepNext/>
                  <w:rPr>
                    <w:rFonts w:cs="Calibri"/>
                    <w:color w:val="000000"/>
                    <w:sz w:val="18"/>
                    <w:szCs w:val="18"/>
                  </w:rPr>
                </w:pPr>
                <w:r w:rsidRPr="004F071A">
                  <w:rPr>
                    <w:rFonts w:cs="Calibri"/>
                    <w:color w:val="000000"/>
                    <w:sz w:val="18"/>
                    <w:szCs w:val="18"/>
                  </w:rPr>
                  <w:t>Totale overheidsuitgaven</w:t>
                </w:r>
              </w:p>
            </w:tc>
            <w:tc>
              <w:tcPr>
                <w:tcW w:w="960" w:type="dxa"/>
                <w:tcBorders>
                  <w:top w:val="nil"/>
                  <w:left w:val="nil"/>
                  <w:bottom w:val="nil"/>
                  <w:right w:val="nil"/>
                </w:tcBorders>
                <w:noWrap/>
                <w:vAlign w:val="center"/>
                <w:hideMark/>
              </w:tcPr>
              <w:p w:rsidRPr="004F071A" w:rsidR="00CC7724" w:rsidRDefault="00CC7724" w14:paraId="77377B9E" w14:textId="77777777">
                <w:pPr>
                  <w:keepNext/>
                  <w:jc w:val="center"/>
                  <w:rPr>
                    <w:rFonts w:cs="Calibri"/>
                    <w:color w:val="000000"/>
                    <w:sz w:val="18"/>
                    <w:szCs w:val="18"/>
                  </w:rPr>
                </w:pPr>
                <w:r w:rsidRPr="004F071A">
                  <w:rPr>
                    <w:rFonts w:cs="Calibri"/>
                    <w:color w:val="000000"/>
                    <w:sz w:val="18"/>
                    <w:szCs w:val="18"/>
                  </w:rPr>
                  <w:t>45,2</w:t>
                </w:r>
              </w:p>
            </w:tc>
            <w:tc>
              <w:tcPr>
                <w:tcW w:w="960" w:type="dxa"/>
                <w:tcBorders>
                  <w:top w:val="nil"/>
                  <w:left w:val="nil"/>
                  <w:bottom w:val="nil"/>
                  <w:right w:val="nil"/>
                </w:tcBorders>
                <w:noWrap/>
                <w:vAlign w:val="center"/>
                <w:hideMark/>
              </w:tcPr>
              <w:p w:rsidRPr="004F071A" w:rsidR="00CC7724" w:rsidRDefault="00CC7724" w14:paraId="268E5868" w14:textId="77777777">
                <w:pPr>
                  <w:keepNext/>
                  <w:jc w:val="center"/>
                  <w:rPr>
                    <w:rFonts w:cs="Calibri"/>
                    <w:color w:val="000000"/>
                    <w:sz w:val="18"/>
                    <w:szCs w:val="18"/>
                  </w:rPr>
                </w:pPr>
                <w:r w:rsidRPr="004F071A">
                  <w:rPr>
                    <w:rFonts w:cs="Calibri"/>
                    <w:color w:val="000000"/>
                    <w:sz w:val="18"/>
                    <w:szCs w:val="18"/>
                  </w:rPr>
                  <w:t>46,2</w:t>
                </w:r>
              </w:p>
            </w:tc>
            <w:tc>
              <w:tcPr>
                <w:tcW w:w="960" w:type="dxa"/>
                <w:tcBorders>
                  <w:top w:val="nil"/>
                  <w:left w:val="nil"/>
                  <w:bottom w:val="nil"/>
                  <w:right w:val="nil"/>
                </w:tcBorders>
                <w:noWrap/>
                <w:vAlign w:val="center"/>
                <w:hideMark/>
              </w:tcPr>
              <w:p w:rsidRPr="004F071A" w:rsidR="00CC7724" w:rsidRDefault="00CC7724" w14:paraId="3DE258EF" w14:textId="77777777">
                <w:pPr>
                  <w:keepNext/>
                  <w:jc w:val="center"/>
                  <w:rPr>
                    <w:rFonts w:cs="Calibri"/>
                    <w:color w:val="000000"/>
                    <w:sz w:val="18"/>
                    <w:szCs w:val="18"/>
                  </w:rPr>
                </w:pPr>
                <w:r w:rsidRPr="004F071A">
                  <w:rPr>
                    <w:rFonts w:cs="Calibri"/>
                    <w:color w:val="000000"/>
                    <w:sz w:val="18"/>
                    <w:szCs w:val="18"/>
                  </w:rPr>
                  <w:t>46,4</w:t>
                </w:r>
              </w:p>
            </w:tc>
          </w:tr>
          <w:tr w:rsidRPr="004F071A" w:rsidR="00CC7724" w14:paraId="78D8387F" w14:textId="77777777">
            <w:trPr>
              <w:cantSplit/>
              <w:trHeight w:val="255"/>
            </w:trPr>
            <w:tc>
              <w:tcPr>
                <w:tcW w:w="2600" w:type="dxa"/>
                <w:tcBorders>
                  <w:top w:val="nil"/>
                  <w:left w:val="nil"/>
                  <w:bottom w:val="single" w:color="auto" w:sz="8" w:space="0"/>
                  <w:right w:val="nil"/>
                </w:tcBorders>
                <w:noWrap/>
                <w:vAlign w:val="center"/>
                <w:hideMark/>
              </w:tcPr>
              <w:p w:rsidRPr="004F071A" w:rsidR="00CC7724" w:rsidRDefault="00CC7724" w14:paraId="0FD03926" w14:textId="77777777">
                <w:pPr>
                  <w:keepNext/>
                  <w:rPr>
                    <w:rFonts w:cs="Calibri"/>
                    <w:color w:val="000000"/>
                    <w:sz w:val="18"/>
                    <w:szCs w:val="18"/>
                  </w:rPr>
                </w:pPr>
                <w:r w:rsidRPr="004F071A">
                  <w:rPr>
                    <w:rFonts w:cs="Calibri"/>
                    <w:color w:val="000000"/>
                    <w:sz w:val="18"/>
                    <w:szCs w:val="18"/>
                  </w:rPr>
                  <w:t>Totale overheidsinkomsten</w:t>
                </w:r>
              </w:p>
            </w:tc>
            <w:tc>
              <w:tcPr>
                <w:tcW w:w="960" w:type="dxa"/>
                <w:tcBorders>
                  <w:top w:val="nil"/>
                  <w:left w:val="nil"/>
                  <w:bottom w:val="nil"/>
                  <w:right w:val="nil"/>
                </w:tcBorders>
                <w:noWrap/>
                <w:vAlign w:val="bottom"/>
                <w:hideMark/>
              </w:tcPr>
              <w:p w:rsidRPr="004F071A" w:rsidR="00CC7724" w:rsidRDefault="00CC7724" w14:paraId="422D11F7" w14:textId="77777777">
                <w:pPr>
                  <w:keepNext/>
                  <w:jc w:val="center"/>
                  <w:rPr>
                    <w:rFonts w:cs="Calibri"/>
                    <w:color w:val="000000"/>
                    <w:sz w:val="18"/>
                    <w:szCs w:val="18"/>
                  </w:rPr>
                </w:pPr>
                <w:r w:rsidRPr="004F071A">
                  <w:rPr>
                    <w:rFonts w:cs="Calibri"/>
                    <w:color w:val="000000"/>
                    <w:sz w:val="18"/>
                    <w:szCs w:val="18"/>
                  </w:rPr>
                  <w:t>43,6</w:t>
                </w:r>
              </w:p>
            </w:tc>
            <w:tc>
              <w:tcPr>
                <w:tcW w:w="960" w:type="dxa"/>
                <w:tcBorders>
                  <w:top w:val="nil"/>
                  <w:left w:val="nil"/>
                  <w:bottom w:val="nil"/>
                  <w:right w:val="nil"/>
                </w:tcBorders>
                <w:noWrap/>
                <w:vAlign w:val="bottom"/>
                <w:hideMark/>
              </w:tcPr>
              <w:p w:rsidRPr="004F071A" w:rsidR="00CC7724" w:rsidRDefault="00CC7724" w14:paraId="5616FC2F" w14:textId="77777777">
                <w:pPr>
                  <w:keepNext/>
                  <w:jc w:val="center"/>
                  <w:rPr>
                    <w:rFonts w:cs="Calibri"/>
                    <w:color w:val="000000"/>
                    <w:sz w:val="18"/>
                    <w:szCs w:val="18"/>
                  </w:rPr>
                </w:pPr>
                <w:r w:rsidRPr="004F071A">
                  <w:rPr>
                    <w:rFonts w:cs="Calibri"/>
                    <w:color w:val="000000"/>
                    <w:sz w:val="18"/>
                    <w:szCs w:val="18"/>
                  </w:rPr>
                  <w:t>43,5</w:t>
                </w:r>
              </w:p>
            </w:tc>
            <w:tc>
              <w:tcPr>
                <w:tcW w:w="960" w:type="dxa"/>
                <w:tcBorders>
                  <w:top w:val="nil"/>
                  <w:left w:val="nil"/>
                  <w:bottom w:val="nil"/>
                  <w:right w:val="nil"/>
                </w:tcBorders>
                <w:noWrap/>
                <w:vAlign w:val="bottom"/>
                <w:hideMark/>
              </w:tcPr>
              <w:p w:rsidRPr="004F071A" w:rsidR="00CC7724" w:rsidRDefault="00CC7724" w14:paraId="4AD56D8B" w14:textId="77777777">
                <w:pPr>
                  <w:keepNext/>
                  <w:jc w:val="center"/>
                  <w:rPr>
                    <w:rFonts w:cs="Calibri"/>
                    <w:color w:val="000000"/>
                    <w:sz w:val="18"/>
                    <w:szCs w:val="18"/>
                  </w:rPr>
                </w:pPr>
                <w:r w:rsidRPr="004F071A">
                  <w:rPr>
                    <w:rFonts w:cs="Calibri"/>
                    <w:color w:val="000000"/>
                    <w:sz w:val="18"/>
                    <w:szCs w:val="18"/>
                  </w:rPr>
                  <w:t>44,3</w:t>
                </w:r>
              </w:p>
            </w:tc>
          </w:tr>
          <w:tr w:rsidRPr="004F071A" w:rsidR="00CC7724" w14:paraId="0103270D" w14:textId="77777777">
            <w:trPr>
              <w:cantSplit/>
              <w:trHeight w:val="300"/>
            </w:trPr>
            <w:tc>
              <w:tcPr>
                <w:tcW w:w="5480" w:type="dxa"/>
                <w:gridSpan w:val="4"/>
                <w:tcBorders>
                  <w:top w:val="single" w:color="auto" w:sz="8" w:space="0"/>
                  <w:left w:val="nil"/>
                  <w:bottom w:val="nil"/>
                  <w:right w:val="nil"/>
                </w:tcBorders>
                <w:noWrap/>
                <w:vAlign w:val="center"/>
                <w:hideMark/>
              </w:tcPr>
              <w:p w:rsidRPr="004F071A" w:rsidR="00CC7724" w:rsidRDefault="00CC7724" w14:paraId="19FC5986" w14:textId="77777777">
                <w:pPr>
                  <w:keepNext/>
                  <w:rPr>
                    <w:rFonts w:cs="Calibri"/>
                    <w:i/>
                    <w:iCs/>
                    <w:color w:val="000000"/>
                    <w:sz w:val="18"/>
                    <w:szCs w:val="18"/>
                  </w:rPr>
                </w:pPr>
                <w:r w:rsidRPr="004F071A">
                  <w:rPr>
                    <w:rFonts w:cs="Calibri"/>
                    <w:i/>
                    <w:iCs/>
                    <w:color w:val="000000"/>
                    <w:sz w:val="18"/>
                    <w:szCs w:val="18"/>
                  </w:rPr>
                  <w:t>Bron: MEV 2027</w:t>
                </w:r>
              </w:p>
            </w:tc>
          </w:tr>
        </w:tbl>
        <w:p w:rsidR="00CC7724" w:rsidP="00CC7724" w:rsidRDefault="00CC7724" w14:paraId="70FDC821" w14:textId="77777777">
          <w:r>
            <w:br w:type="page"/>
          </w:r>
        </w:p>
        <w:p w:rsidRPr="00891B49" w:rsidR="00CC7724" w:rsidP="00CC7724" w:rsidRDefault="00CC7724" w14:paraId="52F392D9" w14:textId="77777777">
          <w:r w:rsidRPr="00891B49">
            <w:lastRenderedPageBreak/>
            <w:t xml:space="preserve">C. </w:t>
          </w:r>
          <w:r>
            <w:tab/>
          </w:r>
          <w:r w:rsidRPr="00891B49">
            <w:t>ADVIES OVER DE MILJOENENNOTA 2027</w:t>
          </w:r>
          <w:r>
            <w:t xml:space="preserve"> </w:t>
          </w:r>
        </w:p>
        <w:p w:rsidR="00CC7724" w:rsidP="00CC7724" w:rsidRDefault="00CC7724" w14:paraId="655573C2" w14:textId="77777777"/>
        <w:p w:rsidR="00A35F84" w:rsidP="00A35F84" w:rsidRDefault="00CC7724" w14:paraId="4D0E4EB0" w14:textId="77777777">
          <w:pPr>
            <w:rPr>
              <w:color w:val="000000"/>
              <w:szCs w:val="22"/>
              <w:shd w:val="clear" w:color="auto" w:fill="FFFFFF"/>
            </w:rPr>
          </w:pPr>
          <w:r w:rsidRPr="001B10B5">
            <w:rPr>
              <w:szCs w:val="22"/>
            </w:rPr>
            <w:t>In zijn advies op de Voorjaarsnota heeft de Afdeling aandacht besteed aan de uitdagingen waar Nederland voor staat</w:t>
          </w:r>
          <w:r w:rsidRPr="001B10B5">
            <w:rPr>
              <w:color w:val="000000"/>
              <w:szCs w:val="22"/>
            </w:rPr>
            <w:t xml:space="preserve">: van geopolitieke aard, door vergrijzing, op terreinen van klimaat, energie, natuur en stikstof, door tekorten van ruimte en woningen en </w:t>
          </w:r>
          <w:r>
            <w:rPr>
              <w:color w:val="000000"/>
              <w:szCs w:val="22"/>
            </w:rPr>
            <w:t xml:space="preserve">door </w:t>
          </w:r>
          <w:r w:rsidRPr="001B10B5">
            <w:rPr>
              <w:color w:val="000000"/>
              <w:szCs w:val="22"/>
            </w:rPr>
            <w:t xml:space="preserve">tekorten in publieke voorzieningen als zorg en onderwijs. </w:t>
          </w:r>
          <w:r w:rsidRPr="001B10B5">
            <w:rPr>
              <w:color w:val="000000"/>
              <w:szCs w:val="22"/>
              <w:shd w:val="clear" w:color="auto" w:fill="FFFFFF"/>
            </w:rPr>
            <w:t>De economische vooruitzichten van Nederland in deze kabinetsperiode worden gedomineerd door nationale en internationale ontwikkelingen die alle niet nieuw zijn, maar door hun intensiteit en in hun stapeling de begrotingsruimte beperken.</w:t>
          </w:r>
        </w:p>
        <w:p w:rsidR="00A35F84" w:rsidP="00A35F84" w:rsidRDefault="00A35F84" w14:paraId="0CD9D528" w14:textId="77777777">
          <w:pPr>
            <w:rPr>
              <w:color w:val="000000"/>
              <w:szCs w:val="22"/>
              <w:shd w:val="clear" w:color="auto" w:fill="FFFFFF"/>
            </w:rPr>
          </w:pPr>
        </w:p>
        <w:p w:rsidR="00A35F84" w:rsidP="00A35F84" w:rsidRDefault="00CC7724" w14:paraId="415D44D8" w14:textId="77777777">
          <w:pPr>
            <w:rPr>
              <w:color w:val="000000"/>
              <w:szCs w:val="22"/>
            </w:rPr>
          </w:pPr>
          <w:r w:rsidRPr="009F7338">
            <w:rPr>
              <w:color w:val="000000"/>
              <w:szCs w:val="22"/>
              <w:shd w:val="clear" w:color="auto" w:fill="FFFFFF"/>
            </w:rPr>
            <w:t xml:space="preserve">Direct relevant voor het begrotingsbeleid is de </w:t>
          </w:r>
          <w:r w:rsidRPr="009F7338">
            <w:rPr>
              <w:color w:val="000000"/>
              <w:szCs w:val="22"/>
            </w:rPr>
            <w:t xml:space="preserve">economische groei, die in Nederland al op middellange termijn </w:t>
          </w:r>
          <w:r>
            <w:rPr>
              <w:color w:val="000000"/>
              <w:szCs w:val="22"/>
            </w:rPr>
            <w:t>tussen de 1,3% in 2028 en 0,8% in 2031</w:t>
          </w:r>
          <w:r w:rsidRPr="009F7338">
            <w:rPr>
              <w:color w:val="000000"/>
              <w:szCs w:val="22"/>
            </w:rPr>
            <w:t xml:space="preserve"> zakt</w:t>
          </w:r>
          <w:r>
            <w:rPr>
              <w:rStyle w:val="Voetnootmarkering"/>
              <w:color w:val="000000"/>
              <w:szCs w:val="22"/>
            </w:rPr>
            <w:footnoteReference w:id="19"/>
          </w:r>
          <w:r>
            <w:rPr>
              <w:color w:val="000000"/>
              <w:szCs w:val="22"/>
            </w:rPr>
            <w:t>, daar waar de structurele groei in de voorafgaande decennia tegen de 2% was</w:t>
          </w:r>
          <w:r w:rsidRPr="009F7338">
            <w:rPr>
              <w:color w:val="000000"/>
              <w:szCs w:val="22"/>
            </w:rPr>
            <w:t>.</w:t>
          </w:r>
          <w:r>
            <w:rPr>
              <w:color w:val="000000"/>
              <w:szCs w:val="22"/>
            </w:rPr>
            <w:t xml:space="preserve"> </w:t>
          </w:r>
          <w:r w:rsidRPr="009F7338">
            <w:rPr>
              <w:color w:val="000000"/>
              <w:szCs w:val="22"/>
            </w:rPr>
            <w:t xml:space="preserve">De nu voorziene economische groei is te laag om zonder nadere (politieke) keuzes de stapeling van uitdagingen op te lossen of deze te financieren zonder stijging van belastingen of verslechtering van de overheidsfinanciën. Waar de staatsschuld van Nederland nu nog </w:t>
          </w:r>
          <w:r>
            <w:rPr>
              <w:color w:val="000000"/>
              <w:szCs w:val="22"/>
            </w:rPr>
            <w:t>gunstig</w:t>
          </w:r>
          <w:r w:rsidRPr="009F7338">
            <w:rPr>
              <w:color w:val="000000"/>
              <w:szCs w:val="22"/>
            </w:rPr>
            <w:t xml:space="preserve"> afsteekt bij die van andere Europese landen, loopt ook hier de schuld op, zelfs als de beoogde ombuigingen zouden worden gerealiseerd</w:t>
          </w:r>
          <w:r w:rsidR="00FE69D2">
            <w:rPr>
              <w:color w:val="000000"/>
              <w:szCs w:val="22"/>
            </w:rPr>
            <w:t>.</w:t>
          </w:r>
          <w:r w:rsidRPr="009F7338">
            <w:rPr>
              <w:color w:val="000000"/>
              <w:szCs w:val="22"/>
            </w:rPr>
            <w:t xml:space="preserve"> </w:t>
          </w:r>
          <w:r w:rsidR="00A35F84">
            <w:rPr>
              <w:color w:val="000000"/>
              <w:szCs w:val="22"/>
            </w:rPr>
            <w:t>Verder</w:t>
          </w:r>
          <w:r w:rsidRPr="009F7338">
            <w:rPr>
              <w:color w:val="000000"/>
              <w:szCs w:val="22"/>
            </w:rPr>
            <w:t xml:space="preserve"> zijn de rentelasten ook bij dit niveau inmiddels al fors gestegen vergeleken met een aantal jaren geleden. In </w:t>
          </w:r>
          <w:r>
            <w:rPr>
              <w:color w:val="000000"/>
              <w:szCs w:val="22"/>
            </w:rPr>
            <w:t>het eurogebied</w:t>
          </w:r>
          <w:r w:rsidRPr="009F7338">
            <w:rPr>
              <w:color w:val="000000"/>
              <w:szCs w:val="22"/>
            </w:rPr>
            <w:t xml:space="preserve"> is de </w:t>
          </w:r>
          <w:r>
            <w:rPr>
              <w:color w:val="000000"/>
              <w:szCs w:val="22"/>
            </w:rPr>
            <w:t xml:space="preserve">gemiddelde geconsolideerde </w:t>
          </w:r>
          <w:proofErr w:type="spellStart"/>
          <w:r>
            <w:rPr>
              <w:color w:val="000000"/>
              <w:szCs w:val="22"/>
            </w:rPr>
            <w:t>brutoschuld</w:t>
          </w:r>
          <w:proofErr w:type="spellEnd"/>
          <w:r>
            <w:rPr>
              <w:color w:val="000000"/>
              <w:szCs w:val="22"/>
            </w:rPr>
            <w:t xml:space="preserve"> </w:t>
          </w:r>
          <w:r w:rsidRPr="009F7338">
            <w:rPr>
              <w:color w:val="000000"/>
              <w:szCs w:val="22"/>
            </w:rPr>
            <w:t xml:space="preserve">inmiddels opgelopen naar circa </w:t>
          </w:r>
          <w:r>
            <w:rPr>
              <w:color w:val="000000"/>
              <w:szCs w:val="22"/>
            </w:rPr>
            <w:t>87,8</w:t>
          </w:r>
          <w:r w:rsidRPr="009F7338">
            <w:rPr>
              <w:color w:val="000000"/>
              <w:szCs w:val="22"/>
            </w:rPr>
            <w:t>% van het</w:t>
          </w:r>
          <w:r>
            <w:rPr>
              <w:color w:val="000000"/>
              <w:szCs w:val="22"/>
            </w:rPr>
            <w:t xml:space="preserve"> bbp</w:t>
          </w:r>
          <w:r>
            <w:rPr>
              <w:rStyle w:val="Voetnootmarkering"/>
              <w:color w:val="000000"/>
              <w:szCs w:val="22"/>
            </w:rPr>
            <w:footnoteReference w:id="20"/>
          </w:r>
          <w:r w:rsidRPr="009F7338">
            <w:rPr>
              <w:color w:val="000000"/>
              <w:szCs w:val="22"/>
            </w:rPr>
            <w:t>, in OESO-verband is dat al circa 1</w:t>
          </w:r>
          <w:r>
            <w:rPr>
              <w:color w:val="000000"/>
              <w:szCs w:val="22"/>
            </w:rPr>
            <w:t>1</w:t>
          </w:r>
          <w:r w:rsidRPr="009F7338">
            <w:rPr>
              <w:color w:val="000000"/>
              <w:szCs w:val="22"/>
            </w:rPr>
            <w:t>2%</w:t>
          </w:r>
          <w:r>
            <w:rPr>
              <w:rStyle w:val="Voetnootmarkering"/>
              <w:color w:val="000000"/>
              <w:szCs w:val="22"/>
            </w:rPr>
            <w:footnoteReference w:id="21"/>
          </w:r>
          <w:r w:rsidRPr="009F7338">
            <w:rPr>
              <w:color w:val="000000"/>
              <w:szCs w:val="22"/>
            </w:rPr>
            <w:t>. De renteverwachtingen zijn daarmee nog verder opwaarts.</w:t>
          </w:r>
        </w:p>
        <w:p w:rsidR="00A35F84" w:rsidP="00A35F84" w:rsidRDefault="00A35F84" w14:paraId="1705A9C0" w14:textId="77777777">
          <w:pPr>
            <w:rPr>
              <w:color w:val="000000"/>
              <w:szCs w:val="22"/>
            </w:rPr>
          </w:pPr>
        </w:p>
        <w:p w:rsidR="00A35F84" w:rsidP="00A35F84" w:rsidRDefault="00CC7724" w14:paraId="68688DE3" w14:textId="739F59CD">
          <w:pPr>
            <w:rPr>
              <w:color w:val="000000"/>
              <w:szCs w:val="22"/>
            </w:rPr>
          </w:pPr>
          <w:r w:rsidRPr="009F7338">
            <w:rPr>
              <w:color w:val="000000"/>
              <w:szCs w:val="22"/>
            </w:rPr>
            <w:t xml:space="preserve">De Afdeling constateert dat het kabinet-Jetten in zijn coalitieakkoord de stapeling van uitdagingen onderkent. Het kabinet beoogt met een aantal </w:t>
          </w:r>
          <w:r w:rsidR="00A35F84">
            <w:rPr>
              <w:color w:val="000000"/>
              <w:szCs w:val="22"/>
            </w:rPr>
            <w:t>–</w:t>
          </w:r>
          <w:r w:rsidRPr="009F7338">
            <w:rPr>
              <w:color w:val="000000"/>
              <w:szCs w:val="22"/>
            </w:rPr>
            <w:t xml:space="preserve"> soms scherpe </w:t>
          </w:r>
          <w:r w:rsidR="00A35F84">
            <w:rPr>
              <w:color w:val="000000"/>
              <w:szCs w:val="22"/>
            </w:rPr>
            <w:t>–</w:t>
          </w:r>
          <w:r w:rsidRPr="009F7338">
            <w:rPr>
              <w:color w:val="000000"/>
              <w:szCs w:val="22"/>
            </w:rPr>
            <w:t xml:space="preserve"> beleidskeuzes de uitdagingen te beantwoorden, door meer te investeren en vergrijzingskosten te beheersen, en tegelijkertijd een houdbaar begrotingsbeleid te bestendigen.</w:t>
          </w:r>
        </w:p>
        <w:p w:rsidR="00A35F84" w:rsidP="00A35F84" w:rsidRDefault="00A35F84" w14:paraId="53365877" w14:textId="77777777">
          <w:pPr>
            <w:rPr>
              <w:color w:val="000000"/>
              <w:szCs w:val="22"/>
            </w:rPr>
          </w:pPr>
        </w:p>
        <w:p w:rsidR="00A73864" w:rsidP="00A73864" w:rsidRDefault="00CC7724" w14:paraId="30834A5F" w14:textId="77777777">
          <w:pPr>
            <w:rPr>
              <w:color w:val="000000"/>
              <w:szCs w:val="22"/>
            </w:rPr>
          </w:pPr>
          <w:r w:rsidRPr="009F7338">
            <w:rPr>
              <w:color w:val="000000"/>
              <w:szCs w:val="22"/>
            </w:rPr>
            <w:t xml:space="preserve">De tekst van de Miljoenennota biedt een </w:t>
          </w:r>
          <w:r>
            <w:rPr>
              <w:color w:val="000000"/>
              <w:szCs w:val="22"/>
            </w:rPr>
            <w:t>goede</w:t>
          </w:r>
          <w:r w:rsidRPr="009F7338">
            <w:rPr>
              <w:color w:val="000000"/>
              <w:szCs w:val="22"/>
            </w:rPr>
            <w:t xml:space="preserve"> toelichting op, en onderbouwing van deze keuzes. Daartoe heeft het kabinet bovendien een </w:t>
          </w:r>
          <w:r>
            <w:rPr>
              <w:color w:val="000000"/>
              <w:szCs w:val="22"/>
            </w:rPr>
            <w:t>uitgebreide</w:t>
          </w:r>
          <w:r w:rsidRPr="009F7338">
            <w:rPr>
              <w:color w:val="000000"/>
              <w:szCs w:val="22"/>
            </w:rPr>
            <w:t xml:space="preserve"> structuuranalyse uitgevoerd, een nadere beschouwing gegeven over het thema investeringen en ook de macro-economische onevenwichtigheden in beeld gebracht. De Miljoenennota van dit jaar is daarmee een </w:t>
          </w:r>
          <w:r>
            <w:rPr>
              <w:color w:val="000000"/>
              <w:szCs w:val="22"/>
            </w:rPr>
            <w:t xml:space="preserve">gemotiveerd </w:t>
          </w:r>
          <w:r w:rsidRPr="009F7338">
            <w:rPr>
              <w:color w:val="000000"/>
              <w:szCs w:val="22"/>
            </w:rPr>
            <w:t>pleidooi voor noodzakelijke investeringen in toekomstige welvaart, gebaseerd op een heldere onderkenning van verschillende hefbomen om de productiviteit te verhogen. Bovendien gaat het kabinet nogmaals in op de urgentie van ombuigingen voor beheersbare overheidsfinanciën.</w:t>
          </w:r>
        </w:p>
        <w:p w:rsidR="00A73864" w:rsidP="00A73864" w:rsidRDefault="00A73864" w14:paraId="2FD8F550" w14:textId="77777777">
          <w:pPr>
            <w:rPr>
              <w:color w:val="000000"/>
              <w:szCs w:val="22"/>
            </w:rPr>
          </w:pPr>
        </w:p>
        <w:p w:rsidR="00A73864" w:rsidP="00A73864" w:rsidRDefault="00CC7724" w14:paraId="2091F0F8" w14:textId="77777777">
          <w:pPr>
            <w:rPr>
              <w:color w:val="000000"/>
              <w:szCs w:val="22"/>
            </w:rPr>
          </w:pPr>
          <w:r w:rsidRPr="001B10B5">
            <w:rPr>
              <w:color w:val="000000"/>
              <w:szCs w:val="22"/>
            </w:rPr>
            <w:t>De begroting zoals die nu voorligt sluit niet aan bij d</w:t>
          </w:r>
          <w:r>
            <w:rPr>
              <w:color w:val="000000"/>
              <w:szCs w:val="22"/>
            </w:rPr>
            <w:t xml:space="preserve">eze </w:t>
          </w:r>
          <w:r w:rsidRPr="001B10B5">
            <w:rPr>
              <w:color w:val="000000"/>
              <w:szCs w:val="22"/>
            </w:rPr>
            <w:t xml:space="preserve">analyse </w:t>
          </w:r>
          <w:r>
            <w:rPr>
              <w:color w:val="000000"/>
              <w:szCs w:val="22"/>
            </w:rPr>
            <w:t>van het kabinet</w:t>
          </w:r>
          <w:r w:rsidRPr="001B10B5">
            <w:rPr>
              <w:color w:val="000000"/>
              <w:szCs w:val="22"/>
            </w:rPr>
            <w:t xml:space="preserve">. Een belangrijk </w:t>
          </w:r>
          <w:r>
            <w:rPr>
              <w:color w:val="000000"/>
              <w:szCs w:val="22"/>
            </w:rPr>
            <w:t>deel</w:t>
          </w:r>
          <w:r w:rsidRPr="001B10B5">
            <w:rPr>
              <w:color w:val="000000"/>
              <w:szCs w:val="22"/>
            </w:rPr>
            <w:t xml:space="preserve"> van de aangekondigde grote initiatieven en ombuigingen is door het kabinet uitgesteld of afgesteld. </w:t>
          </w:r>
          <w:r>
            <w:rPr>
              <w:color w:val="000000"/>
              <w:szCs w:val="22"/>
            </w:rPr>
            <w:t xml:space="preserve">Substantiële onderdelen van het </w:t>
          </w:r>
          <w:r>
            <w:rPr>
              <w:color w:val="000000"/>
              <w:szCs w:val="22"/>
            </w:rPr>
            <w:lastRenderedPageBreak/>
            <w:t>voorgenomen hervormingsbeleid zijn (</w:t>
          </w:r>
          <w:r w:rsidR="00A73864">
            <w:rPr>
              <w:color w:val="000000"/>
              <w:szCs w:val="22"/>
            </w:rPr>
            <w:t>vooral</w:t>
          </w:r>
          <w:r>
            <w:rPr>
              <w:color w:val="000000"/>
              <w:szCs w:val="22"/>
            </w:rPr>
            <w:t xml:space="preserve"> in de sociale zekerheid) </w:t>
          </w:r>
          <w:r w:rsidRPr="001B10B5">
            <w:rPr>
              <w:color w:val="000000"/>
              <w:szCs w:val="22"/>
            </w:rPr>
            <w:t>van tafel</w:t>
          </w:r>
          <w:r>
            <w:rPr>
              <w:color w:val="000000"/>
              <w:szCs w:val="22"/>
            </w:rPr>
            <w:t xml:space="preserve"> of (ook in de zorg) uitgesteld</w:t>
          </w:r>
          <w:r w:rsidRPr="001B10B5">
            <w:rPr>
              <w:color w:val="000000"/>
              <w:szCs w:val="22"/>
            </w:rPr>
            <w:t>, vooralsnog zonder een alternatief</w:t>
          </w:r>
          <w:r>
            <w:rPr>
              <w:color w:val="000000"/>
              <w:szCs w:val="22"/>
            </w:rPr>
            <w:t>.</w:t>
          </w:r>
          <w:r w:rsidRPr="001B10B5">
            <w:rPr>
              <w:color w:val="000000"/>
              <w:szCs w:val="22"/>
            </w:rPr>
            <w:t xml:space="preserve"> </w:t>
          </w:r>
          <w:r>
            <w:rPr>
              <w:color w:val="000000"/>
              <w:szCs w:val="22"/>
            </w:rPr>
            <w:t>Nieuw aangekondigde maatregelen, zoals de verlenging van de accijnskorting voor diesel en benzine, belasten de overheidsfinanciën en de energietransitie.</w:t>
          </w:r>
        </w:p>
        <w:p w:rsidR="00A73864" w:rsidP="00A73864" w:rsidRDefault="00A73864" w14:paraId="468B0C6A" w14:textId="77777777">
          <w:pPr>
            <w:rPr>
              <w:color w:val="000000"/>
              <w:szCs w:val="22"/>
            </w:rPr>
          </w:pPr>
        </w:p>
        <w:p w:rsidR="009364CE" w:rsidP="009364CE" w:rsidRDefault="00CC7724" w14:paraId="7AED0CF1" w14:textId="77777777">
          <w:pPr>
            <w:rPr>
              <w:color w:val="000000"/>
              <w:szCs w:val="22"/>
            </w:rPr>
          </w:pPr>
          <w:r w:rsidRPr="001B10B5">
            <w:rPr>
              <w:color w:val="000000"/>
              <w:szCs w:val="22"/>
            </w:rPr>
            <w:t>Vooralsnog beteken</w:t>
          </w:r>
          <w:r>
            <w:rPr>
              <w:color w:val="000000"/>
              <w:szCs w:val="22"/>
            </w:rPr>
            <w:t>en</w:t>
          </w:r>
          <w:r w:rsidRPr="001B10B5">
            <w:rPr>
              <w:color w:val="000000"/>
              <w:szCs w:val="22"/>
            </w:rPr>
            <w:t xml:space="preserve"> het aangekondigde uitstel en afstel</w:t>
          </w:r>
          <w:r>
            <w:rPr>
              <w:color w:val="000000"/>
              <w:szCs w:val="22"/>
            </w:rPr>
            <w:t>, en sommige nieuwe intensiveringen,</w:t>
          </w:r>
          <w:r w:rsidRPr="001B10B5">
            <w:rPr>
              <w:color w:val="000000"/>
              <w:szCs w:val="22"/>
            </w:rPr>
            <w:t xml:space="preserve"> op zijn minst een vertraging, in een tijd die juist in het teken staat van urgentie</w:t>
          </w:r>
          <w:r>
            <w:rPr>
              <w:color w:val="000000"/>
              <w:szCs w:val="22"/>
            </w:rPr>
            <w:t xml:space="preserve">. </w:t>
          </w:r>
          <w:r w:rsidRPr="001B10B5">
            <w:rPr>
              <w:color w:val="000000"/>
              <w:szCs w:val="22"/>
            </w:rPr>
            <w:t xml:space="preserve">Die urgentie </w:t>
          </w:r>
          <w:r>
            <w:rPr>
              <w:color w:val="000000"/>
              <w:szCs w:val="22"/>
            </w:rPr>
            <w:t>is in het dagelijks leven nog nauwelijks voelbaar</w:t>
          </w:r>
          <w:r w:rsidRPr="001B10B5">
            <w:rPr>
              <w:color w:val="000000"/>
              <w:szCs w:val="22"/>
            </w:rPr>
            <w:t xml:space="preserve">; </w:t>
          </w:r>
          <w:r>
            <w:rPr>
              <w:color w:val="000000"/>
              <w:szCs w:val="22"/>
            </w:rPr>
            <w:t>op dit moment zijn</w:t>
          </w:r>
          <w:r w:rsidRPr="001B10B5">
            <w:rPr>
              <w:color w:val="000000"/>
              <w:szCs w:val="22"/>
            </w:rPr>
            <w:t xml:space="preserve"> de middelen voor de AOW </w:t>
          </w:r>
          <w:r>
            <w:rPr>
              <w:color w:val="000000"/>
              <w:szCs w:val="22"/>
            </w:rPr>
            <w:t xml:space="preserve">immers nog </w:t>
          </w:r>
          <w:r w:rsidRPr="001B10B5">
            <w:rPr>
              <w:color w:val="000000"/>
              <w:szCs w:val="22"/>
            </w:rPr>
            <w:t xml:space="preserve">op te brengen, het is nu nog </w:t>
          </w:r>
          <w:r>
            <w:rPr>
              <w:color w:val="000000"/>
              <w:szCs w:val="22"/>
            </w:rPr>
            <w:t xml:space="preserve">maar </w:t>
          </w:r>
          <w:r w:rsidRPr="001B10B5">
            <w:rPr>
              <w:color w:val="000000"/>
              <w:szCs w:val="22"/>
            </w:rPr>
            <w:t xml:space="preserve">beperkt merkbaar dat we voor de belangrijkste grondstoffen (en straks halffabricaten) afhankelijk zijn van onvriendelijke staten, en </w:t>
          </w:r>
          <w:r>
            <w:rPr>
              <w:color w:val="000000"/>
              <w:szCs w:val="22"/>
            </w:rPr>
            <w:t>hoewel de productiviteitsgroei stagneert kregen burgers er in de afgelopen jaren toch steeds een beetje bij.</w:t>
          </w:r>
        </w:p>
        <w:p w:rsidR="009364CE" w:rsidP="009364CE" w:rsidRDefault="009364CE" w14:paraId="3DEE0E05" w14:textId="77777777">
          <w:pPr>
            <w:rPr>
              <w:color w:val="000000"/>
              <w:szCs w:val="22"/>
            </w:rPr>
          </w:pPr>
        </w:p>
        <w:p w:rsidR="00CC7724" w:rsidP="009364CE" w:rsidRDefault="00CC7724" w14:paraId="069392AE" w14:textId="52EC6ADE">
          <w:pPr>
            <w:rPr>
              <w:color w:val="000000"/>
              <w:szCs w:val="22"/>
            </w:rPr>
          </w:pPr>
          <w:r w:rsidRPr="001B10B5">
            <w:rPr>
              <w:color w:val="000000"/>
              <w:szCs w:val="22"/>
            </w:rPr>
            <w:t>De rekening van dit uitstel gaat naar</w:t>
          </w:r>
          <w:r>
            <w:rPr>
              <w:color w:val="000000"/>
              <w:szCs w:val="22"/>
            </w:rPr>
            <w:t xml:space="preserve"> de werkende beroepsbevolking en naar</w:t>
          </w:r>
          <w:r w:rsidRPr="001B10B5">
            <w:rPr>
              <w:color w:val="000000"/>
              <w:szCs w:val="22"/>
            </w:rPr>
            <w:t xml:space="preserve"> de jongere generaties</w:t>
          </w:r>
          <w:r>
            <w:rPr>
              <w:color w:val="000000"/>
              <w:szCs w:val="22"/>
            </w:rPr>
            <w:t xml:space="preserve">, </w:t>
          </w:r>
          <w:r w:rsidRPr="001B10B5">
            <w:rPr>
              <w:color w:val="000000"/>
              <w:szCs w:val="22"/>
            </w:rPr>
            <w:t>de kinderen, jeugd en (jong</w:t>
          </w:r>
          <w:r>
            <w:rPr>
              <w:color w:val="000000"/>
              <w:szCs w:val="22"/>
            </w:rPr>
            <w:t>-</w:t>
          </w:r>
          <w:r w:rsidRPr="001B10B5">
            <w:rPr>
              <w:color w:val="000000"/>
              <w:szCs w:val="22"/>
            </w:rPr>
            <w:t>) volwassenen van nu. Voor hen is existentieel w</w:t>
          </w:r>
          <w:r>
            <w:rPr>
              <w:color w:val="000000"/>
              <w:szCs w:val="22"/>
            </w:rPr>
            <w:t>a</w:t>
          </w:r>
          <w:r w:rsidRPr="001B10B5">
            <w:rPr>
              <w:color w:val="000000"/>
              <w:szCs w:val="22"/>
            </w:rPr>
            <w:t>t nu wordt opgelost en w</w:t>
          </w:r>
          <w:r>
            <w:rPr>
              <w:color w:val="000000"/>
              <w:szCs w:val="22"/>
            </w:rPr>
            <w:t>a</w:t>
          </w:r>
          <w:r w:rsidRPr="001B10B5">
            <w:rPr>
              <w:color w:val="000000"/>
              <w:szCs w:val="22"/>
            </w:rPr>
            <w:t xml:space="preserve">t wordt uitgesteld. Daarom </w:t>
          </w:r>
          <w:r>
            <w:rPr>
              <w:color w:val="000000"/>
              <w:szCs w:val="22"/>
            </w:rPr>
            <w:t>verdiept</w:t>
          </w:r>
          <w:r w:rsidRPr="001B10B5">
            <w:rPr>
              <w:color w:val="000000"/>
              <w:szCs w:val="22"/>
            </w:rPr>
            <w:t xml:space="preserve"> de Afdeling </w:t>
          </w:r>
          <w:r>
            <w:rPr>
              <w:color w:val="000000"/>
              <w:szCs w:val="22"/>
            </w:rPr>
            <w:t>in dit advies</w:t>
          </w:r>
          <w:r w:rsidRPr="001B10B5">
            <w:rPr>
              <w:color w:val="000000"/>
              <w:szCs w:val="22"/>
            </w:rPr>
            <w:t xml:space="preserve"> het dilemma van intergenerationele effecten </w:t>
          </w:r>
          <w:r>
            <w:rPr>
              <w:color w:val="000000"/>
              <w:szCs w:val="22"/>
            </w:rPr>
            <w:t xml:space="preserve">hieronder </w:t>
          </w:r>
          <w:r w:rsidRPr="001B10B5">
            <w:rPr>
              <w:color w:val="000000"/>
              <w:szCs w:val="22"/>
            </w:rPr>
            <w:t>nader.</w:t>
          </w:r>
          <w:r>
            <w:rPr>
              <w:rStyle w:val="Voetnootmarkering"/>
              <w:color w:val="000000"/>
              <w:szCs w:val="22"/>
            </w:rPr>
            <w:footnoteReference w:id="22"/>
          </w:r>
          <w:r>
            <w:rPr>
              <w:color w:val="000000"/>
              <w:szCs w:val="22"/>
            </w:rPr>
            <w:t xml:space="preserve"> Drie verschillende velden van dreigende intergenerationele afwenteling komen aan de orde; de schuld, de productiviteit en energie en klimaat.</w:t>
          </w:r>
        </w:p>
        <w:p w:rsidRPr="009364CE" w:rsidR="009364CE" w:rsidP="009364CE" w:rsidRDefault="009364CE" w14:paraId="113835F0" w14:textId="77777777">
          <w:pPr>
            <w:rPr>
              <w:color w:val="000000"/>
              <w:szCs w:val="22"/>
              <w:shd w:val="clear" w:color="auto" w:fill="FFFFFF"/>
            </w:rPr>
          </w:pPr>
        </w:p>
        <w:p w:rsidR="00CC7724" w:rsidP="00CC7724" w:rsidRDefault="00CC7724" w14:paraId="666EC705" w14:textId="77777777">
          <w:r>
            <w:t>1.</w:t>
          </w:r>
          <w:r>
            <w:tab/>
          </w:r>
          <w:r w:rsidRPr="002B26B2">
            <w:rPr>
              <w:u w:val="single"/>
            </w:rPr>
            <w:t>Beheers de schuld</w:t>
          </w:r>
        </w:p>
        <w:p w:rsidRPr="00B50C91" w:rsidR="00CC7724" w:rsidP="00E91AAA" w:rsidRDefault="00CC7724" w14:paraId="42D5F24B" w14:textId="77777777"/>
        <w:p w:rsidR="00CC7724" w:rsidP="00CC7724" w:rsidRDefault="00CC7724" w14:paraId="24BCFB2B" w14:textId="77777777">
          <w:r>
            <w:t>Het is belangrijk op de langere termijn de overheidsschuld te beheersen. Op deze wijze hebben ook toekomstige generaties voldoende ruimte om keuzes te maken en maatschappelijke schokken op te vangen. Alhoewel het kabinet hier in de Miljoenennota 2027 aandacht aan besteedt, vertaalt dit zich nog niet in substantiële concrete stappen die tot verbetering leiden van de houdbaarheid van de overheidsschuld op middellange termijn.</w:t>
          </w:r>
        </w:p>
        <w:p w:rsidR="00CC7724" w:rsidP="00CC7724" w:rsidRDefault="00CC7724" w14:paraId="00FC64E3" w14:textId="77777777"/>
        <w:p w:rsidR="00864BCF" w:rsidP="00864BCF" w:rsidRDefault="00CC7724" w14:paraId="04DD8B5C" w14:textId="7BE57809">
          <w:r>
            <w:t xml:space="preserve">Op het eerste gezicht staan de financiën van de Nederlandse overheid er redelijk voor. De overheidsschuld ligt in 2026 en 2027 op respectievelijk 46,1% bbp en 46,7% bbp. De Nederlandse schuld ligt beneden het gemiddelde van de EU-landen en onder de Europese norm van 60% (figuur C.1.). Alhoewel er sprake is van een tekort </w:t>
          </w:r>
          <w:r w:rsidR="00864BCF">
            <w:t>–</w:t>
          </w:r>
          <w:r>
            <w:t xml:space="preserve"> de overheidsuitgaven zijn in de projectie groter dan de inkomsten </w:t>
          </w:r>
          <w:r w:rsidR="00864BCF">
            <w:t>–</w:t>
          </w:r>
          <w:r>
            <w:t xml:space="preserve"> houdt het EMU-saldo, de gebruikelijke maatstaf om het overheidstekort weer te geven, voldoende afstand tot de Europese referentiewaarde van -3%.</w:t>
          </w:r>
        </w:p>
        <w:p w:rsidR="00CC7724" w:rsidP="00864BCF" w:rsidRDefault="00CC7724" w14:paraId="5C2FA11F" w14:textId="33C76E41">
          <w:pPr>
            <w:rPr>
              <w:b/>
              <w:szCs w:val="22"/>
            </w:rPr>
          </w:pPr>
          <w:r>
            <w:rPr>
              <w:b/>
              <w:bCs/>
              <w:szCs w:val="22"/>
            </w:rPr>
            <w:br w:type="page"/>
          </w:r>
        </w:p>
        <w:p w:rsidR="00CC7724" w:rsidP="00CC7724" w:rsidRDefault="00CC7724" w14:paraId="2A4504B8" w14:textId="77777777">
          <w:pPr>
            <w:rPr>
              <w:b/>
              <w:bCs/>
              <w:szCs w:val="22"/>
            </w:rPr>
          </w:pPr>
          <w:r>
            <w:rPr>
              <w:b/>
              <w:bCs/>
              <w:szCs w:val="22"/>
            </w:rPr>
            <w:lastRenderedPageBreak/>
            <w:t xml:space="preserve">Figuur C.1. EMU-schuld </w:t>
          </w:r>
          <w:r w:rsidRPr="0063427A">
            <w:rPr>
              <w:b/>
              <w:bCs/>
              <w:szCs w:val="22"/>
            </w:rPr>
            <w:t>in de EU-landen in 2026</w:t>
          </w:r>
        </w:p>
        <w:p w:rsidRPr="0063427A" w:rsidR="00CC7724" w:rsidP="00CC7724" w:rsidRDefault="00CC7724" w14:paraId="34D2D43F" w14:textId="77777777">
          <w:pPr>
            <w:rPr>
              <w:b/>
              <w:bCs/>
              <w:szCs w:val="22"/>
            </w:rPr>
          </w:pPr>
          <w:r w:rsidRPr="006E7CC2">
            <w:rPr>
              <w:b/>
              <w:bCs/>
              <w:noProof/>
              <w:szCs w:val="22"/>
            </w:rPr>
            <w:drawing>
              <wp:inline distT="0" distB="0" distL="0" distR="0" wp14:anchorId="60AEDE60" wp14:editId="2F960329">
                <wp:extent cx="5178592" cy="3752850"/>
                <wp:effectExtent l="0" t="0" r="3175" b="0"/>
                <wp:docPr id="18620648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64867" name=""/>
                        <pic:cNvPicPr/>
                      </pic:nvPicPr>
                      <pic:blipFill>
                        <a:blip r:embed="rId13"/>
                        <a:stretch>
                          <a:fillRect/>
                        </a:stretch>
                      </pic:blipFill>
                      <pic:spPr>
                        <a:xfrm>
                          <a:off x="0" y="0"/>
                          <a:ext cx="5181017" cy="3754607"/>
                        </a:xfrm>
                        <a:prstGeom prst="rect">
                          <a:avLst/>
                        </a:prstGeom>
                      </pic:spPr>
                    </pic:pic>
                  </a:graphicData>
                </a:graphic>
              </wp:inline>
            </w:drawing>
          </w:r>
        </w:p>
        <w:p w:rsidRPr="00682D47" w:rsidR="00CC7724" w:rsidP="00CC7724" w:rsidRDefault="00CC7724" w14:paraId="172540B8" w14:textId="77777777">
          <w:pPr>
            <w:rPr>
              <w:szCs w:val="22"/>
            </w:rPr>
          </w:pPr>
          <w:r>
            <w:rPr>
              <w:szCs w:val="22"/>
            </w:rPr>
            <w:t xml:space="preserve"> </w:t>
          </w:r>
        </w:p>
        <w:p w:rsidRPr="00682D47" w:rsidR="00CC7724" w:rsidP="00CC7724" w:rsidRDefault="00CC7724" w14:paraId="0B307F6E" w14:textId="77777777">
          <w:pPr>
            <w:rPr>
              <w:i/>
              <w:sz w:val="18"/>
              <w:szCs w:val="18"/>
            </w:rPr>
          </w:pPr>
          <w:r w:rsidRPr="00682D47">
            <w:rPr>
              <w:i/>
              <w:sz w:val="18"/>
              <w:szCs w:val="18"/>
            </w:rPr>
            <w:t xml:space="preserve">Bron: Centraal Planbureau </w:t>
          </w:r>
          <w:r>
            <w:rPr>
              <w:i/>
              <w:sz w:val="18"/>
              <w:szCs w:val="18"/>
            </w:rPr>
            <w:t>(MEV</w:t>
          </w:r>
          <w:r w:rsidRPr="00682D47">
            <w:rPr>
              <w:i/>
              <w:sz w:val="18"/>
              <w:szCs w:val="18"/>
            </w:rPr>
            <w:t xml:space="preserve"> 202</w:t>
          </w:r>
          <w:r>
            <w:rPr>
              <w:i/>
              <w:sz w:val="18"/>
              <w:szCs w:val="18"/>
            </w:rPr>
            <w:t>7)</w:t>
          </w:r>
          <w:r w:rsidRPr="00682D47">
            <w:rPr>
              <w:i/>
              <w:sz w:val="18"/>
              <w:szCs w:val="18"/>
            </w:rPr>
            <w:t xml:space="preserve"> en European </w:t>
          </w:r>
          <w:proofErr w:type="spellStart"/>
          <w:r w:rsidRPr="00682D47">
            <w:rPr>
              <w:i/>
              <w:sz w:val="18"/>
              <w:szCs w:val="18"/>
            </w:rPr>
            <w:t>Fiscal</w:t>
          </w:r>
          <w:proofErr w:type="spellEnd"/>
          <w:r w:rsidRPr="00682D47">
            <w:rPr>
              <w:i/>
              <w:sz w:val="18"/>
              <w:szCs w:val="18"/>
            </w:rPr>
            <w:t xml:space="preserve"> Monitor</w:t>
          </w:r>
          <w:r>
            <w:rPr>
              <w:i/>
              <w:sz w:val="18"/>
              <w:szCs w:val="18"/>
            </w:rPr>
            <w:t xml:space="preserve"> (</w:t>
          </w:r>
          <w:proofErr w:type="spellStart"/>
          <w:r w:rsidRPr="00682D47">
            <w:rPr>
              <w:i/>
              <w:sz w:val="18"/>
              <w:szCs w:val="18"/>
            </w:rPr>
            <w:t>summer</w:t>
          </w:r>
          <w:proofErr w:type="spellEnd"/>
          <w:r w:rsidRPr="00682D47">
            <w:rPr>
              <w:i/>
              <w:sz w:val="18"/>
              <w:szCs w:val="18"/>
            </w:rPr>
            <w:t xml:space="preserve"> 2026</w:t>
          </w:r>
          <w:r>
            <w:rPr>
              <w:i/>
              <w:sz w:val="18"/>
              <w:szCs w:val="18"/>
            </w:rPr>
            <w:t>)</w:t>
          </w:r>
        </w:p>
        <w:p w:rsidRPr="00682D47" w:rsidR="00CC7724" w:rsidP="00CC7724" w:rsidRDefault="00CC7724" w14:paraId="5E95555B" w14:textId="77777777"/>
        <w:p w:rsidR="00CC7724" w:rsidP="00CC7724" w:rsidRDefault="00CC7724" w14:paraId="21F87F51" w14:textId="52EB8E73">
          <w:r>
            <w:t xml:space="preserve">Op de langere termijn is het beeld aanmerkelijk minder gunstig. Vooral door hogere bestedingen aan zorg, sociale zekerheid, rentelasten en defensie nemen de overheidsuitgaven toe. Deze stijgen meer dan de inkomsten, wat zich vertaalt in een steeds negatiever EMU-saldo. Hierdoor loopt ook de overheidsschuld op. </w:t>
          </w:r>
          <w:r w:rsidRPr="004F5C47">
            <w:t>Volgens de projecties van het CPB</w:t>
          </w:r>
          <w:r>
            <w:t>,</w:t>
          </w:r>
          <w:r w:rsidRPr="004F5C47">
            <w:t xml:space="preserve"> </w:t>
          </w:r>
          <w:r>
            <w:t xml:space="preserve">die dit voorjaar zijn gemaakt, </w:t>
          </w:r>
          <w:r w:rsidRPr="004F5C47">
            <w:t>overschrijd</w:t>
          </w:r>
          <w:r>
            <w:t>en</w:t>
          </w:r>
          <w:r w:rsidRPr="004F5C47">
            <w:t xml:space="preserve"> de overheidsschuld en het begrotingstekort de referentiewaarden </w:t>
          </w:r>
          <w:r>
            <w:t>van -3% en 60% in respectievelijk 2034 (een EMU-saldo van -3,1% bbp) en 2039 (een EMU-schuld van 62% bbp).</w:t>
          </w:r>
          <w:r>
            <w:rPr>
              <w:rStyle w:val="Voetnootmarkering"/>
            </w:rPr>
            <w:footnoteReference w:id="23"/>
          </w:r>
          <w:r>
            <w:t xml:space="preserve"> In 2025 bedroeg de overheidsschuld per hoofd van de bevolking ongeveer </w:t>
          </w:r>
          <w:r w:rsidR="00B43E43">
            <w:t xml:space="preserve">€ </w:t>
          </w:r>
          <w:r>
            <w:t>29</w:t>
          </w:r>
          <w:r w:rsidR="00562D70">
            <w:t>.000</w:t>
          </w:r>
          <w:r>
            <w:t xml:space="preserve">. Een schuldquote van 62% impliceert een overheidsschuld per hoofd van ruim </w:t>
          </w:r>
          <w:r w:rsidR="00562D70">
            <w:t>€ </w:t>
          </w:r>
          <w:r>
            <w:t>40</w:t>
          </w:r>
          <w:r w:rsidR="00562D70">
            <w:t>.000</w:t>
          </w:r>
          <w:r>
            <w:t>.</w:t>
          </w:r>
          <w:r>
            <w:rPr>
              <w:rStyle w:val="Voetnootmarkering"/>
            </w:rPr>
            <w:footnoteReference w:id="24"/>
          </w:r>
          <w:r>
            <w:t xml:space="preserve"> </w:t>
          </w:r>
        </w:p>
        <w:p w:rsidR="00CC7724" w:rsidP="00CC7724" w:rsidRDefault="00CC7724" w14:paraId="5539188C" w14:textId="77777777"/>
        <w:p w:rsidR="00CC7724" w:rsidP="00CC7724" w:rsidRDefault="00CC7724" w14:paraId="0A6F8FB3" w14:textId="77777777">
          <w:r>
            <w:t xml:space="preserve">Natuurlijk zijn de ramingen van de financiële positie van de overheid op de middellange termijn met onzekerheid omgeven, maar gezien de onderliggende trends van hogere zorg-, sociale zekerheids-, rente- en defensielasten verandert </w:t>
          </w:r>
          <w:r>
            <w:lastRenderedPageBreak/>
            <w:t>dit de conclusie niet.</w:t>
          </w:r>
          <w:r>
            <w:rPr>
              <w:rStyle w:val="Voetnootmarkering"/>
            </w:rPr>
            <w:footnoteReference w:id="25"/>
          </w:r>
          <w:r>
            <w:t xml:space="preserve"> De huidige collectieve voorzieningen zijn op termijn niet houdbaar, gegeven de macro-economische vooruitzichten en een constante of beperkte stijging van de belastingdruk. Dit geldt des te meer doordat overheidsinspanningen die in aanvulling op het huidige kabinetsbeleid nodig zijn om bijvoorbeeld de ambities op het gebied van economische groei te realiseren, netcongestie te verminderen of aan de klimaatdoelen te voldoen, niet volledig zijn meegenomen.</w:t>
          </w:r>
          <w:r>
            <w:rPr>
              <w:rStyle w:val="Voetnootmarkering"/>
            </w:rPr>
            <w:footnoteReference w:id="26"/>
          </w:r>
          <w:r>
            <w:t xml:space="preserve"> Bovendien neemt de kans op nieuwe tegenvallers voor de overheid eerder toe dan af, gezien bijvoorbeeld de toenemende geopolitieke spanningen.</w:t>
          </w:r>
        </w:p>
        <w:p w:rsidR="00CC7724" w:rsidP="00CC7724" w:rsidRDefault="00CC7724" w14:paraId="74E87B86" w14:textId="77777777"/>
        <w:p w:rsidR="00CC7724" w:rsidP="00CC7724" w:rsidRDefault="00CC7724" w14:paraId="15D7B80C" w14:textId="77777777">
          <w:r>
            <w:t xml:space="preserve">Het huidige overheidsbeleid impliceert dat vanuit financieel perspectief meer gewicht wordt gegeven aan het hier en nu dan aan de toekomst. Op zichzelf is een oplopende overheidsschuld niet problematisch, zeker niet als dit zou leiden tot verbeteringen van het toekomstig verdienvermogen van Nederland. Dit laatste is maar in beperkte mate het geval aangezien een groot deel van de overheidsuitgaven bestaat uit overheidsconsumptie en inkomensoverdrachten. </w:t>
          </w:r>
        </w:p>
        <w:p w:rsidR="00CC7724" w:rsidP="00CC7724" w:rsidRDefault="00CC7724" w14:paraId="0FBC5B49" w14:textId="77777777"/>
        <w:p w:rsidR="00CC7724" w:rsidP="00CC7724" w:rsidRDefault="00CC7724" w14:paraId="4806B877" w14:textId="4433265C">
          <w:r>
            <w:t>De geschetste ontwikkeling van de EMU-schuld is op zichzelf een aanwijzing voor de mate waarin lasten naar toekomstige generaties worden doorgeschoven: een structureel oplopende schuldquote impliceert dat toekomstige cohorten, bij ongewijzigd beleid, een hogere belastingdruk zullen moeten dragen om aanspraak te kunnen maken op collectieve voorzieningen van een vergelijkbaar niveau als de huidige generatie.</w:t>
          </w:r>
        </w:p>
        <w:p w:rsidR="00CC7724" w:rsidP="00CC7724" w:rsidRDefault="00CC7724" w14:paraId="44DF88DE" w14:textId="77777777"/>
        <w:p w:rsidR="009E6D3B" w:rsidP="00CC7724" w:rsidRDefault="00CC7724" w14:paraId="0013EE1A" w14:textId="77777777">
          <w:r>
            <w:t xml:space="preserve">Het expliciet maken van de intergenerationele verdelingsvraag is belangrijk voor een verantwoorde afweging tussen de belangen van de huidige en toekomstige generaties. </w:t>
          </w:r>
          <w:r w:rsidRPr="000270CD">
            <w:t>Het houdbaarheidssaldo van het CPB (in gebruik van 2000 tot 2023) bracht het intergenerationele verdelingsvraagstuk expliciet aan de orde, maar deze methode kende</w:t>
          </w:r>
          <w:r>
            <w:t xml:space="preserve"> ook </w:t>
          </w:r>
          <w:r w:rsidRPr="000270CD">
            <w:t>beperkingen.</w:t>
          </w:r>
        </w:p>
        <w:p w:rsidR="009E6D3B" w:rsidP="00CC7724" w:rsidRDefault="009E6D3B" w14:paraId="406AF6AA" w14:textId="77777777"/>
        <w:p w:rsidRPr="007454E7" w:rsidR="00CC7724" w:rsidP="00CC7724" w:rsidRDefault="00CC7724" w14:paraId="4E928C1B" w14:textId="30CC4D75">
          <w:r>
            <w:t>De Afdeling adviseert het kabinet te overwegen op welke wijze dit aspect een vaste</w:t>
          </w:r>
          <w:r w:rsidR="003D02D3">
            <w:t xml:space="preserve"> </w:t>
          </w:r>
          <w:r>
            <w:t xml:space="preserve">plaats in de Miljoenennota kan krijgen. </w:t>
          </w:r>
        </w:p>
        <w:p w:rsidR="00CC7724" w:rsidP="00CC7724" w:rsidRDefault="00CC7724" w14:paraId="6715D161" w14:textId="77777777"/>
        <w:p w:rsidR="00CC7724" w:rsidP="00CC7724" w:rsidRDefault="00CC7724" w14:paraId="4B0E73D1" w14:textId="77777777">
          <w:r>
            <w:t>2.</w:t>
          </w:r>
          <w:r>
            <w:tab/>
          </w:r>
          <w:r w:rsidRPr="00263B07">
            <w:rPr>
              <w:u w:val="single"/>
            </w:rPr>
            <w:t>Bevorder de arbeidsproductiviteit</w:t>
          </w:r>
          <w:r>
            <w:t xml:space="preserve"> </w:t>
          </w:r>
        </w:p>
        <w:p w:rsidR="00CC7724" w:rsidP="00CC7724" w:rsidRDefault="00CC7724" w14:paraId="047E0341" w14:textId="77777777"/>
        <w:p w:rsidR="00CC7724" w:rsidP="00CC7724" w:rsidRDefault="00CC7724" w14:paraId="714F7E6C" w14:textId="77777777">
          <w:r>
            <w:t>Het kabinet heeft in zijn coalitieakkoord en ook in deze Miljoenennota het voornemen geuit de arbeidsproductiviteit te bevorderen. Daartoe is onder andere een Productiviteitsraad opgericht. De Afdeling gaat op dit onderwerp door, omdat de arbeidsproductiviteit in belangrijke mate de welvaart van latere generaties bepaalt. Hieronder worden enkele hefbomen besproken die in samenhang zouden kunnen bijdragen aan de arbeidsproductiviteit.</w:t>
          </w:r>
        </w:p>
        <w:p w:rsidR="00CC7724" w:rsidP="00CC7724" w:rsidRDefault="00CC7724" w14:paraId="11B1DCB7" w14:textId="77777777"/>
        <w:p w:rsidRPr="002A5788" w:rsidR="00CC7724" w:rsidP="00CC7724" w:rsidRDefault="00CC7724" w14:paraId="6F6D061C" w14:textId="77777777">
          <w:r w:rsidRPr="00355704">
            <w:t>a</w:t>
          </w:r>
          <w:r w:rsidRPr="002B26B2">
            <w:rPr>
              <w:i/>
            </w:rPr>
            <w:t>.</w:t>
          </w:r>
          <w:r w:rsidRPr="002B26B2">
            <w:rPr>
              <w:i/>
            </w:rPr>
            <w:tab/>
            <w:t>Stimuleer arbeidsproductiviteit door samenstelling overheidsuitgaven</w:t>
          </w:r>
          <w:r w:rsidRPr="002B26B2">
            <w:rPr>
              <w:u w:val="single"/>
            </w:rPr>
            <w:t xml:space="preserve"> </w:t>
          </w:r>
        </w:p>
        <w:p w:rsidR="00CC7724" w:rsidP="00CC7724" w:rsidRDefault="00CC7724" w14:paraId="6F9D8DC3" w14:textId="77777777">
          <w:r>
            <w:t>Het is belangrijk niet alleen te kijken naar hoeveel de overheid uitgeeft, maar ook waaraan. De Afdeling heeft het kabinet eerder geadviseerd de samenstelling van de overheidsuitgaven mee te nemen bij de beoordeling van de kwaliteit van overheidsfinanciën.</w:t>
          </w:r>
          <w:r>
            <w:rPr>
              <w:rStyle w:val="Voetnootmarkering"/>
            </w:rPr>
            <w:footnoteReference w:id="27"/>
          </w:r>
          <w:r>
            <w:t xml:space="preserve"> De samenstelling van de uitgaven bepaalt waar het geld precies naartoe gaat. Productiviteitsgroei is belangrijk om de toekomstige welvaart te verzekeren, en is ook een belangrijk beleidsdoel van het huidige kabinet. Het merendeel van investeringen in productiviteit zal door bedrijven worden gedaan, maar waar marktfalen of publieke kerntaken spelen, heeft ook de overheid een rol. Om die reden heeft de Afdeling bezien welk aandeel van de overheidsuitgaven gericht is op dit doel. </w:t>
          </w:r>
        </w:p>
        <w:p w:rsidR="00CC7724" w:rsidP="00CC7724" w:rsidRDefault="00CC7724" w14:paraId="0A546F93" w14:textId="77777777"/>
        <w:p w:rsidR="00CC7724" w:rsidP="00CC7724" w:rsidRDefault="00CC7724" w14:paraId="64490615" w14:textId="77777777">
          <w:r>
            <w:t xml:space="preserve">Op basis van de huidige informatie in de Miljoenennota 2027 is moeilijk vast te stellen in welke mate de overheidsuitgaven gericht zijn op productiviteitsgroei. De Miljoenennota toont een onderscheid tussen overheidsconsumptie- en overdrachtsuitgaven enerzijds en overheidsinvesteringen anderzijds, waarbij bij investeringen alleen wordt gekeken naar vaste activa. Het onderscheid tussen investeringen in vaste activa en consumptie is een gebruikelijke statistische afbakening, maar volgens de Afdeling is alleen kijken naar de investeringen in vaste activa een te nauwe begrenzing van de uitgaven als het gaat om productiviteitsgroei. </w:t>
          </w:r>
        </w:p>
        <w:p w:rsidR="00CC7724" w:rsidP="00CC7724" w:rsidRDefault="00CC7724" w14:paraId="607B4FDC" w14:textId="77777777"/>
        <w:p w:rsidR="00CC7724" w:rsidP="00CC7724" w:rsidRDefault="00CC7724" w14:paraId="75B38AE7" w14:textId="77777777">
          <w:r>
            <w:t>Overheidsinvesteringen in vaste activa vormen maar één van de factoren die arbeidsproductiviteit kunnen bevorderen.</w:t>
          </w:r>
          <w:r>
            <w:rPr>
              <w:rStyle w:val="Voetnootmarkering"/>
            </w:rPr>
            <w:footnoteReference w:id="28"/>
          </w:r>
          <w:r>
            <w:t xml:space="preserve"> Belangrijke uitgavencategorieën die ook van invloed zijn op de productiviteit vallen buiten deze definitie. Innovatiesubsidies van de overheid voor het bedrijfsleven zijn bijvoorbeeld volgens de statistische definitie geen investeringen, terwijl zij wel, indien doelmatig toegepast, bijdragen aan productiviteitsgroei. </w:t>
          </w:r>
        </w:p>
        <w:p w:rsidR="00CC7724" w:rsidP="00CC7724" w:rsidRDefault="00CC7724" w14:paraId="03E4B3E9" w14:textId="77777777"/>
        <w:p w:rsidR="00CC7724" w:rsidP="00CC7724" w:rsidRDefault="00CC7724" w14:paraId="77D6AC03" w14:textId="77777777">
          <w:r>
            <w:t xml:space="preserve">De Miljoenennota en andere begrotingsstukken geven nog geen inzicht in het totale beeld van uitgaven die productiviteit bevorderend zijn. Dit komt doordat in de huidige begrotingspraktijk begrotingsposten primair zijn gegroepeerd rond maatregelen en er niet wordt ingegaan op hun verhouding tot specifieke doelen zoals arbeidsproductiviteit. </w:t>
          </w:r>
        </w:p>
        <w:p w:rsidR="00CC7724" w:rsidP="00CC7724" w:rsidRDefault="00CC7724" w14:paraId="0191DC0A" w14:textId="77777777"/>
        <w:p w:rsidR="00CC7724" w:rsidP="00CC7724" w:rsidRDefault="00CC7724" w14:paraId="53B3234E" w14:textId="77777777">
          <w:r>
            <w:t xml:space="preserve">Ook andere overheidsuitgaven dan investeringen kunnen de productiviteit bevorderen en moeten in de analyse worden betrokken. Bij een dergelijke classificatie zullen altijd keuzes en aannames moeten worden gemaakt, die deels arbitrair zijn: is preventieve gezondheidszorg productiviteitsverhogend? En zo ja, welk deel? Telt een subsidie voor bijscholing mee, maar een werkloosheidsuitkering niet – ook als die laatste iemand in staat stelt een beter passende baan te vinden? Een definitie van productiviteitsverhogende uitgaven is altijd tot op zekere hoogte empirisch betwistbaar, contextueel en </w:t>
          </w:r>
          <w:proofErr w:type="spellStart"/>
          <w:r>
            <w:t>waardegeladen</w:t>
          </w:r>
          <w:proofErr w:type="spellEnd"/>
          <w:r>
            <w:t xml:space="preserve">. </w:t>
          </w:r>
        </w:p>
        <w:p w:rsidR="00CC7724" w:rsidP="00CC7724" w:rsidRDefault="00CC7724" w14:paraId="1A5E3F9B" w14:textId="77777777"/>
        <w:p w:rsidR="00CC7724" w:rsidP="00CC7724" w:rsidRDefault="00CC7724" w14:paraId="2CBADB33" w14:textId="0CFD3865">
          <w:r>
            <w:t xml:space="preserve">Dat neemt niet weg dat er binnen de economische wetenschap consensus bestaat dat investeringen in vaste activa van zowel bedrijven als de overheid, </w:t>
          </w:r>
          <w:r w:rsidR="009004D5">
            <w:t xml:space="preserve">vooral </w:t>
          </w:r>
          <w:r>
            <w:t>in machines, infrastructuur en ICT belangrijk zijn voor de productiviteitsgroei. Hetzelfde geldt voor uitgaven aan onderwijs, onderzoek en ontwikkeling en een goed investeringsklimaat.</w:t>
          </w:r>
          <w:r>
            <w:rPr>
              <w:rStyle w:val="Voetnootmarkering"/>
            </w:rPr>
            <w:footnoteReference w:id="29"/>
          </w:r>
          <w:r>
            <w:t xml:space="preserve"> Ook uit de Miljoenennota 2027 en de analyses van het CPB blijkt dat onder andere deze drie elementen belangrijk zijn voor de productiviteitsgroei. </w:t>
          </w:r>
          <w:r>
            <w:rPr>
              <w:rStyle w:val="Voetnootmarkering"/>
            </w:rPr>
            <w:footnoteReference w:id="30"/>
          </w:r>
          <w:r>
            <w:t xml:space="preserve"> </w:t>
          </w:r>
        </w:p>
        <w:p w:rsidR="00CC7724" w:rsidP="00CC7724" w:rsidRDefault="00CC7724" w14:paraId="17780EB8" w14:textId="77777777"/>
        <w:p w:rsidR="00CC7724" w:rsidP="00CC7724" w:rsidRDefault="00CC7724" w14:paraId="73D95E7D" w14:textId="77777777">
          <w:r>
            <w:t>De drie elementen kunnen gevat worden in de volgende statistisch geclassificeerde uitgaven:</w:t>
          </w:r>
          <w:r>
            <w:rPr>
              <w:rStyle w:val="Voetnootmarkering"/>
            </w:rPr>
            <w:footnoteReference w:id="31"/>
          </w:r>
          <w:r>
            <w:t xml:space="preserve"> </w:t>
          </w:r>
        </w:p>
        <w:p w:rsidRPr="00356389" w:rsidR="00CC7724" w:rsidP="0069270A" w:rsidRDefault="00CC7724" w14:paraId="750AE3B5" w14:textId="77777777">
          <w:pPr>
            <w:pStyle w:val="Lijstalinea"/>
            <w:numPr>
              <w:ilvl w:val="0"/>
              <w:numId w:val="3"/>
            </w:numPr>
            <w:ind w:left="284" w:hanging="284"/>
          </w:pPr>
          <w:r w:rsidRPr="00356389">
            <w:t>overheidsinvesteringen in vaste activa exclusief defensie, woningen, bedrijfsgebouwen en overdrachtskosten op grond.</w:t>
          </w:r>
          <w:r w:rsidRPr="00356389">
            <w:rPr>
              <w:rStyle w:val="Voetnootmarkering"/>
            </w:rPr>
            <w:footnoteReference w:id="32"/>
          </w:r>
          <w:r w:rsidRPr="00356389">
            <w:t xml:space="preserve"> </w:t>
          </w:r>
        </w:p>
        <w:p w:rsidRPr="00356389" w:rsidR="00CC7724" w:rsidP="0069270A" w:rsidRDefault="00CC7724" w14:paraId="3DCE9229" w14:textId="77777777">
          <w:pPr>
            <w:pStyle w:val="Lijstalinea"/>
            <w:numPr>
              <w:ilvl w:val="0"/>
              <w:numId w:val="3"/>
            </w:numPr>
            <w:ind w:left="284" w:hanging="284"/>
          </w:pPr>
          <w:r w:rsidRPr="00356389">
            <w:lastRenderedPageBreak/>
            <w:t>onderzoek en onderwijs</w:t>
          </w:r>
          <w:r>
            <w:t>,</w:t>
          </w:r>
          <w:r w:rsidRPr="00356389">
            <w:t xml:space="preserve"> exclusief studiefinanciering.</w:t>
          </w:r>
          <w:r w:rsidRPr="00356389">
            <w:rPr>
              <w:rStyle w:val="Voetnootmarkering"/>
            </w:rPr>
            <w:footnoteReference w:id="33"/>
          </w:r>
          <w:r w:rsidRPr="00356389">
            <w:t xml:space="preserve"> </w:t>
          </w:r>
        </w:p>
        <w:p w:rsidRPr="00356389" w:rsidR="00CC7724" w:rsidP="0069270A" w:rsidRDefault="00CC7724" w14:paraId="38CA0F07" w14:textId="77777777">
          <w:pPr>
            <w:pStyle w:val="Lijstalinea"/>
            <w:numPr>
              <w:ilvl w:val="0"/>
              <w:numId w:val="3"/>
            </w:numPr>
            <w:ind w:left="284" w:hanging="284"/>
          </w:pPr>
          <w:r w:rsidRPr="00356389">
            <w:t>economische activiteiten exclusief belastinguitgaven.</w:t>
          </w:r>
          <w:r w:rsidRPr="00356389">
            <w:rPr>
              <w:rStyle w:val="Voetnootmarkering"/>
            </w:rPr>
            <w:footnoteReference w:id="34"/>
          </w:r>
          <w:r>
            <w:t xml:space="preserve"> Deze uitgaven bevatten onder andere subsidies van de overheid voor innovatie. </w:t>
          </w:r>
        </w:p>
        <w:p w:rsidR="00CC7724" w:rsidP="00CC7724" w:rsidRDefault="00CC7724" w14:paraId="3AAF5B1B" w14:textId="77777777"/>
        <w:p w:rsidR="00CC7724" w:rsidP="00CC7724" w:rsidRDefault="00CC7724" w14:paraId="7446F34C" w14:textId="77777777">
          <w:pPr>
            <w:rPr>
              <w:b/>
            </w:rPr>
          </w:pPr>
          <w:r>
            <w:rPr>
              <w:b/>
            </w:rPr>
            <w:t xml:space="preserve">Figuur C.2. Productiviteit bevorderende overheidsuitgaven </w:t>
          </w:r>
        </w:p>
        <w:p w:rsidR="00CC7724" w:rsidP="00CC7724" w:rsidRDefault="00CC7724" w14:paraId="60F0984D" w14:textId="77777777">
          <w:pPr>
            <w:rPr>
              <w:b/>
            </w:rPr>
          </w:pPr>
        </w:p>
        <w:p w:rsidR="00CC7724" w:rsidP="00CC7724" w:rsidRDefault="00CC7724" w14:paraId="090FBF2E" w14:textId="77777777">
          <w:pPr>
            <w:rPr>
              <w:b/>
              <w:bCs/>
            </w:rPr>
          </w:pPr>
          <w:r w:rsidRPr="00D72FA0">
            <w:rPr>
              <w:b/>
              <w:bCs/>
              <w:noProof/>
            </w:rPr>
            <w:drawing>
              <wp:inline distT="0" distB="0" distL="0" distR="0" wp14:anchorId="29040028" wp14:editId="1986C438">
                <wp:extent cx="5026394" cy="3619500"/>
                <wp:effectExtent l="0" t="0" r="3175" b="0"/>
                <wp:docPr id="17886548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54824" name=""/>
                        <pic:cNvPicPr/>
                      </pic:nvPicPr>
                      <pic:blipFill>
                        <a:blip r:embed="rId14"/>
                        <a:stretch>
                          <a:fillRect/>
                        </a:stretch>
                      </pic:blipFill>
                      <pic:spPr>
                        <a:xfrm>
                          <a:off x="0" y="0"/>
                          <a:ext cx="5028589" cy="3621081"/>
                        </a:xfrm>
                        <a:prstGeom prst="rect">
                          <a:avLst/>
                        </a:prstGeom>
                      </pic:spPr>
                    </pic:pic>
                  </a:graphicData>
                </a:graphic>
              </wp:inline>
            </w:drawing>
          </w:r>
        </w:p>
        <w:p w:rsidR="00CC7724" w:rsidP="00CC7724" w:rsidRDefault="00CC7724" w14:paraId="3C260F31" w14:textId="77777777">
          <w:pPr>
            <w:rPr>
              <w:i/>
            </w:rPr>
          </w:pPr>
          <w:r>
            <w:rPr>
              <w:i/>
            </w:rPr>
            <w:t>Bron: eigen analyse op basis van CBS- en COFOG-cijfers</w:t>
          </w:r>
        </w:p>
        <w:p w:rsidR="00CC7724" w:rsidP="00CC7724" w:rsidRDefault="00CC7724" w14:paraId="1B21AF95" w14:textId="77777777">
          <w:pPr>
            <w:rPr>
              <w:i/>
            </w:rPr>
          </w:pPr>
        </w:p>
        <w:p w:rsidR="00CC7724" w:rsidP="00CC7724" w:rsidRDefault="00CB4384" w14:paraId="7659A65E" w14:textId="24F75F21">
          <w:r>
            <w:t>In d</w:t>
          </w:r>
          <w:r w:rsidR="00CC7724">
            <w:t>e figuur</w:t>
          </w:r>
          <w:r>
            <w:t xml:space="preserve"> </w:t>
          </w:r>
          <w:r w:rsidR="007F2532">
            <w:t xml:space="preserve">worden </w:t>
          </w:r>
          <w:r w:rsidR="00CC7724">
            <w:t>de uitgaven van de drie uitgavengroepen bij elkaar worden opgeteld en berekend als percentage van het bruto binnenlands product</w:t>
          </w:r>
          <w:r w:rsidR="007F2532">
            <w:t>. Dat</w:t>
          </w:r>
          <w:r w:rsidR="00CC7724">
            <w:t xml:space="preserve"> geeft in eerste benadering inzicht in het aandeel van de overheidsuitgaven gericht op de productiviteitsgroei. Perfect is deze uitsnede van productiviteit bevorderende overheidsuitgaven niet</w:t>
          </w:r>
          <w:r w:rsidR="00631886">
            <w:t>.</w:t>
          </w:r>
          <w:r w:rsidRPr="00D802BB" w:rsidR="00CC7724">
            <w:t xml:space="preserve"> </w:t>
          </w:r>
          <w:r w:rsidR="00631886">
            <w:t>D</w:t>
          </w:r>
          <w:r w:rsidR="00CC7724">
            <w:t>e uitgaven aan economische activiteiten en onderwijs bestaan bijvoorbeeld ook uit kosten van administratie en beleidsondersteuning, die niet direct bijdragen aan de productiviteitsgroei. Daartegenover staan uitgaven die in de figuur niet zijn meegenomen – te denken valt aan uitgaven aan zorg, veiligheid en openbaar bestuur – die mogelijk voor een deel wel bijdragen aan de productiviteitsgroei.</w:t>
          </w:r>
        </w:p>
        <w:p w:rsidR="00CC7724" w:rsidP="00CC7724" w:rsidRDefault="00CC7724" w14:paraId="685049AD" w14:textId="77777777"/>
        <w:p w:rsidRPr="007C7B3B" w:rsidR="00CC7724" w:rsidP="00CC7724" w:rsidRDefault="00CC7724" w14:paraId="6B27507B" w14:textId="77777777">
          <w:r>
            <w:t>Op basis van de figuur lijken de productiviteit bevorderende uitgaven als percentage van het bbp in de periode 1995-2025 vrij stabiel, afgezien van incidentele uitschieters door de kredietcrisis en de COVID-19 uitbraak (zie de doorgetrokken lijn in figuur C.2.).</w:t>
          </w:r>
          <w:r>
            <w:rPr>
              <w:rStyle w:val="Voetnootmarkering"/>
            </w:rPr>
            <w:footnoteReference w:id="35"/>
          </w:r>
          <w:r>
            <w:t xml:space="preserve"> Er is zeker de laatste vijftien jaar eerder sprake van een afnemende dan van een stijgende trend. Over het algemeen weerspiegelt de trend van de productiviteit bevorderende uitgaven zoals gepresenteerd in de figuur de </w:t>
          </w:r>
          <w:r w:rsidRPr="007C7B3B">
            <w:t>conclusies van het kabinet in de Miljoenennota 2027 en internationale rapporten.</w:t>
          </w:r>
          <w:r w:rsidRPr="007C7B3B">
            <w:rPr>
              <w:vertAlign w:val="superscript"/>
            </w:rPr>
            <w:footnoteReference w:id="36"/>
          </w:r>
          <w:r>
            <w:t xml:space="preserve"> Wel hangt het voor de berekening sterk af van het al of niet meenemen van de uitgaven aan defensie. Deze uitgaven hebben een opwaarts effect op de investeringen in vaste activa (zoals weergegeven in de Miljoenennota 2027), terwijl deze in de productiviteit bevorderende uitgaven, zoals weergegeven in figuur C.2., niet zijn meegenomen.</w:t>
          </w:r>
          <w:r>
            <w:rPr>
              <w:rStyle w:val="Voetnootmarkering"/>
            </w:rPr>
            <w:footnoteReference w:id="37"/>
          </w:r>
        </w:p>
        <w:p w:rsidR="00CC7724" w:rsidP="00CC7724" w:rsidRDefault="00CC7724" w14:paraId="5E476855" w14:textId="77777777"/>
        <w:p w:rsidR="00CC7724" w:rsidP="00CC7724" w:rsidRDefault="00CC7724" w14:paraId="747A6336" w14:textId="77777777">
          <w:r>
            <w:t>Uitgaven aan investeringen in vaste activa vormen maar een beperkt deel van de overheidsuitgaven die de arbeidsproductiviteit kunnen bevorderen. Onderwijs is – in termen van % bbp – de belangrijkste categorie overheidsuitgaven die productiviteitsverhogend kunnen werken. De uitgaven aan economische aangelegenheden zijn in omvang ongeveer even groot als de uitgaven aan investeringen in vaste activa (exclusief defensie, woningen, gebouwen en overdrachtskosten op grond). Wel fluctueren uitgaven aan economische aangelegenheden sterker, omdat subsidies sneller beleidsmatig kunnen worden aangepast dan investeringen.</w:t>
          </w:r>
        </w:p>
        <w:p w:rsidR="00CC7724" w:rsidP="00CC7724" w:rsidRDefault="00CC7724" w14:paraId="163D02C2" w14:textId="77777777"/>
        <w:p w:rsidRPr="008A3FB5" w:rsidR="00CC7724" w:rsidP="00CC7724" w:rsidRDefault="00CC7724" w14:paraId="3D9F94EF" w14:textId="121E3EE0">
          <w:r w:rsidRPr="008A3FB5">
            <w:t xml:space="preserve">De bijdrage van de overheidsuitgaven aan de productiviteitsgroei strekt verder dan alleen investeringen in vaste activa. In dit licht adviseert de Afdeling de minister van Financiën om, in samenwerking met relevante instituten zoals het CPB en het CBS, de bijdrage van de overheidsuitgaven aan de productiviteitsgroei systematisch in beeld te brengen en </w:t>
          </w:r>
          <w:r w:rsidR="00B858CD">
            <w:t xml:space="preserve">jaarlijks </w:t>
          </w:r>
          <w:r w:rsidRPr="008A3FB5">
            <w:t xml:space="preserve">over de ontwikkeling hiervan te rapporteren in de Miljoenennota. </w:t>
          </w:r>
        </w:p>
        <w:p w:rsidR="00CC7724" w:rsidP="00CC7724" w:rsidRDefault="00CC7724" w14:paraId="2E21611A" w14:textId="77777777"/>
        <w:p w:rsidR="00CC7724" w:rsidP="00CC7724" w:rsidRDefault="00CC7724" w14:paraId="5196F8D6" w14:textId="77777777">
          <w:r>
            <w:t>Tot slot is er één wetmatigheid die wezenlijk is voor de interpretatie van het belang van een hogere productiviteit. Als we productiever worden, dus meer welvaart creëren in een uur arbeid, dan geeft dat bij een gelijke arbeidsinzet over het algemeen een hogere welvaart. Dat betekent niet dat de koopkracht in gelijke mate toeneemt, want een hogere productiviteit verhoogt niet alleen het eigen loon, maar ook dat van mensen wier producten of diensten we afnemen. Ook de houdbaarheid van de overheidsfinanciën neemt niet evenredig toe; immers, de belastinginkomsten nemen toe maar de salarislasten van de overheid zelf nemen ook toe. Al met geeft een hoge productiviteit meer welvaart en meer keuzemogelijkheden, maar een één-op-één-relatie mag niet worden verondersteld.</w:t>
          </w:r>
        </w:p>
        <w:p w:rsidR="00CC7724" w:rsidP="00CC7724" w:rsidRDefault="00CC7724" w14:paraId="27D51424" w14:textId="77777777"/>
        <w:p w:rsidRPr="002B26B2" w:rsidR="00CC7724" w:rsidP="00CC7724" w:rsidRDefault="00CC7724" w14:paraId="34728039" w14:textId="77777777">
          <w:pPr>
            <w:rPr>
              <w:i/>
            </w:rPr>
          </w:pPr>
          <w:r w:rsidRPr="002B26B2">
            <w:rPr>
              <w:i/>
            </w:rPr>
            <w:t xml:space="preserve">b. </w:t>
          </w:r>
          <w:r w:rsidRPr="002B26B2">
            <w:rPr>
              <w:i/>
            </w:rPr>
            <w:tab/>
            <w:t>Stuur actief op de sector</w:t>
          </w:r>
          <w:r>
            <w:rPr>
              <w:i/>
            </w:rPr>
            <w:t>mix</w:t>
          </w:r>
        </w:p>
        <w:p w:rsidR="00F63B73" w:rsidP="00CC7724" w:rsidRDefault="00CC7724" w14:paraId="2C2878E0" w14:textId="77777777">
          <w:r>
            <w:t>Het relatieve aandeel van de verschillende bedrijfstakken, ofwel de sectormix, beïnvloedt de arbeidsproductiviteitsgroei van een land. Als activiteiten met een lage arbeidsproductiviteitsgroei relatief hard groeien, dan drukt dat de productiviteitsgroei. Het kabinet besteedt hier in de Miljoenennota 2027 aandacht aan. Ook kiest het kabinet middels de Taskforce Toekomstige Welvaart en Vestigingsklimaat zes hoogtechnologische sectoren om te stimuleren: digitale diensten en AI, halfgeleiders (</w:t>
          </w:r>
          <w:proofErr w:type="spellStart"/>
          <w:r>
            <w:t>semicon</w:t>
          </w:r>
          <w:proofErr w:type="spellEnd"/>
          <w:r>
            <w:t>), biotechnologie, machinebouw, defensie gerelateerde toepassingen en innovatieve chemie.</w:t>
          </w:r>
          <w:r>
            <w:rPr>
              <w:rStyle w:val="Voetnootmarkering"/>
            </w:rPr>
            <w:footnoteReference w:id="38"/>
          </w:r>
          <w:r>
            <w:t xml:space="preserve"> </w:t>
          </w:r>
        </w:p>
        <w:p w:rsidR="00F63B73" w:rsidP="00CC7724" w:rsidRDefault="00F63B73" w14:paraId="713B1D48" w14:textId="77777777"/>
        <w:p w:rsidR="00CC7724" w:rsidP="00CC7724" w:rsidRDefault="00CC7724" w14:paraId="50D2F252" w14:textId="27B1F61A">
          <w:r>
            <w:t xml:space="preserve">De Afdeling onderschrijft het belang van de sectormix en constateert dat het kabinet door de keuze van zes sectoren prioriteiten stelt. De Afdeling constateert echter dat er in de Miljoenennota veel aandacht is voor de sectoren die moeten worden gestimuleerd en minder voor de activiteiten die mogelijk moeten worden afgeremd. </w:t>
          </w:r>
        </w:p>
        <w:p w:rsidR="00CC7724" w:rsidP="00CC7724" w:rsidRDefault="00CC7724" w14:paraId="47A71AE4" w14:textId="77777777"/>
        <w:p w:rsidR="00CC7724" w:rsidP="00CC7724" w:rsidRDefault="00CC7724" w14:paraId="70BF7444" w14:textId="77777777">
          <w:r w:rsidRPr="00967301">
            <w:t>De Afdeling adviseert actiever te sturen op de sectormix en daarbij oog te hebben voor zowel potentieel kansrijke activiteiten</w:t>
          </w:r>
          <w:r>
            <w:t xml:space="preserve"> als</w:t>
          </w:r>
          <w:r w:rsidRPr="00967301">
            <w:t xml:space="preserve"> de huidige </w:t>
          </w:r>
          <w:r>
            <w:t xml:space="preserve">hoogproductieve </w:t>
          </w:r>
          <w:r w:rsidRPr="00967301">
            <w:t xml:space="preserve">activiteiten </w:t>
          </w:r>
          <w:r>
            <w:t xml:space="preserve">enerzijds en voor </w:t>
          </w:r>
          <w:r w:rsidRPr="00967301">
            <w:t>activiteiten met een lage productiviteitsontwikkeling</w:t>
          </w:r>
          <w:r>
            <w:t xml:space="preserve"> anderzijds</w:t>
          </w:r>
          <w:r w:rsidRPr="00967301">
            <w:t>. Het betekent dat overheidsbeleid, in het bijzonder stimulerende en remmende maatregelen op het gebied van belastingen en subsidies, ook in het licht van de productiviteitsagenda worden bekeken.</w:t>
          </w:r>
          <w:r>
            <w:t xml:space="preserve"> </w:t>
          </w:r>
        </w:p>
        <w:p w:rsidR="00CC7724" w:rsidP="00CC7724" w:rsidRDefault="00CC7724" w14:paraId="7BDC53EE" w14:textId="77777777"/>
        <w:p w:rsidR="00CC7724" w:rsidP="00CC7724" w:rsidRDefault="00CC7724" w14:paraId="4E8CBBC9" w14:textId="77777777">
          <w:r>
            <w:t>In verschillende studies wordt geconcludeerd dat de matige groei van de arbeidsproductiviteit in Nederland deels het gevolg is van de sectorstructuur.</w:t>
          </w:r>
          <w:r>
            <w:rPr>
              <w:rStyle w:val="Voetnootmarkering"/>
            </w:rPr>
            <w:footnoteReference w:id="39"/>
          </w:r>
          <w:r>
            <w:t xml:space="preserve"> Een verschuiving van werkgelegenheid van hoog- naar laagproductieve sectoren — het zogenoemde net-shift-effect — nam toe van -0,1% per jaar in de periode </w:t>
          </w:r>
          <w:r>
            <w:lastRenderedPageBreak/>
            <w:t>2000-2010 naar -0,4% per jaar in de periode 2010-2019.</w:t>
          </w:r>
          <w:r>
            <w:rPr>
              <w:rStyle w:val="Voetnootmarkering"/>
            </w:rPr>
            <w:footnoteReference w:id="40"/>
          </w:r>
          <w:r>
            <w:t xml:space="preserve"> </w:t>
          </w:r>
          <w:r>
            <w:rPr>
              <w:rStyle w:val="Voetnootmarkering"/>
            </w:rPr>
            <w:footnoteReference w:id="41"/>
          </w:r>
          <w:r>
            <w:t xml:space="preserve"> Sectoren met de sterkste werkgelegenheidsgroei behoren tot de laagst-productieve segmenten van de economie. Naar schatting is het aantal laagbetaalde banen de afgelopen jaren ongeveer drie keer zo hard gegroeid als het aantal overige banen.</w:t>
          </w:r>
          <w:r>
            <w:rPr>
              <w:rStyle w:val="Voetnootmarkering"/>
            </w:rPr>
            <w:footnoteReference w:id="42"/>
          </w:r>
          <w:r>
            <w:t xml:space="preserve"> </w:t>
          </w:r>
        </w:p>
        <w:p w:rsidR="00CC7724" w:rsidP="00CC7724" w:rsidRDefault="00CC7724" w14:paraId="080CDE45" w14:textId="77777777"/>
        <w:p w:rsidR="00CC7724" w:rsidP="00CC7724" w:rsidRDefault="00CC7724" w14:paraId="70B7C525" w14:textId="77777777">
          <w:r>
            <w:t>De voor de productiviteitsgroei minder gunstige sectormix is deels het gevolg van de stijging van het aandeel van diensten in de Nederlandse economie in de afgelopen decennia.</w:t>
          </w:r>
          <w:r>
            <w:rPr>
              <w:rStyle w:val="Voetnootmarkering"/>
            </w:rPr>
            <w:footnoteReference w:id="43"/>
          </w:r>
          <w:r>
            <w:t xml:space="preserve"> Diensten kennen over het algemeen een lagere productiviteit dan de productie van goederen.</w:t>
          </w:r>
          <w:r>
            <w:rPr>
              <w:rStyle w:val="Voetnootmarkering"/>
            </w:rPr>
            <w:footnoteReference w:id="44"/>
          </w:r>
          <w:r>
            <w:t xml:space="preserve"> De verschuiving van goederen naar diensten – met het daarmee drukkende effect op de productiviteit – is een algemene trend in landen waar het inkomensniveau stijgt. </w:t>
          </w:r>
        </w:p>
        <w:p w:rsidRPr="008F02DF" w:rsidR="00CC7724" w:rsidP="00CC7724" w:rsidRDefault="00CC7724" w14:paraId="5513129A" w14:textId="77777777"/>
        <w:p w:rsidR="00CC7724" w:rsidP="00CC7724" w:rsidRDefault="00CC7724" w14:paraId="57BD8904" w14:textId="77777777">
          <w:r>
            <w:t>Naast algemene economische en maatschappelijke trends hebben ook beleidsinterventies – bedoeld of onbedoeld - effect op de sectormix. Stimulering van minder productieve activiteiten werkt niet productiviteit bevorderend. Voorbeelden van op een relatief laagproductieve sector gericht beleid zijn bijvoorbeeld subsidies</w:t>
          </w:r>
          <w:r>
            <w:rPr>
              <w:rStyle w:val="Voetnootmarkering"/>
            </w:rPr>
            <w:footnoteReference w:id="45"/>
          </w:r>
          <w:r>
            <w:t xml:space="preserve"> en fiscale regelingen</w:t>
          </w:r>
          <w:r>
            <w:rPr>
              <w:rStyle w:val="Voetnootmarkering"/>
            </w:rPr>
            <w:footnoteReference w:id="46"/>
          </w:r>
          <w:r>
            <w:t xml:space="preserve"> voor de agrarische sector. </w:t>
          </w:r>
        </w:p>
        <w:p w:rsidR="00CC7724" w:rsidP="00CC7724" w:rsidRDefault="00CC7724" w14:paraId="1D3E4DF3" w14:textId="77777777"/>
        <w:p w:rsidR="00CC7724" w:rsidP="00CC7724" w:rsidRDefault="00CC7724" w14:paraId="7A41218A" w14:textId="625AC87D">
          <w:r>
            <w:t>Ook onder beprijzing van maatschappelijke kosten</w:t>
          </w:r>
          <w:r w:rsidR="00493668">
            <w:t>,</w:t>
          </w:r>
          <w:r>
            <w:t xml:space="preserve"> zoals milieuvervuiling kan sectorspecifiek zijn, ofwel doordat het zich expliciet richt op een sector, ofwel doordat een specifieke sector er in het bijzonder van profiteert. Actieve sturing op de sectormix betekent niet dat mechanisch wordt ingezet op alleen datgene wat op papier het meest productief is, maar wel dat politieke keuzes mede worden bezien vanuit de kabinetsdoelstelling van productiviteitsgroei, en dat de stimulansen en belemmeringen per sector daarmee in overeenstemming worden gebracht.</w:t>
          </w:r>
        </w:p>
        <w:p w:rsidR="00CC7724" w:rsidP="00CC7724" w:rsidRDefault="00CC7724" w14:paraId="2FB0A92A" w14:textId="77777777"/>
        <w:p w:rsidRPr="00C114F7" w:rsidR="00CC7724" w:rsidP="00CC7724" w:rsidRDefault="00CC7724" w14:paraId="275677D1" w14:textId="76C3531F">
          <w:r w:rsidRPr="00C114F7">
            <w:t xml:space="preserve">De Afdeling adviseert </w:t>
          </w:r>
          <w:r>
            <w:t xml:space="preserve">het kabinet om zich in het productiviteitsbeleid rekenschap te geven van de verschillen in productiviteit tussen sectoren en op basis daarvan keuzes te maken. Op basis van die keuzes kunnen de bevorderende én de </w:t>
          </w:r>
          <w:r>
            <w:lastRenderedPageBreak/>
            <w:t xml:space="preserve">remmende beleidsinstrumenten per sector worden </w:t>
          </w:r>
          <w:r w:rsidR="00CD3960">
            <w:t>opnieuw worden beoordeeld</w:t>
          </w:r>
          <w:r>
            <w:t>. Daar</w:t>
          </w:r>
          <w:r w:rsidR="009D367E">
            <w:t>in</w:t>
          </w:r>
          <w:r>
            <w:t xml:space="preserve"> zou de Productiviteitsraad een ondersteunende rol kunnen spelen.</w:t>
          </w:r>
        </w:p>
        <w:p w:rsidR="00CC7724" w:rsidP="00CC7724" w:rsidRDefault="00CC7724" w14:paraId="3B3F524F" w14:textId="77777777"/>
        <w:p w:rsidR="00CC7724" w:rsidP="00CC7724" w:rsidRDefault="00CC7724" w14:paraId="0745822F" w14:textId="77777777">
          <w:pPr>
            <w:rPr>
              <w:i/>
            </w:rPr>
          </w:pPr>
          <w:r>
            <w:rPr>
              <w:i/>
            </w:rPr>
            <w:t>c.</w:t>
          </w:r>
          <w:r>
            <w:rPr>
              <w:i/>
            </w:rPr>
            <w:tab/>
          </w:r>
          <w:r w:rsidRPr="007B011E">
            <w:rPr>
              <w:i/>
            </w:rPr>
            <w:t>Besteed aandacht aan de bedrijfsdynamiek</w:t>
          </w:r>
        </w:p>
        <w:p w:rsidR="00CC7724" w:rsidP="00CC7724" w:rsidRDefault="00CC7724" w14:paraId="65DDD612" w14:textId="77777777">
          <w:r>
            <w:t>Niet alleen tussen sectoren, maar ook binnen sectoren tussen bedrijven bestaan grote productiviteitsverschillen. Bij een goed werkend proces van creatieve destructie maken laagproductieve activiteiten plaats voor hoogproductieve activiteiten en verdwijnen minder productieve ondernemingen van de markt – bijvoorbeeld doordat productievere bedrijven sneller groeien, of doordat de minder productieve bedrijven van de markt verdwijnen. Hierdoor kan arbeid productiever worden ingezet en dit bevordert de arbeidsproductiviteit als geheel.</w:t>
          </w:r>
          <w:r>
            <w:rPr>
              <w:rStyle w:val="Voetnootmarkering"/>
            </w:rPr>
            <w:footnoteReference w:id="47"/>
          </w:r>
          <w:r>
            <w:t xml:space="preserve"> </w:t>
          </w:r>
        </w:p>
        <w:p w:rsidR="00CC7724" w:rsidP="00CC7724" w:rsidRDefault="00CC7724" w14:paraId="0A6A64FB" w14:textId="77777777"/>
        <w:p w:rsidR="00CC7724" w:rsidP="00CC7724" w:rsidRDefault="00CC7724" w14:paraId="2EB0AF00" w14:textId="259538FC">
          <w:r>
            <w:t>Het CPB signaleert dat de bedrijvendynamiek afneemt: er komen minder nieuwe bedrijven bij en minder bestaande bedrijven verdwijnen.</w:t>
          </w:r>
          <w:r>
            <w:rPr>
              <w:rStyle w:val="Voetnootmarkering"/>
            </w:rPr>
            <w:footnoteReference w:id="48"/>
          </w:r>
          <w:r>
            <w:t xml:space="preserve"> Ook slagen minder productieve bedrijven er zelden in om op te klimmen naar de groep productiefste bedrijven. Daarnaast stagneert werknemersdynamiek, wat ertoe kan bijdragen dat werknemers langer dan optimaal in een minder passende baan blijven.</w:t>
          </w:r>
          <w:r>
            <w:rPr>
              <w:rStyle w:val="Voetnootmarkering"/>
            </w:rPr>
            <w:footnoteReference w:id="49"/>
          </w:r>
          <w:r>
            <w:t xml:space="preserve"> Marktfalen, maar ook overheidsbeleid kan de dynamiek dempen. Onderzoek van DNB laat zien dat misallocatie, mede door overheidsingrijpen tijdens COVID-19, tussen 2009 – 2023 in de meeste sectoren is toegenomen. Hierdoor blijven productiefactoren vastzitten bij bedrijven met een lage productiviteit.</w:t>
          </w:r>
          <w:r>
            <w:rPr>
              <w:rStyle w:val="Voetnootmarkering"/>
            </w:rPr>
            <w:footnoteReference w:id="50"/>
          </w:r>
        </w:p>
        <w:p w:rsidR="00CC7724" w:rsidP="00CC7724" w:rsidRDefault="00CC7724" w14:paraId="4B366738" w14:textId="77777777"/>
        <w:p w:rsidR="00CC7724" w:rsidP="00CC7724" w:rsidRDefault="00CC7724" w14:paraId="0122AF7B" w14:textId="77777777">
          <w:r>
            <w:t>Via generiek beleid op gebieden als arbeidsmarkt</w:t>
          </w:r>
          <w:r>
            <w:rPr>
              <w:rStyle w:val="Voetnootmarkering"/>
            </w:rPr>
            <w:footnoteReference w:id="51"/>
          </w:r>
          <w:r>
            <w:t xml:space="preserve"> en grondbestemming</w:t>
          </w:r>
          <w:r>
            <w:rPr>
              <w:rStyle w:val="Voetnootmarkering"/>
            </w:rPr>
            <w:footnoteReference w:id="52"/>
          </w:r>
          <w:r>
            <w:t xml:space="preserve"> worden momenteel minder </w:t>
          </w:r>
          <w:proofErr w:type="spellStart"/>
          <w:r>
            <w:t>arbeidsproductieve</w:t>
          </w:r>
          <w:proofErr w:type="spellEnd"/>
          <w:r>
            <w:t xml:space="preserve"> bedrijven in alle sectoren gesteund. Interventies kunnen het concurrentiemechanisme belemmeren en bijdragen aan een suboptimale sectorstructuur of verminderde bedrijvendynamiek. </w:t>
          </w:r>
        </w:p>
        <w:p w:rsidRPr="000B6563" w:rsidR="00CC7724" w:rsidP="00CC7724" w:rsidRDefault="00CC7724" w14:paraId="2AB2B6E2" w14:textId="77777777">
          <w:pPr>
            <w:rPr>
              <w:b/>
            </w:rPr>
          </w:pPr>
        </w:p>
        <w:p w:rsidR="00CC7724" w:rsidP="00CC7724" w:rsidRDefault="00CC7724" w14:paraId="251ED498" w14:textId="77777777">
          <w:r>
            <w:t xml:space="preserve">De Afdeling ziet dat het kabinet op verschillende manieren met deze problematiek bezig is. De Productiviteitsagenda benoemt uitdrukkelijk afbouw van prikkels die arbeid en kapitaal vasthouden in laagproductieve activiteiten, alsmede de aanpak </w:t>
          </w:r>
          <w:r>
            <w:lastRenderedPageBreak/>
            <w:t>van schijnzelfstandigheid als doelstelling.</w:t>
          </w:r>
          <w:r>
            <w:rPr>
              <w:rStyle w:val="Voetnootmarkering"/>
            </w:rPr>
            <w:footnoteReference w:id="53"/>
          </w:r>
          <w:r>
            <w:t xml:space="preserve"> Deze doelstellingen zijn bruikbare aanknopingspunten, maar wel algemeen geformuleerd. Daarnaast zijn maatregelen vaak ondergebracht in afzonderlijke dossiers en worden deze niet bezien vanuit een samenhangend beleid. Te denken valt bijvoorbeeld aan maatregelen voor de arbeidsmarkt, interne markt, regeldruk en belastingheffing. </w:t>
          </w:r>
        </w:p>
        <w:p w:rsidR="00CC7724" w:rsidP="00CC7724" w:rsidRDefault="00CC7724" w14:paraId="2ACE9E0E" w14:textId="77777777"/>
        <w:p w:rsidRPr="00391D17" w:rsidR="00CC7724" w:rsidP="00CC7724" w:rsidRDefault="00CC7724" w14:paraId="53923E36" w14:textId="74305B95">
          <w:r w:rsidRPr="00391D17">
            <w:t>De Afdeling a</w:t>
          </w:r>
          <w:r w:rsidR="006B12BC">
            <w:t xml:space="preserve">dviseert </w:t>
          </w:r>
          <w:r w:rsidRPr="00391D17">
            <w:t>delen van de productiviteitsagenda nader te concretiseren en te verankeren in een samenhangend traject, om de individuele maatregelen effectief te laten bijdragen aan productiviteitsgroei.</w:t>
          </w:r>
        </w:p>
        <w:p w:rsidR="00CC7724" w:rsidP="00CC7724" w:rsidRDefault="00CC7724" w14:paraId="2C698BE0" w14:textId="77777777"/>
        <w:p w:rsidR="00CC7724" w:rsidP="00CC7724" w:rsidRDefault="00CC7724" w14:paraId="6827E1E5" w14:textId="77777777">
          <w:pPr>
            <w:rPr>
              <w:i/>
            </w:rPr>
          </w:pPr>
          <w:r>
            <w:rPr>
              <w:i/>
            </w:rPr>
            <w:t>d.</w:t>
          </w:r>
          <w:r>
            <w:rPr>
              <w:i/>
            </w:rPr>
            <w:tab/>
          </w:r>
          <w:r w:rsidRPr="0015010D">
            <w:rPr>
              <w:i/>
            </w:rPr>
            <w:t xml:space="preserve">Rapporteer over </w:t>
          </w:r>
          <w:r>
            <w:rPr>
              <w:i/>
            </w:rPr>
            <w:t>de</w:t>
          </w:r>
          <w:r w:rsidRPr="0015010D">
            <w:rPr>
              <w:i/>
            </w:rPr>
            <w:t xml:space="preserve"> bijdrage </w:t>
          </w:r>
          <w:r>
            <w:rPr>
              <w:i/>
            </w:rPr>
            <w:t xml:space="preserve">van </w:t>
          </w:r>
          <w:r w:rsidRPr="0015010D">
            <w:rPr>
              <w:i/>
            </w:rPr>
            <w:t>beleid aan productiviteitsgroei</w:t>
          </w:r>
        </w:p>
        <w:p w:rsidR="00CC7724" w:rsidP="00CC7724" w:rsidRDefault="00CC7724" w14:paraId="16972332" w14:textId="77777777">
          <w:r>
            <w:t xml:space="preserve">Het kabinet heeft een economische groei van 1,5% per jaar als doelstelling, die voor een groot deel behaald moet worden door een toename van de arbeidsproductiviteit. In het kader van dit doel acht de Afdeling het zinvol het overheidsbeleid op gebied van productiviteit vanuit meerdere invalshoeken te bezien: de hoeveelheid productiviteit bevorderende uitgaven, de sectormix, en de bedrijfsdynamiek. Het is van belang dat deze drie invalshoeken niet los van elkaar, maar in samenhang worden bezien en dat het kabinet komt tot productiviteitsbeleid dat op alle drie de terreinen aangrijpt. </w:t>
          </w:r>
        </w:p>
        <w:p w:rsidR="00CC7724" w:rsidP="00CC7724" w:rsidRDefault="00CC7724" w14:paraId="3F2E002B" w14:textId="77777777"/>
        <w:p w:rsidR="00CC7724" w:rsidP="00CC7724" w:rsidRDefault="00CC7724" w14:paraId="62C944A4" w14:textId="77777777">
          <w:r>
            <w:t>De Afdeling ziet de afbeelding in figuur C.2. als een methodisch aanknopingspunt om de overheidsuitgaven aan de productiviteitsgroei in beeld te brengen. Over het effect van onderwijs en onderzoek op productiviteitsgroei zijn al modellen ontwikkeld die kunnen bijdragen aan een dergelijk instrument.</w:t>
          </w:r>
          <w:r>
            <w:rPr>
              <w:rStyle w:val="Voetnootmarkering"/>
            </w:rPr>
            <w:footnoteReference w:id="54"/>
          </w:r>
          <w:r>
            <w:t xml:space="preserve"> Gebruik van de informatie uit de begroting en de nationale rekeningen kan het beeld scherper maken. Om een goede sturing door beleidsmakers mogelijk te maken, is wel een vertaalslag nodig van de cijfers uit de Miljoenennota naar de systematiek van de nationale rekeningen omdat de boekhoudkundige systemen en de gebruikte begrippen verschillen.</w:t>
          </w:r>
          <w:r>
            <w:rPr>
              <w:rStyle w:val="Voetnootmarkering"/>
            </w:rPr>
            <w:footnoteReference w:id="55"/>
          </w:r>
          <w:r>
            <w:t xml:space="preserve"> </w:t>
          </w:r>
        </w:p>
        <w:p w:rsidR="00CC7724" w:rsidP="00CC7724" w:rsidRDefault="00CC7724" w14:paraId="5E5B2B4E" w14:textId="77777777">
          <w:r>
            <w:t xml:space="preserve"> </w:t>
          </w:r>
        </w:p>
        <w:p w:rsidR="00037860" w:rsidP="00CC7724" w:rsidRDefault="00CC7724" w14:paraId="04C7B924" w14:textId="77777777">
          <w:r>
            <w:t xml:space="preserve">De Afdeling adviseert het kabinet om, voorzover dat nog niet is gedaan, de sectorspecifieke en generieke overheidsinstrumenten die van invloed zijn op de sectorstructuur te inventariseren en te evalueren op hun effect op de arbeidsproductiviteit, en op basis daarvan keuzes te maken. </w:t>
          </w:r>
        </w:p>
        <w:p w:rsidR="00037860" w:rsidP="00CC7724" w:rsidRDefault="00037860" w14:paraId="5C36EBEB" w14:textId="77777777"/>
        <w:p w:rsidR="00CC7724" w:rsidP="00CC7724" w:rsidRDefault="00CC7724" w14:paraId="6A994678" w14:textId="7D165139">
          <w:r>
            <w:lastRenderedPageBreak/>
            <w:t>De Afdeling adviseert verder om te komen tot een samenhangend productiviteitsbeleid dat aangrijpt op zowel de omvang en samenstelling van productiviteit bevorderende uitgaven, als de sturing op de sectormix, als de bevordering van de bedrijfsdynamiek. Over zowel de vormgeving van dit beleid als de behaalde resultaten dient het kabinet jaarlijks bij de Miljoenennota te rapporteren.</w:t>
          </w:r>
          <w:r>
            <w:rPr>
              <w:rStyle w:val="Voetnootmarkering"/>
            </w:rPr>
            <w:footnoteReference w:id="56"/>
          </w:r>
          <w:r>
            <w:t xml:space="preserve"> </w:t>
          </w:r>
        </w:p>
        <w:p w:rsidR="00CC7724" w:rsidP="00CC7724" w:rsidRDefault="00CC7724" w14:paraId="15316275" w14:textId="77777777"/>
        <w:p w:rsidRPr="002B26B2" w:rsidR="00CC7724" w:rsidP="00CC7724" w:rsidRDefault="00CC7724" w14:paraId="229AD575" w14:textId="77777777">
          <w:pPr>
            <w:rPr>
              <w:u w:val="single"/>
            </w:rPr>
          </w:pPr>
          <w:r w:rsidRPr="002B26B2">
            <w:t xml:space="preserve">3. </w:t>
          </w:r>
          <w:r w:rsidRPr="002B26B2">
            <w:tab/>
          </w:r>
          <w:r w:rsidRPr="002B26B2">
            <w:rPr>
              <w:u w:val="single"/>
            </w:rPr>
            <w:t>Versnel de energietransitie</w:t>
          </w:r>
        </w:p>
        <w:p w:rsidR="00CC7724" w:rsidP="00CC7724" w:rsidRDefault="00CC7724" w14:paraId="28FBB0C3" w14:textId="77777777"/>
        <w:p w:rsidR="00CC7724" w:rsidP="00CC7724" w:rsidRDefault="00CC7724" w14:paraId="5AB8F8B6" w14:textId="42058C15">
          <w:r>
            <w:t>Een derde beleidsterrein met een wezenlijke intergenerationele dimensie is het veld van klimaat en energie, waar de inspanningen van vandaag overwegend bij een volgende generatie neerslaan. Sinds het klimaatakkoord is de energietransitie de stuwende kracht achter het klimaatbeleid, waarbij het energiebeleid in dienst stond van de klimaatdoelen. Door geopolitieke overwegingen heeft de energieagenda een sterkere urgentie gekregen – onze afhankelijkheid van energie van buiten Europa vormt een direct risico voor de continuïteit van kritieke bedrijfstakken, ook onafhankelijk van de klimaatdoelstellingen.</w:t>
          </w:r>
          <w:r>
            <w:rPr>
              <w:rStyle w:val="Voetnootmarkering"/>
            </w:rPr>
            <w:footnoteReference w:id="57"/>
          </w:r>
          <w:r w:rsidR="00037860">
            <w:t xml:space="preserve"> </w:t>
          </w:r>
          <w:r>
            <w:rPr>
              <w:rStyle w:val="Voetnootmarkering"/>
            </w:rPr>
            <w:footnoteReference w:id="58"/>
          </w:r>
        </w:p>
        <w:p w:rsidR="00CC7724" w:rsidP="00CC7724" w:rsidRDefault="00CC7724" w14:paraId="052A5016" w14:textId="77777777"/>
        <w:p w:rsidR="00037860" w:rsidP="00CC7724" w:rsidRDefault="00CC7724" w14:paraId="348D649A" w14:textId="77777777">
          <w:r>
            <w:t xml:space="preserve">Energie en klimaat komen samen in de energietransitie, waarvan de uitvoering bepaalt in hoeverre de volgende generatie op koers ligt met de verduurzaming, in hoeverre ons land en Europa voor hun energie nog afhankelijk zijn van niet-bevriende leveranciers, en welk kostenniveau en investeringsopgave daarmee is ontstaan. De urgentie van de energietransitie is daarmee verder toegenomen. </w:t>
          </w:r>
        </w:p>
        <w:p w:rsidR="00037860" w:rsidP="00CC7724" w:rsidRDefault="00037860" w14:paraId="0A639A0E" w14:textId="77777777"/>
        <w:p w:rsidR="00CC7724" w:rsidP="00CC7724" w:rsidRDefault="00CC7724" w14:paraId="434F1A08" w14:textId="2F592816">
          <w:r>
            <w:t>Gezien de opgelopen vertraging in de transitie, de nieuwe geopolitieke realiteit, en de dreigende afwenteling op volgende generaties, moedigt de Afdeling het kabinet aan om vanuit deze toegenomen urgentie te zoeken naar versnelling van wat loopt en te doorbreken wat niet loopt. In dat licht moeten politieke standpunten, procedures, technieken en prioriteiten opnieuw worden bezien, zowel waar het gaat om besparing, als waar het gaat om opwekking en transmissie van energie.</w:t>
          </w:r>
        </w:p>
        <w:p w:rsidR="00CC7724" w:rsidP="00CC7724" w:rsidRDefault="00CC7724" w14:paraId="4CA68E08" w14:textId="77777777"/>
        <w:p w:rsidR="00CC7724" w:rsidP="00CC7724" w:rsidRDefault="00CC7724" w14:paraId="2CA39CAD" w14:textId="77777777">
          <w:r w:rsidRPr="00625CB6">
            <w:t xml:space="preserve">Daarmee vormen de </w:t>
          </w:r>
          <w:r>
            <w:t>energietransitie</w:t>
          </w:r>
          <w:r w:rsidRPr="00625CB6">
            <w:t xml:space="preserve"> enerzijds, en de productiviteitsagenda anderzijds twee kanten van dezelfde medaille; voor productiviteitsgroei is de energietransitie </w:t>
          </w:r>
          <w:proofErr w:type="spellStart"/>
          <w:r w:rsidRPr="00625CB6">
            <w:t>randvoorwaardelijk</w:t>
          </w:r>
          <w:proofErr w:type="spellEnd"/>
          <w:r w:rsidRPr="00625CB6">
            <w:t>, en andersom stagneert de energietransitie bij ontoereikende productiviteit.</w:t>
          </w:r>
        </w:p>
        <w:p w:rsidR="00CC7724" w:rsidP="00CC7724" w:rsidRDefault="00CC7724" w14:paraId="1BBE7589" w14:textId="77777777"/>
        <w:p w:rsidRPr="00E4114E" w:rsidR="00CC7724" w:rsidP="00CC7724" w:rsidRDefault="00CC7724" w14:paraId="74AFD6B1" w14:textId="77777777">
          <w:pPr>
            <w:rPr>
              <w:i/>
            </w:rPr>
          </w:pPr>
          <w:r>
            <w:rPr>
              <w:i/>
            </w:rPr>
            <w:lastRenderedPageBreak/>
            <w:t xml:space="preserve">a. </w:t>
          </w:r>
          <w:r>
            <w:rPr>
              <w:i/>
            </w:rPr>
            <w:tab/>
          </w:r>
          <w:r w:rsidRPr="00E4114E">
            <w:rPr>
              <w:i/>
            </w:rPr>
            <w:t>Inhaalslag op klimaat</w:t>
          </w:r>
        </w:p>
        <w:p w:rsidR="00CC7724" w:rsidP="00CC7724" w:rsidRDefault="00CC7724" w14:paraId="6EE2E0D1" w14:textId="737A7DF1">
          <w:r w:rsidRPr="00DC03FC">
            <w:t xml:space="preserve">Nederland heeft zich via de Klimaatwet gebonden aan het doel van klimaatneutraliteit in 2025. Dit doel geeft uitvoering aan het Akkoord van Parijs en de daarop gebaseerde Europese Klimaatwet. Dit vertaalt zich op Europees niveau in de European Green Deal (resulterend in het wetgevingspakket Fit </w:t>
          </w:r>
          <w:proofErr w:type="spellStart"/>
          <w:r w:rsidRPr="00DC03FC">
            <w:t>for</w:t>
          </w:r>
          <w:proofErr w:type="spellEnd"/>
          <w:r w:rsidRPr="00DC03FC">
            <w:t xml:space="preserve"> 55 van 2021) en de Clean Industrial Deal uit 2025. Kern van het EU-beleid vormt het Europese emissiehandelssysteem (EU-ETS) dat voorziet in een dalend emissieplafond, afbouw van gratis emissierechten en een koolstofgrenscorrectie (CBAM) voor een gelijk speelveld met industrieën uit derde landen.</w:t>
          </w:r>
          <w:r>
            <w:rPr>
              <w:rStyle w:val="Voetnootmarkering"/>
            </w:rPr>
            <w:footnoteReference w:id="59"/>
          </w:r>
          <w:r w:rsidR="001A2CD5">
            <w:t xml:space="preserve"> </w:t>
          </w:r>
          <w:r>
            <w:rPr>
              <w:rStyle w:val="Voetnootmarkering"/>
            </w:rPr>
            <w:footnoteReference w:id="60"/>
          </w:r>
          <w:r>
            <w:t xml:space="preserve"> Het nationale klimaatbeleid vult deze maatregelen aan met onder meer de op het </w:t>
          </w:r>
          <w:proofErr w:type="spellStart"/>
          <w:r>
            <w:t>Klimaatgebaseerde</w:t>
          </w:r>
          <w:proofErr w:type="spellEnd"/>
          <w:r>
            <w:t xml:space="preserve"> maatwerkafspraken met grote uitstoters.</w:t>
          </w:r>
          <w:r>
            <w:rPr>
              <w:rStyle w:val="Voetnootmarkering"/>
            </w:rPr>
            <w:footnoteReference w:id="61"/>
          </w:r>
        </w:p>
        <w:p w:rsidR="00CC7724" w:rsidP="00CC7724" w:rsidRDefault="00CC7724" w14:paraId="10D79848" w14:textId="77777777"/>
        <w:p w:rsidR="00B9088E" w:rsidP="00CC7724" w:rsidRDefault="00CC7724" w14:paraId="45FEDBF1" w14:textId="77777777">
          <w:pPr>
            <w:rPr>
              <w:b/>
            </w:rPr>
          </w:pPr>
          <w:r>
            <w:t>De Afdeling ziet dat het kabinet met het Klimaat- en Energiefonds, de maatwerkafspraken en het Programma Versnelling Verduurzaming Gebouwde Omgeving aanzienlijke middelen heeft ingezet en dat in enkele domeinen, zoals de mobiliteitssector voortgang wordt geboekt.</w:t>
          </w:r>
          <w:r>
            <w:rPr>
              <w:rStyle w:val="Voetnootmarkering"/>
            </w:rPr>
            <w:footnoteReference w:id="62"/>
          </w:r>
          <w:r>
            <w:t xml:space="preserve"> Met een kans van minder dan vijf procent is het echter heel erg onwaarschijnlijk dat Nederland het klimaatdoel van 55 procent emissiereductie in 2030 haalt.</w:t>
          </w:r>
          <w:r>
            <w:rPr>
              <w:rStyle w:val="Voetnootmarkering"/>
            </w:rPr>
            <w:footnoteReference w:id="63"/>
          </w:r>
          <w:r>
            <w:t xml:space="preserve"> Ditzelfde geldt voor het merendeel van de sectoren, in het bijzonder de industrie, de landbouw en het landgebruik.</w:t>
          </w:r>
          <w:r>
            <w:rPr>
              <w:b/>
            </w:rPr>
            <w:t xml:space="preserve"> </w:t>
          </w:r>
        </w:p>
        <w:p w:rsidR="00B9088E" w:rsidP="00CC7724" w:rsidRDefault="00B9088E" w14:paraId="4349F123" w14:textId="77777777">
          <w:pPr>
            <w:rPr>
              <w:b/>
            </w:rPr>
          </w:pPr>
        </w:p>
        <w:p w:rsidR="00CC7724" w:rsidP="00CC7724" w:rsidRDefault="00CC7724" w14:paraId="39F9BA6E" w14:textId="5D488CAF">
          <w:r>
            <w:t xml:space="preserve">Deze vertraging werkt onherroepelijk door tot in een volgende generatie – die erft niet alleen een land met een achterstand in de transitie, maar daarmee ook een hogere investeringsopgave. De Afdeling is zich hierbij scherp bewust van de omvang van de transitie, zoals die ingrijpt op sectoren, huishoudens en overheden. </w:t>
          </w:r>
        </w:p>
        <w:p w:rsidR="00CC7724" w:rsidP="00CC7724" w:rsidRDefault="00CC7724" w14:paraId="3C71D13F" w14:textId="77777777"/>
        <w:p w:rsidR="00CC7724" w:rsidP="00CC7724" w:rsidRDefault="00CC7724" w14:paraId="75753C12" w14:textId="77777777">
          <w:r>
            <w:t xml:space="preserve">De complexiteit is weliswaar groot, maar de urgentie op het terrein van het klimaat is onverminderd groot en de urgentie op energie is recentelijk verder toegenomen. Naast het belang van energietransitie en klimaatmitigatie is de </w:t>
          </w:r>
          <w:r>
            <w:lastRenderedPageBreak/>
            <w:t xml:space="preserve">noodzaak van maatregelen op het gebied van klimaatadaptatie pregnant. Ook op de korte termijn. </w:t>
          </w:r>
        </w:p>
        <w:p w:rsidR="00CC7724" w:rsidP="00CC7724" w:rsidRDefault="00CC7724" w14:paraId="2D8E64BE" w14:textId="77777777"/>
        <w:p w:rsidR="00CC7724" w:rsidP="00CC7724" w:rsidRDefault="00CC7724" w14:paraId="4ABB9D92" w14:textId="77777777">
          <w:r>
            <w:t>Dat rechtvaardigt in de ogen van de Afdeling een hernieuwde inzet op klimaat, voortbouwend op de fermheid die ook het Coalitieakkoord uitstraalt. De Afdeling verwijst hier ook naar zijn op Prinsjesdag verschijnende beschouwing over de concept-Klimaat en eveneens Energienota 2026.</w:t>
          </w:r>
        </w:p>
        <w:p w:rsidR="00B9088E" w:rsidRDefault="00B9088E" w14:paraId="5B0C4C96" w14:textId="77777777">
          <w:pPr>
            <w:rPr>
              <w:i/>
            </w:rPr>
          </w:pPr>
          <w:r>
            <w:rPr>
              <w:i/>
            </w:rPr>
            <w:br w:type="page"/>
          </w:r>
        </w:p>
        <w:p w:rsidRPr="00A30A50" w:rsidR="00CC7724" w:rsidP="00CC7724" w:rsidRDefault="00CC7724" w14:paraId="73236EF3" w14:textId="06B4A435">
          <w:pPr>
            <w:rPr>
              <w:i/>
            </w:rPr>
          </w:pPr>
          <w:r>
            <w:rPr>
              <w:i/>
            </w:rPr>
            <w:lastRenderedPageBreak/>
            <w:t>b.</w:t>
          </w:r>
          <w:r>
            <w:rPr>
              <w:i/>
            </w:rPr>
            <w:tab/>
          </w:r>
          <w:r w:rsidRPr="00A30A50">
            <w:rPr>
              <w:i/>
            </w:rPr>
            <w:t>Meer energie-autonomie</w:t>
          </w:r>
        </w:p>
        <w:p w:rsidR="00CC7724" w:rsidP="00CC7724" w:rsidRDefault="00CC7724" w14:paraId="6FE2225E" w14:textId="1485CFD1">
          <w:r>
            <w:t xml:space="preserve">Aan de energiekant van de transitie zijn de kaarten in de afgelopen jaren </w:t>
          </w:r>
          <w:r w:rsidR="000579CD">
            <w:t xml:space="preserve">op een </w:t>
          </w:r>
          <w:r>
            <w:t>ruw</w:t>
          </w:r>
          <w:r w:rsidR="000579CD">
            <w:t>e wijze</w:t>
          </w:r>
          <w:r>
            <w:t xml:space="preserve"> opnieuw geschud. Door het grotendeels wegvallen van gasimporten uit Rusland en voortgaande vermindering van de eigen gasproductie, is Europa, en zeker Nederland, afhankelijk geworden van niet-Europese exporteurs waarmee bovendien de verhoudingen zijn verstoord. Circa 60% van onze primaire energie wordt geïmporteerd van buiten Europa. </w:t>
          </w:r>
        </w:p>
        <w:p w:rsidR="00CC7724" w:rsidP="00CC7724" w:rsidRDefault="00CC7724" w14:paraId="514D5334" w14:textId="77777777"/>
        <w:p w:rsidR="00CC7724" w:rsidP="00CC7724" w:rsidRDefault="00CC7724" w14:paraId="1E7DD0D4" w14:textId="77777777">
          <w:r>
            <w:t>Dat heeft een betekenis die verder gaat dan de soms problematische energierekeningen voor huishoudens. De energietarieven voor bedrijven liggen in Nederland twee- tot viermaal hoger dan in de VS of Azië. Onze (relatief productieve) energie-intensieve bedrijfstakken zijn daarmee niet langer concurrerend. Daarmee dreigen we ook afhankelijk te worden voor kritieke basismaterialen, halffabricaten en energie-intensieve eindproducten. Het kabinet heeft deze samenhang en urgentie onderkend en hiervoor ook middelen gereserveerd, maar een wezenlijke versnelling is hiermee nog geen feit.</w:t>
          </w:r>
        </w:p>
        <w:p w:rsidR="00CC7724" w:rsidP="00CC7724" w:rsidRDefault="00CC7724" w14:paraId="5BC10DCF" w14:textId="77777777"/>
        <w:p w:rsidR="00CC7724" w:rsidP="00CC7724" w:rsidRDefault="00CC7724" w14:paraId="183BB244" w14:textId="77777777">
          <w:r>
            <w:t>Ook hier is de erfenis van deze generatie voor de volgende aan de orde. Vanuit de urgentie van de ‘eigen’ energie- en industrieagenda is hernieuwde inzet op de energietransitie dan ook cruciaal. Daarmee komen de klimaat- en energieagenda samen in de energietransitie; nieuwe ‘eigen’ energiebronnen op Nederlandse of Europese bodem zijn automatisch uitstootvrij. Fossiele opties zijn immers uitgeput. Daarmee zijn ook het klimaat- en energiebeleid en de inzet op productiviteitsgroei wederzijds versterkend; de meest kritieke en productieve industrieën kunnen alleen worden behouden als zij onderdeel worden van de transitie.</w:t>
          </w:r>
        </w:p>
        <w:p w:rsidR="00CC7724" w:rsidP="00CC7724" w:rsidRDefault="00CC7724" w14:paraId="45329C0A" w14:textId="77777777"/>
        <w:p w:rsidR="00CC7724" w:rsidP="00CC7724" w:rsidRDefault="00CC7724" w14:paraId="41991475" w14:textId="77777777">
          <w:r>
            <w:t>4.</w:t>
          </w:r>
          <w:r>
            <w:tab/>
          </w:r>
          <w:r w:rsidRPr="0006360E">
            <w:rPr>
              <w:u w:val="single"/>
            </w:rPr>
            <w:t>Conclusie</w:t>
          </w:r>
        </w:p>
        <w:p w:rsidR="00CC7724" w:rsidP="00CC7724" w:rsidRDefault="00CC7724" w14:paraId="28B2AAC4" w14:textId="77777777"/>
        <w:p w:rsidR="00CC7724" w:rsidP="00CC7724" w:rsidRDefault="00CC7724" w14:paraId="6CCA8784" w14:textId="604C5AF7">
          <w:r>
            <w:t xml:space="preserve">Al met al zou </w:t>
          </w:r>
          <w:r w:rsidR="00EB487C">
            <w:t xml:space="preserve">Nederland </w:t>
          </w:r>
          <w:r>
            <w:t xml:space="preserve">op ten minste de drie </w:t>
          </w:r>
          <w:r w:rsidR="00354710">
            <w:t xml:space="preserve">hiervoor besproken </w:t>
          </w:r>
          <w:r>
            <w:t>terreinen</w:t>
          </w:r>
          <w:r w:rsidR="00212C7C">
            <w:rPr>
              <w:rStyle w:val="Voetnootmarkering"/>
            </w:rPr>
            <w:footnoteReference w:id="64"/>
          </w:r>
          <w:r>
            <w:t xml:space="preserve"> </w:t>
          </w:r>
          <w:r w:rsidR="001A3647">
            <w:t xml:space="preserve">zich </w:t>
          </w:r>
          <w:r>
            <w:t xml:space="preserve">moeten inzetten </w:t>
          </w:r>
          <w:r w:rsidR="00E344F9">
            <w:t xml:space="preserve">om </w:t>
          </w:r>
          <w:r>
            <w:t>de problemen van vandaag niet door te schuiven naar een volgende generatie. De uitdagingen zijn niet willekeurig gekozen – zij hangen onderling samen. Een beheersbare schuld en een hoge productiviteit stellen Nederland in staat om een (versnelling van de) energietransitie te financieren. Door een geslaagde transitie wordt Nederland minder afhankelijk voor zijn energie, kan het daarmee de kosten beter beheersen en kritieke, productieve bedrijfstakken, ook energie-intensieve, behouden en verduurzamen. Duurzaam productieve bedrijfstakken zijn ook de bron waaruit de welvaart, lonen, koopkracht voor alle Nederlanders én de collectieve voorzieningen kunnen worden bekostigd. Daarmee laten wij volgende generaties een weerbaarder land na met een gezonde, duurzame economie.</w:t>
          </w:r>
        </w:p>
        <w:p w:rsidR="00CC7724" w:rsidP="00CC7724" w:rsidRDefault="00CC7724" w14:paraId="30BDB749" w14:textId="77777777">
          <w:r>
            <w:br w:type="page"/>
          </w:r>
        </w:p>
        <w:p w:rsidR="00CC7724" w:rsidP="00CC7724" w:rsidRDefault="00CC7724" w14:paraId="792D2762" w14:textId="77777777">
          <w:r w:rsidRPr="00891B49">
            <w:lastRenderedPageBreak/>
            <w:t>D.</w:t>
          </w:r>
          <w:r>
            <w:t xml:space="preserve"> </w:t>
          </w:r>
          <w:r w:rsidRPr="00891B49">
            <w:t>SEPTEMBERRAPPORTAGE 2026</w:t>
          </w:r>
          <w:r>
            <w:t xml:space="preserve"> </w:t>
          </w:r>
        </w:p>
        <w:p w:rsidR="00CC7724" w:rsidP="00CC7724" w:rsidRDefault="00CC7724" w14:paraId="544CDFD3" w14:textId="77777777"/>
        <w:p w:rsidR="00CC7724" w:rsidP="00CC7724" w:rsidRDefault="00CC7724" w14:paraId="243379FF" w14:textId="77777777">
          <w:r>
            <w:t xml:space="preserve">In de Septemberrapportage beoordeelt de Afdeling of de overheidsfinanciën, zoals gepresenteerd in de Miljoenennota in het lopende jaar (‘in </w:t>
          </w:r>
          <w:proofErr w:type="spellStart"/>
          <w:r>
            <w:t>year</w:t>
          </w:r>
          <w:proofErr w:type="spellEnd"/>
          <w:r>
            <w:t>’) en in het komende jaar (ex-ante), voldoen aan de Europese en nationale begrotingsregels.</w:t>
          </w:r>
          <w:r w:rsidRPr="00C71055">
            <w:rPr>
              <w:rStyle w:val="Voetnootmarkering"/>
            </w:rPr>
            <w:t xml:space="preserve"> </w:t>
          </w:r>
          <w:r>
            <w:rPr>
              <w:rStyle w:val="Voetnootmarkering"/>
            </w:rPr>
            <w:footnoteReference w:id="65"/>
          </w:r>
          <w:r>
            <w:t xml:space="preserve"> Dit doet de Afdeling vanuit haar taak als onafhankelijk begrotingstoezichthouder. De Afdeling vervult deze rol samen met het CPB. De begrotingstoetsing baseert zich ook op de laatst beschikbare raming van het CPB (MEV-raming). Daarnaast reflecteert de Afdeling ook op de houdbaarheid van de overheidsfinanciën op de middellange termijn. </w:t>
          </w:r>
        </w:p>
        <w:p w:rsidR="00CC7724" w:rsidP="00CC7724" w:rsidRDefault="00CC7724" w14:paraId="65DBE508" w14:textId="77777777">
          <w:pPr>
            <w:rPr>
              <w:b/>
            </w:rPr>
          </w:pPr>
        </w:p>
        <w:p w:rsidRPr="002B26B2" w:rsidR="00CC7724" w:rsidP="00CC7724" w:rsidRDefault="00CC7724" w14:paraId="3FEE42FE" w14:textId="77777777">
          <w:r w:rsidRPr="002B26B2">
            <w:t xml:space="preserve">1. </w:t>
          </w:r>
          <w:r w:rsidRPr="002B26B2">
            <w:tab/>
          </w:r>
          <w:r w:rsidRPr="002B26B2">
            <w:rPr>
              <w:u w:val="single"/>
            </w:rPr>
            <w:t>Europese begrotingstoetsing</w:t>
          </w:r>
        </w:p>
        <w:p w:rsidR="00CC7724" w:rsidP="00CC7724" w:rsidRDefault="00CC7724" w14:paraId="328CD102" w14:textId="77777777">
          <w:pPr>
            <w:rPr>
              <w:b/>
            </w:rPr>
          </w:pPr>
        </w:p>
        <w:p w:rsidRPr="002B26B2" w:rsidR="00CC7724" w:rsidP="00CC7724" w:rsidRDefault="00CC7724" w14:paraId="5F3AFF2F" w14:textId="77777777">
          <w:pPr>
            <w:rPr>
              <w:i/>
            </w:rPr>
          </w:pPr>
          <w:r>
            <w:t>1.1</w:t>
          </w:r>
          <w:r w:rsidRPr="002B26B2">
            <w:rPr>
              <w:i/>
            </w:rPr>
            <w:tab/>
            <w:t>Relevante context</w:t>
          </w:r>
        </w:p>
        <w:p w:rsidR="00CC7724" w:rsidP="00CC7724" w:rsidRDefault="00CC7724" w14:paraId="755C9685" w14:textId="77777777">
          <w:pPr>
            <w:rPr>
              <w:b/>
            </w:rPr>
          </w:pPr>
        </w:p>
        <w:p w:rsidR="00CC7724" w:rsidP="00CC7724" w:rsidRDefault="00CC7724" w14:paraId="7C077475" w14:textId="77777777">
          <w:r>
            <w:t xml:space="preserve">De publicaties van de Europese Commissie in het kader van het Europees Semester bevatten de richtsnoeren voor het te voeren begrotingsbeleid voor de Eurozone als geheel en voor de individuele lidstaat, de </w:t>
          </w:r>
          <w:proofErr w:type="spellStart"/>
          <w:r>
            <w:t>landspecifieke</w:t>
          </w:r>
          <w:proofErr w:type="spellEnd"/>
          <w:r>
            <w:t xml:space="preserve"> aanbevelingen en eventuele macro-economische onevenwichtigheden. </w:t>
          </w:r>
        </w:p>
        <w:p w:rsidR="00CC7724" w:rsidP="00CC7724" w:rsidRDefault="00CC7724" w14:paraId="450BAE5B" w14:textId="77777777"/>
        <w:p w:rsidR="00CC7724" w:rsidP="00CC7724" w:rsidRDefault="00CC7724" w14:paraId="6C2CAAA7" w14:textId="77777777">
          <w:r>
            <w:t>Sinds de vorige beoordeling in het kader van het begrotingstoezicht door de Afdeling heeft zich een aantal relevante ontwikkelingen voorgedaan. Het kabinet-Jetten heeft ervoor gekozen om bij aantreden een herzien budgettair-structureel plan in te dienen.</w:t>
          </w:r>
          <w:r>
            <w:rPr>
              <w:rStyle w:val="Voetnootmarkering"/>
            </w:rPr>
            <w:footnoteReference w:id="66"/>
          </w:r>
          <w:r>
            <w:t xml:space="preserve"> Dit plan is op 14 april 2026 ingediend bij de Raad van de Europese Unie en de Europese Commissie.</w:t>
          </w:r>
          <w:r>
            <w:rPr>
              <w:rStyle w:val="Voetnootmarkering"/>
            </w:rPr>
            <w:footnoteReference w:id="67"/>
          </w:r>
          <w:r>
            <w:t xml:space="preserve"> Dit plan bestrijkt een periode van vijf jaar (2026 – 2030), met een aanpassingsperiode van vier jaar (2026 – 2029). </w:t>
          </w:r>
        </w:p>
        <w:p w:rsidR="00CC7724" w:rsidP="00CC7724" w:rsidRDefault="00CC7724" w14:paraId="089BC175" w14:textId="77777777"/>
        <w:p w:rsidR="00CC7724" w:rsidP="00CC7724" w:rsidRDefault="00CC7724" w14:paraId="5A59517C" w14:textId="77777777">
          <w:r>
            <w:t>Voorafgaand aan de indiening van het herziene plan heeft Nederland technische informatie van de Commissie ontvangen. Deze informatie geeft aan welk niveau van het structureel primair saldo</w:t>
          </w:r>
          <w:r w:rsidRPr="00437736">
            <w:t xml:space="preserve"> (de overheidsuitgaven geschoond voor rentebetalingen en conjuncturele invloeden)</w:t>
          </w:r>
          <w:r>
            <w:t xml:space="preserve"> aan het einde van de aanpassingsperiode (2029) noodzakelijk is om het overheidstekort onder de 3% bbp en de overheidsschuld onder de 60% bbp te houden over de middellange termijn. </w:t>
          </w:r>
        </w:p>
        <w:p w:rsidR="00CC7724" w:rsidP="00CC7724" w:rsidRDefault="00CC7724" w14:paraId="2F97F3CA" w14:textId="77777777"/>
        <w:p w:rsidR="000447B6" w:rsidP="00CC7724" w:rsidRDefault="00CC7724" w14:paraId="136E4E16" w14:textId="77777777">
          <w:r>
            <w:t xml:space="preserve">De Commissie heeft het herziene plan op 3 juni 2026 beoordeeld en concludeert dat het </w:t>
          </w:r>
          <w:proofErr w:type="spellStart"/>
          <w:r>
            <w:t>uitgavenpad</w:t>
          </w:r>
          <w:proofErr w:type="spellEnd"/>
          <w:r>
            <w:t xml:space="preserve">, uitgaande van de aannames en beleidsvoornemens van het plan, in overeenstemming is met de vereisten van de Europese begrotingsregels: </w:t>
          </w:r>
          <w:r>
            <w:lastRenderedPageBreak/>
            <w:t xml:space="preserve">het feitelijk EMU-saldo zou volgens het plan in het DSA-model van de Europese Commissie oplopen tot -2,4% bbp in 2026 en vervolgens geleidelijk dalen tot </w:t>
          </w:r>
        </w:p>
        <w:p w:rsidR="00CC7724" w:rsidP="00CC7724" w:rsidRDefault="000447B6" w14:paraId="73705BE1" w14:textId="2383D425">
          <w:r>
            <w:t>-</w:t>
          </w:r>
          <w:r w:rsidR="00CC7724">
            <w:t>1,2% bbp aan het einde van de aanpassingsperiode in 2029, terwijl de EMU-schuld volgens het plan zou dalen van 46,8% bbp in 2026 naar 45,6% bbp in 2029.</w:t>
          </w:r>
          <w:r w:rsidR="00CC7724">
            <w:rPr>
              <w:rStyle w:val="Voetnootmarkering"/>
            </w:rPr>
            <w:footnoteReference w:id="68"/>
          </w:r>
          <w:r w:rsidR="00CC7724">
            <w:t xml:space="preserve"> Op grond van deze beoordeling heeft de Commissie de Raad voorgesteld het herziene plan goed te keuren en een nieuw </w:t>
          </w:r>
          <w:proofErr w:type="spellStart"/>
          <w:r w:rsidR="00CC7724">
            <w:t>uitgavenpad</w:t>
          </w:r>
          <w:proofErr w:type="spellEnd"/>
          <w:r w:rsidR="00CC7724">
            <w:t xml:space="preserve"> aan te bevelen dat het oude </w:t>
          </w:r>
          <w:proofErr w:type="spellStart"/>
          <w:r w:rsidR="00CC7724">
            <w:t>uitgavenpad</w:t>
          </w:r>
          <w:proofErr w:type="spellEnd"/>
          <w:r w:rsidR="00CC7724">
            <w:t xml:space="preserve"> vervangt.</w:t>
          </w:r>
          <w:r w:rsidR="00CC7724">
            <w:rPr>
              <w:rStyle w:val="Voetnootmarkering"/>
            </w:rPr>
            <w:footnoteReference w:id="69"/>
          </w:r>
          <w:r w:rsidR="00CC7724">
            <w:t xml:space="preserve"> De aanbevelingen van de Commissie zijn inmiddels door de Raad overgenomen en vastgesteld.</w:t>
          </w:r>
          <w:r w:rsidR="003742A7">
            <w:rPr>
              <w:rStyle w:val="Voetnootmarkering"/>
            </w:rPr>
            <w:footnoteReference w:id="70"/>
          </w:r>
          <w:r w:rsidR="00CC7724">
            <w:t xml:space="preserve"> </w:t>
          </w:r>
        </w:p>
        <w:p w:rsidR="00CC7724" w:rsidP="00CC7724" w:rsidRDefault="00CC7724" w14:paraId="3881BC3A" w14:textId="77777777"/>
        <w:p w:rsidR="00CC7724" w:rsidP="00CC7724" w:rsidRDefault="00CC7724" w14:paraId="641ECFB7" w14:textId="77777777">
          <w:r>
            <w:t xml:space="preserve">Dat de Commissie het nieuwe plan als verenigbaar met de Europese begrotingsregels beoordeelt, markeert een omslag ten opzichte van het vorige begrotingsjaar. In de Raadsconclusies over het eerste Nederlandse plan was immers vastgesteld dat dit niet voldeed aan de vereisten van de Europese begrotingsregels; de Afdeling is in haar begrotingsrapportages tot eenzelfde oordeel gekomen. </w:t>
          </w:r>
        </w:p>
        <w:p w:rsidR="00CC7724" w:rsidP="00CC7724" w:rsidRDefault="00CC7724" w14:paraId="0D1386BC" w14:textId="77777777"/>
        <w:p w:rsidR="00CC7724" w:rsidP="00CC7724" w:rsidRDefault="00CC7724" w14:paraId="41249950" w14:textId="77777777">
          <w:r>
            <w:t xml:space="preserve">Wat betreft de procedure bij macro-economische onevenwichtigheden (MEOP) heeft de Commissie in het voorjaar 2025 voor Nederland geconcludeerd dat er sprake bleef van onevenwichtigheden, samenhangend met hoge private schulden, de woningmarkt en het overschot op de lopende rekening. Naar aanleiding van een uitgevoerd diepteonderzoek concludeert de Commissie nu dat deze kwetsbaarheden weliswaar nog aanwezig zijn, maar de afgelopen periode zijn afgenomen. Op basis hiervan heeft de Commissie in juni 2026 geconcludeerd dat Nederland niet langer onevenwichtigheden ondervindt. </w:t>
          </w:r>
        </w:p>
        <w:p w:rsidR="00CC7724" w:rsidP="00CC7724" w:rsidRDefault="00CC7724" w14:paraId="341A62B0" w14:textId="77777777"/>
        <w:p w:rsidR="00CC7724" w:rsidP="00CC7724" w:rsidRDefault="00CC7724" w14:paraId="7348BE7E" w14:textId="77777777">
          <w:r w:rsidRPr="001A3507">
            <w:t xml:space="preserve">De Commissie motiveert dit als volgt: </w:t>
          </w:r>
          <w:r>
            <w:t>“</w:t>
          </w:r>
          <w:r w:rsidRPr="001A3507">
            <w:t xml:space="preserve">het overschot op de lopende rekening is enigszins gedaald — deels structureel, gelet op de rol van Nederland als Europese </w:t>
          </w:r>
          <w:proofErr w:type="spellStart"/>
          <w:r w:rsidRPr="001A3507">
            <w:t>handelshub</w:t>
          </w:r>
          <w:proofErr w:type="spellEnd"/>
          <w:r w:rsidRPr="001A3507">
            <w:t xml:space="preserve"> met veel gevestigde multinationals — en de daling weerspiegelt vanuit spaar-investeringsperspectief dat de binnenlandse vraag de belangrijkste aanjager van de recente bbp-groei is geweest; het overschot wordt dit en volgend jaar niet verder verwacht toe te nemen. De huizenprijzen blijven zichtbaar stijgen bij een beperkt woningaanbod, en de private schuldquote van huishoudens is in 2025 opnieuw gedaald, zij het langzamer dan voorheen omdat de lagere rente tot meer lenen heeft geleid; risico's die samenhangen met de hoge huishoudschuld worden deels gemitigeerd door de in Nederland gebruikelijke rentevaste hypotheke</w:t>
          </w:r>
          <w:r>
            <w:t>n.”</w:t>
          </w:r>
          <w:r>
            <w:rPr>
              <w:rStyle w:val="Voetnootmarkering"/>
            </w:rPr>
            <w:footnoteReference w:id="71"/>
          </w:r>
          <w:r>
            <w:t xml:space="preserve"> D</w:t>
          </w:r>
          <w:r w:rsidRPr="00BA0191">
            <w:t xml:space="preserve">e Commissie wijst er op dat verdere opvoering van het woningaanbod en aanpak van de fiscale bevoordeling van </w:t>
          </w:r>
          <w:proofErr w:type="spellStart"/>
          <w:r w:rsidRPr="00BA0191">
            <w:t>schuldgefinancierde</w:t>
          </w:r>
          <w:proofErr w:type="spellEnd"/>
          <w:r w:rsidRPr="00BA0191">
            <w:t xml:space="preserve"> woningaankoop, alsmede bevordering van binnenlandse investeringen, gewenst blijven.</w:t>
          </w:r>
        </w:p>
        <w:p w:rsidR="00CC7724" w:rsidP="00CC7724" w:rsidRDefault="00CC7724" w14:paraId="48C0EFB1" w14:textId="77777777"/>
        <w:p w:rsidR="00CC7724" w:rsidP="00CC7724" w:rsidRDefault="00CC7724" w14:paraId="2CB84653" w14:textId="77777777">
          <w:r w:rsidRPr="006A6B65">
            <w:t xml:space="preserve">De </w:t>
          </w:r>
          <w:proofErr w:type="spellStart"/>
          <w:r w:rsidRPr="006A6B65">
            <w:t>landspecifieke</w:t>
          </w:r>
          <w:proofErr w:type="spellEnd"/>
          <w:r w:rsidRPr="006A6B65">
            <w:t xml:space="preserve"> aanbevelingen voor Nederland</w:t>
          </w:r>
          <w:r>
            <w:t xml:space="preserve"> voor de periode 2026 – 2027 hebben betrekking op vijf thema’s: het begrotingsbeleid, de benutting van EU-instrumenten, innovatie en toegang tot financiering, energie, klimaat en stikstof en de arbeidsmarkt en vaardigheden.</w:t>
          </w:r>
          <w:r>
            <w:rPr>
              <w:rStyle w:val="Voetnootmarkering"/>
            </w:rPr>
            <w:footnoteReference w:id="72"/>
          </w:r>
          <w:r w:rsidRPr="006A6B65">
            <w:t xml:space="preserve"> </w:t>
          </w:r>
          <w:r>
            <w:t xml:space="preserve">In de cyclus van het Europees Semester dient te worden gerapporteerd over de voortgang van de uitvoering van hervormingen en investeringen die de </w:t>
          </w:r>
          <w:proofErr w:type="spellStart"/>
          <w:r>
            <w:t>landspecifieke</w:t>
          </w:r>
          <w:proofErr w:type="spellEnd"/>
          <w:r>
            <w:t xml:space="preserve"> aanbevelingen adresseren, in de jaarlijkse voortgangsrapportage (</w:t>
          </w:r>
          <w:proofErr w:type="spellStart"/>
          <w:r>
            <w:t>Annual</w:t>
          </w:r>
          <w:proofErr w:type="spellEnd"/>
          <w:r>
            <w:t xml:space="preserve"> </w:t>
          </w:r>
          <w:proofErr w:type="spellStart"/>
          <w:r>
            <w:t>Progress</w:t>
          </w:r>
          <w:proofErr w:type="spellEnd"/>
          <w:r>
            <w:t xml:space="preserve"> Report).</w:t>
          </w:r>
          <w:r>
            <w:rPr>
              <w:rStyle w:val="Voetnootmarkering"/>
            </w:rPr>
            <w:footnoteReference w:id="73"/>
          </w:r>
          <w:r>
            <w:t xml:space="preserve"> De Afdeling zal bij haar advies over die rapportage verdiepend nagaan op welke wijze het kabinet opvolging heeft gegeven aan de </w:t>
          </w:r>
          <w:proofErr w:type="spellStart"/>
          <w:r>
            <w:t>landspecifieke</w:t>
          </w:r>
          <w:proofErr w:type="spellEnd"/>
          <w:r>
            <w:t xml:space="preserve"> aanbevelingen, dan wel toelichting geeft waarom niet. </w:t>
          </w:r>
        </w:p>
        <w:p w:rsidR="00CC7724" w:rsidP="00CC7724" w:rsidRDefault="00CC7724" w14:paraId="346E9CA5" w14:textId="77777777"/>
        <w:p w:rsidRPr="006A6B65" w:rsidR="00CC7724" w:rsidP="00CC7724" w:rsidRDefault="00CC7724" w14:paraId="127C2C27" w14:textId="77777777">
          <w:r w:rsidRPr="006A6B65">
            <w:t>Tot slot is de context van de nationale ontsnappingsclausule voor defensie-uitgaven relevant. Deze clausule biedt tot 2028 beperkte en tijdelijke flexibiliteit van maximaal 1,5% bbp ten opzichte van een referentiejaar.</w:t>
          </w:r>
          <w:r>
            <w:rPr>
              <w:rStyle w:val="Voetnootmarkering"/>
            </w:rPr>
            <w:footnoteReference w:id="74"/>
          </w:r>
          <w:r w:rsidRPr="006A6B65">
            <w:t xml:space="preserve"> Inmiddels hebben zeventien lidstaten deze clausule geactiveerd</w:t>
          </w:r>
          <w:r>
            <w:t>.</w:t>
          </w:r>
          <w:r>
            <w:rPr>
              <w:rStyle w:val="Voetnootmarkering"/>
            </w:rPr>
            <w:footnoteReference w:id="75"/>
          </w:r>
          <w:r>
            <w:t xml:space="preserve"> </w:t>
          </w:r>
          <w:r w:rsidRPr="006A6B65">
            <w:t>Nederland heeft, evenals vorig jaar, geen verzoek tot activering ingediend. Nieuw is dat de Commissie, met het oog op de gevolgen van het conflict in het Midden-Oosten voor de Europese energiezekerheid, lidstaten de mogelijkheid biedt de reikwijdte van de bestaande ontsnappingsclausule te verbreden naar maatregelen die de afhankelijkheid van fossiele brandstoffen verminderen, binnen het bestaande maximum van 1,5% bbp en met een specifiek deelplafond van 0,3% bbp per jaar (0,6% bbp cumulatief) voor de periode 2026-2028.</w:t>
          </w:r>
          <w:r>
            <w:rPr>
              <w:rStyle w:val="Voetnootmarkering"/>
            </w:rPr>
            <w:footnoteReference w:id="76"/>
          </w:r>
        </w:p>
        <w:p w:rsidR="00CC7724" w:rsidP="00CC7724" w:rsidRDefault="00CC7724" w14:paraId="40B68F36" w14:textId="77777777">
          <w:pPr>
            <w:rPr>
              <w:b/>
            </w:rPr>
          </w:pPr>
        </w:p>
        <w:p w:rsidR="00CC7724" w:rsidP="00CC7724" w:rsidRDefault="00CC7724" w14:paraId="36A0E98D" w14:textId="77777777">
          <w:pPr>
            <w:rPr>
              <w:i/>
            </w:rPr>
          </w:pPr>
          <w:r>
            <w:t>1.2</w:t>
          </w:r>
          <w:r w:rsidRPr="00DF2D60">
            <w:rPr>
              <w:i/>
            </w:rPr>
            <w:tab/>
            <w:t>Toetsing aan de Europese begrotingsregels</w:t>
          </w:r>
        </w:p>
        <w:p w:rsidRPr="006D1284" w:rsidR="00CC7724" w:rsidP="00CC7724" w:rsidRDefault="00CC7724" w14:paraId="562CA561" w14:textId="77777777">
          <w:pPr>
            <w:rPr>
              <w:b/>
            </w:rPr>
          </w:pPr>
        </w:p>
        <w:p w:rsidRPr="008A7C42" w:rsidR="00CC7724" w:rsidP="00CC7724" w:rsidRDefault="00CC7724" w14:paraId="09D16E4E" w14:textId="77777777">
          <w:pPr>
            <w:rPr>
              <w:i/>
            </w:rPr>
          </w:pPr>
          <w:r w:rsidRPr="008A7C42">
            <w:rPr>
              <w:i/>
            </w:rPr>
            <w:t xml:space="preserve">Toetsing aan de normen uit de preventieve arm </w:t>
          </w:r>
        </w:p>
        <w:p w:rsidR="00CC7724" w:rsidP="00CC7724" w:rsidRDefault="00CC7724" w14:paraId="79731A4E" w14:textId="77777777">
          <w:r w:rsidRPr="603D6D4D">
            <w:rPr>
              <w:rFonts w:eastAsia="Univers" w:cs="Univers"/>
              <w:szCs w:val="22"/>
            </w:rPr>
            <w:t xml:space="preserve">Het herziene Europese begrotingsraamwerk kent één operationele sturingsvariabele voor de preventieve arm: het </w:t>
          </w:r>
          <w:proofErr w:type="spellStart"/>
          <w:r w:rsidRPr="603D6D4D">
            <w:rPr>
              <w:rFonts w:eastAsia="Univers" w:cs="Univers"/>
              <w:szCs w:val="22"/>
            </w:rPr>
            <w:t>landspecifieke</w:t>
          </w:r>
          <w:proofErr w:type="spellEnd"/>
          <w:r w:rsidRPr="603D6D4D">
            <w:rPr>
              <w:rFonts w:eastAsia="Univers" w:cs="Univers"/>
              <w:szCs w:val="22"/>
            </w:rPr>
            <w:t xml:space="preserve"> netto primaire gefinancierde </w:t>
          </w:r>
          <w:proofErr w:type="spellStart"/>
          <w:r w:rsidRPr="603D6D4D">
            <w:rPr>
              <w:rFonts w:eastAsia="Univers" w:cs="Univers"/>
              <w:szCs w:val="22"/>
            </w:rPr>
            <w:t>uitgavenpad</w:t>
          </w:r>
          <w:proofErr w:type="spellEnd"/>
          <w:r>
            <w:rPr>
              <w:rFonts w:eastAsia="Univers" w:cs="Univers"/>
              <w:szCs w:val="22"/>
            </w:rPr>
            <w:t xml:space="preserve"> (hierna ook: het </w:t>
          </w:r>
          <w:proofErr w:type="spellStart"/>
          <w:r>
            <w:rPr>
              <w:rFonts w:eastAsia="Univers" w:cs="Univers"/>
              <w:szCs w:val="22"/>
            </w:rPr>
            <w:t>uitgavenpad</w:t>
          </w:r>
          <w:proofErr w:type="spellEnd"/>
          <w:r>
            <w:rPr>
              <w:rFonts w:eastAsia="Univers" w:cs="Univers"/>
              <w:szCs w:val="22"/>
            </w:rPr>
            <w:t xml:space="preserve">). Dit </w:t>
          </w:r>
          <w:proofErr w:type="spellStart"/>
          <w:r>
            <w:rPr>
              <w:rFonts w:eastAsia="Univers" w:cs="Univers"/>
              <w:szCs w:val="22"/>
            </w:rPr>
            <w:t>uitgavenpad</w:t>
          </w:r>
          <w:proofErr w:type="spellEnd"/>
          <w:r>
            <w:rPr>
              <w:rFonts w:eastAsia="Univers" w:cs="Univers"/>
              <w:szCs w:val="22"/>
            </w:rPr>
            <w:t xml:space="preserve"> is </w:t>
          </w:r>
          <w:r w:rsidRPr="603D6D4D">
            <w:rPr>
              <w:rFonts w:eastAsia="Univers" w:cs="Univers"/>
              <w:szCs w:val="22"/>
            </w:rPr>
            <w:t xml:space="preserve">vastgelegd in het budgettair-structureel plan voor de middellange termijn en </w:t>
          </w:r>
          <w:r w:rsidRPr="603D6D4D">
            <w:rPr>
              <w:rFonts w:eastAsia="Univers" w:cs="Univers"/>
              <w:szCs w:val="22"/>
            </w:rPr>
            <w:lastRenderedPageBreak/>
            <w:t xml:space="preserve">bekrachtigd via een aanbeveling van de Raad van de Europese Unie. </w:t>
          </w:r>
          <w:r>
            <w:rPr>
              <w:rFonts w:eastAsia="Univers" w:cs="Univers"/>
              <w:szCs w:val="22"/>
            </w:rPr>
            <w:t xml:space="preserve">Het </w:t>
          </w:r>
          <w:proofErr w:type="spellStart"/>
          <w:r>
            <w:rPr>
              <w:rFonts w:eastAsia="Univers" w:cs="Univers"/>
              <w:szCs w:val="22"/>
            </w:rPr>
            <w:t>uitgaven</w:t>
          </w:r>
          <w:r w:rsidRPr="603D6D4D">
            <w:rPr>
              <w:rFonts w:eastAsia="Univers" w:cs="Univers"/>
              <w:szCs w:val="22"/>
            </w:rPr>
            <w:t>pad</w:t>
          </w:r>
          <w:proofErr w:type="spellEnd"/>
          <w:r w:rsidRPr="603D6D4D">
            <w:rPr>
              <w:rFonts w:eastAsia="Univers" w:cs="Univers"/>
              <w:szCs w:val="22"/>
            </w:rPr>
            <w:t xml:space="preserve"> schrijft voor met welke maximale groei de netto primaire uitgaven jaarlijks mogen stijgen om de overheidsfinanciën op middellange termijn houdbaar te houden. </w:t>
          </w:r>
        </w:p>
        <w:p w:rsidR="00CC7724" w:rsidP="00CC7724" w:rsidRDefault="00CC7724" w14:paraId="4FC526F5" w14:textId="77777777">
          <w:pPr>
            <w:rPr>
              <w:rFonts w:eastAsia="Univers" w:cs="Univers"/>
              <w:szCs w:val="22"/>
            </w:rPr>
          </w:pPr>
        </w:p>
        <w:p w:rsidR="00CC7724" w:rsidP="00CC7724" w:rsidRDefault="00CC7724" w14:paraId="59747253" w14:textId="77777777">
          <w:pPr>
            <w:rPr>
              <w:rFonts w:eastAsia="Univers" w:cs="Univers"/>
              <w:szCs w:val="22"/>
            </w:rPr>
          </w:pPr>
          <w:r w:rsidRPr="603D6D4D">
            <w:rPr>
              <w:rFonts w:eastAsia="Univers" w:cs="Univers"/>
              <w:szCs w:val="22"/>
            </w:rPr>
            <w:t xml:space="preserve">De preventieve arm </w:t>
          </w:r>
          <w:r>
            <w:rPr>
              <w:rFonts w:eastAsia="Univers" w:cs="Univers"/>
              <w:szCs w:val="22"/>
            </w:rPr>
            <w:t xml:space="preserve">beoogt te bevorderen </w:t>
          </w:r>
          <w:r w:rsidRPr="603D6D4D">
            <w:rPr>
              <w:rFonts w:eastAsia="Univers" w:cs="Univers"/>
              <w:szCs w:val="22"/>
            </w:rPr>
            <w:t xml:space="preserve">dat lidstaten sturen op het </w:t>
          </w:r>
          <w:proofErr w:type="spellStart"/>
          <w:r w:rsidRPr="603D6D4D">
            <w:rPr>
              <w:rFonts w:eastAsia="Univers" w:cs="Univers"/>
              <w:szCs w:val="22"/>
            </w:rPr>
            <w:t>uitgavenpad</w:t>
          </w:r>
          <w:proofErr w:type="spellEnd"/>
          <w:r w:rsidRPr="603D6D4D">
            <w:rPr>
              <w:rFonts w:eastAsia="Univers" w:cs="Univers"/>
              <w:szCs w:val="22"/>
            </w:rPr>
            <w:t xml:space="preserve"> zolang het tekort en de schuld binnen de referentiewaarden zijn</w:t>
          </w:r>
          <w:r>
            <w:rPr>
              <w:rFonts w:eastAsia="Univers" w:cs="Univers"/>
              <w:szCs w:val="22"/>
            </w:rPr>
            <w:t xml:space="preserve">. </w:t>
          </w:r>
          <w:r w:rsidRPr="603D6D4D">
            <w:rPr>
              <w:rFonts w:eastAsia="Univers" w:cs="Univers"/>
              <w:szCs w:val="22"/>
            </w:rPr>
            <w:t xml:space="preserve">Sturing op het </w:t>
          </w:r>
          <w:proofErr w:type="spellStart"/>
          <w:r w:rsidRPr="603D6D4D">
            <w:rPr>
              <w:rFonts w:eastAsia="Univers" w:cs="Univers"/>
              <w:szCs w:val="22"/>
            </w:rPr>
            <w:t>uitgavenpad</w:t>
          </w:r>
          <w:proofErr w:type="spellEnd"/>
          <w:r w:rsidRPr="603D6D4D">
            <w:rPr>
              <w:rFonts w:eastAsia="Univers" w:cs="Univers"/>
              <w:szCs w:val="22"/>
            </w:rPr>
            <w:t xml:space="preserve"> moet ervoor zorgen dat de geraamde schuld en het tekort op de middellange termijn bij verschillende scenario's onder de referentiewaarden voor het maximale overheidstekort (3% bbp) en de maximale overheidsschuld (60% bbp) blijven. Zo worden houdbare overheidsfinanciën, niet alleen op de korte, maar ook op de middellange termijn geborgd. </w:t>
          </w:r>
          <w:r>
            <w:rPr>
              <w:rFonts w:eastAsia="Univers" w:cs="Univers"/>
              <w:szCs w:val="22"/>
            </w:rPr>
            <w:t>Op deze wijze voorkomt de preventieve arm zo veel mogelijk dat in een later stadium de correctieve arm moet worden ingezet.</w:t>
          </w:r>
        </w:p>
        <w:p w:rsidR="00CC7724" w:rsidP="00CC7724" w:rsidRDefault="00CC7724" w14:paraId="6352B484" w14:textId="77777777"/>
        <w:p w:rsidR="00CC7724" w:rsidP="00CC7724" w:rsidRDefault="00CC7724" w14:paraId="76E40809" w14:textId="77777777">
          <w:r>
            <w:t xml:space="preserve">Zoals in paragraaf 1.1 uiteengezet, heeft de Raad in 2026 een nieuw </w:t>
          </w:r>
          <w:proofErr w:type="spellStart"/>
          <w:r>
            <w:t>uitgavenpad</w:t>
          </w:r>
          <w:proofErr w:type="spellEnd"/>
          <w:r>
            <w:t xml:space="preserve"> vastgesteld voor het door het kabinet Jetten ingediende, herziene budgettair-structureel plan; dit pad vervangt de aanbeveling van 21 januari 2025 en geldt voorts als de relevante norm voor de begrotingstoetsing. </w:t>
          </w:r>
        </w:p>
        <w:p w:rsidR="00CC7724" w:rsidP="00CC7724" w:rsidRDefault="00CC7724" w14:paraId="25154A8A" w14:textId="77777777"/>
        <w:p w:rsidR="00CC7724" w:rsidP="00CC7724" w:rsidRDefault="00CC7724" w14:paraId="3CD960FB" w14:textId="77777777">
          <w:r>
            <w:t>Het netto-</w:t>
          </w:r>
          <w:proofErr w:type="spellStart"/>
          <w:r>
            <w:t>uitgavenpad</w:t>
          </w:r>
          <w:proofErr w:type="spellEnd"/>
          <w:r>
            <w:t xml:space="preserve"> is gecorrigeerd voor rente-uitgaven, conjuncturele werkloosheidsuitgaven, uitgaven bekostigd uit EU-fondsen en cofinanciering, tijdelijke en eenmalige maatregelen en eventuele discretionaire inkomstenmaatregelen. In totaal gaat het dan om de jaarlijkse en cumulatieve groei van netto primair gefinancierde uitgaven. Over- en onderschrijdingen van het </w:t>
          </w:r>
          <w:proofErr w:type="spellStart"/>
          <w:r>
            <w:t>uitgavenpad</w:t>
          </w:r>
          <w:proofErr w:type="spellEnd"/>
          <w:r>
            <w:t xml:space="preserve"> worden bijgehouden in de zogenoemde controlerekening.</w:t>
          </w:r>
          <w:r w:rsidRPr="603D6D4D">
            <w:rPr>
              <w:rStyle w:val="Voetnootmarkering"/>
            </w:rPr>
            <w:footnoteReference w:id="77"/>
          </w:r>
          <w:r>
            <w:t xml:space="preserve"> </w:t>
          </w:r>
        </w:p>
        <w:p w:rsidR="00CC7724" w:rsidP="00CC7724" w:rsidRDefault="00CC7724" w14:paraId="7A6A56A5" w14:textId="77777777"/>
        <w:p w:rsidR="00CC7724" w:rsidP="00CC7724" w:rsidRDefault="00CC7724" w14:paraId="5C8AF37F" w14:textId="77777777">
          <w:r>
            <w:t xml:space="preserve">Het </w:t>
          </w:r>
          <w:proofErr w:type="spellStart"/>
          <w:r>
            <w:t>uitgavenpad</w:t>
          </w:r>
          <w:proofErr w:type="spellEnd"/>
          <w:r>
            <w:t xml:space="preserve"> uit het nieuwe budgettair-structureel plan schrijft voor dat de uitgaven jaarlijks gemiddeld 3,7% mogen groeien tussen 2026 – 2030.</w:t>
          </w:r>
          <w:r w:rsidRPr="00984988">
            <w:rPr>
              <w:rStyle w:val="Voetnootmarkering"/>
            </w:rPr>
            <w:footnoteReference w:id="78"/>
          </w:r>
          <w:r>
            <w:t xml:space="preserve"> Cumulatief mogen deze tot en met 2030 toenemen met 19,9%.</w:t>
          </w:r>
          <w:r w:rsidRPr="7073540F">
            <w:rPr>
              <w:rStyle w:val="Voetnootmarkering"/>
            </w:rPr>
            <w:footnoteReference w:id="79"/>
          </w:r>
          <w:r w:rsidRPr="00984988">
            <w:t xml:space="preserve"> </w:t>
          </w:r>
        </w:p>
        <w:p w:rsidR="00CC7724" w:rsidP="00CC7724" w:rsidRDefault="00CC7724" w14:paraId="59AC3D35" w14:textId="77777777"/>
        <w:p w:rsidR="00CC7724" w:rsidP="00CC7724" w:rsidRDefault="00CC7724" w14:paraId="1B0AF9A5" w14:textId="171048F3">
          <w:r>
            <w:t xml:space="preserve">Het doel van de toetsing aan de preventieve arm door de Afdeling is om vast te stellen of het gerealiseerde en geraamde niveau van de netto-uitgaven in overeenstemming is met het aanbevolen </w:t>
          </w:r>
          <w:proofErr w:type="spellStart"/>
          <w:r>
            <w:t>uitgavenpad</w:t>
          </w:r>
          <w:proofErr w:type="spellEnd"/>
          <w:r>
            <w:t>.</w:t>
          </w:r>
        </w:p>
        <w:p w:rsidR="00CC7724" w:rsidP="00CC7724" w:rsidRDefault="00CC7724" w14:paraId="0F17EF3C" w14:textId="77777777">
          <w:r>
            <w:br w:type="page"/>
          </w:r>
        </w:p>
        <w:p w:rsidRPr="0006360E" w:rsidR="00CC7724" w:rsidP="00CC7724" w:rsidRDefault="00CC7724" w14:paraId="24417E6E" w14:textId="77777777">
          <w:pPr>
            <w:rPr>
              <w:b/>
              <w:bCs/>
            </w:rPr>
          </w:pPr>
          <w:r w:rsidRPr="0006360E">
            <w:rPr>
              <w:b/>
              <w:bCs/>
            </w:rPr>
            <w:lastRenderedPageBreak/>
            <w:t>Tabel D.1. Gegevens preventieve arm 2026-2027</w:t>
          </w:r>
        </w:p>
        <w:tbl>
          <w:tblPr>
            <w:tblW w:w="7407" w:type="dxa"/>
            <w:tblCellMar>
              <w:left w:w="70" w:type="dxa"/>
              <w:right w:w="70" w:type="dxa"/>
            </w:tblCellMar>
            <w:tblLook w:val="04A0" w:firstRow="1" w:lastRow="0" w:firstColumn="1" w:lastColumn="0" w:noHBand="0" w:noVBand="1"/>
          </w:tblPr>
          <w:tblGrid>
            <w:gridCol w:w="5670"/>
            <w:gridCol w:w="777"/>
            <w:gridCol w:w="960"/>
          </w:tblGrid>
          <w:tr w:rsidRPr="009A3898" w:rsidR="00CC7724" w14:paraId="4CCAB6EF" w14:textId="77777777">
            <w:trPr>
              <w:cantSplit/>
              <w:trHeight w:val="255"/>
            </w:trPr>
            <w:tc>
              <w:tcPr>
                <w:tcW w:w="5670" w:type="dxa"/>
                <w:tcBorders>
                  <w:top w:val="single" w:color="auto" w:sz="8" w:space="0"/>
                  <w:left w:val="nil"/>
                  <w:bottom w:val="nil"/>
                  <w:right w:val="nil"/>
                </w:tcBorders>
                <w:shd w:val="clear" w:color="000000" w:fill="FFFFFF"/>
                <w:noWrap/>
                <w:vAlign w:val="bottom"/>
                <w:hideMark/>
              </w:tcPr>
              <w:p w:rsidRPr="009A3898" w:rsidR="00CC7724" w:rsidRDefault="00CC7724" w14:paraId="7F9C0D2F" w14:textId="77777777">
                <w:pPr>
                  <w:keepNext/>
                  <w:rPr>
                    <w:rFonts w:cs="Arial"/>
                    <w:b/>
                    <w:bCs/>
                    <w:sz w:val="18"/>
                    <w:szCs w:val="18"/>
                  </w:rPr>
                </w:pPr>
                <w:r w:rsidRPr="009A3898">
                  <w:rPr>
                    <w:rFonts w:cs="Arial"/>
                    <w:b/>
                    <w:bCs/>
                    <w:sz w:val="18"/>
                    <w:szCs w:val="18"/>
                  </w:rPr>
                  <w:t> </w:t>
                </w:r>
              </w:p>
            </w:tc>
            <w:tc>
              <w:tcPr>
                <w:tcW w:w="777" w:type="dxa"/>
                <w:tcBorders>
                  <w:top w:val="single" w:color="auto" w:sz="8" w:space="0"/>
                  <w:left w:val="nil"/>
                  <w:bottom w:val="nil"/>
                  <w:right w:val="nil"/>
                </w:tcBorders>
                <w:shd w:val="clear" w:color="000000" w:fill="FFFFFF"/>
                <w:noWrap/>
                <w:vAlign w:val="center"/>
                <w:hideMark/>
              </w:tcPr>
              <w:p w:rsidRPr="009A3898" w:rsidR="00CC7724" w:rsidRDefault="00CC7724" w14:paraId="20B2D25E" w14:textId="77777777">
                <w:pPr>
                  <w:keepNext/>
                  <w:jc w:val="center"/>
                  <w:rPr>
                    <w:rFonts w:cs="Arial"/>
                    <w:b/>
                    <w:bCs/>
                    <w:sz w:val="18"/>
                    <w:szCs w:val="18"/>
                  </w:rPr>
                </w:pPr>
                <w:r w:rsidRPr="009A3898">
                  <w:rPr>
                    <w:rFonts w:cs="Arial"/>
                    <w:b/>
                    <w:bCs/>
                    <w:sz w:val="18"/>
                    <w:szCs w:val="18"/>
                  </w:rPr>
                  <w:t>2026</w:t>
                </w:r>
              </w:p>
            </w:tc>
            <w:tc>
              <w:tcPr>
                <w:tcW w:w="960" w:type="dxa"/>
                <w:tcBorders>
                  <w:top w:val="single" w:color="auto" w:sz="8" w:space="0"/>
                  <w:left w:val="nil"/>
                  <w:bottom w:val="nil"/>
                  <w:right w:val="nil"/>
                </w:tcBorders>
                <w:shd w:val="clear" w:color="000000" w:fill="FFFFFF"/>
                <w:noWrap/>
                <w:vAlign w:val="center"/>
                <w:hideMark/>
              </w:tcPr>
              <w:p w:rsidRPr="009A3898" w:rsidR="00CC7724" w:rsidRDefault="00CC7724" w14:paraId="073D113B" w14:textId="77777777">
                <w:pPr>
                  <w:keepNext/>
                  <w:jc w:val="center"/>
                  <w:rPr>
                    <w:rFonts w:cs="Arial"/>
                    <w:b/>
                    <w:bCs/>
                    <w:sz w:val="18"/>
                    <w:szCs w:val="18"/>
                  </w:rPr>
                </w:pPr>
                <w:r w:rsidRPr="009A3898">
                  <w:rPr>
                    <w:rFonts w:cs="Arial"/>
                    <w:b/>
                    <w:bCs/>
                    <w:sz w:val="18"/>
                    <w:szCs w:val="18"/>
                  </w:rPr>
                  <w:t>2027</w:t>
                </w:r>
              </w:p>
            </w:tc>
          </w:tr>
          <w:tr w:rsidRPr="009A3898" w:rsidR="00CC7724" w14:paraId="55484333" w14:textId="77777777">
            <w:trPr>
              <w:cantSplit/>
              <w:trHeight w:val="255"/>
            </w:trPr>
            <w:tc>
              <w:tcPr>
                <w:tcW w:w="5670" w:type="dxa"/>
                <w:tcBorders>
                  <w:top w:val="single" w:color="auto" w:sz="4" w:space="0"/>
                  <w:left w:val="nil"/>
                  <w:bottom w:val="nil"/>
                  <w:right w:val="nil"/>
                </w:tcBorders>
                <w:shd w:val="clear" w:color="000000" w:fill="FFFFFF"/>
                <w:noWrap/>
                <w:vAlign w:val="bottom"/>
                <w:hideMark/>
              </w:tcPr>
              <w:p w:rsidRPr="009A3898" w:rsidR="00CC7724" w:rsidRDefault="00CC7724" w14:paraId="17D8D900" w14:textId="77777777">
                <w:pPr>
                  <w:keepNext/>
                  <w:rPr>
                    <w:rFonts w:cs="Arial"/>
                    <w:b/>
                    <w:bCs/>
                    <w:sz w:val="18"/>
                    <w:szCs w:val="18"/>
                  </w:rPr>
                </w:pPr>
                <w:proofErr w:type="spellStart"/>
                <w:r w:rsidRPr="009A3898">
                  <w:rPr>
                    <w:rFonts w:cs="Arial"/>
                    <w:b/>
                    <w:bCs/>
                    <w:sz w:val="18"/>
                    <w:szCs w:val="18"/>
                  </w:rPr>
                  <w:t>Uitgavenpad</w:t>
                </w:r>
                <w:proofErr w:type="spellEnd"/>
                <w:r w:rsidRPr="009A3898">
                  <w:rPr>
                    <w:rFonts w:cs="Arial"/>
                    <w:b/>
                    <w:bCs/>
                    <w:sz w:val="18"/>
                    <w:szCs w:val="18"/>
                  </w:rPr>
                  <w:t xml:space="preserve"> </w:t>
                </w:r>
              </w:p>
            </w:tc>
            <w:tc>
              <w:tcPr>
                <w:tcW w:w="777" w:type="dxa"/>
                <w:tcBorders>
                  <w:top w:val="single" w:color="auto" w:sz="4" w:space="0"/>
                  <w:left w:val="nil"/>
                  <w:bottom w:val="nil"/>
                  <w:right w:val="nil"/>
                </w:tcBorders>
                <w:shd w:val="clear" w:color="000000" w:fill="FFFFFF"/>
                <w:noWrap/>
                <w:vAlign w:val="center"/>
                <w:hideMark/>
              </w:tcPr>
              <w:p w:rsidRPr="009A3898" w:rsidR="00CC7724" w:rsidRDefault="00CC7724" w14:paraId="7509973C" w14:textId="77777777">
                <w:pPr>
                  <w:keepNext/>
                  <w:jc w:val="center"/>
                  <w:rPr>
                    <w:rFonts w:cs="Arial"/>
                    <w:sz w:val="18"/>
                    <w:szCs w:val="18"/>
                  </w:rPr>
                </w:pPr>
              </w:p>
            </w:tc>
            <w:tc>
              <w:tcPr>
                <w:tcW w:w="960" w:type="dxa"/>
                <w:tcBorders>
                  <w:top w:val="single" w:color="auto" w:sz="4" w:space="0"/>
                  <w:left w:val="nil"/>
                  <w:bottom w:val="nil"/>
                  <w:right w:val="nil"/>
                </w:tcBorders>
                <w:shd w:val="clear" w:color="000000" w:fill="FFFFFF"/>
                <w:noWrap/>
                <w:vAlign w:val="center"/>
                <w:hideMark/>
              </w:tcPr>
              <w:p w:rsidRPr="009A3898" w:rsidR="00CC7724" w:rsidRDefault="00CC7724" w14:paraId="0BFBC885" w14:textId="77777777">
                <w:pPr>
                  <w:keepNext/>
                  <w:jc w:val="center"/>
                  <w:rPr>
                    <w:rFonts w:cs="Arial"/>
                    <w:sz w:val="18"/>
                    <w:szCs w:val="18"/>
                  </w:rPr>
                </w:pPr>
              </w:p>
            </w:tc>
          </w:tr>
          <w:tr w:rsidRPr="009A3898" w:rsidR="00CC7724" w14:paraId="359F31F5" w14:textId="77777777">
            <w:trPr>
              <w:cantSplit/>
              <w:trHeight w:val="255"/>
            </w:trPr>
            <w:tc>
              <w:tcPr>
                <w:tcW w:w="5670" w:type="dxa"/>
                <w:tcBorders>
                  <w:top w:val="nil"/>
                  <w:left w:val="nil"/>
                  <w:bottom w:val="nil"/>
                  <w:right w:val="nil"/>
                </w:tcBorders>
                <w:shd w:val="clear" w:color="000000" w:fill="FFFFFF"/>
                <w:noWrap/>
                <w:vAlign w:val="bottom"/>
                <w:hideMark/>
              </w:tcPr>
              <w:p w:rsidRPr="009A3898" w:rsidR="00CC7724" w:rsidRDefault="00CC7724" w14:paraId="5046CDCC" w14:textId="77777777">
                <w:pPr>
                  <w:keepNext/>
                  <w:rPr>
                    <w:rFonts w:cs="Arial"/>
                    <w:i/>
                    <w:iCs/>
                    <w:sz w:val="18"/>
                    <w:szCs w:val="18"/>
                  </w:rPr>
                </w:pPr>
                <w:r w:rsidRPr="009A3898">
                  <w:rPr>
                    <w:rFonts w:cs="Arial"/>
                    <w:i/>
                    <w:iCs/>
                    <w:sz w:val="18"/>
                    <w:szCs w:val="18"/>
                  </w:rPr>
                  <w:t>Jaarlijkse norm netto primaire gefinancierde uitgavengroei (in%)*</w:t>
                </w:r>
              </w:p>
            </w:tc>
            <w:tc>
              <w:tcPr>
                <w:tcW w:w="777" w:type="dxa"/>
                <w:tcBorders>
                  <w:top w:val="nil"/>
                  <w:left w:val="nil"/>
                  <w:bottom w:val="nil"/>
                  <w:right w:val="nil"/>
                </w:tcBorders>
                <w:shd w:val="clear" w:color="000000" w:fill="FFFFFF"/>
                <w:noWrap/>
                <w:vAlign w:val="center"/>
                <w:hideMark/>
              </w:tcPr>
              <w:p w:rsidRPr="009A3898" w:rsidR="00CC7724" w:rsidRDefault="00CC7724" w14:paraId="4751F5E2" w14:textId="77777777">
                <w:pPr>
                  <w:keepNext/>
                  <w:jc w:val="center"/>
                  <w:rPr>
                    <w:rFonts w:cs="Arial"/>
                    <w:i/>
                    <w:iCs/>
                    <w:sz w:val="18"/>
                    <w:szCs w:val="18"/>
                  </w:rPr>
                </w:pPr>
                <w:r w:rsidRPr="009A3898">
                  <w:rPr>
                    <w:rFonts w:cs="Arial"/>
                    <w:i/>
                    <w:iCs/>
                    <w:sz w:val="18"/>
                    <w:szCs w:val="18"/>
                  </w:rPr>
                  <w:t>4,7</w:t>
                </w:r>
              </w:p>
            </w:tc>
            <w:tc>
              <w:tcPr>
                <w:tcW w:w="960" w:type="dxa"/>
                <w:tcBorders>
                  <w:top w:val="nil"/>
                  <w:left w:val="nil"/>
                  <w:bottom w:val="nil"/>
                  <w:right w:val="nil"/>
                </w:tcBorders>
                <w:shd w:val="clear" w:color="000000" w:fill="FFFFFF"/>
                <w:noWrap/>
                <w:vAlign w:val="center"/>
                <w:hideMark/>
              </w:tcPr>
              <w:p w:rsidRPr="009A3898" w:rsidR="00CC7724" w:rsidRDefault="00CC7724" w14:paraId="2E52B2B9" w14:textId="77777777">
                <w:pPr>
                  <w:keepNext/>
                  <w:jc w:val="center"/>
                  <w:rPr>
                    <w:rFonts w:cs="Arial"/>
                    <w:i/>
                    <w:iCs/>
                    <w:sz w:val="18"/>
                    <w:szCs w:val="18"/>
                  </w:rPr>
                </w:pPr>
                <w:r w:rsidRPr="009A3898">
                  <w:rPr>
                    <w:rFonts w:cs="Arial"/>
                    <w:i/>
                    <w:iCs/>
                    <w:sz w:val="18"/>
                    <w:szCs w:val="18"/>
                  </w:rPr>
                  <w:t>3,5</w:t>
                </w:r>
              </w:p>
            </w:tc>
          </w:tr>
          <w:tr w:rsidRPr="009A3898" w:rsidR="00CC7724" w14:paraId="6B6876E2" w14:textId="77777777">
            <w:trPr>
              <w:cantSplit/>
              <w:trHeight w:val="255"/>
            </w:trPr>
            <w:tc>
              <w:tcPr>
                <w:tcW w:w="5670" w:type="dxa"/>
                <w:tcBorders>
                  <w:top w:val="nil"/>
                  <w:left w:val="nil"/>
                  <w:bottom w:val="nil"/>
                  <w:right w:val="nil"/>
                </w:tcBorders>
                <w:shd w:val="clear" w:color="000000" w:fill="FFFFFF"/>
                <w:noWrap/>
                <w:vAlign w:val="bottom"/>
                <w:hideMark/>
              </w:tcPr>
              <w:p w:rsidRPr="009A3898" w:rsidR="00CC7724" w:rsidRDefault="00CC7724" w14:paraId="374C5A2C" w14:textId="77777777">
                <w:pPr>
                  <w:keepNext/>
                  <w:rPr>
                    <w:rFonts w:cs="Arial"/>
                    <w:sz w:val="18"/>
                    <w:szCs w:val="18"/>
                  </w:rPr>
                </w:pPr>
                <w:r w:rsidRPr="009A3898">
                  <w:rPr>
                    <w:rFonts w:cs="Arial"/>
                    <w:sz w:val="18"/>
                    <w:szCs w:val="18"/>
                  </w:rPr>
                  <w:t xml:space="preserve">Groei van netto </w:t>
                </w:r>
                <w:proofErr w:type="spellStart"/>
                <w:r w:rsidRPr="009A3898">
                  <w:rPr>
                    <w:rFonts w:cs="Arial"/>
                    <w:sz w:val="18"/>
                    <w:szCs w:val="18"/>
                  </w:rPr>
                  <w:t>primare</w:t>
                </w:r>
                <w:proofErr w:type="spellEnd"/>
                <w:r w:rsidRPr="009A3898">
                  <w:rPr>
                    <w:rFonts w:cs="Arial"/>
                    <w:sz w:val="18"/>
                    <w:szCs w:val="18"/>
                  </w:rPr>
                  <w:t xml:space="preserve"> gefinancierde uitgaven (in %)**</w:t>
                </w:r>
              </w:p>
            </w:tc>
            <w:tc>
              <w:tcPr>
                <w:tcW w:w="777" w:type="dxa"/>
                <w:tcBorders>
                  <w:top w:val="nil"/>
                  <w:left w:val="nil"/>
                  <w:bottom w:val="nil"/>
                  <w:right w:val="nil"/>
                </w:tcBorders>
                <w:shd w:val="clear" w:color="000000" w:fill="FFFFFF"/>
                <w:noWrap/>
                <w:vAlign w:val="center"/>
                <w:hideMark/>
              </w:tcPr>
              <w:p w:rsidRPr="009A3898" w:rsidR="00CC7724" w:rsidRDefault="00CC7724" w14:paraId="072C1F7B" w14:textId="77777777">
                <w:pPr>
                  <w:keepNext/>
                  <w:jc w:val="center"/>
                  <w:rPr>
                    <w:rFonts w:cs="Arial"/>
                    <w:sz w:val="18"/>
                    <w:szCs w:val="18"/>
                  </w:rPr>
                </w:pPr>
                <w:r w:rsidRPr="009A3898">
                  <w:rPr>
                    <w:rFonts w:cs="Arial"/>
                    <w:sz w:val="18"/>
                    <w:szCs w:val="18"/>
                  </w:rPr>
                  <w:t>4,9</w:t>
                </w:r>
              </w:p>
            </w:tc>
            <w:tc>
              <w:tcPr>
                <w:tcW w:w="960" w:type="dxa"/>
                <w:tcBorders>
                  <w:top w:val="nil"/>
                  <w:left w:val="nil"/>
                  <w:bottom w:val="nil"/>
                  <w:right w:val="nil"/>
                </w:tcBorders>
                <w:shd w:val="clear" w:color="000000" w:fill="FFFFFF"/>
                <w:noWrap/>
                <w:vAlign w:val="center"/>
                <w:hideMark/>
              </w:tcPr>
              <w:p w:rsidRPr="009A3898" w:rsidR="00CC7724" w:rsidRDefault="00CC7724" w14:paraId="42C06ED3" w14:textId="77777777">
                <w:pPr>
                  <w:keepNext/>
                  <w:jc w:val="center"/>
                  <w:rPr>
                    <w:rFonts w:cs="Arial"/>
                    <w:sz w:val="18"/>
                    <w:szCs w:val="18"/>
                  </w:rPr>
                </w:pPr>
                <w:r w:rsidRPr="009A3898">
                  <w:rPr>
                    <w:rFonts w:cs="Arial"/>
                    <w:sz w:val="18"/>
                    <w:szCs w:val="18"/>
                  </w:rPr>
                  <w:t>4,7</w:t>
                </w:r>
              </w:p>
            </w:tc>
          </w:tr>
          <w:tr w:rsidRPr="009A3898" w:rsidR="00CC7724" w14:paraId="76B642AC" w14:textId="77777777">
            <w:trPr>
              <w:cantSplit/>
              <w:trHeight w:val="255"/>
            </w:trPr>
            <w:tc>
              <w:tcPr>
                <w:tcW w:w="5670" w:type="dxa"/>
                <w:tcBorders>
                  <w:top w:val="nil"/>
                  <w:left w:val="nil"/>
                  <w:bottom w:val="nil"/>
                  <w:right w:val="nil"/>
                </w:tcBorders>
                <w:shd w:val="clear" w:color="000000" w:fill="FFFFFF"/>
                <w:noWrap/>
                <w:vAlign w:val="bottom"/>
                <w:hideMark/>
              </w:tcPr>
              <w:p w:rsidRPr="009A3898" w:rsidR="00CC7724" w:rsidRDefault="00CC7724" w14:paraId="21A59AF7" w14:textId="77777777">
                <w:pPr>
                  <w:keepNext/>
                  <w:rPr>
                    <w:rFonts w:cs="Arial"/>
                    <w:sz w:val="18"/>
                    <w:szCs w:val="18"/>
                  </w:rPr>
                </w:pPr>
                <w:r w:rsidRPr="009A3898">
                  <w:rPr>
                    <w:rFonts w:cs="Arial"/>
                    <w:sz w:val="18"/>
                    <w:szCs w:val="18"/>
                  </w:rPr>
                  <w:t> </w:t>
                </w:r>
              </w:p>
            </w:tc>
            <w:tc>
              <w:tcPr>
                <w:tcW w:w="777" w:type="dxa"/>
                <w:tcBorders>
                  <w:top w:val="nil"/>
                  <w:left w:val="nil"/>
                  <w:bottom w:val="nil"/>
                  <w:right w:val="nil"/>
                </w:tcBorders>
                <w:shd w:val="clear" w:color="000000" w:fill="FFFFFF"/>
                <w:noWrap/>
                <w:vAlign w:val="center"/>
                <w:hideMark/>
              </w:tcPr>
              <w:p w:rsidRPr="009A3898" w:rsidR="00CC7724" w:rsidRDefault="00CC7724" w14:paraId="6936A7B5" w14:textId="77777777">
                <w:pPr>
                  <w:keepNext/>
                  <w:jc w:val="center"/>
                  <w:rPr>
                    <w:rFonts w:cs="Arial"/>
                    <w:sz w:val="18"/>
                    <w:szCs w:val="18"/>
                  </w:rPr>
                </w:pPr>
              </w:p>
            </w:tc>
            <w:tc>
              <w:tcPr>
                <w:tcW w:w="960" w:type="dxa"/>
                <w:tcBorders>
                  <w:top w:val="nil"/>
                  <w:left w:val="nil"/>
                  <w:bottom w:val="nil"/>
                  <w:right w:val="nil"/>
                </w:tcBorders>
                <w:shd w:val="clear" w:color="000000" w:fill="FFFFFF"/>
                <w:noWrap/>
                <w:vAlign w:val="center"/>
                <w:hideMark/>
              </w:tcPr>
              <w:p w:rsidRPr="009A3898" w:rsidR="00CC7724" w:rsidRDefault="00CC7724" w14:paraId="70CCAA82" w14:textId="77777777">
                <w:pPr>
                  <w:keepNext/>
                  <w:jc w:val="center"/>
                  <w:rPr>
                    <w:rFonts w:cs="Arial"/>
                    <w:sz w:val="18"/>
                    <w:szCs w:val="18"/>
                  </w:rPr>
                </w:pPr>
              </w:p>
            </w:tc>
          </w:tr>
          <w:tr w:rsidRPr="009A3898" w:rsidR="00CC7724" w14:paraId="5421556D" w14:textId="77777777">
            <w:trPr>
              <w:cantSplit/>
              <w:trHeight w:val="255"/>
            </w:trPr>
            <w:tc>
              <w:tcPr>
                <w:tcW w:w="5670" w:type="dxa"/>
                <w:tcBorders>
                  <w:top w:val="nil"/>
                  <w:left w:val="nil"/>
                  <w:bottom w:val="nil"/>
                  <w:right w:val="nil"/>
                </w:tcBorders>
                <w:shd w:val="clear" w:color="000000" w:fill="FFFFFF"/>
                <w:noWrap/>
                <w:vAlign w:val="bottom"/>
                <w:hideMark/>
              </w:tcPr>
              <w:p w:rsidRPr="009A3898" w:rsidR="00CC7724" w:rsidRDefault="00CC7724" w14:paraId="4928ADA8" w14:textId="77777777">
                <w:pPr>
                  <w:keepNext/>
                  <w:rPr>
                    <w:rFonts w:cs="Arial"/>
                    <w:b/>
                    <w:bCs/>
                    <w:sz w:val="18"/>
                    <w:szCs w:val="18"/>
                  </w:rPr>
                </w:pPr>
                <w:r w:rsidRPr="009A3898">
                  <w:rPr>
                    <w:rFonts w:cs="Arial"/>
                    <w:b/>
                    <w:bCs/>
                    <w:sz w:val="18"/>
                    <w:szCs w:val="18"/>
                  </w:rPr>
                  <w:t>Cumulatief</w:t>
                </w:r>
              </w:p>
            </w:tc>
            <w:tc>
              <w:tcPr>
                <w:tcW w:w="777" w:type="dxa"/>
                <w:tcBorders>
                  <w:top w:val="nil"/>
                  <w:left w:val="nil"/>
                  <w:bottom w:val="nil"/>
                  <w:right w:val="nil"/>
                </w:tcBorders>
                <w:shd w:val="clear" w:color="000000" w:fill="FFFFFF"/>
                <w:noWrap/>
                <w:vAlign w:val="center"/>
                <w:hideMark/>
              </w:tcPr>
              <w:p w:rsidRPr="009A3898" w:rsidR="00CC7724" w:rsidRDefault="00CC7724" w14:paraId="389AD289" w14:textId="77777777">
                <w:pPr>
                  <w:keepNext/>
                  <w:jc w:val="center"/>
                  <w:rPr>
                    <w:rFonts w:cs="Arial"/>
                    <w:sz w:val="18"/>
                    <w:szCs w:val="18"/>
                  </w:rPr>
                </w:pPr>
              </w:p>
            </w:tc>
            <w:tc>
              <w:tcPr>
                <w:tcW w:w="960" w:type="dxa"/>
                <w:tcBorders>
                  <w:top w:val="nil"/>
                  <w:left w:val="nil"/>
                  <w:bottom w:val="nil"/>
                  <w:right w:val="nil"/>
                </w:tcBorders>
                <w:shd w:val="clear" w:color="000000" w:fill="FFFFFF"/>
                <w:noWrap/>
                <w:vAlign w:val="center"/>
                <w:hideMark/>
              </w:tcPr>
              <w:p w:rsidRPr="009A3898" w:rsidR="00CC7724" w:rsidRDefault="00CC7724" w14:paraId="268B96B5" w14:textId="77777777">
                <w:pPr>
                  <w:keepNext/>
                  <w:jc w:val="center"/>
                  <w:rPr>
                    <w:rFonts w:cs="Arial"/>
                    <w:sz w:val="18"/>
                    <w:szCs w:val="18"/>
                  </w:rPr>
                </w:pPr>
              </w:p>
            </w:tc>
          </w:tr>
          <w:tr w:rsidRPr="009A3898" w:rsidR="00CC7724" w14:paraId="77457987" w14:textId="77777777">
            <w:trPr>
              <w:cantSplit/>
              <w:trHeight w:val="255"/>
            </w:trPr>
            <w:tc>
              <w:tcPr>
                <w:tcW w:w="5670" w:type="dxa"/>
                <w:tcBorders>
                  <w:top w:val="nil"/>
                  <w:left w:val="nil"/>
                  <w:bottom w:val="nil"/>
                  <w:right w:val="nil"/>
                </w:tcBorders>
                <w:shd w:val="clear" w:color="000000" w:fill="FFFFFF"/>
                <w:noWrap/>
                <w:vAlign w:val="bottom"/>
                <w:hideMark/>
              </w:tcPr>
              <w:p w:rsidRPr="009A3898" w:rsidR="00CC7724" w:rsidRDefault="00CC7724" w14:paraId="1DD70EDE" w14:textId="77777777">
                <w:pPr>
                  <w:keepNext/>
                  <w:rPr>
                    <w:rFonts w:cs="Arial"/>
                    <w:i/>
                    <w:iCs/>
                    <w:sz w:val="18"/>
                    <w:szCs w:val="18"/>
                  </w:rPr>
                </w:pPr>
                <w:r w:rsidRPr="009A3898">
                  <w:rPr>
                    <w:rFonts w:cs="Arial"/>
                    <w:i/>
                    <w:iCs/>
                    <w:sz w:val="18"/>
                    <w:szCs w:val="18"/>
                  </w:rPr>
                  <w:t>Norm netto primaire gefinancierde uitgavengroei (in%)*</w:t>
                </w:r>
              </w:p>
            </w:tc>
            <w:tc>
              <w:tcPr>
                <w:tcW w:w="777" w:type="dxa"/>
                <w:tcBorders>
                  <w:top w:val="nil"/>
                  <w:left w:val="nil"/>
                  <w:bottom w:val="nil"/>
                  <w:right w:val="nil"/>
                </w:tcBorders>
                <w:shd w:val="clear" w:color="000000" w:fill="FFFFFF"/>
                <w:noWrap/>
                <w:vAlign w:val="center"/>
                <w:hideMark/>
              </w:tcPr>
              <w:p w:rsidRPr="009A3898" w:rsidR="00CC7724" w:rsidRDefault="00CC7724" w14:paraId="5E620D13" w14:textId="77777777">
                <w:pPr>
                  <w:keepNext/>
                  <w:jc w:val="center"/>
                  <w:rPr>
                    <w:rFonts w:cs="Arial"/>
                    <w:i/>
                    <w:iCs/>
                    <w:sz w:val="18"/>
                    <w:szCs w:val="18"/>
                  </w:rPr>
                </w:pPr>
                <w:r w:rsidRPr="009A3898">
                  <w:rPr>
                    <w:rFonts w:cs="Arial"/>
                    <w:i/>
                    <w:iCs/>
                    <w:sz w:val="18"/>
                    <w:szCs w:val="18"/>
                  </w:rPr>
                  <w:t>4,7</w:t>
                </w:r>
              </w:p>
            </w:tc>
            <w:tc>
              <w:tcPr>
                <w:tcW w:w="960" w:type="dxa"/>
                <w:tcBorders>
                  <w:top w:val="nil"/>
                  <w:left w:val="nil"/>
                  <w:bottom w:val="nil"/>
                  <w:right w:val="nil"/>
                </w:tcBorders>
                <w:shd w:val="clear" w:color="000000" w:fill="FFFFFF"/>
                <w:noWrap/>
                <w:vAlign w:val="center"/>
                <w:hideMark/>
              </w:tcPr>
              <w:p w:rsidRPr="009A3898" w:rsidR="00CC7724" w:rsidRDefault="00CC7724" w14:paraId="729C751B" w14:textId="77777777">
                <w:pPr>
                  <w:keepNext/>
                  <w:jc w:val="center"/>
                  <w:rPr>
                    <w:rFonts w:cs="Arial"/>
                    <w:i/>
                    <w:iCs/>
                    <w:sz w:val="18"/>
                    <w:szCs w:val="18"/>
                  </w:rPr>
                </w:pPr>
                <w:r w:rsidRPr="009A3898">
                  <w:rPr>
                    <w:rFonts w:cs="Arial"/>
                    <w:i/>
                    <w:iCs/>
                    <w:sz w:val="18"/>
                    <w:szCs w:val="18"/>
                  </w:rPr>
                  <w:t>8,4</w:t>
                </w:r>
              </w:p>
            </w:tc>
          </w:tr>
          <w:tr w:rsidRPr="009A3898" w:rsidR="00CC7724" w14:paraId="1BF0A14E" w14:textId="77777777">
            <w:trPr>
              <w:cantSplit/>
              <w:trHeight w:val="270"/>
            </w:trPr>
            <w:tc>
              <w:tcPr>
                <w:tcW w:w="5670" w:type="dxa"/>
                <w:tcBorders>
                  <w:top w:val="nil"/>
                  <w:left w:val="nil"/>
                  <w:bottom w:val="single" w:color="auto" w:sz="8" w:space="0"/>
                  <w:right w:val="nil"/>
                </w:tcBorders>
                <w:shd w:val="clear" w:color="000000" w:fill="FFFFFF"/>
                <w:noWrap/>
                <w:vAlign w:val="bottom"/>
                <w:hideMark/>
              </w:tcPr>
              <w:p w:rsidRPr="009A3898" w:rsidR="00CC7724" w:rsidRDefault="00CC7724" w14:paraId="3F541F76" w14:textId="77777777">
                <w:pPr>
                  <w:keepNext/>
                  <w:rPr>
                    <w:rFonts w:cs="Arial"/>
                    <w:sz w:val="18"/>
                    <w:szCs w:val="18"/>
                  </w:rPr>
                </w:pPr>
                <w:r w:rsidRPr="009A3898">
                  <w:rPr>
                    <w:rFonts w:cs="Arial"/>
                    <w:sz w:val="18"/>
                    <w:szCs w:val="18"/>
                  </w:rPr>
                  <w:t>Groei van netto primair gefinancierde uitgaven (in %)**</w:t>
                </w:r>
              </w:p>
            </w:tc>
            <w:tc>
              <w:tcPr>
                <w:tcW w:w="777" w:type="dxa"/>
                <w:tcBorders>
                  <w:top w:val="nil"/>
                  <w:left w:val="nil"/>
                  <w:bottom w:val="single" w:color="auto" w:sz="8" w:space="0"/>
                  <w:right w:val="nil"/>
                </w:tcBorders>
                <w:shd w:val="clear" w:color="000000" w:fill="FFFFFF"/>
                <w:noWrap/>
                <w:vAlign w:val="center"/>
                <w:hideMark/>
              </w:tcPr>
              <w:p w:rsidRPr="009A3898" w:rsidR="00CC7724" w:rsidRDefault="00CC7724" w14:paraId="1947CF9B" w14:textId="77777777">
                <w:pPr>
                  <w:keepNext/>
                  <w:jc w:val="center"/>
                  <w:rPr>
                    <w:rFonts w:cs="Arial"/>
                    <w:sz w:val="18"/>
                    <w:szCs w:val="18"/>
                  </w:rPr>
                </w:pPr>
                <w:r w:rsidRPr="009A3898">
                  <w:rPr>
                    <w:rFonts w:cs="Arial"/>
                    <w:sz w:val="18"/>
                    <w:szCs w:val="18"/>
                  </w:rPr>
                  <w:t>4,9</w:t>
                </w:r>
              </w:p>
            </w:tc>
            <w:tc>
              <w:tcPr>
                <w:tcW w:w="960" w:type="dxa"/>
                <w:tcBorders>
                  <w:top w:val="nil"/>
                  <w:left w:val="nil"/>
                  <w:bottom w:val="single" w:color="auto" w:sz="8" w:space="0"/>
                  <w:right w:val="nil"/>
                </w:tcBorders>
                <w:shd w:val="clear" w:color="000000" w:fill="FFFFFF"/>
                <w:noWrap/>
                <w:vAlign w:val="center"/>
                <w:hideMark/>
              </w:tcPr>
              <w:p w:rsidRPr="009A3898" w:rsidR="00CC7724" w:rsidRDefault="00CC7724" w14:paraId="72F429B3" w14:textId="77777777">
                <w:pPr>
                  <w:keepNext/>
                  <w:jc w:val="center"/>
                  <w:rPr>
                    <w:rFonts w:cs="Arial"/>
                    <w:sz w:val="18"/>
                    <w:szCs w:val="18"/>
                  </w:rPr>
                </w:pPr>
                <w:r w:rsidRPr="009A3898">
                  <w:rPr>
                    <w:rFonts w:cs="Arial"/>
                    <w:sz w:val="18"/>
                    <w:szCs w:val="18"/>
                  </w:rPr>
                  <w:t>9,8</w:t>
                </w:r>
              </w:p>
            </w:tc>
          </w:tr>
          <w:tr w:rsidRPr="009A3898" w:rsidR="00CC7724" w14:paraId="48B60F87" w14:textId="77777777">
            <w:trPr>
              <w:cantSplit/>
              <w:trHeight w:val="735"/>
            </w:trPr>
            <w:tc>
              <w:tcPr>
                <w:tcW w:w="7407" w:type="dxa"/>
                <w:gridSpan w:val="3"/>
                <w:tcBorders>
                  <w:top w:val="single" w:color="auto" w:sz="8" w:space="0"/>
                  <w:left w:val="nil"/>
                  <w:bottom w:val="nil"/>
                  <w:right w:val="nil"/>
                </w:tcBorders>
                <w:shd w:val="clear" w:color="000000" w:fill="FFFFFF"/>
                <w:vAlign w:val="center"/>
                <w:hideMark/>
              </w:tcPr>
              <w:p w:rsidRPr="009A3898" w:rsidR="00CC7724" w:rsidRDefault="00CC7724" w14:paraId="7968E8C0" w14:textId="77777777">
                <w:pPr>
                  <w:keepNext/>
                  <w:rPr>
                    <w:rFonts w:cs="Arial"/>
                    <w:i/>
                    <w:iCs/>
                    <w:sz w:val="18"/>
                    <w:szCs w:val="18"/>
                  </w:rPr>
                </w:pPr>
                <w:r w:rsidRPr="009A3898">
                  <w:rPr>
                    <w:rFonts w:cs="Arial"/>
                    <w:i/>
                    <w:iCs/>
                    <w:sz w:val="18"/>
                    <w:szCs w:val="18"/>
                  </w:rPr>
                  <w:t xml:space="preserve">*Op basis van de aanbeveling en de berekening van de Europese </w:t>
                </w:r>
                <w:proofErr w:type="spellStart"/>
                <w:r w:rsidRPr="009A3898">
                  <w:rPr>
                    <w:rFonts w:cs="Arial"/>
                    <w:i/>
                    <w:iCs/>
                    <w:sz w:val="18"/>
                    <w:szCs w:val="18"/>
                  </w:rPr>
                  <w:t>Commisie</w:t>
                </w:r>
                <w:proofErr w:type="spellEnd"/>
                <w:r w:rsidRPr="009A3898">
                  <w:rPr>
                    <w:rFonts w:cs="Arial"/>
                    <w:i/>
                    <w:iCs/>
                    <w:sz w:val="18"/>
                    <w:szCs w:val="18"/>
                  </w:rPr>
                  <w:t xml:space="preserve">. Deze berekeningen gaan uit van de veronderstelling van ongewijzigd beleid. </w:t>
                </w:r>
                <w:proofErr w:type="spellStart"/>
                <w:r w:rsidRPr="009A3898">
                  <w:rPr>
                    <w:rFonts w:cs="Arial"/>
                    <w:i/>
                    <w:iCs/>
                    <w:sz w:val="18"/>
                    <w:szCs w:val="18"/>
                  </w:rPr>
                  <w:t>Uitgavenpad</w:t>
                </w:r>
                <w:proofErr w:type="spellEnd"/>
                <w:r w:rsidRPr="009A3898">
                  <w:rPr>
                    <w:rFonts w:cs="Arial"/>
                    <w:i/>
                    <w:iCs/>
                    <w:sz w:val="18"/>
                    <w:szCs w:val="18"/>
                  </w:rPr>
                  <w:t xml:space="preserve"> is vastgesteld door de Raad. </w:t>
                </w:r>
              </w:p>
            </w:tc>
          </w:tr>
          <w:tr w:rsidRPr="009A3898" w:rsidR="00CC7724" w14:paraId="0DE55529" w14:textId="77777777">
            <w:trPr>
              <w:cantSplit/>
              <w:trHeight w:val="930"/>
            </w:trPr>
            <w:tc>
              <w:tcPr>
                <w:tcW w:w="7407" w:type="dxa"/>
                <w:gridSpan w:val="3"/>
                <w:tcBorders>
                  <w:top w:val="nil"/>
                  <w:left w:val="nil"/>
                  <w:bottom w:val="nil"/>
                  <w:right w:val="nil"/>
                </w:tcBorders>
                <w:shd w:val="clear" w:color="000000" w:fill="FFFFFF"/>
                <w:vAlign w:val="center"/>
                <w:hideMark/>
              </w:tcPr>
              <w:p w:rsidRPr="009A3898" w:rsidR="00CC7724" w:rsidRDefault="00CC7724" w14:paraId="0B7E789A" w14:textId="77777777">
                <w:pPr>
                  <w:keepNext/>
                  <w:rPr>
                    <w:rFonts w:cs="Arial"/>
                    <w:i/>
                    <w:iCs/>
                    <w:sz w:val="18"/>
                    <w:szCs w:val="18"/>
                  </w:rPr>
                </w:pPr>
                <w:r w:rsidRPr="009A3898">
                  <w:rPr>
                    <w:rFonts w:cs="Arial"/>
                    <w:i/>
                    <w:iCs/>
                    <w:sz w:val="18"/>
                    <w:szCs w:val="18"/>
                  </w:rPr>
                  <w:t xml:space="preserve">**Dit zijn de nationale overheidsuitgaven gecorrigeerd voor rente-uitgaven, tijdelijke en eenmalige uitgaven, eventuele discretionaire inkomstenmaatregelen, uitgaven die worden bekostigd met inkomsten uit EU-fondsen en nationale cofinanciering voor EU-programma's, conjuncturele werkloosheidsuitgaven en eventuele maatregelen die zorgen voor hogere inkomsten. </w:t>
                </w:r>
              </w:p>
            </w:tc>
          </w:tr>
          <w:tr w:rsidRPr="009A3898" w:rsidR="00CC7724" w14:paraId="604489A6" w14:textId="77777777">
            <w:trPr>
              <w:cantSplit/>
              <w:trHeight w:val="255"/>
            </w:trPr>
            <w:tc>
              <w:tcPr>
                <w:tcW w:w="7407" w:type="dxa"/>
                <w:gridSpan w:val="3"/>
                <w:tcBorders>
                  <w:top w:val="nil"/>
                  <w:left w:val="nil"/>
                  <w:bottom w:val="nil"/>
                  <w:right w:val="nil"/>
                </w:tcBorders>
                <w:shd w:val="clear" w:color="000000" w:fill="FFFFFF"/>
                <w:noWrap/>
                <w:vAlign w:val="bottom"/>
                <w:hideMark/>
              </w:tcPr>
              <w:p w:rsidRPr="009A3898" w:rsidR="00CC7724" w:rsidRDefault="00CC7724" w14:paraId="3200B5A0" w14:textId="77777777">
                <w:pPr>
                  <w:keepNext/>
                  <w:rPr>
                    <w:rFonts w:cs="Arial"/>
                    <w:i/>
                    <w:iCs/>
                    <w:sz w:val="18"/>
                    <w:szCs w:val="18"/>
                  </w:rPr>
                </w:pPr>
                <w:r w:rsidRPr="009A3898">
                  <w:rPr>
                    <w:rFonts w:cs="Arial"/>
                    <w:i/>
                    <w:iCs/>
                    <w:sz w:val="18"/>
                    <w:szCs w:val="18"/>
                  </w:rPr>
                  <w:t>Bron: Europese Commissie en CPB (Macro Economische Verkenning 2027)</w:t>
                </w:r>
              </w:p>
            </w:tc>
          </w:tr>
        </w:tbl>
        <w:p w:rsidR="00CC7724" w:rsidP="00CC7724" w:rsidRDefault="00CC7724" w14:paraId="40618CEE" w14:textId="77777777"/>
        <w:p w:rsidR="0056120B" w:rsidP="00CC7724" w:rsidRDefault="00CC7724" w14:paraId="6606A30A" w14:textId="23344D50">
          <w:r>
            <w:t xml:space="preserve">Op basis van de MEV-raming van het CPB is in 2026 de geraamde uitgavengroei van 4,9% hoger dan de norm van 4,7%. Deels komt deze hogere uitgavengroei door nominale effecten: de norm bij de netto uitgavenregel wordt niet aangepast voor de sterkere prijsontwikkeling, terwijl dit wel een opwaarts effect heeft op de overheidsbestedingen. Ook de augustusbesluitvorming leidt per saldo tot een hogere uitgavengroei in 2027, </w:t>
          </w:r>
          <w:r w:rsidR="00152FAF">
            <w:t xml:space="preserve">vooral </w:t>
          </w:r>
          <w:r>
            <w:t>vanwege het uitstel van de verhoging van het eigen risico en het feit dat bepaalde dekkingsmaatregelen</w:t>
          </w:r>
          <w:r w:rsidR="0056120B">
            <w:t xml:space="preserve">, </w:t>
          </w:r>
          <w:r w:rsidR="00152FAF">
            <w:t xml:space="preserve">vooral </w:t>
          </w:r>
          <w:r w:rsidR="0056120B">
            <w:t xml:space="preserve">de aanvullende </w:t>
          </w:r>
          <w:proofErr w:type="spellStart"/>
          <w:r w:rsidR="0056120B">
            <w:t>onderuitputting</w:t>
          </w:r>
          <w:proofErr w:type="spellEnd"/>
          <w:r w:rsidR="0056120B">
            <w:t>,</w:t>
          </w:r>
          <w:r>
            <w:t xml:space="preserve"> en kasschuiven niet worden overgenomen door het CPB</w:t>
          </w:r>
          <w:r w:rsidR="0056120B">
            <w:t xml:space="preserve">, omdat het CPB in zijn raming al </w:t>
          </w:r>
          <w:proofErr w:type="spellStart"/>
          <w:r w:rsidR="0056120B">
            <w:t>onderuitputting</w:t>
          </w:r>
          <w:proofErr w:type="spellEnd"/>
          <w:r w:rsidR="0056120B">
            <w:t xml:space="preserve"> veronderstelt</w:t>
          </w:r>
          <w:r>
            <w:t xml:space="preserve">. </w:t>
          </w:r>
        </w:p>
        <w:p w:rsidR="0056120B" w:rsidP="00CC7724" w:rsidRDefault="0056120B" w14:paraId="3040564F" w14:textId="77777777"/>
        <w:p w:rsidR="00CC7724" w:rsidP="00CC7724" w:rsidRDefault="00CC7724" w14:paraId="79686850" w14:textId="27A99831">
          <w:r>
            <w:t>Tegenover de extra uitgaven staan wel beleidsmatige inkomsten, maar dit effect wordt per saldo tenietgedaan door een technische correctie voor een nieuwe EU-financieringsreeks. De augustusbesluitvorming leidt ertoe dat de uitgaven in 2026 iets lager uitvallen; als gevolg hiervan springt de uitgavengroei in 2027 juist hoger uit vanwege het lagere uitgangsniveau in 2026.</w:t>
          </w:r>
          <w:r>
            <w:rPr>
              <w:rStyle w:val="Voetnootmarkering"/>
            </w:rPr>
            <w:footnoteReference w:id="80"/>
          </w:r>
          <w:r>
            <w:t xml:space="preserve"> </w:t>
          </w:r>
        </w:p>
        <w:p w:rsidR="00CC7724" w:rsidP="00CC7724" w:rsidRDefault="00CC7724" w14:paraId="3576CDCF" w14:textId="77777777"/>
        <w:p w:rsidR="00CC7724" w:rsidP="00CC7724" w:rsidRDefault="00CC7724" w14:paraId="29C244B5" w14:textId="77777777">
          <w:r>
            <w:t xml:space="preserve">Hierdoor komt de geraamde ontwikkeling van de uitgaven 0,2% hoger uit dan genormeerd. Deze overschrijding blijft binnen de drempelwaarde van toegestane overschrijding van 0,3% per jaar. In 2027 komt de geraamde uitgavengroei van 4,7% ruim boven de norm van 3,5% uit. De geraamde uitgavengroei ligt 1,2% hoger dan genormeerd. </w:t>
          </w:r>
        </w:p>
        <w:p w:rsidR="00CC7724" w:rsidP="00CC7724" w:rsidRDefault="00CC7724" w14:paraId="1CD2AAAC" w14:textId="77777777"/>
        <w:p w:rsidR="00CC7724" w:rsidP="00CC7724" w:rsidRDefault="00CC7724" w14:paraId="58EA56EF" w14:textId="77777777">
          <w:r>
            <w:lastRenderedPageBreak/>
            <w:t>Ook laat de</w:t>
          </w:r>
          <w:r w:rsidRPr="00984988">
            <w:rPr>
              <w:b/>
            </w:rPr>
            <w:t xml:space="preserve"> </w:t>
          </w:r>
          <w:r w:rsidRPr="00FD6242">
            <w:t>MEV</w:t>
          </w:r>
          <w:r w:rsidRPr="009E7B10">
            <w:t>-</w:t>
          </w:r>
          <w:r>
            <w:t xml:space="preserve">raming zien dat Nederland cumulatief het </w:t>
          </w:r>
          <w:proofErr w:type="spellStart"/>
          <w:r>
            <w:t>uitgavenpad</w:t>
          </w:r>
          <w:proofErr w:type="spellEnd"/>
          <w:r>
            <w:t xml:space="preserve"> overschrijdt: in 2026 komt de cumulatieve groei van de netto primaire gefinancierde uitgaven 0,2% hoger uit dan genormeerd en in 2027 komt de groei 1,4% hoger uit dan genormeerd. </w:t>
          </w:r>
        </w:p>
        <w:p w:rsidR="00CC7724" w:rsidP="00CC7724" w:rsidRDefault="00CC7724" w14:paraId="3115EF7C" w14:textId="77777777"/>
        <w:p w:rsidR="00CC7724" w:rsidP="00CC7724" w:rsidRDefault="00CC7724" w14:paraId="319127AA" w14:textId="77777777">
          <w:r>
            <w:t xml:space="preserve">De Afdeling stelt vast dat Nederland het </w:t>
          </w:r>
          <w:proofErr w:type="spellStart"/>
          <w:r>
            <w:t>uitgavenpad</w:t>
          </w:r>
          <w:proofErr w:type="spellEnd"/>
          <w:r>
            <w:t xml:space="preserve"> naar verwachting in 2026 en 2027 overschrijdt. Ook cumulatief liggen de netto-uitgaven hoger dan genormeerd en komt in 2026 en 2027 boven de genormeerde uitgavengroei uit. De cijfers laten zien dat het naar verwachting niet lukt om op de middellange termijn binnen de referentiewaarden voor het begrotingstekort en overheidsschuld te blijven. De Afdeling concludeert daarmee dat het kabinet niet voldoet aan de vereisten van de preventieve arm van het Stabiliteit- en Groeipact. </w:t>
          </w:r>
        </w:p>
        <w:p w:rsidR="00CC7724" w:rsidP="00CC7724" w:rsidRDefault="00CC7724" w14:paraId="28AB6067" w14:textId="77777777"/>
        <w:p w:rsidR="00CC7724" w:rsidP="00CC7724" w:rsidRDefault="00CC7724" w14:paraId="519E195F" w14:textId="77777777">
          <w:r>
            <w:t xml:space="preserve">Op basis van de begrotingsrealisaties (voorjaar 2027) kan definitief worden vastgesteld of het </w:t>
          </w:r>
          <w:proofErr w:type="spellStart"/>
          <w:r>
            <w:t>uitgavenpad</w:t>
          </w:r>
          <w:proofErr w:type="spellEnd"/>
          <w:r>
            <w:t xml:space="preserve"> is overschreden. Ook als deze overschrijding niet zou leiden tot directe formele gevolgen, neemt dat niet weg dat het overschrijden van het </w:t>
          </w:r>
          <w:proofErr w:type="spellStart"/>
          <w:r>
            <w:t>uitgavenpad</w:t>
          </w:r>
          <w:proofErr w:type="spellEnd"/>
          <w:r>
            <w:t xml:space="preserve"> aanleiding geeft tot zorg (zie conclusie). </w:t>
          </w:r>
        </w:p>
        <w:p w:rsidRPr="00984988" w:rsidR="00CC7724" w:rsidP="00CC7724" w:rsidRDefault="00CC7724" w14:paraId="39403611" w14:textId="77777777">
          <w:pPr>
            <w:rPr>
              <w:u w:val="single"/>
            </w:rPr>
          </w:pPr>
        </w:p>
        <w:p w:rsidRPr="008A7C42" w:rsidR="00CC7724" w:rsidP="00CC7724" w:rsidRDefault="00CC7724" w14:paraId="6F66FADF" w14:textId="77777777">
          <w:pPr>
            <w:rPr>
              <w:i/>
            </w:rPr>
          </w:pPr>
          <w:r w:rsidRPr="008A7C42">
            <w:rPr>
              <w:i/>
            </w:rPr>
            <w:t xml:space="preserve">Toetsing aan de normen uit de correctieve arm </w:t>
          </w:r>
        </w:p>
        <w:p w:rsidR="00CC7724" w:rsidP="00CC7724" w:rsidRDefault="00CC7724" w14:paraId="611B315A" w14:textId="77777777">
          <w:r>
            <w:t xml:space="preserve">De normen uit de correctieve arm stellen eisen aan de (jaarlijkse) referentiewaarden voor het begrotingstekort (EMU-saldo van maximaal -3% bbp) en de overheidsschuld (EMU-saldo van maximaal 60% bbp). Onder het nieuwe Europese begrotingsraamwerk geldt het </w:t>
          </w:r>
          <w:proofErr w:type="spellStart"/>
          <w:r>
            <w:t>uitgavenpad</w:t>
          </w:r>
          <w:proofErr w:type="spellEnd"/>
          <w:r>
            <w:t xml:space="preserve"> weliswaar als centrale sturingsvariabele voor de naleving van de Europese begrotingsregels, maar blijft de toetsing aan de referentiewaarden van de correctieve arm relevant, omdat overschrijding daarvan de grondslag vormt voor het eventueel openen van een </w:t>
          </w:r>
          <w:proofErr w:type="spellStart"/>
          <w:r>
            <w:t>buitensporigtekortprocedure</w:t>
          </w:r>
          <w:proofErr w:type="spellEnd"/>
          <w:r>
            <w:t xml:space="preserve">. </w:t>
          </w:r>
        </w:p>
        <w:p w:rsidR="00CC7724" w:rsidP="00CC7724" w:rsidRDefault="00CC7724" w14:paraId="6B4136F0" w14:textId="77777777"/>
        <w:p w:rsidR="00CC7724" w:rsidP="00CC7724" w:rsidRDefault="00CC7724" w14:paraId="3FE58EF2" w14:textId="77777777">
          <w:r w:rsidRPr="003616FC">
            <w:t>De correctieve arm is daarmee het sluitstuk van het Europese begrotingsraamwerk: waar de preventieve arm beoogt te voorkomen dat lidstaten in budgettaire problemen raken, treedt de correctieve arm in werking wanneer die situatie zich desondanks voordoet.</w:t>
          </w:r>
        </w:p>
        <w:p w:rsidR="00CC7724" w:rsidP="00CC7724" w:rsidRDefault="00CC7724" w14:paraId="64A9BA32" w14:textId="77777777"/>
        <w:p w:rsidRPr="00984988" w:rsidR="00CC7724" w:rsidP="00CC7724" w:rsidRDefault="00CC7724" w14:paraId="5E58F9A9" w14:textId="77777777">
          <w:r>
            <w:t>Op basis van de MEV-raming van het CPB blijkt dat het EMU-saldo in 2026 naar verwachting uitkomt op -2,7% bbp en in 2027 verbetert naar -2,2% bbp. De verslechtering in 2026 hangt voor 0,7%-punt samen met de eenmalige affinanciering van de militaire pensioenen bij het ABP; deze post vervalt vanaf 2027 weer uit de begroting.</w:t>
          </w:r>
          <w:r>
            <w:rPr>
              <w:rStyle w:val="Voetnootmarkering"/>
            </w:rPr>
            <w:footnoteReference w:id="81"/>
          </w:r>
          <w:r>
            <w:t xml:space="preserve"> Nederland blijft naar verwachting in 2026 en 2027 onder de referentiewaarde van -3% bbp, al zij het dat het EMU-saldo in 2026 daar dicht tegenaan ligt. Ook de EMU-schuld blijft in de gehele ramingsperiode onder de referentiewaarde van 60%: 46,1% bbp in 2026 en 46,7% bbp in 2027.</w:t>
          </w:r>
        </w:p>
        <w:p w:rsidR="00CC7724" w:rsidP="00CC7724" w:rsidRDefault="00CC7724" w14:paraId="31A277CF" w14:textId="1EE3FBA8">
          <w:pPr>
            <w:rPr>
              <w:b/>
            </w:rPr>
          </w:pPr>
          <w:r w:rsidRPr="006F7D47">
            <w:t xml:space="preserve">Op basis van de MEV-raming van het CPB blijkt dat Nederland zowel in 2026 als in 2027 naar verwachting voldoet aan de vereisten van de correctieve arm </w:t>
          </w:r>
          <w:r>
            <w:t xml:space="preserve">en het EMU-saldo onder de referentiewaarden van maximaal -3% bbp blijft </w:t>
          </w:r>
          <w:r w:rsidRPr="006F7D47">
            <w:t xml:space="preserve">(zie tabel </w:t>
          </w:r>
          <w:r>
            <w:t>D.2.).</w:t>
          </w:r>
          <w:r w:rsidRPr="006F7D47">
            <w:t xml:space="preserve"> </w:t>
          </w:r>
        </w:p>
        <w:p w:rsidR="00CC7724" w:rsidP="00CC7724" w:rsidRDefault="00CC7724" w14:paraId="40DB1000" w14:textId="77777777">
          <w:pPr>
            <w:rPr>
              <w:b/>
            </w:rPr>
          </w:pPr>
          <w:r>
            <w:rPr>
              <w:b/>
              <w:bCs/>
            </w:rPr>
            <w:lastRenderedPageBreak/>
            <w:br w:type="page"/>
          </w:r>
        </w:p>
        <w:p w:rsidRPr="008B0CD2" w:rsidR="00CC7724" w:rsidP="00CC7724" w:rsidRDefault="00CC7724" w14:paraId="2F0194A3" w14:textId="77777777">
          <w:pPr>
            <w:rPr>
              <w:b/>
              <w:bCs/>
            </w:rPr>
          </w:pPr>
          <w:r w:rsidRPr="0006360E">
            <w:rPr>
              <w:b/>
            </w:rPr>
            <w:lastRenderedPageBreak/>
            <w:t>Tabel D.2. Gegevens voor de correctieve arm 2026-2027</w:t>
          </w:r>
        </w:p>
        <w:tbl>
          <w:tblPr>
            <w:tblW w:w="7180" w:type="dxa"/>
            <w:tblCellMar>
              <w:left w:w="70" w:type="dxa"/>
              <w:right w:w="70" w:type="dxa"/>
            </w:tblCellMar>
            <w:tblLook w:val="04A0" w:firstRow="1" w:lastRow="0" w:firstColumn="1" w:lastColumn="0" w:noHBand="0" w:noVBand="1"/>
          </w:tblPr>
          <w:tblGrid>
            <w:gridCol w:w="5260"/>
            <w:gridCol w:w="960"/>
            <w:gridCol w:w="960"/>
          </w:tblGrid>
          <w:tr w:rsidRPr="006461E9" w:rsidR="00CC7724" w14:paraId="269762E0" w14:textId="77777777">
            <w:trPr>
              <w:cantSplit/>
              <w:trHeight w:val="255"/>
            </w:trPr>
            <w:tc>
              <w:tcPr>
                <w:tcW w:w="5260" w:type="dxa"/>
                <w:tcBorders>
                  <w:top w:val="single" w:color="auto" w:sz="8" w:space="0"/>
                  <w:left w:val="nil"/>
                  <w:bottom w:val="nil"/>
                  <w:right w:val="nil"/>
                </w:tcBorders>
                <w:shd w:val="clear" w:color="000000" w:fill="FFFFFF"/>
                <w:noWrap/>
                <w:vAlign w:val="bottom"/>
                <w:hideMark/>
              </w:tcPr>
              <w:p w:rsidRPr="006461E9" w:rsidR="00CC7724" w:rsidRDefault="00CC7724" w14:paraId="6AAFF360" w14:textId="77777777">
                <w:pPr>
                  <w:keepNext/>
                  <w:rPr>
                    <w:rFonts w:cs="Arial"/>
                    <w:b/>
                    <w:bCs/>
                    <w:sz w:val="18"/>
                    <w:szCs w:val="18"/>
                  </w:rPr>
                </w:pPr>
                <w:r w:rsidRPr="006461E9">
                  <w:rPr>
                    <w:rFonts w:cs="Arial"/>
                    <w:b/>
                    <w:bCs/>
                    <w:sz w:val="18"/>
                    <w:szCs w:val="18"/>
                  </w:rPr>
                  <w:t> </w:t>
                </w:r>
              </w:p>
            </w:tc>
            <w:tc>
              <w:tcPr>
                <w:tcW w:w="960" w:type="dxa"/>
                <w:tcBorders>
                  <w:top w:val="single" w:color="auto" w:sz="8" w:space="0"/>
                  <w:left w:val="nil"/>
                  <w:bottom w:val="nil"/>
                  <w:right w:val="nil"/>
                </w:tcBorders>
                <w:shd w:val="clear" w:color="000000" w:fill="FFFFFF"/>
                <w:noWrap/>
                <w:vAlign w:val="bottom"/>
                <w:hideMark/>
              </w:tcPr>
              <w:p w:rsidRPr="006461E9" w:rsidR="00CC7724" w:rsidRDefault="00CC7724" w14:paraId="7B18929F" w14:textId="77777777">
                <w:pPr>
                  <w:keepNext/>
                  <w:jc w:val="center"/>
                  <w:rPr>
                    <w:rFonts w:cs="Arial"/>
                    <w:b/>
                    <w:bCs/>
                    <w:sz w:val="18"/>
                    <w:szCs w:val="18"/>
                  </w:rPr>
                </w:pPr>
                <w:r w:rsidRPr="006461E9">
                  <w:rPr>
                    <w:rFonts w:cs="Arial"/>
                    <w:b/>
                    <w:bCs/>
                    <w:sz w:val="18"/>
                    <w:szCs w:val="18"/>
                  </w:rPr>
                  <w:t>2026</w:t>
                </w:r>
              </w:p>
            </w:tc>
            <w:tc>
              <w:tcPr>
                <w:tcW w:w="960" w:type="dxa"/>
                <w:tcBorders>
                  <w:top w:val="single" w:color="auto" w:sz="8" w:space="0"/>
                  <w:left w:val="nil"/>
                  <w:bottom w:val="nil"/>
                  <w:right w:val="nil"/>
                </w:tcBorders>
                <w:shd w:val="clear" w:color="000000" w:fill="FFFFFF"/>
                <w:noWrap/>
                <w:vAlign w:val="bottom"/>
                <w:hideMark/>
              </w:tcPr>
              <w:p w:rsidRPr="006461E9" w:rsidR="00CC7724" w:rsidRDefault="00CC7724" w14:paraId="78BDDB6A" w14:textId="77777777">
                <w:pPr>
                  <w:keepNext/>
                  <w:jc w:val="center"/>
                  <w:rPr>
                    <w:rFonts w:cs="Arial"/>
                    <w:b/>
                    <w:bCs/>
                    <w:sz w:val="18"/>
                    <w:szCs w:val="18"/>
                  </w:rPr>
                </w:pPr>
                <w:r w:rsidRPr="006461E9">
                  <w:rPr>
                    <w:rFonts w:cs="Arial"/>
                    <w:b/>
                    <w:bCs/>
                    <w:sz w:val="18"/>
                    <w:szCs w:val="18"/>
                  </w:rPr>
                  <w:t>2027</w:t>
                </w:r>
              </w:p>
            </w:tc>
          </w:tr>
          <w:tr w:rsidRPr="006461E9" w:rsidR="00CC7724" w14:paraId="155E1B6E"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18B8FE79" w14:textId="77777777">
                <w:pPr>
                  <w:keepNext/>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0C072C4C" w14:textId="77777777">
                <w:pPr>
                  <w:keepNext/>
                  <w:jc w:val="center"/>
                  <w:rPr>
                    <w:rFonts w:cs="Arial"/>
                    <w:sz w:val="18"/>
                    <w:szCs w:val="18"/>
                  </w:rPr>
                </w:pPr>
                <w:r w:rsidRPr="006461E9">
                  <w:rPr>
                    <w:rFonts w:cs="Arial"/>
                    <w:sz w:val="18"/>
                    <w:szCs w:val="18"/>
                  </w:rPr>
                  <w:t xml:space="preserve">in </w:t>
                </w:r>
                <w:proofErr w:type="spellStart"/>
                <w:r w:rsidRPr="006461E9">
                  <w:rPr>
                    <w:rFonts w:cs="Arial"/>
                    <w:sz w:val="18"/>
                    <w:szCs w:val="18"/>
                  </w:rPr>
                  <w:t>year</w:t>
                </w:r>
                <w:proofErr w:type="spellEnd"/>
              </w:p>
            </w:tc>
            <w:tc>
              <w:tcPr>
                <w:tcW w:w="960" w:type="dxa"/>
                <w:tcBorders>
                  <w:top w:val="nil"/>
                  <w:left w:val="nil"/>
                  <w:bottom w:val="nil"/>
                  <w:right w:val="nil"/>
                </w:tcBorders>
                <w:shd w:val="clear" w:color="000000" w:fill="FFFFFF"/>
                <w:noWrap/>
                <w:vAlign w:val="bottom"/>
                <w:hideMark/>
              </w:tcPr>
              <w:p w:rsidRPr="006461E9" w:rsidR="00CC7724" w:rsidRDefault="00CC7724" w14:paraId="0A3B05E7" w14:textId="77777777">
                <w:pPr>
                  <w:keepNext/>
                  <w:jc w:val="center"/>
                  <w:rPr>
                    <w:rFonts w:cs="Arial"/>
                    <w:sz w:val="18"/>
                    <w:szCs w:val="18"/>
                  </w:rPr>
                </w:pPr>
                <w:r w:rsidRPr="006461E9">
                  <w:rPr>
                    <w:rFonts w:cs="Arial"/>
                    <w:sz w:val="18"/>
                    <w:szCs w:val="18"/>
                  </w:rPr>
                  <w:t>ex ante</w:t>
                </w:r>
              </w:p>
            </w:tc>
          </w:tr>
          <w:tr w:rsidRPr="006461E9" w:rsidR="00CC7724" w14:paraId="00B6C8D8" w14:textId="77777777">
            <w:trPr>
              <w:cantSplit/>
              <w:trHeight w:val="255"/>
            </w:trPr>
            <w:tc>
              <w:tcPr>
                <w:tcW w:w="5260" w:type="dxa"/>
                <w:tcBorders>
                  <w:top w:val="single" w:color="auto" w:sz="4" w:space="0"/>
                  <w:left w:val="nil"/>
                  <w:bottom w:val="nil"/>
                  <w:right w:val="nil"/>
                </w:tcBorders>
                <w:shd w:val="clear" w:color="000000" w:fill="FFFFFF"/>
                <w:noWrap/>
                <w:vAlign w:val="bottom"/>
                <w:hideMark/>
              </w:tcPr>
              <w:p w:rsidRPr="006461E9" w:rsidR="00CC7724" w:rsidRDefault="00CC7724" w14:paraId="564EFA64" w14:textId="77777777">
                <w:pPr>
                  <w:keepNext/>
                  <w:rPr>
                    <w:rFonts w:cs="Arial"/>
                    <w:b/>
                    <w:bCs/>
                    <w:sz w:val="18"/>
                    <w:szCs w:val="18"/>
                  </w:rPr>
                </w:pPr>
                <w:r w:rsidRPr="006461E9">
                  <w:rPr>
                    <w:rFonts w:cs="Arial"/>
                    <w:b/>
                    <w:bCs/>
                    <w:sz w:val="18"/>
                    <w:szCs w:val="18"/>
                  </w:rPr>
                  <w:t>Tekortcriterium (% bbp)</w:t>
                </w:r>
              </w:p>
            </w:tc>
            <w:tc>
              <w:tcPr>
                <w:tcW w:w="960" w:type="dxa"/>
                <w:tcBorders>
                  <w:top w:val="single" w:color="auto" w:sz="4" w:space="0"/>
                  <w:left w:val="nil"/>
                  <w:bottom w:val="nil"/>
                  <w:right w:val="nil"/>
                </w:tcBorders>
                <w:shd w:val="clear" w:color="000000" w:fill="FFFFFF"/>
                <w:noWrap/>
                <w:vAlign w:val="bottom"/>
                <w:hideMark/>
              </w:tcPr>
              <w:p w:rsidRPr="006461E9" w:rsidR="00CC7724" w:rsidRDefault="00CC7724" w14:paraId="2EE8A758" w14:textId="77777777">
                <w:pPr>
                  <w:keepNext/>
                  <w:jc w:val="center"/>
                  <w:rPr>
                    <w:rFonts w:cs="Arial"/>
                    <w:sz w:val="18"/>
                    <w:szCs w:val="18"/>
                  </w:rPr>
                </w:pPr>
                <w:r w:rsidRPr="006461E9">
                  <w:rPr>
                    <w:rFonts w:cs="Arial"/>
                    <w:sz w:val="18"/>
                    <w:szCs w:val="18"/>
                  </w:rPr>
                  <w:t> </w:t>
                </w:r>
              </w:p>
            </w:tc>
            <w:tc>
              <w:tcPr>
                <w:tcW w:w="960" w:type="dxa"/>
                <w:tcBorders>
                  <w:top w:val="single" w:color="auto" w:sz="4" w:space="0"/>
                  <w:left w:val="nil"/>
                  <w:bottom w:val="nil"/>
                  <w:right w:val="nil"/>
                </w:tcBorders>
                <w:shd w:val="clear" w:color="000000" w:fill="FFFFFF"/>
                <w:noWrap/>
                <w:vAlign w:val="bottom"/>
                <w:hideMark/>
              </w:tcPr>
              <w:p w:rsidRPr="006461E9" w:rsidR="00CC7724" w:rsidRDefault="00CC7724" w14:paraId="2E68ACB8" w14:textId="77777777">
                <w:pPr>
                  <w:keepNext/>
                  <w:jc w:val="center"/>
                  <w:rPr>
                    <w:rFonts w:cs="Arial"/>
                    <w:sz w:val="18"/>
                    <w:szCs w:val="18"/>
                  </w:rPr>
                </w:pPr>
                <w:r w:rsidRPr="006461E9">
                  <w:rPr>
                    <w:rFonts w:cs="Arial"/>
                    <w:sz w:val="18"/>
                    <w:szCs w:val="18"/>
                  </w:rPr>
                  <w:t> </w:t>
                </w:r>
              </w:p>
            </w:tc>
          </w:tr>
          <w:tr w:rsidRPr="006461E9" w:rsidR="00CC7724" w14:paraId="235BCED5"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7F43AA35" w14:textId="77777777">
                <w:pPr>
                  <w:keepNext/>
                  <w:rPr>
                    <w:rFonts w:cs="Arial"/>
                    <w:i/>
                    <w:iCs/>
                    <w:sz w:val="18"/>
                    <w:szCs w:val="18"/>
                  </w:rPr>
                </w:pPr>
                <w:r w:rsidRPr="006461E9">
                  <w:rPr>
                    <w:rFonts w:cs="Arial"/>
                    <w:i/>
                    <w:iCs/>
                    <w:sz w:val="18"/>
                    <w:szCs w:val="18"/>
                  </w:rPr>
                  <w:t>Maximaal feitelijk EMU-saldo</w:t>
                </w:r>
              </w:p>
            </w:tc>
            <w:tc>
              <w:tcPr>
                <w:tcW w:w="960" w:type="dxa"/>
                <w:tcBorders>
                  <w:top w:val="nil"/>
                  <w:left w:val="nil"/>
                  <w:bottom w:val="nil"/>
                  <w:right w:val="nil"/>
                </w:tcBorders>
                <w:shd w:val="clear" w:color="000000" w:fill="FFFFFF"/>
                <w:noWrap/>
                <w:vAlign w:val="bottom"/>
                <w:hideMark/>
              </w:tcPr>
              <w:p w:rsidRPr="006461E9" w:rsidR="00CC7724" w:rsidRDefault="00CC7724" w14:paraId="61E5A5BE" w14:textId="77777777">
                <w:pPr>
                  <w:keepNext/>
                  <w:jc w:val="center"/>
                  <w:rPr>
                    <w:rFonts w:cs="Arial"/>
                    <w:i/>
                    <w:iCs/>
                    <w:sz w:val="18"/>
                    <w:szCs w:val="18"/>
                  </w:rPr>
                </w:pPr>
                <w:r w:rsidRPr="006461E9">
                  <w:rPr>
                    <w:rFonts w:cs="Arial"/>
                    <w:i/>
                    <w:iCs/>
                    <w:sz w:val="18"/>
                    <w:szCs w:val="18"/>
                  </w:rPr>
                  <w:t>-3,0</w:t>
                </w:r>
              </w:p>
            </w:tc>
            <w:tc>
              <w:tcPr>
                <w:tcW w:w="960" w:type="dxa"/>
                <w:tcBorders>
                  <w:top w:val="nil"/>
                  <w:left w:val="nil"/>
                  <w:bottom w:val="nil"/>
                  <w:right w:val="nil"/>
                </w:tcBorders>
                <w:shd w:val="clear" w:color="000000" w:fill="FFFFFF"/>
                <w:noWrap/>
                <w:vAlign w:val="bottom"/>
                <w:hideMark/>
              </w:tcPr>
              <w:p w:rsidRPr="006461E9" w:rsidR="00CC7724" w:rsidRDefault="00CC7724" w14:paraId="42146462" w14:textId="77777777">
                <w:pPr>
                  <w:keepNext/>
                  <w:jc w:val="center"/>
                  <w:rPr>
                    <w:rFonts w:cs="Arial"/>
                    <w:i/>
                    <w:iCs/>
                    <w:sz w:val="18"/>
                    <w:szCs w:val="18"/>
                  </w:rPr>
                </w:pPr>
                <w:r w:rsidRPr="006461E9">
                  <w:rPr>
                    <w:rFonts w:cs="Arial"/>
                    <w:i/>
                    <w:iCs/>
                    <w:sz w:val="18"/>
                    <w:szCs w:val="18"/>
                  </w:rPr>
                  <w:t>-3,0</w:t>
                </w:r>
              </w:p>
            </w:tc>
          </w:tr>
          <w:tr w:rsidRPr="006461E9" w:rsidR="00CC7724" w14:paraId="668881FF"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141A82F2" w14:textId="77777777">
                <w:pPr>
                  <w:keepNext/>
                  <w:rPr>
                    <w:rFonts w:cs="Arial"/>
                    <w:sz w:val="18"/>
                    <w:szCs w:val="18"/>
                  </w:rPr>
                </w:pPr>
                <w:r w:rsidRPr="006461E9">
                  <w:rPr>
                    <w:rFonts w:cs="Arial"/>
                    <w:sz w:val="18"/>
                    <w:szCs w:val="18"/>
                  </w:rPr>
                  <w:t>EMU-saldo feitelijk</w:t>
                </w:r>
              </w:p>
            </w:tc>
            <w:tc>
              <w:tcPr>
                <w:tcW w:w="960" w:type="dxa"/>
                <w:tcBorders>
                  <w:top w:val="nil"/>
                  <w:left w:val="nil"/>
                  <w:bottom w:val="nil"/>
                  <w:right w:val="nil"/>
                </w:tcBorders>
                <w:shd w:val="clear" w:color="000000" w:fill="FFFFFF"/>
                <w:noWrap/>
                <w:vAlign w:val="bottom"/>
                <w:hideMark/>
              </w:tcPr>
              <w:p w:rsidRPr="006461E9" w:rsidR="00CC7724" w:rsidRDefault="00CC7724" w14:paraId="581E2EEB" w14:textId="77777777">
                <w:pPr>
                  <w:keepNext/>
                  <w:jc w:val="center"/>
                  <w:rPr>
                    <w:rFonts w:cs="Arial"/>
                    <w:sz w:val="18"/>
                    <w:szCs w:val="18"/>
                  </w:rPr>
                </w:pPr>
                <w:r w:rsidRPr="006461E9">
                  <w:rPr>
                    <w:rFonts w:cs="Arial"/>
                    <w:sz w:val="18"/>
                    <w:szCs w:val="18"/>
                  </w:rPr>
                  <w:t>-2,7</w:t>
                </w:r>
              </w:p>
            </w:tc>
            <w:tc>
              <w:tcPr>
                <w:tcW w:w="960" w:type="dxa"/>
                <w:tcBorders>
                  <w:top w:val="nil"/>
                  <w:left w:val="nil"/>
                  <w:bottom w:val="nil"/>
                  <w:right w:val="nil"/>
                </w:tcBorders>
                <w:shd w:val="clear" w:color="000000" w:fill="FFFFFF"/>
                <w:noWrap/>
                <w:vAlign w:val="bottom"/>
                <w:hideMark/>
              </w:tcPr>
              <w:p w:rsidRPr="006461E9" w:rsidR="00CC7724" w:rsidRDefault="00CC7724" w14:paraId="18FABF45" w14:textId="77777777">
                <w:pPr>
                  <w:keepNext/>
                  <w:jc w:val="center"/>
                  <w:rPr>
                    <w:rFonts w:cs="Arial"/>
                    <w:sz w:val="18"/>
                    <w:szCs w:val="18"/>
                  </w:rPr>
                </w:pPr>
                <w:r w:rsidRPr="006461E9">
                  <w:rPr>
                    <w:rFonts w:cs="Arial"/>
                    <w:sz w:val="18"/>
                    <w:szCs w:val="18"/>
                  </w:rPr>
                  <w:t>-2,2</w:t>
                </w:r>
              </w:p>
            </w:tc>
          </w:tr>
          <w:tr w:rsidRPr="006461E9" w:rsidR="00CC7724" w14:paraId="4A2E55EA"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1DEFFBDD" w14:textId="77777777">
                <w:pPr>
                  <w:keepNext/>
                  <w:rPr>
                    <w:rFonts w:cs="Arial"/>
                    <w:sz w:val="18"/>
                    <w:szCs w:val="18"/>
                  </w:rPr>
                </w:pPr>
                <w:proofErr w:type="spellStart"/>
                <w:r w:rsidRPr="006461E9">
                  <w:rPr>
                    <w:rFonts w:cs="Arial"/>
                    <w:sz w:val="18"/>
                    <w:szCs w:val="18"/>
                  </w:rPr>
                  <w:t>w.v</w:t>
                </w:r>
                <w:proofErr w:type="spellEnd"/>
                <w:r w:rsidRPr="006461E9">
                  <w:rPr>
                    <w:rFonts w:cs="Arial"/>
                    <w:sz w:val="18"/>
                    <w:szCs w:val="18"/>
                  </w:rPr>
                  <w:t xml:space="preserve">. EMU-saldo medeoverheden </w:t>
                </w:r>
              </w:p>
            </w:tc>
            <w:tc>
              <w:tcPr>
                <w:tcW w:w="960" w:type="dxa"/>
                <w:tcBorders>
                  <w:top w:val="nil"/>
                  <w:left w:val="nil"/>
                  <w:bottom w:val="nil"/>
                  <w:right w:val="nil"/>
                </w:tcBorders>
                <w:shd w:val="clear" w:color="000000" w:fill="FFFFFF"/>
                <w:noWrap/>
                <w:vAlign w:val="bottom"/>
                <w:hideMark/>
              </w:tcPr>
              <w:p w:rsidRPr="006461E9" w:rsidR="00CC7724" w:rsidRDefault="00CC7724" w14:paraId="1A9E1A2A" w14:textId="77777777">
                <w:pPr>
                  <w:keepNext/>
                  <w:jc w:val="center"/>
                  <w:rPr>
                    <w:rFonts w:cs="Arial"/>
                    <w:sz w:val="18"/>
                    <w:szCs w:val="18"/>
                  </w:rPr>
                </w:pPr>
                <w:r w:rsidRPr="006461E9">
                  <w:rPr>
                    <w:rFonts w:cs="Arial"/>
                    <w:sz w:val="18"/>
                    <w:szCs w:val="18"/>
                  </w:rPr>
                  <w:t>-0,4</w:t>
                </w:r>
              </w:p>
            </w:tc>
            <w:tc>
              <w:tcPr>
                <w:tcW w:w="960" w:type="dxa"/>
                <w:tcBorders>
                  <w:top w:val="nil"/>
                  <w:left w:val="nil"/>
                  <w:bottom w:val="nil"/>
                  <w:right w:val="nil"/>
                </w:tcBorders>
                <w:shd w:val="clear" w:color="000000" w:fill="FFFFFF"/>
                <w:noWrap/>
                <w:vAlign w:val="bottom"/>
                <w:hideMark/>
              </w:tcPr>
              <w:p w:rsidRPr="006461E9" w:rsidR="00CC7724" w:rsidRDefault="00CC7724" w14:paraId="3E5E7EAC" w14:textId="77777777">
                <w:pPr>
                  <w:keepNext/>
                  <w:jc w:val="center"/>
                  <w:rPr>
                    <w:rFonts w:cs="Arial"/>
                    <w:sz w:val="18"/>
                    <w:szCs w:val="18"/>
                  </w:rPr>
                </w:pPr>
                <w:r w:rsidRPr="006461E9">
                  <w:rPr>
                    <w:rFonts w:cs="Arial"/>
                    <w:sz w:val="18"/>
                    <w:szCs w:val="18"/>
                  </w:rPr>
                  <w:t>-0,2</w:t>
                </w:r>
              </w:p>
            </w:tc>
          </w:tr>
          <w:tr w:rsidRPr="006461E9" w:rsidR="00CC7724" w14:paraId="6BAEBF77"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6EA2CC25" w14:textId="77777777">
                <w:pPr>
                  <w:keepNext/>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767E94FC" w14:textId="77777777">
                <w:pPr>
                  <w:keepNext/>
                  <w:jc w:val="center"/>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712676F6" w14:textId="77777777">
                <w:pPr>
                  <w:keepNext/>
                  <w:jc w:val="center"/>
                  <w:rPr>
                    <w:rFonts w:cs="Arial"/>
                    <w:sz w:val="18"/>
                    <w:szCs w:val="18"/>
                  </w:rPr>
                </w:pPr>
                <w:r w:rsidRPr="006461E9">
                  <w:rPr>
                    <w:rFonts w:cs="Arial"/>
                    <w:sz w:val="18"/>
                    <w:szCs w:val="18"/>
                  </w:rPr>
                  <w:t> </w:t>
                </w:r>
              </w:p>
            </w:tc>
          </w:tr>
          <w:tr w:rsidRPr="006461E9" w:rsidR="00CC7724" w14:paraId="0CF1A82E"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29F41B10" w14:textId="77777777">
                <w:pPr>
                  <w:keepNext/>
                  <w:rPr>
                    <w:rFonts w:cs="Arial"/>
                    <w:sz w:val="18"/>
                    <w:szCs w:val="18"/>
                  </w:rPr>
                </w:pPr>
                <w:r w:rsidRPr="006461E9">
                  <w:rPr>
                    <w:rFonts w:cs="Arial"/>
                    <w:sz w:val="18"/>
                    <w:szCs w:val="18"/>
                  </w:rPr>
                  <w:t>EMU-saldo structureel</w:t>
                </w:r>
              </w:p>
            </w:tc>
            <w:tc>
              <w:tcPr>
                <w:tcW w:w="960" w:type="dxa"/>
                <w:tcBorders>
                  <w:top w:val="nil"/>
                  <w:left w:val="nil"/>
                  <w:bottom w:val="nil"/>
                  <w:right w:val="nil"/>
                </w:tcBorders>
                <w:shd w:val="clear" w:color="000000" w:fill="FFFFFF"/>
                <w:noWrap/>
                <w:vAlign w:val="bottom"/>
                <w:hideMark/>
              </w:tcPr>
              <w:p w:rsidRPr="006461E9" w:rsidR="00CC7724" w:rsidRDefault="00CC7724" w14:paraId="14BEFEC5" w14:textId="77777777">
                <w:pPr>
                  <w:keepNext/>
                  <w:jc w:val="center"/>
                  <w:rPr>
                    <w:rFonts w:cs="Arial"/>
                    <w:sz w:val="18"/>
                    <w:szCs w:val="18"/>
                  </w:rPr>
                </w:pPr>
                <w:r w:rsidRPr="006461E9">
                  <w:rPr>
                    <w:rFonts w:cs="Arial"/>
                    <w:sz w:val="18"/>
                    <w:szCs w:val="18"/>
                  </w:rPr>
                  <w:t>-1,6</w:t>
                </w:r>
              </w:p>
            </w:tc>
            <w:tc>
              <w:tcPr>
                <w:tcW w:w="960" w:type="dxa"/>
                <w:tcBorders>
                  <w:top w:val="nil"/>
                  <w:left w:val="nil"/>
                  <w:bottom w:val="nil"/>
                  <w:right w:val="nil"/>
                </w:tcBorders>
                <w:shd w:val="clear" w:color="000000" w:fill="FFFFFF"/>
                <w:noWrap/>
                <w:vAlign w:val="bottom"/>
                <w:hideMark/>
              </w:tcPr>
              <w:p w:rsidRPr="006461E9" w:rsidR="00CC7724" w:rsidRDefault="00CC7724" w14:paraId="7E4089C1" w14:textId="77777777">
                <w:pPr>
                  <w:keepNext/>
                  <w:jc w:val="center"/>
                  <w:rPr>
                    <w:rFonts w:cs="Arial"/>
                    <w:sz w:val="18"/>
                    <w:szCs w:val="18"/>
                  </w:rPr>
                </w:pPr>
                <w:r w:rsidRPr="006461E9">
                  <w:rPr>
                    <w:rFonts w:cs="Arial"/>
                    <w:sz w:val="18"/>
                    <w:szCs w:val="18"/>
                  </w:rPr>
                  <w:t>-1,8</w:t>
                </w:r>
              </w:p>
            </w:tc>
          </w:tr>
          <w:tr w:rsidRPr="006461E9" w:rsidR="00CC7724" w14:paraId="35435603"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2DCD91F4" w14:textId="77777777">
                <w:pPr>
                  <w:keepNext/>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4264FBAE" w14:textId="77777777">
                <w:pPr>
                  <w:keepNext/>
                  <w:jc w:val="center"/>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37182B56" w14:textId="77777777">
                <w:pPr>
                  <w:keepNext/>
                  <w:jc w:val="center"/>
                  <w:rPr>
                    <w:rFonts w:cs="Arial"/>
                    <w:sz w:val="18"/>
                    <w:szCs w:val="18"/>
                  </w:rPr>
                </w:pPr>
                <w:r w:rsidRPr="006461E9">
                  <w:rPr>
                    <w:rFonts w:cs="Arial"/>
                    <w:sz w:val="18"/>
                    <w:szCs w:val="18"/>
                  </w:rPr>
                  <w:t> </w:t>
                </w:r>
              </w:p>
            </w:tc>
          </w:tr>
          <w:tr w:rsidRPr="006461E9" w:rsidR="00CC7724" w14:paraId="229AC9F5"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73478DC6" w14:textId="77777777">
                <w:pPr>
                  <w:keepNext/>
                  <w:rPr>
                    <w:rFonts w:cs="Arial"/>
                    <w:b/>
                    <w:bCs/>
                    <w:sz w:val="18"/>
                    <w:szCs w:val="18"/>
                  </w:rPr>
                </w:pPr>
                <w:r w:rsidRPr="006461E9">
                  <w:rPr>
                    <w:rFonts w:cs="Arial"/>
                    <w:b/>
                    <w:bCs/>
                    <w:sz w:val="18"/>
                    <w:szCs w:val="18"/>
                  </w:rPr>
                  <w:t>Schuldcriterium (% bbp)</w:t>
                </w:r>
              </w:p>
            </w:tc>
            <w:tc>
              <w:tcPr>
                <w:tcW w:w="960" w:type="dxa"/>
                <w:tcBorders>
                  <w:top w:val="nil"/>
                  <w:left w:val="nil"/>
                  <w:bottom w:val="nil"/>
                  <w:right w:val="nil"/>
                </w:tcBorders>
                <w:shd w:val="clear" w:color="000000" w:fill="FFFFFF"/>
                <w:noWrap/>
                <w:vAlign w:val="bottom"/>
                <w:hideMark/>
              </w:tcPr>
              <w:p w:rsidRPr="006461E9" w:rsidR="00CC7724" w:rsidRDefault="00CC7724" w14:paraId="1B16D939" w14:textId="77777777">
                <w:pPr>
                  <w:keepNext/>
                  <w:jc w:val="center"/>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56980F96" w14:textId="77777777">
                <w:pPr>
                  <w:keepNext/>
                  <w:jc w:val="center"/>
                  <w:rPr>
                    <w:rFonts w:cs="Arial"/>
                    <w:sz w:val="18"/>
                    <w:szCs w:val="18"/>
                  </w:rPr>
                </w:pPr>
                <w:r w:rsidRPr="006461E9">
                  <w:rPr>
                    <w:rFonts w:cs="Arial"/>
                    <w:sz w:val="18"/>
                    <w:szCs w:val="18"/>
                  </w:rPr>
                  <w:t> </w:t>
                </w:r>
              </w:p>
            </w:tc>
          </w:tr>
          <w:tr w:rsidRPr="006461E9" w:rsidR="00CC7724" w14:paraId="1C01B002"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27427507" w14:textId="77777777">
                <w:pPr>
                  <w:keepNext/>
                  <w:rPr>
                    <w:rFonts w:cs="Arial"/>
                    <w:i/>
                    <w:iCs/>
                    <w:sz w:val="18"/>
                    <w:szCs w:val="18"/>
                  </w:rPr>
                </w:pPr>
                <w:r w:rsidRPr="006461E9">
                  <w:rPr>
                    <w:rFonts w:cs="Arial"/>
                    <w:i/>
                    <w:iCs/>
                    <w:sz w:val="18"/>
                    <w:szCs w:val="18"/>
                  </w:rPr>
                  <w:t>Maximale EMU-schuld</w:t>
                </w:r>
              </w:p>
            </w:tc>
            <w:tc>
              <w:tcPr>
                <w:tcW w:w="960" w:type="dxa"/>
                <w:tcBorders>
                  <w:top w:val="nil"/>
                  <w:left w:val="nil"/>
                  <w:bottom w:val="nil"/>
                  <w:right w:val="nil"/>
                </w:tcBorders>
                <w:shd w:val="clear" w:color="000000" w:fill="FFFFFF"/>
                <w:noWrap/>
                <w:vAlign w:val="bottom"/>
                <w:hideMark/>
              </w:tcPr>
              <w:p w:rsidRPr="006461E9" w:rsidR="00CC7724" w:rsidRDefault="00CC7724" w14:paraId="3B9049C9" w14:textId="77777777">
                <w:pPr>
                  <w:keepNext/>
                  <w:jc w:val="center"/>
                  <w:rPr>
                    <w:rFonts w:cs="Arial"/>
                    <w:i/>
                    <w:iCs/>
                    <w:sz w:val="18"/>
                    <w:szCs w:val="18"/>
                  </w:rPr>
                </w:pPr>
                <w:r w:rsidRPr="006461E9">
                  <w:rPr>
                    <w:rFonts w:cs="Arial"/>
                    <w:i/>
                    <w:iCs/>
                    <w:sz w:val="18"/>
                    <w:szCs w:val="18"/>
                  </w:rPr>
                  <w:t>60,0</w:t>
                </w:r>
              </w:p>
            </w:tc>
            <w:tc>
              <w:tcPr>
                <w:tcW w:w="960" w:type="dxa"/>
                <w:tcBorders>
                  <w:top w:val="nil"/>
                  <w:left w:val="nil"/>
                  <w:bottom w:val="nil"/>
                  <w:right w:val="nil"/>
                </w:tcBorders>
                <w:shd w:val="clear" w:color="000000" w:fill="FFFFFF"/>
                <w:noWrap/>
                <w:vAlign w:val="bottom"/>
                <w:hideMark/>
              </w:tcPr>
              <w:p w:rsidRPr="006461E9" w:rsidR="00CC7724" w:rsidRDefault="00CC7724" w14:paraId="296B7F5C" w14:textId="77777777">
                <w:pPr>
                  <w:keepNext/>
                  <w:jc w:val="center"/>
                  <w:rPr>
                    <w:rFonts w:cs="Arial"/>
                    <w:i/>
                    <w:iCs/>
                    <w:sz w:val="18"/>
                    <w:szCs w:val="18"/>
                  </w:rPr>
                </w:pPr>
                <w:r w:rsidRPr="006461E9">
                  <w:rPr>
                    <w:rFonts w:cs="Arial"/>
                    <w:i/>
                    <w:iCs/>
                    <w:sz w:val="18"/>
                    <w:szCs w:val="18"/>
                  </w:rPr>
                  <w:t>60,0</w:t>
                </w:r>
              </w:p>
            </w:tc>
          </w:tr>
          <w:tr w:rsidRPr="006461E9" w:rsidR="00CC7724" w14:paraId="35D243E2" w14:textId="77777777">
            <w:trPr>
              <w:cantSplit/>
              <w:trHeight w:val="270"/>
            </w:trPr>
            <w:tc>
              <w:tcPr>
                <w:tcW w:w="5260" w:type="dxa"/>
                <w:tcBorders>
                  <w:top w:val="nil"/>
                  <w:left w:val="nil"/>
                  <w:bottom w:val="single" w:color="auto" w:sz="8" w:space="0"/>
                  <w:right w:val="nil"/>
                </w:tcBorders>
                <w:shd w:val="clear" w:color="000000" w:fill="FFFFFF"/>
                <w:noWrap/>
                <w:vAlign w:val="bottom"/>
                <w:hideMark/>
              </w:tcPr>
              <w:p w:rsidRPr="006461E9" w:rsidR="00CC7724" w:rsidRDefault="00CC7724" w14:paraId="07CA106D" w14:textId="77777777">
                <w:pPr>
                  <w:keepNext/>
                  <w:rPr>
                    <w:rFonts w:cs="Arial"/>
                    <w:sz w:val="18"/>
                    <w:szCs w:val="18"/>
                  </w:rPr>
                </w:pPr>
                <w:r w:rsidRPr="006461E9">
                  <w:rPr>
                    <w:rFonts w:cs="Arial"/>
                    <w:sz w:val="18"/>
                    <w:szCs w:val="18"/>
                  </w:rPr>
                  <w:t>EMU-schuld</w:t>
                </w:r>
              </w:p>
            </w:tc>
            <w:tc>
              <w:tcPr>
                <w:tcW w:w="960" w:type="dxa"/>
                <w:tcBorders>
                  <w:top w:val="nil"/>
                  <w:left w:val="nil"/>
                  <w:bottom w:val="single" w:color="auto" w:sz="8" w:space="0"/>
                  <w:right w:val="nil"/>
                </w:tcBorders>
                <w:shd w:val="clear" w:color="000000" w:fill="FFFFFF"/>
                <w:noWrap/>
                <w:vAlign w:val="bottom"/>
                <w:hideMark/>
              </w:tcPr>
              <w:p w:rsidRPr="006461E9" w:rsidR="00CC7724" w:rsidRDefault="00CC7724" w14:paraId="6DE4D4F3" w14:textId="77777777">
                <w:pPr>
                  <w:keepNext/>
                  <w:jc w:val="center"/>
                  <w:rPr>
                    <w:rFonts w:cs="Arial"/>
                    <w:sz w:val="18"/>
                    <w:szCs w:val="18"/>
                  </w:rPr>
                </w:pPr>
                <w:r w:rsidRPr="006461E9">
                  <w:rPr>
                    <w:rFonts w:cs="Arial"/>
                    <w:sz w:val="18"/>
                    <w:szCs w:val="18"/>
                  </w:rPr>
                  <w:t>46,1</w:t>
                </w:r>
              </w:p>
            </w:tc>
            <w:tc>
              <w:tcPr>
                <w:tcW w:w="960" w:type="dxa"/>
                <w:tcBorders>
                  <w:top w:val="nil"/>
                  <w:left w:val="nil"/>
                  <w:bottom w:val="single" w:color="auto" w:sz="8" w:space="0"/>
                  <w:right w:val="nil"/>
                </w:tcBorders>
                <w:shd w:val="clear" w:color="000000" w:fill="FFFFFF"/>
                <w:noWrap/>
                <w:vAlign w:val="bottom"/>
                <w:hideMark/>
              </w:tcPr>
              <w:p w:rsidRPr="006461E9" w:rsidR="00CC7724" w:rsidRDefault="00CC7724" w14:paraId="7ECA66AF" w14:textId="77777777">
                <w:pPr>
                  <w:keepNext/>
                  <w:jc w:val="center"/>
                  <w:rPr>
                    <w:rFonts w:cs="Arial"/>
                    <w:sz w:val="18"/>
                    <w:szCs w:val="18"/>
                  </w:rPr>
                </w:pPr>
                <w:r w:rsidRPr="006461E9">
                  <w:rPr>
                    <w:rFonts w:cs="Arial"/>
                    <w:sz w:val="18"/>
                    <w:szCs w:val="18"/>
                  </w:rPr>
                  <w:t>46,7</w:t>
                </w:r>
              </w:p>
            </w:tc>
          </w:tr>
          <w:tr w:rsidRPr="006461E9" w:rsidR="00CC7724" w14:paraId="5AE28A2D" w14:textId="77777777">
            <w:trPr>
              <w:cantSplit/>
              <w:trHeight w:val="255"/>
            </w:trPr>
            <w:tc>
              <w:tcPr>
                <w:tcW w:w="5260" w:type="dxa"/>
                <w:tcBorders>
                  <w:top w:val="nil"/>
                  <w:left w:val="nil"/>
                  <w:bottom w:val="nil"/>
                  <w:right w:val="nil"/>
                </w:tcBorders>
                <w:shd w:val="clear" w:color="000000" w:fill="FFFFFF"/>
                <w:noWrap/>
                <w:vAlign w:val="bottom"/>
                <w:hideMark/>
              </w:tcPr>
              <w:p w:rsidRPr="006461E9" w:rsidR="00CC7724" w:rsidRDefault="00CC7724" w14:paraId="5E82F5C3" w14:textId="77777777">
                <w:pPr>
                  <w:keepNext/>
                  <w:rPr>
                    <w:rFonts w:cs="Arial"/>
                    <w:i/>
                    <w:iCs/>
                    <w:sz w:val="18"/>
                    <w:szCs w:val="18"/>
                  </w:rPr>
                </w:pPr>
                <w:r w:rsidRPr="006461E9">
                  <w:rPr>
                    <w:rFonts w:cs="Arial"/>
                    <w:i/>
                    <w:iCs/>
                    <w:sz w:val="18"/>
                    <w:szCs w:val="18"/>
                  </w:rPr>
                  <w:t xml:space="preserve">Bron: CPB (Macro Economische Verkenning 2027) </w:t>
                </w:r>
              </w:p>
            </w:tc>
            <w:tc>
              <w:tcPr>
                <w:tcW w:w="960" w:type="dxa"/>
                <w:tcBorders>
                  <w:top w:val="nil"/>
                  <w:left w:val="nil"/>
                  <w:bottom w:val="nil"/>
                  <w:right w:val="nil"/>
                </w:tcBorders>
                <w:shd w:val="clear" w:color="000000" w:fill="FFFFFF"/>
                <w:noWrap/>
                <w:vAlign w:val="bottom"/>
                <w:hideMark/>
              </w:tcPr>
              <w:p w:rsidRPr="006461E9" w:rsidR="00CC7724" w:rsidRDefault="00CC7724" w14:paraId="611B30AD" w14:textId="77777777">
                <w:pPr>
                  <w:keepNext/>
                  <w:rPr>
                    <w:rFonts w:cs="Arial"/>
                    <w:sz w:val="18"/>
                    <w:szCs w:val="18"/>
                  </w:rPr>
                </w:pPr>
                <w:r w:rsidRPr="006461E9">
                  <w:rPr>
                    <w:rFonts w:cs="Arial"/>
                    <w:sz w:val="18"/>
                    <w:szCs w:val="18"/>
                  </w:rPr>
                  <w:t> </w:t>
                </w:r>
              </w:p>
            </w:tc>
            <w:tc>
              <w:tcPr>
                <w:tcW w:w="960" w:type="dxa"/>
                <w:tcBorders>
                  <w:top w:val="nil"/>
                  <w:left w:val="nil"/>
                  <w:bottom w:val="nil"/>
                  <w:right w:val="nil"/>
                </w:tcBorders>
                <w:shd w:val="clear" w:color="000000" w:fill="FFFFFF"/>
                <w:noWrap/>
                <w:vAlign w:val="bottom"/>
                <w:hideMark/>
              </w:tcPr>
              <w:p w:rsidRPr="006461E9" w:rsidR="00CC7724" w:rsidRDefault="00CC7724" w14:paraId="6B2739D5" w14:textId="77777777">
                <w:pPr>
                  <w:keepNext/>
                  <w:rPr>
                    <w:rFonts w:cs="Arial"/>
                    <w:sz w:val="18"/>
                    <w:szCs w:val="18"/>
                  </w:rPr>
                </w:pPr>
                <w:r w:rsidRPr="006461E9">
                  <w:rPr>
                    <w:rFonts w:cs="Arial"/>
                    <w:sz w:val="18"/>
                    <w:szCs w:val="18"/>
                  </w:rPr>
                  <w:t> </w:t>
                </w:r>
              </w:p>
            </w:tc>
          </w:tr>
        </w:tbl>
        <w:p w:rsidRPr="008B0CD2" w:rsidR="00CC7724" w:rsidP="00CC7724" w:rsidRDefault="00CC7724" w14:paraId="3FDBCC78" w14:textId="77777777">
          <w:pPr>
            <w:rPr>
              <w:b/>
            </w:rPr>
          </w:pPr>
        </w:p>
        <w:p w:rsidR="00CC7724" w:rsidP="00CC7724" w:rsidRDefault="00CC7724" w14:paraId="6E3FF58D" w14:textId="77777777">
          <w:r>
            <w:t xml:space="preserve">Het EMU-saldo komt naar verwachting in 2026 met -2,7% bbp aanzienlijk dichter bij de referentiewaarde van -3% bbp dan in de voorgaande jaren. Dit is mede het gevolg van de incidentele uitgaven voor de militaire pensioenen. Voor het overige is deze verslechtering toe te schrijven aan hogere uitgaven aan defensie, sociale zekerheid en zorg, oplopende rentelasten en een hogere Nederlandse </w:t>
          </w:r>
          <w:proofErr w:type="spellStart"/>
          <w:r>
            <w:t>bni</w:t>
          </w:r>
          <w:proofErr w:type="spellEnd"/>
          <w:r>
            <w:t>-afdracht aan de Europese Unie,</w:t>
          </w:r>
          <w:r w:rsidRPr="009E1B8F">
            <w:rPr>
              <w:rStyle w:val="Voetnootmarkering"/>
            </w:rPr>
            <w:t xml:space="preserve"> </w:t>
          </w:r>
          <w:r>
            <w:rPr>
              <w:rStyle w:val="Voetnootmarkering"/>
            </w:rPr>
            <w:footnoteReference w:id="82"/>
          </w:r>
          <w:r>
            <w:t xml:space="preserve"> die niet volledig worden gecompenseerd door hogere overheidsinkomsten.</w:t>
          </w:r>
          <w:r w:rsidRPr="7073540F">
            <w:rPr>
              <w:rStyle w:val="Voetnootmarkering"/>
            </w:rPr>
            <w:footnoteReference w:id="83"/>
          </w:r>
          <w:r>
            <w:t xml:space="preserve"> </w:t>
          </w:r>
        </w:p>
        <w:p w:rsidR="00CC7724" w:rsidP="00CC7724" w:rsidRDefault="00CC7724" w14:paraId="26BC19E3" w14:textId="77777777"/>
        <w:p w:rsidR="00CC7724" w:rsidP="00CC7724" w:rsidRDefault="00CC7724" w14:paraId="1939D017" w14:textId="77777777">
          <w:r>
            <w:t>In het voorjaar van 2027 onderzoekt de Commissie of er in het voorgaande jaar (</w:t>
          </w:r>
          <w:proofErr w:type="spellStart"/>
          <w:r>
            <w:t>ex-post</w:t>
          </w:r>
          <w:proofErr w:type="spellEnd"/>
          <w:r>
            <w:t>, in 2026) op basis van de begrotingsrealisaties is voldaan aan de referentiewaarden, of dat er in dat jaar (in-</w:t>
          </w:r>
          <w:proofErr w:type="spellStart"/>
          <w:r>
            <w:t>year</w:t>
          </w:r>
          <w:proofErr w:type="spellEnd"/>
          <w:r>
            <w:t xml:space="preserve">) sprake is van een geplande overschrijding van de referentiewaarden. Op basis van dat onderzoek zal de Commissie eventueel een aanbeveling aan de Raad doen over het openen van een buitensporig tekort, of het opleggen van een corrigerend </w:t>
          </w:r>
          <w:proofErr w:type="spellStart"/>
          <w:r>
            <w:t>uitgavenpad</w:t>
          </w:r>
          <w:proofErr w:type="spellEnd"/>
          <w:r>
            <w:t xml:space="preserve">. </w:t>
          </w:r>
        </w:p>
        <w:p w:rsidR="00CC7724" w:rsidP="00CC7724" w:rsidRDefault="00CC7724" w14:paraId="59F0C5CA" w14:textId="77777777"/>
        <w:p w:rsidRPr="008A7C42" w:rsidR="00CC7724" w:rsidP="00CC7724" w:rsidRDefault="00CC7724" w14:paraId="04E0C282" w14:textId="77777777">
          <w:pPr>
            <w:rPr>
              <w:i/>
            </w:rPr>
          </w:pPr>
          <w:r w:rsidRPr="008A7C42">
            <w:rPr>
              <w:i/>
            </w:rPr>
            <w:t xml:space="preserve">Conclusie </w:t>
          </w:r>
        </w:p>
        <w:p w:rsidR="00CC7724" w:rsidP="00CC7724" w:rsidRDefault="00CC7724" w14:paraId="3EFCEBF3" w14:textId="77777777">
          <w:r>
            <w:t xml:space="preserve">De bevindingen brengen de Afdeling tot de volgende beoordeling: </w:t>
          </w:r>
        </w:p>
        <w:p w:rsidRPr="005F7D52" w:rsidR="00CC7724" w:rsidP="008F5205" w:rsidRDefault="00CC7724" w14:paraId="4F986244" w14:textId="77777777">
          <w:pPr>
            <w:pStyle w:val="Lijstalinea"/>
            <w:numPr>
              <w:ilvl w:val="0"/>
              <w:numId w:val="8"/>
            </w:numPr>
            <w:ind w:left="284" w:hanging="284"/>
          </w:pPr>
          <w:r>
            <w:t xml:space="preserve">Op basis van de raming van het CPB concludeert de Afdeling dat Nederland naar verwachting een hogere uitgavengroei laat zien dan genormeerd. Dit leidt er naar verwachting toe dat de overheidsfinanciën op de middellange termijn de referentiewaarden voor het maximale begrotingstekort (3% bbp) en maximale overheidsschuld (60% bbp) zullen overschrijden. </w:t>
          </w:r>
        </w:p>
        <w:p w:rsidR="00CC7724" w:rsidP="008F5205" w:rsidRDefault="00CC7724" w14:paraId="23FEBAF3" w14:textId="77777777">
          <w:pPr>
            <w:pStyle w:val="Lijstalinea"/>
            <w:numPr>
              <w:ilvl w:val="0"/>
              <w:numId w:val="8"/>
            </w:numPr>
            <w:ind w:left="284" w:hanging="284"/>
          </w:pPr>
          <w:r>
            <w:t xml:space="preserve">De augustusbesluitvorming draagt, ook na technisch-methodologische correcties, bij aan een overschrijding van het door de Raad van de Europese Unie aanbevolen </w:t>
          </w:r>
          <w:proofErr w:type="spellStart"/>
          <w:r>
            <w:t>uitgavenpad</w:t>
          </w:r>
          <w:proofErr w:type="spellEnd"/>
          <w:r>
            <w:t xml:space="preserve">. Dit betekent dat de overschrijding niet uitsluitend een boekhoudkundig karakter heeft, maar mede het gevolg is van bewuste beleidskeuzes van het kabinet. </w:t>
          </w:r>
        </w:p>
        <w:p w:rsidR="00CC7724" w:rsidP="008F5205" w:rsidRDefault="00CC7724" w14:paraId="7E56B37F" w14:textId="77777777">
          <w:pPr>
            <w:pStyle w:val="Lijstalinea"/>
            <w:numPr>
              <w:ilvl w:val="0"/>
              <w:numId w:val="8"/>
            </w:numPr>
            <w:ind w:left="284" w:hanging="284"/>
          </w:pPr>
          <w:r>
            <w:lastRenderedPageBreak/>
            <w:t>Op basis van de geraamde EMU-schuld en het EMU-saldo concludeert de Afdeling dat de overheidsfinanciën in 2026 en 2027 naar verwachting voldoen aan de Europese vereisten voor het maximale overheidstekort (maximaal 3% bbp) en voor de maximale overheidsschuld (maximaal 60% bbp).</w:t>
          </w:r>
        </w:p>
        <w:p w:rsidR="00CC7724" w:rsidP="00CC7724" w:rsidRDefault="00CC7724" w14:paraId="5F310A51" w14:textId="77777777"/>
        <w:p w:rsidR="00CC7724" w:rsidP="00CC7724" w:rsidRDefault="00CC7724" w14:paraId="7765B6F0" w14:textId="77777777">
          <w:pPr>
            <w:rPr>
              <w:rFonts w:eastAsia="Univers" w:cs="Univers"/>
              <w:szCs w:val="22"/>
            </w:rPr>
          </w:pPr>
          <w:r w:rsidRPr="7073540F">
            <w:rPr>
              <w:rFonts w:eastAsia="Univers" w:cs="Univers"/>
              <w:szCs w:val="22"/>
            </w:rPr>
            <w:t>De door de Raad van de Europese Unie aanbevolen uitgavenregel is in het nationale recht verankerd. De Wet Hof bepaalt dat het voeren van trendmatig begrotingsbeleid geschiedt met inachtneming van het door de Raad van de Europese Unie voor Nederland aanbevolen netto-</w:t>
          </w:r>
          <w:proofErr w:type="spellStart"/>
          <w:r w:rsidRPr="7073540F">
            <w:rPr>
              <w:rFonts w:eastAsia="Univers" w:cs="Univers"/>
              <w:szCs w:val="22"/>
            </w:rPr>
            <w:t>uitgavenpad</w:t>
          </w:r>
          <w:proofErr w:type="spellEnd"/>
          <w:r w:rsidRPr="7073540F">
            <w:rPr>
              <w:rFonts w:eastAsia="Univers" w:cs="Univers"/>
              <w:szCs w:val="22"/>
            </w:rPr>
            <w:t>.</w:t>
          </w:r>
        </w:p>
        <w:p w:rsidR="00CC7724" w:rsidP="00CC7724" w:rsidRDefault="00CC7724" w14:paraId="14281C83" w14:textId="77777777"/>
        <w:p w:rsidRPr="008E0CCC" w:rsidR="00CC7724" w:rsidP="00CC7724" w:rsidRDefault="00CC7724" w14:paraId="72F65D98" w14:textId="4D568EEA">
          <w:r>
            <w:t xml:space="preserve">Naleving van de preventieve arm is van belang omdat structurele overschrijdingen van het </w:t>
          </w:r>
          <w:proofErr w:type="spellStart"/>
          <w:r>
            <w:t>uitgavenpad</w:t>
          </w:r>
          <w:proofErr w:type="spellEnd"/>
          <w:r>
            <w:t xml:space="preserve"> leiden tot een verdere verslechtering van de overheidsfinanciën op de middellange termijn. Het zijn die situaties die ertoe kunnen leiden dat de correctieve arm van het SGP – en daarmee de </w:t>
          </w:r>
          <w:proofErr w:type="spellStart"/>
          <w:r>
            <w:t>buitensporigtekortprocedure</w:t>
          </w:r>
          <w:proofErr w:type="spellEnd"/>
          <w:r>
            <w:t xml:space="preserve"> – in de toekomst aan de orde kunnen komen.</w:t>
          </w:r>
        </w:p>
        <w:p w:rsidR="00CC7724" w:rsidP="00CC7724" w:rsidRDefault="00CC7724" w14:paraId="70718DCC" w14:textId="77777777">
          <w:r>
            <w:br w:type="page"/>
          </w:r>
        </w:p>
        <w:p w:rsidR="00CC7724" w:rsidP="00CC7724" w:rsidRDefault="00CC7724" w14:paraId="4F59B56F" w14:textId="77777777">
          <w:pPr>
            <w:rPr>
              <w:u w:val="single"/>
            </w:rPr>
          </w:pPr>
          <w:r w:rsidRPr="00FF3E10">
            <w:lastRenderedPageBreak/>
            <w:t>2.</w:t>
          </w:r>
          <w:r w:rsidRPr="00FF3E10">
            <w:tab/>
          </w:r>
          <w:r w:rsidRPr="00FF3E10">
            <w:rPr>
              <w:u w:val="single"/>
            </w:rPr>
            <w:t>Nationale begrotingstoetsing</w:t>
          </w:r>
        </w:p>
        <w:p w:rsidR="00CC7724" w:rsidP="00CC7724" w:rsidRDefault="00CC7724" w14:paraId="3F923393" w14:textId="77777777"/>
        <w:p w:rsidR="00CC7724" w:rsidP="00CC7724" w:rsidRDefault="00CC7724" w14:paraId="66D1567B" w14:textId="77777777">
          <w:pPr>
            <w:rPr>
              <w:i/>
            </w:rPr>
          </w:pPr>
          <w:r>
            <w:rPr>
              <w:i/>
            </w:rPr>
            <w:t>2.1</w:t>
          </w:r>
          <w:r w:rsidRPr="00771828">
            <w:rPr>
              <w:i/>
            </w:rPr>
            <w:tab/>
            <w:t>Toetsing aan de nationale begrotingsregels</w:t>
          </w:r>
        </w:p>
        <w:p w:rsidR="00CC7724" w:rsidP="00CC7724" w:rsidRDefault="00CC7724" w14:paraId="0F472378" w14:textId="77777777">
          <w:r>
            <w:t>De Nationale begrotingsregels vormen het toetsingskader waarop de Afdeling als onafhankelijke begrotingstoezichthouder de nationale begrotingstoetsing baseert. In de Voorjaarsnota 2026 heeft het kabinet de begrotingsregels vastgelegd en aangegeven een trendmatig begrotingsbeleid te voeren.</w:t>
          </w:r>
          <w:r>
            <w:rPr>
              <w:rStyle w:val="Voetnootmarkering"/>
            </w:rPr>
            <w:footnoteReference w:id="84"/>
          </w:r>
          <w:r>
            <w:t xml:space="preserve"> </w:t>
          </w:r>
        </w:p>
        <w:p w:rsidR="00CC7724" w:rsidP="00CC7724" w:rsidRDefault="00CC7724" w14:paraId="372874C2" w14:textId="77777777"/>
        <w:p w:rsidR="00CC7724" w:rsidP="00CC7724" w:rsidRDefault="00CC7724" w14:paraId="2613F8DD" w14:textId="05DFA431">
          <w:r>
            <w:t xml:space="preserve">Dit betekent dat voor de uitgavenkant voor de kabinetsperiode een kader vastgesteld is met een jaarlijks uitgavenplafond dat niet overschreden mag worden. Ministers moeten tegenvallers in principe opvangen binnen hun eigen begroting. Tegenvallers van zogeheten generale dossiers worden verdeeld over de gehele </w:t>
          </w:r>
          <w:proofErr w:type="spellStart"/>
          <w:r>
            <w:t>begroting.</w:t>
          </w:r>
          <w:r>
            <w:rPr>
              <w:rFonts w:ascii="ZWAdobeF" w:hAnsi="ZWAdobeF" w:cs="ZWAdobeF"/>
              <w:sz w:val="2"/>
              <w:szCs w:val="2"/>
            </w:rPr>
            <w:t>F</w:t>
          </w:r>
          <w:proofErr w:type="spellEnd"/>
          <w:r w:rsidRPr="7073540F">
            <w:rPr>
              <w:rStyle w:val="Voetnootmarkering"/>
              <w:rFonts w:eastAsiaTheme="majorEastAsia"/>
            </w:rPr>
            <w:footnoteReference w:id="85"/>
          </w:r>
          <w:r>
            <w:t xml:space="preserve"> Voor zorguitgaven die binnen de zorgverzekeringswet vallen geldt een uitzondering: deze worden automatisch omgezet in een lastenverlichting via een verlaging van de premies. Het uitgavenkader wordt geïndexeerd met de loon- en prijsontwikkeling en aangepast voor de werkloosheids- en </w:t>
          </w:r>
          <w:proofErr w:type="spellStart"/>
          <w:r>
            <w:t>bijstandsuitgaven</w:t>
          </w:r>
          <w:proofErr w:type="spellEnd"/>
          <w:r>
            <w:t xml:space="preserve"> die niet het gevolg zijn van beleidsmatige keuzes. </w:t>
          </w:r>
        </w:p>
        <w:p w:rsidR="00CC7724" w:rsidP="00CC7724" w:rsidRDefault="00CC7724" w14:paraId="673F0D93" w14:textId="77777777"/>
        <w:p w:rsidR="00CC7724" w:rsidP="00CC7724" w:rsidRDefault="00CC7724" w14:paraId="78F8B1B1" w14:textId="1AC25C35">
          <w:r>
            <w:t>Aan de inkomstenkant komen mee- of tegenvallers van de inkomsten die het gevolg zijn van economische schommelingen ten goede (of ten laste) van het EMU-saldo. Alleen de beleidsmatige component van de lasten wordt vastgelegd bij het begin van de kabinetsperiode. Daarna moeten beleidsveranderingen aan de inkomstenkant in principe gedekt worden met lastenverz</w:t>
          </w:r>
          <w:r w:rsidR="00120E87">
            <w:t>wa</w:t>
          </w:r>
          <w:r>
            <w:t xml:space="preserve">ringen. </w:t>
          </w:r>
        </w:p>
        <w:p w:rsidR="00CC7724" w:rsidP="00CC7724" w:rsidRDefault="00CC7724" w14:paraId="77C5C5B7" w14:textId="77777777"/>
        <w:p w:rsidR="00CC7724" w:rsidP="00CC7724" w:rsidRDefault="00CC7724" w14:paraId="793EE567" w14:textId="77777777">
          <w:r>
            <w:t xml:space="preserve">De inkomsten- en uitgavenkant zijn in de nationale begrotingsregels gescheiden. </w:t>
          </w:r>
          <w:r w:rsidRPr="0057484E">
            <w:t xml:space="preserve">Dit betekent dat meevallers aan de inkomstenkant niet gebruikt mogen worden voor extra uitgaven, maar ook dat inkomstentegenvallers niet gecompenseerd hoeven </w:t>
          </w:r>
          <w:r>
            <w:t xml:space="preserve">te </w:t>
          </w:r>
          <w:r w:rsidRPr="0057484E">
            <w:t>worden door bezuinigingen aan de uitgavenkant. Bovendien dienen tegenvallers aan de uitgavenkant te worden gecompenseerd binnen het uitgavenkader en mogen deze niet leiden tot nieuwe maatregelen aan de inkomstenkant.</w:t>
          </w:r>
          <w:r>
            <w:t xml:space="preserve"> </w:t>
          </w:r>
        </w:p>
        <w:p w:rsidR="00CC7724" w:rsidP="00CC7724" w:rsidRDefault="00CC7724" w14:paraId="7CF39E38" w14:textId="77777777"/>
        <w:p w:rsidR="00CC7724" w:rsidP="00CC7724" w:rsidRDefault="00CC7724" w14:paraId="2909C9A6" w14:textId="013E8A43">
          <w:r>
            <w:t>Bij de toetsing van de begrotingsregels heeft de Afdeling zowel de relevante tabellen uit de Miljoenennota 2027 als de analyses van het Centraal Planbureau meegenomen.</w:t>
          </w:r>
          <w:r w:rsidR="0036221B">
            <w:rPr>
              <w:rStyle w:val="Voetnootmarkering"/>
            </w:rPr>
            <w:footnoteReference w:id="86"/>
          </w:r>
          <w:r>
            <w:t xml:space="preserve"> Het vaststellen van de kaders is uiteindelijk een politiek besluit, maar het CPB maakt onafhankelijke inschattingen voor de inkomsten en uitgaven. Daarom zijn de tabellen van het CPB leidend bij de toetsing, maar deze zijn alleen </w:t>
          </w:r>
          <w:r>
            <w:lastRenderedPageBreak/>
            <w:t>voor 2026 en 2027 beschikbaar. De beschouwingen over een wat langere termijn zijn daarom vooral gebaseerd op de tabellen uit de Miljoenennota.</w:t>
          </w:r>
        </w:p>
        <w:p w:rsidR="00CC7724" w:rsidP="00CC7724" w:rsidRDefault="00CC7724" w14:paraId="11B237F2" w14:textId="77777777"/>
        <w:p w:rsidR="00CC7724" w:rsidP="00CC7724" w:rsidRDefault="00CC7724" w14:paraId="7D18F695" w14:textId="77777777">
          <w:pPr>
            <w:rPr>
              <w:i/>
            </w:rPr>
          </w:pPr>
          <w:r w:rsidRPr="00A13848">
            <w:rPr>
              <w:i/>
            </w:rPr>
            <w:t>Uitkomsten Miljoenennota 2027</w:t>
          </w:r>
          <w:r>
            <w:rPr>
              <w:i/>
            </w:rPr>
            <w:t xml:space="preserve"> </w:t>
          </w:r>
        </w:p>
        <w:p w:rsidR="00CC7724" w:rsidP="00CC7724" w:rsidRDefault="00CC7724" w14:paraId="6561DB6A" w14:textId="77777777">
          <w:r>
            <w:t>Het kabinet hanteert met het voorgenomen maatregelenpakket in de Miljoenennota 2027 grotendeels een trendmatig begrotingsbeleid. Wel gaat een cumulatieve verlaging van de overheidsuitgaven over de kabinetsperiode samen met een lastenverlaging van ongeveer dezelfde omvang in deze periode. Bij een trendmatig begrotingsbeleid liggen zowel de uitgavenkaders als de inkomstenkaders vast en worden afwijkingen bij het inkomstenkader niet gecompenseerd door afwijkingen bij het uitgavenkader.</w:t>
          </w:r>
        </w:p>
        <w:p w:rsidR="00CC7724" w:rsidP="00CC7724" w:rsidRDefault="00CC7724" w14:paraId="762B62A6" w14:textId="77777777"/>
        <w:p w:rsidR="00CC7724" w:rsidP="00CC7724" w:rsidRDefault="00CC7724" w14:paraId="79745EC8" w14:textId="77777777">
          <w:pPr>
            <w:rPr>
              <w:b/>
            </w:rPr>
          </w:pPr>
          <w:r>
            <w:rPr>
              <w:b/>
            </w:rPr>
            <w:t>Tabel D.3. Uitgavenkader Miljoenennota 2027</w:t>
          </w:r>
        </w:p>
        <w:tbl>
          <w:tblPr>
            <w:tblW w:w="8400" w:type="dxa"/>
            <w:tblCellMar>
              <w:left w:w="70" w:type="dxa"/>
              <w:right w:w="70" w:type="dxa"/>
            </w:tblCellMar>
            <w:tblLook w:val="04A0" w:firstRow="1" w:lastRow="0" w:firstColumn="1" w:lastColumn="0" w:noHBand="0" w:noVBand="1"/>
          </w:tblPr>
          <w:tblGrid>
            <w:gridCol w:w="4000"/>
            <w:gridCol w:w="880"/>
            <w:gridCol w:w="880"/>
            <w:gridCol w:w="880"/>
            <w:gridCol w:w="880"/>
            <w:gridCol w:w="880"/>
          </w:tblGrid>
          <w:tr w:rsidRPr="00BC24BA" w:rsidR="00CC7724" w14:paraId="03A1FE69" w14:textId="77777777">
            <w:trPr>
              <w:trHeight w:val="240"/>
            </w:trPr>
            <w:tc>
              <w:tcPr>
                <w:tcW w:w="4000" w:type="dxa"/>
                <w:tcBorders>
                  <w:top w:val="single" w:color="auto" w:sz="8" w:space="0"/>
                  <w:left w:val="nil"/>
                  <w:bottom w:val="single" w:color="auto" w:sz="4" w:space="0"/>
                  <w:right w:val="nil"/>
                </w:tcBorders>
                <w:noWrap/>
                <w:vAlign w:val="center"/>
                <w:hideMark/>
              </w:tcPr>
              <w:p w:rsidRPr="00BC24BA" w:rsidR="00CC7724" w:rsidRDefault="00CC7724" w14:paraId="00650ED4" w14:textId="77777777">
                <w:pPr>
                  <w:rPr>
                    <w:rFonts w:cs="Calibri"/>
                    <w:b/>
                    <w:bCs/>
                    <w:color w:val="000000"/>
                    <w:sz w:val="18"/>
                    <w:szCs w:val="18"/>
                  </w:rPr>
                </w:pPr>
                <w:r w:rsidRPr="00BC24BA">
                  <w:rPr>
                    <w:rFonts w:cs="Calibri"/>
                    <w:b/>
                    <w:bCs/>
                    <w:color w:val="000000"/>
                    <w:sz w:val="18"/>
                    <w:szCs w:val="18"/>
                  </w:rPr>
                  <w:t xml:space="preserve">(in miljarden </w:t>
                </w:r>
                <w:proofErr w:type="spellStart"/>
                <w:r w:rsidRPr="00BC24BA">
                  <w:rPr>
                    <w:rFonts w:cs="Calibri"/>
                    <w:b/>
                    <w:bCs/>
                    <w:color w:val="000000"/>
                    <w:sz w:val="18"/>
                    <w:szCs w:val="18"/>
                  </w:rPr>
                  <w:t>euros</w:t>
                </w:r>
                <w:proofErr w:type="spellEnd"/>
                <w:r w:rsidRPr="00BC24BA">
                  <w:rPr>
                    <w:rFonts w:cs="Calibri"/>
                    <w:b/>
                    <w:bCs/>
                    <w:color w:val="000000"/>
                    <w:sz w:val="18"/>
                    <w:szCs w:val="18"/>
                  </w:rPr>
                  <w:t>)</w:t>
                </w:r>
              </w:p>
            </w:tc>
            <w:tc>
              <w:tcPr>
                <w:tcW w:w="880" w:type="dxa"/>
                <w:tcBorders>
                  <w:top w:val="single" w:color="auto" w:sz="8" w:space="0"/>
                  <w:left w:val="nil"/>
                  <w:bottom w:val="single" w:color="auto" w:sz="4" w:space="0"/>
                  <w:right w:val="nil"/>
                </w:tcBorders>
                <w:noWrap/>
                <w:vAlign w:val="center"/>
                <w:hideMark/>
              </w:tcPr>
              <w:p w:rsidRPr="00BC24BA" w:rsidR="00CC7724" w:rsidRDefault="00CC7724" w14:paraId="3FF68B58" w14:textId="77777777">
                <w:pPr>
                  <w:jc w:val="center"/>
                  <w:rPr>
                    <w:rFonts w:cs="Calibri"/>
                    <w:b/>
                    <w:bCs/>
                    <w:color w:val="000000"/>
                    <w:sz w:val="18"/>
                    <w:szCs w:val="18"/>
                  </w:rPr>
                </w:pPr>
                <w:r w:rsidRPr="00BC24BA">
                  <w:rPr>
                    <w:rFonts w:cs="Calibri"/>
                    <w:b/>
                    <w:bCs/>
                    <w:color w:val="000000"/>
                    <w:sz w:val="18"/>
                    <w:szCs w:val="18"/>
                  </w:rPr>
                  <w:t>2026</w:t>
                </w:r>
              </w:p>
            </w:tc>
            <w:tc>
              <w:tcPr>
                <w:tcW w:w="880" w:type="dxa"/>
                <w:tcBorders>
                  <w:top w:val="single" w:color="auto" w:sz="8" w:space="0"/>
                  <w:left w:val="nil"/>
                  <w:bottom w:val="single" w:color="auto" w:sz="4" w:space="0"/>
                  <w:right w:val="nil"/>
                </w:tcBorders>
                <w:noWrap/>
                <w:vAlign w:val="center"/>
                <w:hideMark/>
              </w:tcPr>
              <w:p w:rsidRPr="00BC24BA" w:rsidR="00CC7724" w:rsidRDefault="00CC7724" w14:paraId="704C8EE0" w14:textId="77777777">
                <w:pPr>
                  <w:jc w:val="center"/>
                  <w:rPr>
                    <w:rFonts w:cs="Calibri"/>
                    <w:b/>
                    <w:bCs/>
                    <w:color w:val="000000"/>
                    <w:sz w:val="18"/>
                    <w:szCs w:val="18"/>
                  </w:rPr>
                </w:pPr>
                <w:r w:rsidRPr="00BC24BA">
                  <w:rPr>
                    <w:rFonts w:cs="Calibri"/>
                    <w:b/>
                    <w:bCs/>
                    <w:color w:val="000000"/>
                    <w:sz w:val="18"/>
                    <w:szCs w:val="18"/>
                  </w:rPr>
                  <w:t>2027</w:t>
                </w:r>
              </w:p>
            </w:tc>
            <w:tc>
              <w:tcPr>
                <w:tcW w:w="880" w:type="dxa"/>
                <w:tcBorders>
                  <w:top w:val="single" w:color="auto" w:sz="8" w:space="0"/>
                  <w:left w:val="nil"/>
                  <w:bottom w:val="single" w:color="auto" w:sz="4" w:space="0"/>
                  <w:right w:val="nil"/>
                </w:tcBorders>
                <w:noWrap/>
                <w:vAlign w:val="center"/>
                <w:hideMark/>
              </w:tcPr>
              <w:p w:rsidRPr="00BC24BA" w:rsidR="00CC7724" w:rsidRDefault="00CC7724" w14:paraId="441222C8" w14:textId="77777777">
                <w:pPr>
                  <w:jc w:val="center"/>
                  <w:rPr>
                    <w:rFonts w:cs="Calibri"/>
                    <w:b/>
                    <w:bCs/>
                    <w:color w:val="000000"/>
                    <w:sz w:val="18"/>
                    <w:szCs w:val="18"/>
                  </w:rPr>
                </w:pPr>
                <w:r w:rsidRPr="00BC24BA">
                  <w:rPr>
                    <w:rFonts w:cs="Calibri"/>
                    <w:b/>
                    <w:bCs/>
                    <w:color w:val="000000"/>
                    <w:sz w:val="18"/>
                    <w:szCs w:val="18"/>
                  </w:rPr>
                  <w:t>2028</w:t>
                </w:r>
              </w:p>
            </w:tc>
            <w:tc>
              <w:tcPr>
                <w:tcW w:w="880" w:type="dxa"/>
                <w:tcBorders>
                  <w:top w:val="single" w:color="auto" w:sz="8" w:space="0"/>
                  <w:left w:val="nil"/>
                  <w:bottom w:val="single" w:color="auto" w:sz="4" w:space="0"/>
                  <w:right w:val="nil"/>
                </w:tcBorders>
                <w:noWrap/>
                <w:vAlign w:val="center"/>
                <w:hideMark/>
              </w:tcPr>
              <w:p w:rsidRPr="00BC24BA" w:rsidR="00CC7724" w:rsidRDefault="00CC7724" w14:paraId="06CD32CB" w14:textId="77777777">
                <w:pPr>
                  <w:jc w:val="center"/>
                  <w:rPr>
                    <w:rFonts w:cs="Calibri"/>
                    <w:b/>
                    <w:bCs/>
                    <w:color w:val="000000"/>
                    <w:sz w:val="18"/>
                    <w:szCs w:val="18"/>
                  </w:rPr>
                </w:pPr>
                <w:r w:rsidRPr="00BC24BA">
                  <w:rPr>
                    <w:rFonts w:cs="Calibri"/>
                    <w:b/>
                    <w:bCs/>
                    <w:color w:val="000000"/>
                    <w:sz w:val="18"/>
                    <w:szCs w:val="18"/>
                  </w:rPr>
                  <w:t>2029</w:t>
                </w:r>
              </w:p>
            </w:tc>
            <w:tc>
              <w:tcPr>
                <w:tcW w:w="880" w:type="dxa"/>
                <w:tcBorders>
                  <w:top w:val="single" w:color="auto" w:sz="8" w:space="0"/>
                  <w:left w:val="nil"/>
                  <w:bottom w:val="single" w:color="auto" w:sz="4" w:space="0"/>
                  <w:right w:val="nil"/>
                </w:tcBorders>
                <w:noWrap/>
                <w:vAlign w:val="center"/>
                <w:hideMark/>
              </w:tcPr>
              <w:p w:rsidRPr="00BC24BA" w:rsidR="00CC7724" w:rsidRDefault="00CC7724" w14:paraId="09224AF3" w14:textId="77777777">
                <w:pPr>
                  <w:jc w:val="center"/>
                  <w:rPr>
                    <w:rFonts w:cs="Calibri"/>
                    <w:b/>
                    <w:bCs/>
                    <w:color w:val="000000"/>
                    <w:sz w:val="18"/>
                    <w:szCs w:val="18"/>
                  </w:rPr>
                </w:pPr>
                <w:r w:rsidRPr="00BC24BA">
                  <w:rPr>
                    <w:rFonts w:cs="Calibri"/>
                    <w:b/>
                    <w:bCs/>
                    <w:color w:val="000000"/>
                    <w:sz w:val="18"/>
                    <w:szCs w:val="18"/>
                  </w:rPr>
                  <w:t>2030</w:t>
                </w:r>
              </w:p>
            </w:tc>
          </w:tr>
          <w:tr w:rsidRPr="00BC24BA" w:rsidR="00CC7724" w14:paraId="2D2D65FE" w14:textId="77777777">
            <w:trPr>
              <w:trHeight w:val="240"/>
            </w:trPr>
            <w:tc>
              <w:tcPr>
                <w:tcW w:w="4000" w:type="dxa"/>
                <w:tcBorders>
                  <w:top w:val="nil"/>
                  <w:left w:val="nil"/>
                  <w:bottom w:val="nil"/>
                  <w:right w:val="nil"/>
                </w:tcBorders>
                <w:noWrap/>
                <w:vAlign w:val="center"/>
                <w:hideMark/>
              </w:tcPr>
              <w:p w:rsidRPr="00BC24BA" w:rsidR="00CC7724" w:rsidRDefault="00CC7724" w14:paraId="78A9A31C" w14:textId="77777777">
                <w:pPr>
                  <w:rPr>
                    <w:rFonts w:cs="Calibri"/>
                    <w:color w:val="000000"/>
                    <w:sz w:val="18"/>
                    <w:szCs w:val="18"/>
                  </w:rPr>
                </w:pPr>
                <w:r w:rsidRPr="00BC24BA">
                  <w:rPr>
                    <w:rFonts w:cs="Calibri"/>
                    <w:color w:val="000000"/>
                    <w:sz w:val="18"/>
                    <w:szCs w:val="18"/>
                  </w:rPr>
                  <w:t>Uitgavenkader Voorjaarsnota 2026</w:t>
                </w:r>
              </w:p>
            </w:tc>
            <w:tc>
              <w:tcPr>
                <w:tcW w:w="880" w:type="dxa"/>
                <w:tcBorders>
                  <w:top w:val="nil"/>
                  <w:left w:val="nil"/>
                  <w:bottom w:val="nil"/>
                  <w:right w:val="nil"/>
                </w:tcBorders>
                <w:noWrap/>
                <w:vAlign w:val="center"/>
                <w:hideMark/>
              </w:tcPr>
              <w:p w:rsidRPr="00BC24BA" w:rsidR="00CC7724" w:rsidRDefault="00CC7724" w14:paraId="1EE36661" w14:textId="77777777">
                <w:pPr>
                  <w:jc w:val="center"/>
                  <w:rPr>
                    <w:rFonts w:cs="Calibri"/>
                    <w:color w:val="000000"/>
                    <w:sz w:val="18"/>
                    <w:szCs w:val="18"/>
                  </w:rPr>
                </w:pPr>
                <w:r w:rsidRPr="00BC24BA">
                  <w:rPr>
                    <w:rFonts w:cs="Calibri"/>
                    <w:color w:val="000000"/>
                    <w:sz w:val="18"/>
                    <w:szCs w:val="18"/>
                  </w:rPr>
                  <w:t>453,3</w:t>
                </w:r>
              </w:p>
            </w:tc>
            <w:tc>
              <w:tcPr>
                <w:tcW w:w="880" w:type="dxa"/>
                <w:tcBorders>
                  <w:top w:val="nil"/>
                  <w:left w:val="nil"/>
                  <w:bottom w:val="nil"/>
                  <w:right w:val="nil"/>
                </w:tcBorders>
                <w:noWrap/>
                <w:vAlign w:val="center"/>
                <w:hideMark/>
              </w:tcPr>
              <w:p w:rsidRPr="00BC24BA" w:rsidR="00CC7724" w:rsidRDefault="00CC7724" w14:paraId="14DB5ECC" w14:textId="77777777">
                <w:pPr>
                  <w:jc w:val="center"/>
                  <w:rPr>
                    <w:rFonts w:cs="Calibri"/>
                    <w:color w:val="000000"/>
                    <w:sz w:val="18"/>
                    <w:szCs w:val="18"/>
                  </w:rPr>
                </w:pPr>
                <w:r w:rsidRPr="00BC24BA">
                  <w:rPr>
                    <w:rFonts w:cs="Calibri"/>
                    <w:color w:val="000000"/>
                    <w:sz w:val="18"/>
                    <w:szCs w:val="18"/>
                  </w:rPr>
                  <w:t>488,3</w:t>
                </w:r>
              </w:p>
            </w:tc>
            <w:tc>
              <w:tcPr>
                <w:tcW w:w="880" w:type="dxa"/>
                <w:tcBorders>
                  <w:top w:val="nil"/>
                  <w:left w:val="nil"/>
                  <w:bottom w:val="nil"/>
                  <w:right w:val="nil"/>
                </w:tcBorders>
                <w:noWrap/>
                <w:vAlign w:val="center"/>
                <w:hideMark/>
              </w:tcPr>
              <w:p w:rsidRPr="00BC24BA" w:rsidR="00CC7724" w:rsidRDefault="00CC7724" w14:paraId="3ED07D7E" w14:textId="77777777">
                <w:pPr>
                  <w:jc w:val="center"/>
                  <w:rPr>
                    <w:rFonts w:cs="Calibri"/>
                    <w:color w:val="000000"/>
                    <w:sz w:val="18"/>
                    <w:szCs w:val="18"/>
                  </w:rPr>
                </w:pPr>
                <w:r w:rsidRPr="00BC24BA">
                  <w:rPr>
                    <w:rFonts w:cs="Calibri"/>
                    <w:color w:val="000000"/>
                    <w:sz w:val="18"/>
                    <w:szCs w:val="18"/>
                  </w:rPr>
                  <w:t>510,3</w:t>
                </w:r>
              </w:p>
            </w:tc>
            <w:tc>
              <w:tcPr>
                <w:tcW w:w="880" w:type="dxa"/>
                <w:tcBorders>
                  <w:top w:val="nil"/>
                  <w:left w:val="nil"/>
                  <w:bottom w:val="nil"/>
                  <w:right w:val="nil"/>
                </w:tcBorders>
                <w:noWrap/>
                <w:vAlign w:val="center"/>
                <w:hideMark/>
              </w:tcPr>
              <w:p w:rsidRPr="00BC24BA" w:rsidR="00CC7724" w:rsidRDefault="00CC7724" w14:paraId="5F6B2C41" w14:textId="77777777">
                <w:pPr>
                  <w:jc w:val="center"/>
                  <w:rPr>
                    <w:rFonts w:cs="Calibri"/>
                    <w:color w:val="000000"/>
                    <w:sz w:val="18"/>
                    <w:szCs w:val="18"/>
                  </w:rPr>
                </w:pPr>
                <w:r w:rsidRPr="00BC24BA">
                  <w:rPr>
                    <w:rFonts w:cs="Calibri"/>
                    <w:color w:val="000000"/>
                    <w:sz w:val="18"/>
                    <w:szCs w:val="18"/>
                  </w:rPr>
                  <w:t>528,6</w:t>
                </w:r>
              </w:p>
            </w:tc>
            <w:tc>
              <w:tcPr>
                <w:tcW w:w="880" w:type="dxa"/>
                <w:tcBorders>
                  <w:top w:val="nil"/>
                  <w:left w:val="nil"/>
                  <w:bottom w:val="nil"/>
                  <w:right w:val="nil"/>
                </w:tcBorders>
                <w:noWrap/>
                <w:vAlign w:val="center"/>
                <w:hideMark/>
              </w:tcPr>
              <w:p w:rsidRPr="00BC24BA" w:rsidR="00CC7724" w:rsidRDefault="00CC7724" w14:paraId="2D8D9F84" w14:textId="77777777">
                <w:pPr>
                  <w:jc w:val="center"/>
                  <w:rPr>
                    <w:rFonts w:cs="Calibri"/>
                    <w:color w:val="000000"/>
                    <w:sz w:val="18"/>
                    <w:szCs w:val="18"/>
                  </w:rPr>
                </w:pPr>
                <w:r w:rsidRPr="00BC24BA">
                  <w:rPr>
                    <w:rFonts w:cs="Calibri"/>
                    <w:color w:val="000000"/>
                    <w:sz w:val="18"/>
                    <w:szCs w:val="18"/>
                  </w:rPr>
                  <w:t>545,6</w:t>
                </w:r>
              </w:p>
            </w:tc>
          </w:tr>
          <w:tr w:rsidRPr="00BC24BA" w:rsidR="00CC7724" w14:paraId="18854FB9" w14:textId="77777777">
            <w:trPr>
              <w:trHeight w:val="315"/>
            </w:trPr>
            <w:tc>
              <w:tcPr>
                <w:tcW w:w="4000" w:type="dxa"/>
                <w:tcBorders>
                  <w:top w:val="nil"/>
                  <w:left w:val="nil"/>
                  <w:bottom w:val="nil"/>
                  <w:right w:val="nil"/>
                </w:tcBorders>
                <w:noWrap/>
                <w:vAlign w:val="center"/>
                <w:hideMark/>
              </w:tcPr>
              <w:p w:rsidRPr="00BC24BA" w:rsidR="00CC7724" w:rsidRDefault="00CC7724" w14:paraId="41AE8F59" w14:textId="77777777">
                <w:pPr>
                  <w:jc w:val="center"/>
                  <w:rPr>
                    <w:rFonts w:cs="Calibri"/>
                    <w:color w:val="000000"/>
                    <w:sz w:val="18"/>
                    <w:szCs w:val="18"/>
                  </w:rPr>
                </w:pPr>
              </w:p>
            </w:tc>
            <w:tc>
              <w:tcPr>
                <w:tcW w:w="880" w:type="dxa"/>
                <w:tcBorders>
                  <w:top w:val="nil"/>
                  <w:left w:val="nil"/>
                  <w:bottom w:val="nil"/>
                  <w:right w:val="nil"/>
                </w:tcBorders>
                <w:noWrap/>
                <w:vAlign w:val="center"/>
                <w:hideMark/>
              </w:tcPr>
              <w:p w:rsidRPr="00BC24BA" w:rsidR="00CC7724" w:rsidRDefault="00CC7724" w14:paraId="60BE2D82" w14:textId="77777777">
                <w:pP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7AE4CECE"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36DEBB55"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19C58785"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49ECB269" w14:textId="77777777">
                <w:pPr>
                  <w:jc w:val="center"/>
                  <w:rPr>
                    <w:rFonts w:ascii="Times New Roman" w:hAnsi="Times New Roman"/>
                    <w:sz w:val="20"/>
                    <w:szCs w:val="20"/>
                  </w:rPr>
                </w:pPr>
              </w:p>
            </w:tc>
          </w:tr>
          <w:tr w:rsidRPr="00BC24BA" w:rsidR="00CC7724" w14:paraId="68790AED" w14:textId="77777777">
            <w:trPr>
              <w:trHeight w:val="300"/>
            </w:trPr>
            <w:tc>
              <w:tcPr>
                <w:tcW w:w="4000" w:type="dxa"/>
                <w:tcBorders>
                  <w:top w:val="nil"/>
                  <w:left w:val="nil"/>
                  <w:bottom w:val="nil"/>
                  <w:right w:val="nil"/>
                </w:tcBorders>
                <w:noWrap/>
                <w:vAlign w:val="center"/>
                <w:hideMark/>
              </w:tcPr>
              <w:p w:rsidRPr="00BC24BA" w:rsidR="00CC7724" w:rsidRDefault="00CC7724" w14:paraId="4D501D0F" w14:textId="77777777">
                <w:pPr>
                  <w:rPr>
                    <w:rFonts w:cs="Calibri"/>
                    <w:color w:val="000000"/>
                    <w:sz w:val="18"/>
                    <w:szCs w:val="18"/>
                  </w:rPr>
                </w:pPr>
                <w:r w:rsidRPr="00BC24BA">
                  <w:rPr>
                    <w:rFonts w:cs="Calibri"/>
                    <w:color w:val="000000"/>
                    <w:sz w:val="18"/>
                    <w:szCs w:val="18"/>
                  </w:rPr>
                  <w:t>Aanpassingen uitgavenkader</w:t>
                </w:r>
              </w:p>
            </w:tc>
            <w:tc>
              <w:tcPr>
                <w:tcW w:w="880" w:type="dxa"/>
                <w:tcBorders>
                  <w:top w:val="nil"/>
                  <w:left w:val="nil"/>
                  <w:bottom w:val="nil"/>
                  <w:right w:val="nil"/>
                </w:tcBorders>
                <w:noWrap/>
                <w:vAlign w:val="center"/>
                <w:hideMark/>
              </w:tcPr>
              <w:p w:rsidRPr="00BC24BA" w:rsidR="00CC7724" w:rsidRDefault="00CC7724" w14:paraId="1577B2C6" w14:textId="77777777">
                <w:pPr>
                  <w:jc w:val="center"/>
                  <w:rPr>
                    <w:rFonts w:cs="Calibri"/>
                    <w:color w:val="000000"/>
                    <w:sz w:val="18"/>
                    <w:szCs w:val="18"/>
                  </w:rPr>
                </w:pPr>
                <w:r w:rsidRPr="00BC24BA">
                  <w:rPr>
                    <w:rFonts w:cs="Calibri"/>
                    <w:color w:val="000000"/>
                    <w:sz w:val="18"/>
                    <w:szCs w:val="18"/>
                  </w:rPr>
                  <w:t>-2,2</w:t>
                </w:r>
              </w:p>
            </w:tc>
            <w:tc>
              <w:tcPr>
                <w:tcW w:w="880" w:type="dxa"/>
                <w:tcBorders>
                  <w:top w:val="nil"/>
                  <w:left w:val="nil"/>
                  <w:bottom w:val="nil"/>
                  <w:right w:val="nil"/>
                </w:tcBorders>
                <w:noWrap/>
                <w:vAlign w:val="center"/>
                <w:hideMark/>
              </w:tcPr>
              <w:p w:rsidRPr="00BC24BA" w:rsidR="00CC7724" w:rsidRDefault="00CC7724" w14:paraId="2C12261B" w14:textId="77777777">
                <w:pPr>
                  <w:jc w:val="center"/>
                  <w:rPr>
                    <w:rFonts w:cs="Calibri"/>
                    <w:color w:val="000000"/>
                    <w:sz w:val="18"/>
                    <w:szCs w:val="18"/>
                  </w:rPr>
                </w:pPr>
                <w:r w:rsidRPr="00BC24BA">
                  <w:rPr>
                    <w:rFonts w:cs="Calibri"/>
                    <w:color w:val="000000"/>
                    <w:sz w:val="18"/>
                    <w:szCs w:val="18"/>
                  </w:rPr>
                  <w:t>0,7</w:t>
                </w:r>
              </w:p>
            </w:tc>
            <w:tc>
              <w:tcPr>
                <w:tcW w:w="880" w:type="dxa"/>
                <w:tcBorders>
                  <w:top w:val="nil"/>
                  <w:left w:val="nil"/>
                  <w:bottom w:val="nil"/>
                  <w:right w:val="nil"/>
                </w:tcBorders>
                <w:noWrap/>
                <w:vAlign w:val="center"/>
                <w:hideMark/>
              </w:tcPr>
              <w:p w:rsidRPr="00BC24BA" w:rsidR="00CC7724" w:rsidRDefault="00CC7724" w14:paraId="4F4C9AEC" w14:textId="77777777">
                <w:pPr>
                  <w:jc w:val="center"/>
                  <w:rPr>
                    <w:rFonts w:cs="Calibri"/>
                    <w:color w:val="000000"/>
                    <w:sz w:val="18"/>
                    <w:szCs w:val="18"/>
                  </w:rPr>
                </w:pPr>
                <w:r w:rsidRPr="00BC24BA">
                  <w:rPr>
                    <w:rFonts w:cs="Calibri"/>
                    <w:color w:val="000000"/>
                    <w:sz w:val="18"/>
                    <w:szCs w:val="18"/>
                  </w:rPr>
                  <w:t>2,2</w:t>
                </w:r>
              </w:p>
            </w:tc>
            <w:tc>
              <w:tcPr>
                <w:tcW w:w="880" w:type="dxa"/>
                <w:tcBorders>
                  <w:top w:val="nil"/>
                  <w:left w:val="nil"/>
                  <w:bottom w:val="nil"/>
                  <w:right w:val="nil"/>
                </w:tcBorders>
                <w:noWrap/>
                <w:vAlign w:val="center"/>
                <w:hideMark/>
              </w:tcPr>
              <w:p w:rsidRPr="00BC24BA" w:rsidR="00CC7724" w:rsidRDefault="00CC7724" w14:paraId="48E023A7" w14:textId="77777777">
                <w:pPr>
                  <w:jc w:val="center"/>
                  <w:rPr>
                    <w:rFonts w:cs="Calibri"/>
                    <w:color w:val="000000"/>
                    <w:sz w:val="18"/>
                    <w:szCs w:val="18"/>
                  </w:rPr>
                </w:pPr>
                <w:r w:rsidRPr="00BC24BA">
                  <w:rPr>
                    <w:rFonts w:cs="Calibri"/>
                    <w:color w:val="000000"/>
                    <w:sz w:val="18"/>
                    <w:szCs w:val="18"/>
                  </w:rPr>
                  <w:t>3,3</w:t>
                </w:r>
              </w:p>
            </w:tc>
            <w:tc>
              <w:tcPr>
                <w:tcW w:w="880" w:type="dxa"/>
                <w:tcBorders>
                  <w:top w:val="nil"/>
                  <w:left w:val="nil"/>
                  <w:bottom w:val="nil"/>
                  <w:right w:val="nil"/>
                </w:tcBorders>
                <w:noWrap/>
                <w:vAlign w:val="center"/>
                <w:hideMark/>
              </w:tcPr>
              <w:p w:rsidRPr="00BC24BA" w:rsidR="00CC7724" w:rsidRDefault="00CC7724" w14:paraId="59C4A84A" w14:textId="77777777">
                <w:pPr>
                  <w:jc w:val="center"/>
                  <w:rPr>
                    <w:rFonts w:cs="Calibri"/>
                    <w:color w:val="000000"/>
                    <w:sz w:val="18"/>
                    <w:szCs w:val="18"/>
                  </w:rPr>
                </w:pPr>
                <w:r w:rsidRPr="00BC24BA">
                  <w:rPr>
                    <w:rFonts w:cs="Calibri"/>
                    <w:color w:val="000000"/>
                    <w:sz w:val="18"/>
                    <w:szCs w:val="18"/>
                  </w:rPr>
                  <w:t>2,4</w:t>
                </w:r>
              </w:p>
            </w:tc>
          </w:tr>
          <w:tr w:rsidRPr="00BC24BA" w:rsidR="00CC7724" w14:paraId="7DFECFE4" w14:textId="77777777">
            <w:trPr>
              <w:trHeight w:val="300"/>
            </w:trPr>
            <w:tc>
              <w:tcPr>
                <w:tcW w:w="4000" w:type="dxa"/>
                <w:tcBorders>
                  <w:top w:val="nil"/>
                  <w:left w:val="nil"/>
                  <w:bottom w:val="nil"/>
                  <w:right w:val="nil"/>
                </w:tcBorders>
                <w:noWrap/>
                <w:vAlign w:val="center"/>
                <w:hideMark/>
              </w:tcPr>
              <w:p w:rsidRPr="00BC24BA" w:rsidR="00CC7724" w:rsidRDefault="00CC7724" w14:paraId="06A52375" w14:textId="77777777">
                <w:pPr>
                  <w:rPr>
                    <w:rFonts w:cs="Calibri"/>
                    <w:color w:val="000000"/>
                    <w:sz w:val="18"/>
                    <w:szCs w:val="18"/>
                  </w:rPr>
                </w:pPr>
                <w:r w:rsidRPr="00BC24BA">
                  <w:rPr>
                    <w:rFonts w:cs="Calibri"/>
                    <w:color w:val="000000"/>
                    <w:sz w:val="18"/>
                    <w:szCs w:val="18"/>
                  </w:rPr>
                  <w:t xml:space="preserve">    </w:t>
                </w:r>
                <w:proofErr w:type="spellStart"/>
                <w:r w:rsidRPr="00BC24BA">
                  <w:rPr>
                    <w:rFonts w:cs="Calibri"/>
                    <w:color w:val="000000"/>
                    <w:sz w:val="18"/>
                    <w:szCs w:val="18"/>
                  </w:rPr>
                  <w:t>w.v</w:t>
                </w:r>
                <w:proofErr w:type="spellEnd"/>
                <w:r w:rsidRPr="00BC24BA">
                  <w:rPr>
                    <w:rFonts w:cs="Calibri"/>
                    <w:color w:val="000000"/>
                    <w:sz w:val="18"/>
                    <w:szCs w:val="18"/>
                  </w:rPr>
                  <w:t>. WW en bijstand</w:t>
                </w:r>
              </w:p>
            </w:tc>
            <w:tc>
              <w:tcPr>
                <w:tcW w:w="880" w:type="dxa"/>
                <w:tcBorders>
                  <w:top w:val="nil"/>
                  <w:left w:val="nil"/>
                  <w:bottom w:val="nil"/>
                  <w:right w:val="nil"/>
                </w:tcBorders>
                <w:noWrap/>
                <w:vAlign w:val="center"/>
                <w:hideMark/>
              </w:tcPr>
              <w:p w:rsidRPr="00BC24BA" w:rsidR="00CC7724" w:rsidRDefault="00CC7724" w14:paraId="084DEE90" w14:textId="77777777">
                <w:pPr>
                  <w:jc w:val="center"/>
                  <w:rPr>
                    <w:rFonts w:cs="Calibri"/>
                    <w:color w:val="000000"/>
                    <w:sz w:val="18"/>
                    <w:szCs w:val="18"/>
                  </w:rPr>
                </w:pPr>
                <w:r w:rsidRPr="00BC24BA">
                  <w:rPr>
                    <w:rFonts w:cs="Calibri"/>
                    <w:color w:val="000000"/>
                    <w:sz w:val="18"/>
                    <w:szCs w:val="18"/>
                  </w:rPr>
                  <w:t>-0,2</w:t>
                </w:r>
              </w:p>
            </w:tc>
            <w:tc>
              <w:tcPr>
                <w:tcW w:w="880" w:type="dxa"/>
                <w:tcBorders>
                  <w:top w:val="nil"/>
                  <w:left w:val="nil"/>
                  <w:bottom w:val="nil"/>
                  <w:right w:val="nil"/>
                </w:tcBorders>
                <w:noWrap/>
                <w:vAlign w:val="center"/>
                <w:hideMark/>
              </w:tcPr>
              <w:p w:rsidRPr="00BC24BA" w:rsidR="00CC7724" w:rsidRDefault="00CC7724" w14:paraId="30C5C07D" w14:textId="77777777">
                <w:pPr>
                  <w:jc w:val="center"/>
                  <w:rPr>
                    <w:rFonts w:cs="Calibri"/>
                    <w:color w:val="000000"/>
                    <w:sz w:val="18"/>
                    <w:szCs w:val="18"/>
                  </w:rPr>
                </w:pPr>
                <w:r w:rsidRPr="00BC24BA">
                  <w:rPr>
                    <w:rFonts w:cs="Calibri"/>
                    <w:color w:val="000000"/>
                    <w:sz w:val="18"/>
                    <w:szCs w:val="18"/>
                  </w:rPr>
                  <w:t>-0,6</w:t>
                </w:r>
              </w:p>
            </w:tc>
            <w:tc>
              <w:tcPr>
                <w:tcW w:w="880" w:type="dxa"/>
                <w:tcBorders>
                  <w:top w:val="nil"/>
                  <w:left w:val="nil"/>
                  <w:bottom w:val="nil"/>
                  <w:right w:val="nil"/>
                </w:tcBorders>
                <w:noWrap/>
                <w:vAlign w:val="center"/>
                <w:hideMark/>
              </w:tcPr>
              <w:p w:rsidRPr="00BC24BA" w:rsidR="00CC7724" w:rsidRDefault="00CC7724" w14:paraId="2D763B66" w14:textId="77777777">
                <w:pPr>
                  <w:jc w:val="center"/>
                  <w:rPr>
                    <w:rFonts w:cs="Calibri"/>
                    <w:color w:val="000000"/>
                    <w:sz w:val="18"/>
                    <w:szCs w:val="18"/>
                  </w:rPr>
                </w:pPr>
                <w:r w:rsidRPr="00BC24BA">
                  <w:rPr>
                    <w:rFonts w:cs="Calibri"/>
                    <w:color w:val="000000"/>
                    <w:sz w:val="18"/>
                    <w:szCs w:val="18"/>
                  </w:rPr>
                  <w:t>-0,4</w:t>
                </w:r>
              </w:p>
            </w:tc>
            <w:tc>
              <w:tcPr>
                <w:tcW w:w="880" w:type="dxa"/>
                <w:tcBorders>
                  <w:top w:val="nil"/>
                  <w:left w:val="nil"/>
                  <w:bottom w:val="nil"/>
                  <w:right w:val="nil"/>
                </w:tcBorders>
                <w:noWrap/>
                <w:vAlign w:val="center"/>
                <w:hideMark/>
              </w:tcPr>
              <w:p w:rsidRPr="00BC24BA" w:rsidR="00CC7724" w:rsidRDefault="00CC7724" w14:paraId="2BD1968A" w14:textId="77777777">
                <w:pPr>
                  <w:jc w:val="center"/>
                  <w:rPr>
                    <w:rFonts w:cs="Calibri"/>
                    <w:color w:val="000000"/>
                    <w:sz w:val="18"/>
                    <w:szCs w:val="18"/>
                  </w:rPr>
                </w:pPr>
                <w:r w:rsidRPr="00BC24BA">
                  <w:rPr>
                    <w:rFonts w:cs="Calibri"/>
                    <w:color w:val="000000"/>
                    <w:sz w:val="18"/>
                    <w:szCs w:val="18"/>
                  </w:rPr>
                  <w:t>-0,1</w:t>
                </w:r>
              </w:p>
            </w:tc>
            <w:tc>
              <w:tcPr>
                <w:tcW w:w="880" w:type="dxa"/>
                <w:tcBorders>
                  <w:top w:val="nil"/>
                  <w:left w:val="nil"/>
                  <w:bottom w:val="nil"/>
                  <w:right w:val="nil"/>
                </w:tcBorders>
                <w:noWrap/>
                <w:vAlign w:val="center"/>
                <w:hideMark/>
              </w:tcPr>
              <w:p w:rsidRPr="00BC24BA" w:rsidR="00CC7724" w:rsidRDefault="00CC7724" w14:paraId="228907D9" w14:textId="77777777">
                <w:pPr>
                  <w:jc w:val="center"/>
                  <w:rPr>
                    <w:rFonts w:cs="Calibri"/>
                    <w:color w:val="000000"/>
                    <w:sz w:val="18"/>
                    <w:szCs w:val="18"/>
                  </w:rPr>
                </w:pPr>
                <w:r w:rsidRPr="00BC24BA">
                  <w:rPr>
                    <w:rFonts w:cs="Calibri"/>
                    <w:color w:val="000000"/>
                    <w:sz w:val="18"/>
                    <w:szCs w:val="18"/>
                  </w:rPr>
                  <w:t>0,0</w:t>
                </w:r>
              </w:p>
            </w:tc>
          </w:tr>
          <w:tr w:rsidRPr="00BC24BA" w:rsidR="00CC7724" w14:paraId="764A3542" w14:textId="77777777">
            <w:trPr>
              <w:trHeight w:val="255"/>
            </w:trPr>
            <w:tc>
              <w:tcPr>
                <w:tcW w:w="4000" w:type="dxa"/>
                <w:tcBorders>
                  <w:top w:val="nil"/>
                  <w:left w:val="nil"/>
                  <w:bottom w:val="nil"/>
                  <w:right w:val="nil"/>
                </w:tcBorders>
                <w:noWrap/>
                <w:vAlign w:val="center"/>
                <w:hideMark/>
              </w:tcPr>
              <w:p w:rsidRPr="00BC24BA" w:rsidR="00CC7724" w:rsidRDefault="00CC7724" w14:paraId="337A69A5" w14:textId="77777777">
                <w:pPr>
                  <w:rPr>
                    <w:rFonts w:cs="Calibri"/>
                    <w:color w:val="000000"/>
                    <w:sz w:val="18"/>
                    <w:szCs w:val="18"/>
                  </w:rPr>
                </w:pPr>
                <w:r w:rsidRPr="00BC24BA">
                  <w:rPr>
                    <w:rFonts w:cs="Calibri"/>
                    <w:color w:val="000000"/>
                    <w:sz w:val="18"/>
                    <w:szCs w:val="18"/>
                  </w:rPr>
                  <w:t xml:space="preserve">    </w:t>
                </w:r>
                <w:proofErr w:type="spellStart"/>
                <w:r w:rsidRPr="00BC24BA">
                  <w:rPr>
                    <w:rFonts w:cs="Calibri"/>
                    <w:color w:val="000000"/>
                    <w:sz w:val="18"/>
                    <w:szCs w:val="18"/>
                  </w:rPr>
                  <w:t>w.v</w:t>
                </w:r>
                <w:proofErr w:type="spellEnd"/>
                <w:r w:rsidRPr="00BC24BA">
                  <w:rPr>
                    <w:rFonts w:cs="Calibri"/>
                    <w:color w:val="000000"/>
                    <w:sz w:val="18"/>
                    <w:szCs w:val="18"/>
                  </w:rPr>
                  <w:t xml:space="preserve">. </w:t>
                </w:r>
                <w:proofErr w:type="spellStart"/>
                <w:r w:rsidRPr="00BC24BA">
                  <w:rPr>
                    <w:rFonts w:cs="Calibri"/>
                    <w:color w:val="000000"/>
                    <w:sz w:val="18"/>
                    <w:szCs w:val="18"/>
                  </w:rPr>
                  <w:t>Nomimale</w:t>
                </w:r>
                <w:proofErr w:type="spellEnd"/>
                <w:r w:rsidRPr="00BC24BA">
                  <w:rPr>
                    <w:rFonts w:cs="Calibri"/>
                    <w:color w:val="000000"/>
                    <w:sz w:val="18"/>
                    <w:szCs w:val="18"/>
                  </w:rPr>
                  <w:t xml:space="preserve"> ontwikkelingen*</w:t>
                </w:r>
              </w:p>
            </w:tc>
            <w:tc>
              <w:tcPr>
                <w:tcW w:w="880" w:type="dxa"/>
                <w:tcBorders>
                  <w:top w:val="nil"/>
                  <w:left w:val="nil"/>
                  <w:bottom w:val="nil"/>
                  <w:right w:val="nil"/>
                </w:tcBorders>
                <w:noWrap/>
                <w:vAlign w:val="center"/>
                <w:hideMark/>
              </w:tcPr>
              <w:p w:rsidRPr="00BC24BA" w:rsidR="00CC7724" w:rsidRDefault="00CC7724" w14:paraId="7A33B6AE" w14:textId="77777777">
                <w:pPr>
                  <w:jc w:val="center"/>
                  <w:rPr>
                    <w:rFonts w:cs="Calibri"/>
                    <w:color w:val="000000"/>
                    <w:sz w:val="18"/>
                    <w:szCs w:val="18"/>
                  </w:rPr>
                </w:pPr>
                <w:r w:rsidRPr="00BC24BA">
                  <w:rPr>
                    <w:rFonts w:cs="Calibri"/>
                    <w:color w:val="000000"/>
                    <w:sz w:val="18"/>
                    <w:szCs w:val="18"/>
                  </w:rPr>
                  <w:t>0,0</w:t>
                </w:r>
              </w:p>
            </w:tc>
            <w:tc>
              <w:tcPr>
                <w:tcW w:w="880" w:type="dxa"/>
                <w:tcBorders>
                  <w:top w:val="nil"/>
                  <w:left w:val="nil"/>
                  <w:bottom w:val="nil"/>
                  <w:right w:val="nil"/>
                </w:tcBorders>
                <w:noWrap/>
                <w:vAlign w:val="center"/>
                <w:hideMark/>
              </w:tcPr>
              <w:p w:rsidRPr="00BC24BA" w:rsidR="00CC7724" w:rsidRDefault="00CC7724" w14:paraId="2CF425F3" w14:textId="77777777">
                <w:pPr>
                  <w:jc w:val="center"/>
                  <w:rPr>
                    <w:rFonts w:cs="Calibri"/>
                    <w:color w:val="000000"/>
                    <w:sz w:val="18"/>
                    <w:szCs w:val="18"/>
                  </w:rPr>
                </w:pPr>
                <w:r w:rsidRPr="00BC24BA">
                  <w:rPr>
                    <w:rFonts w:cs="Calibri"/>
                    <w:color w:val="000000"/>
                    <w:sz w:val="18"/>
                    <w:szCs w:val="18"/>
                  </w:rPr>
                  <w:t>2,3</w:t>
                </w:r>
              </w:p>
            </w:tc>
            <w:tc>
              <w:tcPr>
                <w:tcW w:w="880" w:type="dxa"/>
                <w:tcBorders>
                  <w:top w:val="nil"/>
                  <w:left w:val="nil"/>
                  <w:bottom w:val="nil"/>
                  <w:right w:val="nil"/>
                </w:tcBorders>
                <w:noWrap/>
                <w:vAlign w:val="center"/>
                <w:hideMark/>
              </w:tcPr>
              <w:p w:rsidRPr="00BC24BA" w:rsidR="00CC7724" w:rsidRDefault="00CC7724" w14:paraId="2D60B51E" w14:textId="77777777">
                <w:pPr>
                  <w:jc w:val="center"/>
                  <w:rPr>
                    <w:rFonts w:cs="Calibri"/>
                    <w:color w:val="000000"/>
                    <w:sz w:val="18"/>
                    <w:szCs w:val="18"/>
                  </w:rPr>
                </w:pPr>
                <w:r w:rsidRPr="00BC24BA">
                  <w:rPr>
                    <w:rFonts w:cs="Calibri"/>
                    <w:color w:val="000000"/>
                    <w:sz w:val="18"/>
                    <w:szCs w:val="18"/>
                  </w:rPr>
                  <w:t>2,0</w:t>
                </w:r>
              </w:p>
            </w:tc>
            <w:tc>
              <w:tcPr>
                <w:tcW w:w="880" w:type="dxa"/>
                <w:tcBorders>
                  <w:top w:val="nil"/>
                  <w:left w:val="nil"/>
                  <w:bottom w:val="nil"/>
                  <w:right w:val="nil"/>
                </w:tcBorders>
                <w:noWrap/>
                <w:vAlign w:val="center"/>
                <w:hideMark/>
              </w:tcPr>
              <w:p w:rsidRPr="00BC24BA" w:rsidR="00CC7724" w:rsidRDefault="00CC7724" w14:paraId="72111191" w14:textId="77777777">
                <w:pPr>
                  <w:jc w:val="center"/>
                  <w:rPr>
                    <w:rFonts w:cs="Calibri"/>
                    <w:color w:val="000000"/>
                    <w:sz w:val="18"/>
                    <w:szCs w:val="18"/>
                  </w:rPr>
                </w:pPr>
                <w:r w:rsidRPr="00BC24BA">
                  <w:rPr>
                    <w:rFonts w:cs="Calibri"/>
                    <w:color w:val="000000"/>
                    <w:sz w:val="18"/>
                    <w:szCs w:val="18"/>
                  </w:rPr>
                  <w:t>2,2</w:t>
                </w:r>
              </w:p>
            </w:tc>
            <w:tc>
              <w:tcPr>
                <w:tcW w:w="880" w:type="dxa"/>
                <w:tcBorders>
                  <w:top w:val="nil"/>
                  <w:left w:val="nil"/>
                  <w:bottom w:val="nil"/>
                  <w:right w:val="nil"/>
                </w:tcBorders>
                <w:noWrap/>
                <w:vAlign w:val="center"/>
                <w:hideMark/>
              </w:tcPr>
              <w:p w:rsidRPr="00BC24BA" w:rsidR="00CC7724" w:rsidRDefault="00CC7724" w14:paraId="13DBE76E" w14:textId="77777777">
                <w:pPr>
                  <w:jc w:val="center"/>
                  <w:rPr>
                    <w:rFonts w:cs="Calibri"/>
                    <w:color w:val="000000"/>
                    <w:sz w:val="18"/>
                    <w:szCs w:val="18"/>
                  </w:rPr>
                </w:pPr>
                <w:r w:rsidRPr="00BC24BA">
                  <w:rPr>
                    <w:rFonts w:cs="Calibri"/>
                    <w:color w:val="000000"/>
                    <w:sz w:val="18"/>
                    <w:szCs w:val="18"/>
                  </w:rPr>
                  <w:t>2,3</w:t>
                </w:r>
              </w:p>
            </w:tc>
          </w:tr>
          <w:tr w:rsidRPr="00BC24BA" w:rsidR="00CC7724" w14:paraId="0C18BB25" w14:textId="77777777">
            <w:trPr>
              <w:trHeight w:val="300"/>
            </w:trPr>
            <w:tc>
              <w:tcPr>
                <w:tcW w:w="4000" w:type="dxa"/>
                <w:tcBorders>
                  <w:top w:val="nil"/>
                  <w:left w:val="nil"/>
                  <w:bottom w:val="nil"/>
                  <w:right w:val="nil"/>
                </w:tcBorders>
                <w:noWrap/>
                <w:vAlign w:val="center"/>
                <w:hideMark/>
              </w:tcPr>
              <w:p w:rsidRPr="00BC24BA" w:rsidR="00CC7724" w:rsidRDefault="00CC7724" w14:paraId="17EA1E10" w14:textId="77777777">
                <w:pPr>
                  <w:rPr>
                    <w:rFonts w:cs="Calibri"/>
                    <w:color w:val="000000"/>
                    <w:sz w:val="18"/>
                    <w:szCs w:val="18"/>
                  </w:rPr>
                </w:pPr>
                <w:r w:rsidRPr="00BC24BA">
                  <w:rPr>
                    <w:rFonts w:cs="Calibri"/>
                    <w:color w:val="000000"/>
                    <w:sz w:val="18"/>
                    <w:szCs w:val="18"/>
                  </w:rPr>
                  <w:t xml:space="preserve">    </w:t>
                </w:r>
                <w:proofErr w:type="spellStart"/>
                <w:r w:rsidRPr="00BC24BA">
                  <w:rPr>
                    <w:rFonts w:cs="Calibri"/>
                    <w:color w:val="000000"/>
                    <w:sz w:val="18"/>
                    <w:szCs w:val="18"/>
                  </w:rPr>
                  <w:t>w.v</w:t>
                </w:r>
                <w:proofErr w:type="spellEnd"/>
                <w:r w:rsidRPr="00BC24BA">
                  <w:rPr>
                    <w:rFonts w:cs="Calibri"/>
                    <w:color w:val="000000"/>
                    <w:sz w:val="18"/>
                    <w:szCs w:val="18"/>
                  </w:rPr>
                  <w:t>. Kasschuiven</w:t>
                </w:r>
              </w:p>
            </w:tc>
            <w:tc>
              <w:tcPr>
                <w:tcW w:w="880" w:type="dxa"/>
                <w:tcBorders>
                  <w:top w:val="nil"/>
                  <w:left w:val="nil"/>
                  <w:bottom w:val="nil"/>
                  <w:right w:val="nil"/>
                </w:tcBorders>
                <w:noWrap/>
                <w:vAlign w:val="center"/>
                <w:hideMark/>
              </w:tcPr>
              <w:p w:rsidRPr="00BC24BA" w:rsidR="00CC7724" w:rsidRDefault="00CC7724" w14:paraId="0B9013AC" w14:textId="77777777">
                <w:pPr>
                  <w:jc w:val="center"/>
                  <w:rPr>
                    <w:rFonts w:cs="Calibri"/>
                    <w:color w:val="000000"/>
                    <w:sz w:val="18"/>
                    <w:szCs w:val="18"/>
                  </w:rPr>
                </w:pPr>
                <w:r w:rsidRPr="00BC24BA">
                  <w:rPr>
                    <w:rFonts w:cs="Calibri"/>
                    <w:color w:val="000000"/>
                    <w:sz w:val="18"/>
                    <w:szCs w:val="18"/>
                  </w:rPr>
                  <w:t>-2,0</w:t>
                </w:r>
              </w:p>
            </w:tc>
            <w:tc>
              <w:tcPr>
                <w:tcW w:w="880" w:type="dxa"/>
                <w:tcBorders>
                  <w:top w:val="nil"/>
                  <w:left w:val="nil"/>
                  <w:bottom w:val="nil"/>
                  <w:right w:val="nil"/>
                </w:tcBorders>
                <w:noWrap/>
                <w:vAlign w:val="center"/>
                <w:hideMark/>
              </w:tcPr>
              <w:p w:rsidRPr="00BC24BA" w:rsidR="00CC7724" w:rsidRDefault="00CC7724" w14:paraId="314F6861" w14:textId="77777777">
                <w:pPr>
                  <w:jc w:val="center"/>
                  <w:rPr>
                    <w:rFonts w:cs="Calibri"/>
                    <w:color w:val="000000"/>
                    <w:sz w:val="18"/>
                    <w:szCs w:val="18"/>
                  </w:rPr>
                </w:pPr>
                <w:r w:rsidRPr="00BC24BA">
                  <w:rPr>
                    <w:rFonts w:cs="Calibri"/>
                    <w:color w:val="000000"/>
                    <w:sz w:val="18"/>
                    <w:szCs w:val="18"/>
                  </w:rPr>
                  <w:t>-1,0</w:t>
                </w:r>
              </w:p>
            </w:tc>
            <w:tc>
              <w:tcPr>
                <w:tcW w:w="880" w:type="dxa"/>
                <w:tcBorders>
                  <w:top w:val="nil"/>
                  <w:left w:val="nil"/>
                  <w:bottom w:val="nil"/>
                  <w:right w:val="nil"/>
                </w:tcBorders>
                <w:noWrap/>
                <w:vAlign w:val="center"/>
                <w:hideMark/>
              </w:tcPr>
              <w:p w:rsidRPr="00BC24BA" w:rsidR="00CC7724" w:rsidRDefault="00CC7724" w14:paraId="4E64223C" w14:textId="77777777">
                <w:pPr>
                  <w:jc w:val="center"/>
                  <w:rPr>
                    <w:rFonts w:cs="Calibri"/>
                    <w:color w:val="000000"/>
                    <w:sz w:val="18"/>
                    <w:szCs w:val="18"/>
                  </w:rPr>
                </w:pPr>
                <w:r w:rsidRPr="00BC24BA">
                  <w:rPr>
                    <w:rFonts w:cs="Calibri"/>
                    <w:color w:val="000000"/>
                    <w:sz w:val="18"/>
                    <w:szCs w:val="18"/>
                  </w:rPr>
                  <w:t>0,6</w:t>
                </w:r>
              </w:p>
            </w:tc>
            <w:tc>
              <w:tcPr>
                <w:tcW w:w="880" w:type="dxa"/>
                <w:tcBorders>
                  <w:top w:val="nil"/>
                  <w:left w:val="nil"/>
                  <w:bottom w:val="nil"/>
                  <w:right w:val="nil"/>
                </w:tcBorders>
                <w:noWrap/>
                <w:vAlign w:val="center"/>
                <w:hideMark/>
              </w:tcPr>
              <w:p w:rsidRPr="00BC24BA" w:rsidR="00CC7724" w:rsidRDefault="00CC7724" w14:paraId="72823F32" w14:textId="77777777">
                <w:pPr>
                  <w:jc w:val="center"/>
                  <w:rPr>
                    <w:rFonts w:cs="Calibri"/>
                    <w:color w:val="000000"/>
                    <w:sz w:val="18"/>
                    <w:szCs w:val="18"/>
                  </w:rPr>
                </w:pPr>
                <w:r w:rsidRPr="00BC24BA">
                  <w:rPr>
                    <w:rFonts w:cs="Calibri"/>
                    <w:color w:val="000000"/>
                    <w:sz w:val="18"/>
                    <w:szCs w:val="18"/>
                  </w:rPr>
                  <w:t>1,2</w:t>
                </w:r>
              </w:p>
            </w:tc>
            <w:tc>
              <w:tcPr>
                <w:tcW w:w="880" w:type="dxa"/>
                <w:tcBorders>
                  <w:top w:val="nil"/>
                  <w:left w:val="nil"/>
                  <w:bottom w:val="nil"/>
                  <w:right w:val="nil"/>
                </w:tcBorders>
                <w:noWrap/>
                <w:vAlign w:val="center"/>
                <w:hideMark/>
              </w:tcPr>
              <w:p w:rsidRPr="00BC24BA" w:rsidR="00CC7724" w:rsidRDefault="00CC7724" w14:paraId="09BF547B" w14:textId="77777777">
                <w:pPr>
                  <w:jc w:val="center"/>
                  <w:rPr>
                    <w:rFonts w:cs="Calibri"/>
                    <w:color w:val="000000"/>
                    <w:sz w:val="18"/>
                    <w:szCs w:val="18"/>
                  </w:rPr>
                </w:pPr>
                <w:r w:rsidRPr="00BC24BA">
                  <w:rPr>
                    <w:rFonts w:cs="Calibri"/>
                    <w:color w:val="000000"/>
                    <w:sz w:val="18"/>
                    <w:szCs w:val="18"/>
                  </w:rPr>
                  <w:t>0,1</w:t>
                </w:r>
              </w:p>
            </w:tc>
          </w:tr>
          <w:tr w:rsidRPr="00BC24BA" w:rsidR="00CC7724" w14:paraId="31E1983D" w14:textId="77777777">
            <w:trPr>
              <w:trHeight w:val="300"/>
            </w:trPr>
            <w:tc>
              <w:tcPr>
                <w:tcW w:w="4000" w:type="dxa"/>
                <w:tcBorders>
                  <w:top w:val="nil"/>
                  <w:left w:val="nil"/>
                  <w:bottom w:val="nil"/>
                  <w:right w:val="nil"/>
                </w:tcBorders>
                <w:noWrap/>
                <w:vAlign w:val="center"/>
                <w:hideMark/>
              </w:tcPr>
              <w:p w:rsidRPr="00BC24BA" w:rsidR="00CC7724" w:rsidRDefault="00CC7724" w14:paraId="2BD0205B" w14:textId="77777777">
                <w:pPr>
                  <w:jc w:val="center"/>
                  <w:rPr>
                    <w:rFonts w:cs="Calibri"/>
                    <w:color w:val="000000"/>
                    <w:sz w:val="18"/>
                    <w:szCs w:val="18"/>
                  </w:rPr>
                </w:pPr>
              </w:p>
            </w:tc>
            <w:tc>
              <w:tcPr>
                <w:tcW w:w="880" w:type="dxa"/>
                <w:tcBorders>
                  <w:top w:val="nil"/>
                  <w:left w:val="nil"/>
                  <w:bottom w:val="nil"/>
                  <w:right w:val="nil"/>
                </w:tcBorders>
                <w:noWrap/>
                <w:vAlign w:val="center"/>
                <w:hideMark/>
              </w:tcPr>
              <w:p w:rsidRPr="00BC24BA" w:rsidR="00CC7724" w:rsidRDefault="00CC7724" w14:paraId="6A761973" w14:textId="77777777">
                <w:pP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4FBB3B2D"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5CDA047D"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32EB12C4"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7F3BBD7E" w14:textId="77777777">
                <w:pPr>
                  <w:jc w:val="center"/>
                  <w:rPr>
                    <w:rFonts w:ascii="Times New Roman" w:hAnsi="Times New Roman"/>
                    <w:sz w:val="20"/>
                    <w:szCs w:val="20"/>
                  </w:rPr>
                </w:pPr>
              </w:p>
            </w:tc>
          </w:tr>
          <w:tr w:rsidRPr="00BC24BA" w:rsidR="00CC7724" w14:paraId="782D292C" w14:textId="77777777">
            <w:trPr>
              <w:trHeight w:val="300"/>
            </w:trPr>
            <w:tc>
              <w:tcPr>
                <w:tcW w:w="4000" w:type="dxa"/>
                <w:tcBorders>
                  <w:top w:val="nil"/>
                  <w:left w:val="nil"/>
                  <w:bottom w:val="nil"/>
                  <w:right w:val="nil"/>
                </w:tcBorders>
                <w:noWrap/>
                <w:vAlign w:val="center"/>
                <w:hideMark/>
              </w:tcPr>
              <w:p w:rsidRPr="00BC24BA" w:rsidR="00CC7724" w:rsidRDefault="00CC7724" w14:paraId="369A339A" w14:textId="77777777">
                <w:pPr>
                  <w:rPr>
                    <w:rFonts w:cs="Calibri"/>
                    <w:color w:val="000000"/>
                    <w:sz w:val="18"/>
                    <w:szCs w:val="18"/>
                  </w:rPr>
                </w:pPr>
                <w:r w:rsidRPr="00BC24BA">
                  <w:rPr>
                    <w:rFonts w:cs="Calibri"/>
                    <w:color w:val="000000"/>
                    <w:sz w:val="18"/>
                    <w:szCs w:val="18"/>
                  </w:rPr>
                  <w:t>Uitgavenkader Miljoenennota 2027</w:t>
                </w:r>
              </w:p>
            </w:tc>
            <w:tc>
              <w:tcPr>
                <w:tcW w:w="880" w:type="dxa"/>
                <w:tcBorders>
                  <w:top w:val="nil"/>
                  <w:left w:val="nil"/>
                  <w:bottom w:val="nil"/>
                  <w:right w:val="nil"/>
                </w:tcBorders>
                <w:noWrap/>
                <w:vAlign w:val="center"/>
                <w:hideMark/>
              </w:tcPr>
              <w:p w:rsidRPr="00BC24BA" w:rsidR="00CC7724" w:rsidRDefault="00CC7724" w14:paraId="54BA73CF" w14:textId="77777777">
                <w:pPr>
                  <w:jc w:val="center"/>
                  <w:rPr>
                    <w:rFonts w:cs="Calibri"/>
                    <w:color w:val="000000"/>
                    <w:sz w:val="18"/>
                    <w:szCs w:val="18"/>
                  </w:rPr>
                </w:pPr>
                <w:r w:rsidRPr="00BC24BA">
                  <w:rPr>
                    <w:rFonts w:cs="Calibri"/>
                    <w:color w:val="000000"/>
                    <w:sz w:val="18"/>
                    <w:szCs w:val="18"/>
                  </w:rPr>
                  <w:t>451,1</w:t>
                </w:r>
              </w:p>
            </w:tc>
            <w:tc>
              <w:tcPr>
                <w:tcW w:w="880" w:type="dxa"/>
                <w:tcBorders>
                  <w:top w:val="nil"/>
                  <w:left w:val="nil"/>
                  <w:bottom w:val="nil"/>
                  <w:right w:val="nil"/>
                </w:tcBorders>
                <w:noWrap/>
                <w:vAlign w:val="center"/>
                <w:hideMark/>
              </w:tcPr>
              <w:p w:rsidRPr="00BC24BA" w:rsidR="00CC7724" w:rsidRDefault="00CC7724" w14:paraId="0FF9B660" w14:textId="77777777">
                <w:pPr>
                  <w:jc w:val="center"/>
                  <w:rPr>
                    <w:rFonts w:cs="Calibri"/>
                    <w:color w:val="000000"/>
                    <w:sz w:val="18"/>
                    <w:szCs w:val="18"/>
                  </w:rPr>
                </w:pPr>
                <w:r w:rsidRPr="00BC24BA">
                  <w:rPr>
                    <w:rFonts w:cs="Calibri"/>
                    <w:color w:val="000000"/>
                    <w:sz w:val="18"/>
                    <w:szCs w:val="18"/>
                  </w:rPr>
                  <w:t>489,1</w:t>
                </w:r>
              </w:p>
            </w:tc>
            <w:tc>
              <w:tcPr>
                <w:tcW w:w="880" w:type="dxa"/>
                <w:tcBorders>
                  <w:top w:val="nil"/>
                  <w:left w:val="nil"/>
                  <w:bottom w:val="nil"/>
                  <w:right w:val="nil"/>
                </w:tcBorders>
                <w:noWrap/>
                <w:vAlign w:val="center"/>
                <w:hideMark/>
              </w:tcPr>
              <w:p w:rsidRPr="00BC24BA" w:rsidR="00CC7724" w:rsidRDefault="00CC7724" w14:paraId="79D6431C" w14:textId="77777777">
                <w:pPr>
                  <w:jc w:val="center"/>
                  <w:rPr>
                    <w:rFonts w:cs="Calibri"/>
                    <w:color w:val="000000"/>
                    <w:sz w:val="18"/>
                    <w:szCs w:val="18"/>
                  </w:rPr>
                </w:pPr>
                <w:r w:rsidRPr="00BC24BA">
                  <w:rPr>
                    <w:rFonts w:cs="Calibri"/>
                    <w:color w:val="000000"/>
                    <w:sz w:val="18"/>
                    <w:szCs w:val="18"/>
                  </w:rPr>
                  <w:t>512,6</w:t>
                </w:r>
              </w:p>
            </w:tc>
            <w:tc>
              <w:tcPr>
                <w:tcW w:w="880" w:type="dxa"/>
                <w:tcBorders>
                  <w:top w:val="nil"/>
                  <w:left w:val="nil"/>
                  <w:bottom w:val="nil"/>
                  <w:right w:val="nil"/>
                </w:tcBorders>
                <w:noWrap/>
                <w:vAlign w:val="center"/>
                <w:hideMark/>
              </w:tcPr>
              <w:p w:rsidRPr="00BC24BA" w:rsidR="00CC7724" w:rsidRDefault="00CC7724" w14:paraId="2BD978E4" w14:textId="77777777">
                <w:pPr>
                  <w:jc w:val="center"/>
                  <w:rPr>
                    <w:rFonts w:cs="Calibri"/>
                    <w:color w:val="000000"/>
                    <w:sz w:val="18"/>
                    <w:szCs w:val="18"/>
                  </w:rPr>
                </w:pPr>
                <w:r w:rsidRPr="00BC24BA">
                  <w:rPr>
                    <w:rFonts w:cs="Calibri"/>
                    <w:color w:val="000000"/>
                    <w:sz w:val="18"/>
                    <w:szCs w:val="18"/>
                  </w:rPr>
                  <w:t>531,9</w:t>
                </w:r>
              </w:p>
            </w:tc>
            <w:tc>
              <w:tcPr>
                <w:tcW w:w="880" w:type="dxa"/>
                <w:tcBorders>
                  <w:top w:val="nil"/>
                  <w:left w:val="nil"/>
                  <w:bottom w:val="nil"/>
                  <w:right w:val="nil"/>
                </w:tcBorders>
                <w:noWrap/>
                <w:vAlign w:val="center"/>
                <w:hideMark/>
              </w:tcPr>
              <w:p w:rsidRPr="00BC24BA" w:rsidR="00CC7724" w:rsidRDefault="00CC7724" w14:paraId="50FF9613" w14:textId="77777777">
                <w:pPr>
                  <w:jc w:val="center"/>
                  <w:rPr>
                    <w:rFonts w:cs="Calibri"/>
                    <w:color w:val="000000"/>
                    <w:sz w:val="18"/>
                    <w:szCs w:val="18"/>
                  </w:rPr>
                </w:pPr>
                <w:r w:rsidRPr="00BC24BA">
                  <w:rPr>
                    <w:rFonts w:cs="Calibri"/>
                    <w:color w:val="000000"/>
                    <w:sz w:val="18"/>
                    <w:szCs w:val="18"/>
                  </w:rPr>
                  <w:t>547,9</w:t>
                </w:r>
              </w:p>
            </w:tc>
          </w:tr>
          <w:tr w:rsidRPr="00BC24BA" w:rsidR="00CC7724" w14:paraId="2687B009" w14:textId="77777777">
            <w:trPr>
              <w:trHeight w:val="300"/>
            </w:trPr>
            <w:tc>
              <w:tcPr>
                <w:tcW w:w="4000" w:type="dxa"/>
                <w:tcBorders>
                  <w:top w:val="nil"/>
                  <w:left w:val="nil"/>
                  <w:bottom w:val="nil"/>
                  <w:right w:val="nil"/>
                </w:tcBorders>
                <w:noWrap/>
                <w:vAlign w:val="center"/>
                <w:hideMark/>
              </w:tcPr>
              <w:p w:rsidRPr="00BC24BA" w:rsidR="00CC7724" w:rsidRDefault="00CC7724" w14:paraId="779167C1" w14:textId="77777777">
                <w:pPr>
                  <w:rPr>
                    <w:rFonts w:cs="Calibri"/>
                    <w:color w:val="000000"/>
                    <w:sz w:val="18"/>
                    <w:szCs w:val="18"/>
                  </w:rPr>
                </w:pPr>
                <w:r w:rsidRPr="00BC24BA">
                  <w:rPr>
                    <w:rFonts w:cs="Calibri"/>
                    <w:color w:val="000000"/>
                    <w:sz w:val="18"/>
                    <w:szCs w:val="18"/>
                  </w:rPr>
                  <w:t>Kaderrelevante uitgaven Miljoenennota 2027</w:t>
                </w:r>
              </w:p>
            </w:tc>
            <w:tc>
              <w:tcPr>
                <w:tcW w:w="880" w:type="dxa"/>
                <w:tcBorders>
                  <w:top w:val="nil"/>
                  <w:left w:val="nil"/>
                  <w:bottom w:val="nil"/>
                  <w:right w:val="nil"/>
                </w:tcBorders>
                <w:noWrap/>
                <w:vAlign w:val="center"/>
                <w:hideMark/>
              </w:tcPr>
              <w:p w:rsidRPr="00BC24BA" w:rsidR="00CC7724" w:rsidRDefault="00CC7724" w14:paraId="2046512C" w14:textId="77777777">
                <w:pPr>
                  <w:jc w:val="center"/>
                  <w:rPr>
                    <w:rFonts w:cs="Calibri"/>
                    <w:color w:val="000000"/>
                    <w:sz w:val="18"/>
                    <w:szCs w:val="18"/>
                  </w:rPr>
                </w:pPr>
                <w:r w:rsidRPr="00BC24BA">
                  <w:rPr>
                    <w:rFonts w:cs="Calibri"/>
                    <w:color w:val="000000"/>
                    <w:sz w:val="18"/>
                    <w:szCs w:val="18"/>
                  </w:rPr>
                  <w:t>450,7</w:t>
                </w:r>
              </w:p>
            </w:tc>
            <w:tc>
              <w:tcPr>
                <w:tcW w:w="880" w:type="dxa"/>
                <w:tcBorders>
                  <w:top w:val="nil"/>
                  <w:left w:val="nil"/>
                  <w:bottom w:val="nil"/>
                  <w:right w:val="nil"/>
                </w:tcBorders>
                <w:noWrap/>
                <w:vAlign w:val="center"/>
                <w:hideMark/>
              </w:tcPr>
              <w:p w:rsidRPr="00BC24BA" w:rsidR="00CC7724" w:rsidRDefault="00CC7724" w14:paraId="44A4DAC7" w14:textId="77777777">
                <w:pPr>
                  <w:jc w:val="center"/>
                  <w:rPr>
                    <w:rFonts w:cs="Calibri"/>
                    <w:color w:val="000000"/>
                    <w:sz w:val="18"/>
                    <w:szCs w:val="18"/>
                  </w:rPr>
                </w:pPr>
                <w:r w:rsidRPr="00BC24BA">
                  <w:rPr>
                    <w:rFonts w:cs="Calibri"/>
                    <w:color w:val="000000"/>
                    <w:sz w:val="18"/>
                    <w:szCs w:val="18"/>
                  </w:rPr>
                  <w:t>488,3</w:t>
                </w:r>
              </w:p>
            </w:tc>
            <w:tc>
              <w:tcPr>
                <w:tcW w:w="880" w:type="dxa"/>
                <w:tcBorders>
                  <w:top w:val="nil"/>
                  <w:left w:val="nil"/>
                  <w:bottom w:val="nil"/>
                  <w:right w:val="nil"/>
                </w:tcBorders>
                <w:noWrap/>
                <w:vAlign w:val="center"/>
                <w:hideMark/>
              </w:tcPr>
              <w:p w:rsidRPr="00BC24BA" w:rsidR="00CC7724" w:rsidRDefault="00CC7724" w14:paraId="0369DD50" w14:textId="77777777">
                <w:pPr>
                  <w:jc w:val="center"/>
                  <w:rPr>
                    <w:rFonts w:cs="Calibri"/>
                    <w:color w:val="000000"/>
                    <w:sz w:val="18"/>
                    <w:szCs w:val="18"/>
                  </w:rPr>
                </w:pPr>
                <w:r w:rsidRPr="00BC24BA">
                  <w:rPr>
                    <w:rFonts w:cs="Calibri"/>
                    <w:color w:val="000000"/>
                    <w:sz w:val="18"/>
                    <w:szCs w:val="18"/>
                  </w:rPr>
                  <w:t>510,2</w:t>
                </w:r>
              </w:p>
            </w:tc>
            <w:tc>
              <w:tcPr>
                <w:tcW w:w="880" w:type="dxa"/>
                <w:tcBorders>
                  <w:top w:val="nil"/>
                  <w:left w:val="nil"/>
                  <w:bottom w:val="nil"/>
                  <w:right w:val="nil"/>
                </w:tcBorders>
                <w:noWrap/>
                <w:vAlign w:val="center"/>
                <w:hideMark/>
              </w:tcPr>
              <w:p w:rsidRPr="00BC24BA" w:rsidR="00CC7724" w:rsidRDefault="00CC7724" w14:paraId="0F5BF173" w14:textId="77777777">
                <w:pPr>
                  <w:jc w:val="center"/>
                  <w:rPr>
                    <w:rFonts w:cs="Calibri"/>
                    <w:color w:val="000000"/>
                    <w:sz w:val="18"/>
                    <w:szCs w:val="18"/>
                  </w:rPr>
                </w:pPr>
                <w:r w:rsidRPr="00BC24BA">
                  <w:rPr>
                    <w:rFonts w:cs="Calibri"/>
                    <w:color w:val="000000"/>
                    <w:sz w:val="18"/>
                    <w:szCs w:val="18"/>
                  </w:rPr>
                  <w:t>532,5</w:t>
                </w:r>
              </w:p>
            </w:tc>
            <w:tc>
              <w:tcPr>
                <w:tcW w:w="880" w:type="dxa"/>
                <w:tcBorders>
                  <w:top w:val="nil"/>
                  <w:left w:val="nil"/>
                  <w:bottom w:val="nil"/>
                  <w:right w:val="nil"/>
                </w:tcBorders>
                <w:noWrap/>
                <w:vAlign w:val="center"/>
                <w:hideMark/>
              </w:tcPr>
              <w:p w:rsidRPr="00BC24BA" w:rsidR="00CC7724" w:rsidRDefault="00CC7724" w14:paraId="554A82C5" w14:textId="77777777">
                <w:pPr>
                  <w:jc w:val="center"/>
                  <w:rPr>
                    <w:rFonts w:cs="Calibri"/>
                    <w:color w:val="000000"/>
                    <w:sz w:val="18"/>
                    <w:szCs w:val="18"/>
                  </w:rPr>
                </w:pPr>
                <w:r w:rsidRPr="00BC24BA">
                  <w:rPr>
                    <w:rFonts w:cs="Calibri"/>
                    <w:color w:val="000000"/>
                    <w:sz w:val="18"/>
                    <w:szCs w:val="18"/>
                  </w:rPr>
                  <w:t>548,5</w:t>
                </w:r>
              </w:p>
            </w:tc>
          </w:tr>
          <w:tr w:rsidRPr="00BC24BA" w:rsidR="00CC7724" w14:paraId="43E4D9B7" w14:textId="77777777">
            <w:trPr>
              <w:trHeight w:val="300"/>
            </w:trPr>
            <w:tc>
              <w:tcPr>
                <w:tcW w:w="4000" w:type="dxa"/>
                <w:tcBorders>
                  <w:top w:val="nil"/>
                  <w:left w:val="nil"/>
                  <w:bottom w:val="nil"/>
                  <w:right w:val="nil"/>
                </w:tcBorders>
                <w:noWrap/>
                <w:vAlign w:val="center"/>
                <w:hideMark/>
              </w:tcPr>
              <w:p w:rsidRPr="00BC24BA" w:rsidR="00CC7724" w:rsidRDefault="00CC7724" w14:paraId="3E791566" w14:textId="77777777">
                <w:pPr>
                  <w:jc w:val="center"/>
                  <w:rPr>
                    <w:rFonts w:cs="Calibri"/>
                    <w:color w:val="000000"/>
                    <w:sz w:val="18"/>
                    <w:szCs w:val="18"/>
                  </w:rPr>
                </w:pPr>
              </w:p>
            </w:tc>
            <w:tc>
              <w:tcPr>
                <w:tcW w:w="880" w:type="dxa"/>
                <w:tcBorders>
                  <w:top w:val="nil"/>
                  <w:left w:val="nil"/>
                  <w:bottom w:val="nil"/>
                  <w:right w:val="nil"/>
                </w:tcBorders>
                <w:noWrap/>
                <w:vAlign w:val="center"/>
                <w:hideMark/>
              </w:tcPr>
              <w:p w:rsidRPr="00BC24BA" w:rsidR="00CC7724" w:rsidRDefault="00CC7724" w14:paraId="4636B283" w14:textId="77777777">
                <w:pP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3B6B17DE"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167F760B"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32E04808"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6138320C" w14:textId="77777777">
                <w:pPr>
                  <w:jc w:val="center"/>
                  <w:rPr>
                    <w:rFonts w:ascii="Times New Roman" w:hAnsi="Times New Roman"/>
                    <w:sz w:val="20"/>
                    <w:szCs w:val="20"/>
                  </w:rPr>
                </w:pPr>
              </w:p>
            </w:tc>
          </w:tr>
          <w:tr w:rsidRPr="00BC24BA" w:rsidR="00CC7724" w14:paraId="093BC7D4" w14:textId="77777777">
            <w:trPr>
              <w:trHeight w:val="300"/>
            </w:trPr>
            <w:tc>
              <w:tcPr>
                <w:tcW w:w="4000" w:type="dxa"/>
                <w:tcBorders>
                  <w:top w:val="nil"/>
                  <w:left w:val="nil"/>
                  <w:bottom w:val="nil"/>
                  <w:right w:val="nil"/>
                </w:tcBorders>
                <w:noWrap/>
                <w:vAlign w:val="center"/>
                <w:hideMark/>
              </w:tcPr>
              <w:p w:rsidRPr="00BC24BA" w:rsidR="00CC7724" w:rsidRDefault="00CC7724" w14:paraId="3D8115C6" w14:textId="77777777">
                <w:pPr>
                  <w:rPr>
                    <w:rFonts w:cs="Calibri"/>
                    <w:color w:val="000000"/>
                    <w:sz w:val="18"/>
                    <w:szCs w:val="18"/>
                  </w:rPr>
                </w:pPr>
                <w:r w:rsidRPr="00BC24BA">
                  <w:rPr>
                    <w:rFonts w:cs="Calibri"/>
                    <w:color w:val="000000"/>
                    <w:sz w:val="18"/>
                    <w:szCs w:val="18"/>
                  </w:rPr>
                  <w:t>Over/onderschrijding Miljoenennota 2027</w:t>
                </w:r>
              </w:p>
            </w:tc>
            <w:tc>
              <w:tcPr>
                <w:tcW w:w="880" w:type="dxa"/>
                <w:tcBorders>
                  <w:top w:val="nil"/>
                  <w:left w:val="nil"/>
                  <w:bottom w:val="nil"/>
                  <w:right w:val="nil"/>
                </w:tcBorders>
                <w:noWrap/>
                <w:vAlign w:val="center"/>
                <w:hideMark/>
              </w:tcPr>
              <w:p w:rsidRPr="00BC24BA" w:rsidR="00CC7724" w:rsidRDefault="00CC7724" w14:paraId="1C2D3409" w14:textId="77777777">
                <w:pPr>
                  <w:jc w:val="center"/>
                  <w:rPr>
                    <w:rFonts w:cs="Calibri"/>
                    <w:color w:val="000000"/>
                    <w:sz w:val="18"/>
                    <w:szCs w:val="18"/>
                  </w:rPr>
                </w:pPr>
                <w:r w:rsidRPr="00BC24BA">
                  <w:rPr>
                    <w:rFonts w:cs="Calibri"/>
                    <w:color w:val="000000"/>
                    <w:sz w:val="18"/>
                    <w:szCs w:val="18"/>
                  </w:rPr>
                  <w:t>-0,4</w:t>
                </w:r>
              </w:p>
            </w:tc>
            <w:tc>
              <w:tcPr>
                <w:tcW w:w="880" w:type="dxa"/>
                <w:tcBorders>
                  <w:top w:val="nil"/>
                  <w:left w:val="nil"/>
                  <w:bottom w:val="nil"/>
                  <w:right w:val="nil"/>
                </w:tcBorders>
                <w:noWrap/>
                <w:vAlign w:val="center"/>
                <w:hideMark/>
              </w:tcPr>
              <w:p w:rsidRPr="00BC24BA" w:rsidR="00CC7724" w:rsidRDefault="00CC7724" w14:paraId="0D31EE5A" w14:textId="77777777">
                <w:pPr>
                  <w:jc w:val="center"/>
                  <w:rPr>
                    <w:rFonts w:cs="Calibri"/>
                    <w:color w:val="000000"/>
                    <w:sz w:val="18"/>
                    <w:szCs w:val="18"/>
                  </w:rPr>
                </w:pPr>
                <w:r w:rsidRPr="00BC24BA">
                  <w:rPr>
                    <w:rFonts w:cs="Calibri"/>
                    <w:color w:val="000000"/>
                    <w:sz w:val="18"/>
                    <w:szCs w:val="18"/>
                  </w:rPr>
                  <w:t>-0,7</w:t>
                </w:r>
              </w:p>
            </w:tc>
            <w:tc>
              <w:tcPr>
                <w:tcW w:w="880" w:type="dxa"/>
                <w:tcBorders>
                  <w:top w:val="nil"/>
                  <w:left w:val="nil"/>
                  <w:bottom w:val="nil"/>
                  <w:right w:val="nil"/>
                </w:tcBorders>
                <w:noWrap/>
                <w:vAlign w:val="center"/>
                <w:hideMark/>
              </w:tcPr>
              <w:p w:rsidRPr="00BC24BA" w:rsidR="00CC7724" w:rsidRDefault="00CC7724" w14:paraId="4F91A532" w14:textId="77777777">
                <w:pPr>
                  <w:jc w:val="center"/>
                  <w:rPr>
                    <w:rFonts w:cs="Calibri"/>
                    <w:color w:val="000000"/>
                    <w:sz w:val="18"/>
                    <w:szCs w:val="18"/>
                  </w:rPr>
                </w:pPr>
                <w:r w:rsidRPr="00BC24BA">
                  <w:rPr>
                    <w:rFonts w:cs="Calibri"/>
                    <w:color w:val="000000"/>
                    <w:sz w:val="18"/>
                    <w:szCs w:val="18"/>
                  </w:rPr>
                  <w:t>-2,3</w:t>
                </w:r>
              </w:p>
            </w:tc>
            <w:tc>
              <w:tcPr>
                <w:tcW w:w="880" w:type="dxa"/>
                <w:tcBorders>
                  <w:top w:val="nil"/>
                  <w:left w:val="nil"/>
                  <w:bottom w:val="nil"/>
                  <w:right w:val="nil"/>
                </w:tcBorders>
                <w:noWrap/>
                <w:vAlign w:val="center"/>
                <w:hideMark/>
              </w:tcPr>
              <w:p w:rsidRPr="00BC24BA" w:rsidR="00CC7724" w:rsidRDefault="00CC7724" w14:paraId="217B5957" w14:textId="77777777">
                <w:pPr>
                  <w:jc w:val="center"/>
                  <w:rPr>
                    <w:rFonts w:cs="Calibri"/>
                    <w:color w:val="000000"/>
                    <w:sz w:val="18"/>
                    <w:szCs w:val="18"/>
                  </w:rPr>
                </w:pPr>
                <w:r w:rsidRPr="00BC24BA">
                  <w:rPr>
                    <w:rFonts w:cs="Calibri"/>
                    <w:color w:val="000000"/>
                    <w:sz w:val="18"/>
                    <w:szCs w:val="18"/>
                  </w:rPr>
                  <w:t>0,5</w:t>
                </w:r>
              </w:p>
            </w:tc>
            <w:tc>
              <w:tcPr>
                <w:tcW w:w="880" w:type="dxa"/>
                <w:tcBorders>
                  <w:top w:val="nil"/>
                  <w:left w:val="nil"/>
                  <w:bottom w:val="nil"/>
                  <w:right w:val="nil"/>
                </w:tcBorders>
                <w:noWrap/>
                <w:vAlign w:val="center"/>
                <w:hideMark/>
              </w:tcPr>
              <w:p w:rsidRPr="00BC24BA" w:rsidR="00CC7724" w:rsidRDefault="00CC7724" w14:paraId="141F20D8" w14:textId="77777777">
                <w:pPr>
                  <w:jc w:val="center"/>
                  <w:rPr>
                    <w:rFonts w:cs="Calibri"/>
                    <w:color w:val="000000"/>
                    <w:sz w:val="18"/>
                    <w:szCs w:val="18"/>
                  </w:rPr>
                </w:pPr>
                <w:r w:rsidRPr="00BC24BA">
                  <w:rPr>
                    <w:rFonts w:cs="Calibri"/>
                    <w:color w:val="000000"/>
                    <w:sz w:val="18"/>
                    <w:szCs w:val="18"/>
                  </w:rPr>
                  <w:t>0,6</w:t>
                </w:r>
              </w:p>
            </w:tc>
          </w:tr>
          <w:tr w:rsidRPr="00BC24BA" w:rsidR="00CC7724" w14:paraId="4EE71BB2" w14:textId="77777777">
            <w:trPr>
              <w:trHeight w:val="300"/>
            </w:trPr>
            <w:tc>
              <w:tcPr>
                <w:tcW w:w="4000" w:type="dxa"/>
                <w:tcBorders>
                  <w:top w:val="nil"/>
                  <w:left w:val="nil"/>
                  <w:bottom w:val="nil"/>
                  <w:right w:val="nil"/>
                </w:tcBorders>
                <w:noWrap/>
                <w:vAlign w:val="center"/>
                <w:hideMark/>
              </w:tcPr>
              <w:p w:rsidRPr="00BC24BA" w:rsidR="00CC7724" w:rsidRDefault="00CC7724" w14:paraId="556DBCD2" w14:textId="77777777">
                <w:pPr>
                  <w:jc w:val="center"/>
                  <w:rPr>
                    <w:rFonts w:cs="Calibri"/>
                    <w:color w:val="000000"/>
                    <w:sz w:val="18"/>
                    <w:szCs w:val="18"/>
                  </w:rPr>
                </w:pPr>
              </w:p>
            </w:tc>
            <w:tc>
              <w:tcPr>
                <w:tcW w:w="880" w:type="dxa"/>
                <w:tcBorders>
                  <w:top w:val="nil"/>
                  <w:left w:val="nil"/>
                  <w:bottom w:val="nil"/>
                  <w:right w:val="nil"/>
                </w:tcBorders>
                <w:noWrap/>
                <w:vAlign w:val="center"/>
                <w:hideMark/>
              </w:tcPr>
              <w:p w:rsidRPr="00BC24BA" w:rsidR="00CC7724" w:rsidRDefault="00CC7724" w14:paraId="6DF1B5F4" w14:textId="77777777">
                <w:pP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6CDE4088"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255E9B04"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396DBACD" w14:textId="77777777">
                <w:pPr>
                  <w:jc w:val="center"/>
                  <w:rPr>
                    <w:rFonts w:ascii="Times New Roman" w:hAnsi="Times New Roman"/>
                    <w:sz w:val="20"/>
                    <w:szCs w:val="20"/>
                  </w:rPr>
                </w:pPr>
              </w:p>
            </w:tc>
            <w:tc>
              <w:tcPr>
                <w:tcW w:w="880" w:type="dxa"/>
                <w:tcBorders>
                  <w:top w:val="nil"/>
                  <w:left w:val="nil"/>
                  <w:bottom w:val="nil"/>
                  <w:right w:val="nil"/>
                </w:tcBorders>
                <w:noWrap/>
                <w:vAlign w:val="center"/>
                <w:hideMark/>
              </w:tcPr>
              <w:p w:rsidRPr="00BC24BA" w:rsidR="00CC7724" w:rsidRDefault="00CC7724" w14:paraId="41A415DA" w14:textId="77777777">
                <w:pPr>
                  <w:jc w:val="center"/>
                  <w:rPr>
                    <w:rFonts w:ascii="Times New Roman" w:hAnsi="Times New Roman"/>
                    <w:sz w:val="20"/>
                    <w:szCs w:val="20"/>
                  </w:rPr>
                </w:pPr>
              </w:p>
            </w:tc>
          </w:tr>
          <w:tr w:rsidRPr="00BC24BA" w:rsidR="00CC7724" w14:paraId="14F645A6" w14:textId="77777777">
            <w:trPr>
              <w:trHeight w:val="315"/>
            </w:trPr>
            <w:tc>
              <w:tcPr>
                <w:tcW w:w="4000" w:type="dxa"/>
                <w:tcBorders>
                  <w:top w:val="nil"/>
                  <w:left w:val="nil"/>
                  <w:bottom w:val="single" w:color="auto" w:sz="8" w:space="0"/>
                  <w:right w:val="nil"/>
                </w:tcBorders>
                <w:noWrap/>
                <w:vAlign w:val="center"/>
                <w:hideMark/>
              </w:tcPr>
              <w:p w:rsidRPr="00BC24BA" w:rsidR="00CC7724" w:rsidRDefault="00CC7724" w14:paraId="131E4ACB" w14:textId="77777777">
                <w:pPr>
                  <w:rPr>
                    <w:rFonts w:cs="Calibri"/>
                    <w:color w:val="000000"/>
                    <w:sz w:val="18"/>
                    <w:szCs w:val="18"/>
                  </w:rPr>
                </w:pPr>
                <w:r w:rsidRPr="00BC24BA">
                  <w:rPr>
                    <w:rFonts w:cs="Calibri"/>
                    <w:color w:val="000000"/>
                    <w:sz w:val="18"/>
                    <w:szCs w:val="18"/>
                  </w:rPr>
                  <w:t>Over/onderschrijding raming MEV 2027</w:t>
                </w:r>
              </w:p>
            </w:tc>
            <w:tc>
              <w:tcPr>
                <w:tcW w:w="880" w:type="dxa"/>
                <w:tcBorders>
                  <w:top w:val="nil"/>
                  <w:left w:val="nil"/>
                  <w:bottom w:val="single" w:color="auto" w:sz="8" w:space="0"/>
                  <w:right w:val="nil"/>
                </w:tcBorders>
                <w:noWrap/>
                <w:vAlign w:val="center"/>
                <w:hideMark/>
              </w:tcPr>
              <w:p w:rsidRPr="00BC24BA" w:rsidR="00CC7724" w:rsidRDefault="00CC7724" w14:paraId="0C27FA08" w14:textId="77777777">
                <w:pPr>
                  <w:jc w:val="center"/>
                  <w:rPr>
                    <w:rFonts w:cs="Calibri"/>
                    <w:color w:val="000000"/>
                    <w:sz w:val="18"/>
                    <w:szCs w:val="18"/>
                  </w:rPr>
                </w:pPr>
                <w:r w:rsidRPr="00BC24BA">
                  <w:rPr>
                    <w:rFonts w:cs="Calibri"/>
                    <w:color w:val="000000"/>
                    <w:sz w:val="18"/>
                    <w:szCs w:val="18"/>
                  </w:rPr>
                  <w:t>0,5</w:t>
                </w:r>
              </w:p>
            </w:tc>
            <w:tc>
              <w:tcPr>
                <w:tcW w:w="880" w:type="dxa"/>
                <w:tcBorders>
                  <w:top w:val="nil"/>
                  <w:left w:val="nil"/>
                  <w:bottom w:val="single" w:color="auto" w:sz="8" w:space="0"/>
                  <w:right w:val="nil"/>
                </w:tcBorders>
                <w:noWrap/>
                <w:vAlign w:val="center"/>
                <w:hideMark/>
              </w:tcPr>
              <w:p w:rsidRPr="00BC24BA" w:rsidR="00CC7724" w:rsidRDefault="00CC7724" w14:paraId="74AFC5CB" w14:textId="77777777">
                <w:pPr>
                  <w:jc w:val="center"/>
                  <w:rPr>
                    <w:rFonts w:cs="Calibri"/>
                    <w:color w:val="000000"/>
                    <w:sz w:val="18"/>
                    <w:szCs w:val="18"/>
                  </w:rPr>
                </w:pPr>
                <w:r w:rsidRPr="00BC24BA">
                  <w:rPr>
                    <w:rFonts w:cs="Calibri"/>
                    <w:color w:val="000000"/>
                    <w:sz w:val="18"/>
                    <w:szCs w:val="18"/>
                  </w:rPr>
                  <w:t>-7,2</w:t>
                </w:r>
              </w:p>
            </w:tc>
            <w:tc>
              <w:tcPr>
                <w:tcW w:w="880" w:type="dxa"/>
                <w:tcBorders>
                  <w:top w:val="nil"/>
                  <w:left w:val="nil"/>
                  <w:bottom w:val="single" w:color="auto" w:sz="8" w:space="0"/>
                  <w:right w:val="nil"/>
                </w:tcBorders>
                <w:noWrap/>
                <w:vAlign w:val="center"/>
                <w:hideMark/>
              </w:tcPr>
              <w:p w:rsidRPr="00BC24BA" w:rsidR="00CC7724" w:rsidRDefault="00CC7724" w14:paraId="1643E220" w14:textId="77777777">
                <w:pPr>
                  <w:jc w:val="center"/>
                  <w:rPr>
                    <w:rFonts w:cs="Calibri"/>
                    <w:color w:val="000000"/>
                    <w:sz w:val="18"/>
                    <w:szCs w:val="18"/>
                  </w:rPr>
                </w:pPr>
                <w:r w:rsidRPr="00BC24BA">
                  <w:rPr>
                    <w:rFonts w:cs="Calibri"/>
                    <w:color w:val="000000"/>
                    <w:sz w:val="18"/>
                    <w:szCs w:val="18"/>
                  </w:rPr>
                  <w:t> </w:t>
                </w:r>
              </w:p>
            </w:tc>
            <w:tc>
              <w:tcPr>
                <w:tcW w:w="880" w:type="dxa"/>
                <w:tcBorders>
                  <w:top w:val="nil"/>
                  <w:left w:val="nil"/>
                  <w:bottom w:val="single" w:color="auto" w:sz="8" w:space="0"/>
                  <w:right w:val="nil"/>
                </w:tcBorders>
                <w:noWrap/>
                <w:vAlign w:val="center"/>
                <w:hideMark/>
              </w:tcPr>
              <w:p w:rsidRPr="00BC24BA" w:rsidR="00CC7724" w:rsidRDefault="00CC7724" w14:paraId="4546B653" w14:textId="77777777">
                <w:pPr>
                  <w:jc w:val="center"/>
                  <w:rPr>
                    <w:rFonts w:cs="Calibri"/>
                    <w:color w:val="000000"/>
                    <w:sz w:val="18"/>
                    <w:szCs w:val="18"/>
                  </w:rPr>
                </w:pPr>
                <w:r w:rsidRPr="00BC24BA">
                  <w:rPr>
                    <w:rFonts w:cs="Calibri"/>
                    <w:color w:val="000000"/>
                    <w:sz w:val="18"/>
                    <w:szCs w:val="18"/>
                  </w:rPr>
                  <w:t> </w:t>
                </w:r>
              </w:p>
            </w:tc>
            <w:tc>
              <w:tcPr>
                <w:tcW w:w="880" w:type="dxa"/>
                <w:tcBorders>
                  <w:top w:val="nil"/>
                  <w:left w:val="nil"/>
                  <w:bottom w:val="single" w:color="auto" w:sz="8" w:space="0"/>
                  <w:right w:val="nil"/>
                </w:tcBorders>
                <w:noWrap/>
                <w:vAlign w:val="center"/>
                <w:hideMark/>
              </w:tcPr>
              <w:p w:rsidRPr="00BC24BA" w:rsidR="00CC7724" w:rsidRDefault="00CC7724" w14:paraId="44CD59AE" w14:textId="77777777">
                <w:pPr>
                  <w:jc w:val="center"/>
                  <w:rPr>
                    <w:rFonts w:cs="Calibri"/>
                    <w:color w:val="000000"/>
                    <w:sz w:val="18"/>
                    <w:szCs w:val="18"/>
                  </w:rPr>
                </w:pPr>
                <w:r w:rsidRPr="00BC24BA">
                  <w:rPr>
                    <w:rFonts w:cs="Calibri"/>
                    <w:color w:val="000000"/>
                    <w:sz w:val="18"/>
                    <w:szCs w:val="18"/>
                  </w:rPr>
                  <w:t> </w:t>
                </w:r>
              </w:p>
            </w:tc>
          </w:tr>
          <w:tr w:rsidRPr="00BC24BA" w:rsidR="00CC7724" w14:paraId="4FD8DCD5" w14:textId="77777777">
            <w:trPr>
              <w:trHeight w:val="780"/>
            </w:trPr>
            <w:tc>
              <w:tcPr>
                <w:tcW w:w="8400" w:type="dxa"/>
                <w:gridSpan w:val="6"/>
                <w:tcBorders>
                  <w:top w:val="single" w:color="auto" w:sz="8" w:space="0"/>
                  <w:left w:val="nil"/>
                  <w:bottom w:val="nil"/>
                  <w:right w:val="nil"/>
                </w:tcBorders>
                <w:vAlign w:val="center"/>
                <w:hideMark/>
              </w:tcPr>
              <w:p w:rsidRPr="00BC24BA" w:rsidR="00CC7724" w:rsidRDefault="00CC7724" w14:paraId="46DAB830" w14:textId="77777777">
                <w:pPr>
                  <w:rPr>
                    <w:rFonts w:cs="Calibri"/>
                    <w:i/>
                    <w:iCs/>
                    <w:color w:val="000000"/>
                    <w:sz w:val="18"/>
                    <w:szCs w:val="18"/>
                  </w:rPr>
                </w:pPr>
                <w:r w:rsidRPr="00BC24BA">
                  <w:rPr>
                    <w:rFonts w:cs="Calibri"/>
                    <w:i/>
                    <w:iCs/>
                    <w:color w:val="000000"/>
                    <w:sz w:val="18"/>
                    <w:szCs w:val="18"/>
                  </w:rPr>
                  <w:t xml:space="preserve">* Deze post bestaat uit de bijstelling van het kader op grond van de relevante loon- en prijsontwikkelingen en de bijstelling van het gemeente- en provinciefonds (regel 4 en regel 5 uit de Tabel Kadertoets uitgaven in de Miljoenennota 2027). </w:t>
                </w:r>
              </w:p>
            </w:tc>
          </w:tr>
          <w:tr w:rsidRPr="00BC24BA" w:rsidR="00CC7724" w14:paraId="103BD807" w14:textId="77777777">
            <w:trPr>
              <w:trHeight w:val="840"/>
            </w:trPr>
            <w:tc>
              <w:tcPr>
                <w:tcW w:w="8400" w:type="dxa"/>
                <w:gridSpan w:val="6"/>
                <w:tcBorders>
                  <w:top w:val="nil"/>
                  <w:left w:val="nil"/>
                  <w:bottom w:val="nil"/>
                  <w:right w:val="nil"/>
                </w:tcBorders>
                <w:vAlign w:val="center"/>
                <w:hideMark/>
              </w:tcPr>
              <w:p w:rsidRPr="00BC24BA" w:rsidR="00CC7724" w:rsidRDefault="00CC7724" w14:paraId="4D9CB796" w14:textId="77777777">
                <w:pPr>
                  <w:rPr>
                    <w:rFonts w:cs="Calibri"/>
                    <w:i/>
                    <w:iCs/>
                    <w:color w:val="000000"/>
                    <w:sz w:val="18"/>
                    <w:szCs w:val="18"/>
                  </w:rPr>
                </w:pPr>
                <w:r w:rsidRPr="00BC24BA">
                  <w:rPr>
                    <w:rFonts w:cs="Calibri"/>
                    <w:i/>
                    <w:iCs/>
                    <w:color w:val="000000"/>
                    <w:sz w:val="18"/>
                    <w:szCs w:val="18"/>
                  </w:rPr>
                  <w:t xml:space="preserve">Bron: Ministerie van Financiën, Miljoenennota 2027 en CPB, MEV 2027. Een - bij de regel over/onderschrijding houdt in dat de geraamde overheidsuitgaven naar verwachting lager uitkomen dan het uitgavenkader. </w:t>
                </w:r>
              </w:p>
            </w:tc>
          </w:tr>
        </w:tbl>
        <w:p w:rsidR="00CC7724" w:rsidP="00CC7724" w:rsidRDefault="00CC7724" w14:paraId="62DB328C" w14:textId="77777777">
          <w:pPr>
            <w:rPr>
              <w:b/>
            </w:rPr>
          </w:pPr>
        </w:p>
        <w:p w:rsidR="00CC7724" w:rsidP="00CC7724" w:rsidRDefault="00CC7724" w14:paraId="0E2F12EF" w14:textId="77777777">
          <w:pPr>
            <w:rPr>
              <w:b/>
            </w:rPr>
          </w:pPr>
          <w:r>
            <w:rPr>
              <w:b/>
            </w:rPr>
            <w:t>Tabel D.4. Inkomstenkader Miljoenennota 2027</w:t>
          </w:r>
        </w:p>
        <w:tbl>
          <w:tblPr>
            <w:tblW w:w="6880" w:type="dxa"/>
            <w:tblCellMar>
              <w:left w:w="70" w:type="dxa"/>
              <w:right w:w="70" w:type="dxa"/>
            </w:tblCellMar>
            <w:tblLook w:val="04A0" w:firstRow="1" w:lastRow="0" w:firstColumn="1" w:lastColumn="0" w:noHBand="0" w:noVBand="1"/>
          </w:tblPr>
          <w:tblGrid>
            <w:gridCol w:w="2080"/>
            <w:gridCol w:w="960"/>
            <w:gridCol w:w="960"/>
            <w:gridCol w:w="960"/>
            <w:gridCol w:w="960"/>
            <w:gridCol w:w="960"/>
          </w:tblGrid>
          <w:tr w:rsidRPr="001B067C" w:rsidR="00CC7724" w14:paraId="3A0550CF" w14:textId="77777777">
            <w:trPr>
              <w:trHeight w:val="240"/>
            </w:trPr>
            <w:tc>
              <w:tcPr>
                <w:tcW w:w="2080" w:type="dxa"/>
                <w:tcBorders>
                  <w:top w:val="single" w:color="auto" w:sz="8" w:space="0"/>
                  <w:left w:val="nil"/>
                  <w:bottom w:val="single" w:color="auto" w:sz="4" w:space="0"/>
                  <w:right w:val="nil"/>
                </w:tcBorders>
                <w:noWrap/>
                <w:vAlign w:val="center"/>
                <w:hideMark/>
              </w:tcPr>
              <w:p w:rsidRPr="001B067C" w:rsidR="00CC7724" w:rsidRDefault="00CC7724" w14:paraId="3EF607C8" w14:textId="77777777">
                <w:pPr>
                  <w:rPr>
                    <w:rFonts w:cs="Calibri"/>
                    <w:b/>
                    <w:bCs/>
                    <w:color w:val="000000"/>
                    <w:sz w:val="18"/>
                    <w:szCs w:val="18"/>
                  </w:rPr>
                </w:pPr>
                <w:r w:rsidRPr="001B067C">
                  <w:rPr>
                    <w:rFonts w:cs="Calibri"/>
                    <w:b/>
                    <w:bCs/>
                    <w:color w:val="000000"/>
                    <w:sz w:val="18"/>
                    <w:szCs w:val="18"/>
                  </w:rPr>
                  <w:t xml:space="preserve">(in miljarden </w:t>
                </w:r>
                <w:proofErr w:type="spellStart"/>
                <w:r w:rsidRPr="001B067C">
                  <w:rPr>
                    <w:rFonts w:cs="Calibri"/>
                    <w:b/>
                    <w:bCs/>
                    <w:color w:val="000000"/>
                    <w:sz w:val="18"/>
                    <w:szCs w:val="18"/>
                  </w:rPr>
                  <w:t>euros</w:t>
                </w:r>
                <w:proofErr w:type="spellEnd"/>
                <w:r w:rsidRPr="001B067C">
                  <w:rPr>
                    <w:rFonts w:cs="Calibri"/>
                    <w:b/>
                    <w:bCs/>
                    <w:color w:val="000000"/>
                    <w:sz w:val="18"/>
                    <w:szCs w:val="18"/>
                  </w:rPr>
                  <w:t>)</w:t>
                </w:r>
              </w:p>
            </w:tc>
            <w:tc>
              <w:tcPr>
                <w:tcW w:w="960" w:type="dxa"/>
                <w:tcBorders>
                  <w:top w:val="single" w:color="auto" w:sz="8" w:space="0"/>
                  <w:left w:val="nil"/>
                  <w:bottom w:val="single" w:color="auto" w:sz="4" w:space="0"/>
                  <w:right w:val="nil"/>
                </w:tcBorders>
                <w:noWrap/>
                <w:vAlign w:val="center"/>
                <w:hideMark/>
              </w:tcPr>
              <w:p w:rsidRPr="001B067C" w:rsidR="00CC7724" w:rsidRDefault="00CC7724" w14:paraId="7F955CE4" w14:textId="77777777">
                <w:pPr>
                  <w:jc w:val="center"/>
                  <w:rPr>
                    <w:rFonts w:cs="Calibri"/>
                    <w:b/>
                    <w:bCs/>
                    <w:color w:val="000000"/>
                    <w:sz w:val="18"/>
                    <w:szCs w:val="18"/>
                  </w:rPr>
                </w:pPr>
                <w:r w:rsidRPr="001B067C">
                  <w:rPr>
                    <w:rFonts w:cs="Calibri"/>
                    <w:b/>
                    <w:bCs/>
                    <w:color w:val="000000"/>
                    <w:sz w:val="18"/>
                    <w:szCs w:val="18"/>
                  </w:rPr>
                  <w:t>2026</w:t>
                </w:r>
              </w:p>
            </w:tc>
            <w:tc>
              <w:tcPr>
                <w:tcW w:w="960" w:type="dxa"/>
                <w:tcBorders>
                  <w:top w:val="single" w:color="auto" w:sz="8" w:space="0"/>
                  <w:left w:val="nil"/>
                  <w:bottom w:val="single" w:color="auto" w:sz="4" w:space="0"/>
                  <w:right w:val="nil"/>
                </w:tcBorders>
                <w:noWrap/>
                <w:vAlign w:val="center"/>
                <w:hideMark/>
              </w:tcPr>
              <w:p w:rsidRPr="001B067C" w:rsidR="00CC7724" w:rsidRDefault="00CC7724" w14:paraId="2019A3D8" w14:textId="77777777">
                <w:pPr>
                  <w:jc w:val="center"/>
                  <w:rPr>
                    <w:rFonts w:cs="Calibri"/>
                    <w:b/>
                    <w:bCs/>
                    <w:color w:val="000000"/>
                    <w:sz w:val="18"/>
                    <w:szCs w:val="18"/>
                  </w:rPr>
                </w:pPr>
                <w:r w:rsidRPr="001B067C">
                  <w:rPr>
                    <w:rFonts w:cs="Calibri"/>
                    <w:b/>
                    <w:bCs/>
                    <w:color w:val="000000"/>
                    <w:sz w:val="18"/>
                    <w:szCs w:val="18"/>
                  </w:rPr>
                  <w:t>2027</w:t>
                </w:r>
              </w:p>
            </w:tc>
            <w:tc>
              <w:tcPr>
                <w:tcW w:w="960" w:type="dxa"/>
                <w:tcBorders>
                  <w:top w:val="single" w:color="auto" w:sz="8" w:space="0"/>
                  <w:left w:val="nil"/>
                  <w:bottom w:val="single" w:color="auto" w:sz="4" w:space="0"/>
                  <w:right w:val="nil"/>
                </w:tcBorders>
                <w:noWrap/>
                <w:vAlign w:val="center"/>
                <w:hideMark/>
              </w:tcPr>
              <w:p w:rsidRPr="001B067C" w:rsidR="00CC7724" w:rsidRDefault="00CC7724" w14:paraId="12AF699E" w14:textId="77777777">
                <w:pPr>
                  <w:jc w:val="center"/>
                  <w:rPr>
                    <w:rFonts w:cs="Calibri"/>
                    <w:b/>
                    <w:bCs/>
                    <w:color w:val="000000"/>
                    <w:sz w:val="18"/>
                    <w:szCs w:val="18"/>
                  </w:rPr>
                </w:pPr>
                <w:r w:rsidRPr="001B067C">
                  <w:rPr>
                    <w:rFonts w:cs="Calibri"/>
                    <w:b/>
                    <w:bCs/>
                    <w:color w:val="000000"/>
                    <w:sz w:val="18"/>
                    <w:szCs w:val="18"/>
                  </w:rPr>
                  <w:t>2028</w:t>
                </w:r>
              </w:p>
            </w:tc>
            <w:tc>
              <w:tcPr>
                <w:tcW w:w="960" w:type="dxa"/>
                <w:tcBorders>
                  <w:top w:val="single" w:color="auto" w:sz="8" w:space="0"/>
                  <w:left w:val="nil"/>
                  <w:bottom w:val="single" w:color="auto" w:sz="4" w:space="0"/>
                  <w:right w:val="nil"/>
                </w:tcBorders>
                <w:noWrap/>
                <w:vAlign w:val="center"/>
                <w:hideMark/>
              </w:tcPr>
              <w:p w:rsidRPr="001B067C" w:rsidR="00CC7724" w:rsidRDefault="00CC7724" w14:paraId="6E738533" w14:textId="77777777">
                <w:pPr>
                  <w:jc w:val="center"/>
                  <w:rPr>
                    <w:rFonts w:cs="Calibri"/>
                    <w:b/>
                    <w:bCs/>
                    <w:color w:val="000000"/>
                    <w:sz w:val="18"/>
                    <w:szCs w:val="18"/>
                  </w:rPr>
                </w:pPr>
                <w:r w:rsidRPr="001B067C">
                  <w:rPr>
                    <w:rFonts w:cs="Calibri"/>
                    <w:b/>
                    <w:bCs/>
                    <w:color w:val="000000"/>
                    <w:sz w:val="18"/>
                    <w:szCs w:val="18"/>
                  </w:rPr>
                  <w:t>2029</w:t>
                </w:r>
              </w:p>
            </w:tc>
            <w:tc>
              <w:tcPr>
                <w:tcW w:w="960" w:type="dxa"/>
                <w:tcBorders>
                  <w:top w:val="single" w:color="auto" w:sz="8" w:space="0"/>
                  <w:left w:val="nil"/>
                  <w:bottom w:val="single" w:color="auto" w:sz="4" w:space="0"/>
                  <w:right w:val="nil"/>
                </w:tcBorders>
                <w:noWrap/>
                <w:vAlign w:val="center"/>
                <w:hideMark/>
              </w:tcPr>
              <w:p w:rsidRPr="001B067C" w:rsidR="00CC7724" w:rsidRDefault="00CC7724" w14:paraId="60C9D536" w14:textId="77777777">
                <w:pPr>
                  <w:jc w:val="center"/>
                  <w:rPr>
                    <w:rFonts w:cs="Calibri"/>
                    <w:b/>
                    <w:bCs/>
                    <w:color w:val="000000"/>
                    <w:sz w:val="18"/>
                    <w:szCs w:val="18"/>
                  </w:rPr>
                </w:pPr>
                <w:r w:rsidRPr="001B067C">
                  <w:rPr>
                    <w:rFonts w:cs="Calibri"/>
                    <w:b/>
                    <w:bCs/>
                    <w:color w:val="000000"/>
                    <w:sz w:val="18"/>
                    <w:szCs w:val="18"/>
                  </w:rPr>
                  <w:t>2030</w:t>
                </w:r>
              </w:p>
            </w:tc>
          </w:tr>
          <w:tr w:rsidRPr="001B067C" w:rsidR="00CC7724" w14:paraId="2BA3F27A" w14:textId="77777777">
            <w:trPr>
              <w:trHeight w:val="240"/>
            </w:trPr>
            <w:tc>
              <w:tcPr>
                <w:tcW w:w="3040" w:type="dxa"/>
                <w:gridSpan w:val="2"/>
                <w:tcBorders>
                  <w:top w:val="single" w:color="auto" w:sz="4" w:space="0"/>
                  <w:left w:val="nil"/>
                  <w:bottom w:val="nil"/>
                  <w:right w:val="nil"/>
                </w:tcBorders>
                <w:noWrap/>
                <w:vAlign w:val="center"/>
                <w:hideMark/>
              </w:tcPr>
              <w:p w:rsidRPr="001B067C" w:rsidR="00CC7724" w:rsidRDefault="00CC7724" w14:paraId="78F9E705" w14:textId="77777777">
                <w:pPr>
                  <w:rPr>
                    <w:rFonts w:cs="Calibri"/>
                    <w:color w:val="000000"/>
                    <w:sz w:val="18"/>
                    <w:szCs w:val="18"/>
                  </w:rPr>
                </w:pPr>
                <w:r w:rsidRPr="001B067C">
                  <w:rPr>
                    <w:rFonts w:cs="Calibri"/>
                    <w:color w:val="000000"/>
                    <w:sz w:val="18"/>
                    <w:szCs w:val="18"/>
                  </w:rPr>
                  <w:t>(- = saldoverslechtering)</w:t>
                </w:r>
              </w:p>
            </w:tc>
            <w:tc>
              <w:tcPr>
                <w:tcW w:w="960" w:type="dxa"/>
                <w:tcBorders>
                  <w:top w:val="nil"/>
                  <w:left w:val="nil"/>
                  <w:bottom w:val="nil"/>
                  <w:right w:val="nil"/>
                </w:tcBorders>
                <w:noWrap/>
                <w:vAlign w:val="center"/>
                <w:hideMark/>
              </w:tcPr>
              <w:p w:rsidRPr="001B067C" w:rsidR="00CC7724" w:rsidRDefault="00CC7724" w14:paraId="26209225" w14:textId="77777777">
                <w:pPr>
                  <w:jc w:val="center"/>
                  <w:rPr>
                    <w:rFonts w:cs="Calibri"/>
                    <w:color w:val="000000"/>
                    <w:sz w:val="18"/>
                    <w:szCs w:val="18"/>
                  </w:rPr>
                </w:pPr>
                <w:r w:rsidRPr="001B067C">
                  <w:rPr>
                    <w:rFonts w:cs="Calibri"/>
                    <w:color w:val="000000"/>
                    <w:sz w:val="18"/>
                    <w:szCs w:val="18"/>
                  </w:rPr>
                  <w:t> </w:t>
                </w:r>
              </w:p>
            </w:tc>
            <w:tc>
              <w:tcPr>
                <w:tcW w:w="960" w:type="dxa"/>
                <w:tcBorders>
                  <w:top w:val="nil"/>
                  <w:left w:val="nil"/>
                  <w:bottom w:val="nil"/>
                  <w:right w:val="nil"/>
                </w:tcBorders>
                <w:noWrap/>
                <w:vAlign w:val="center"/>
                <w:hideMark/>
              </w:tcPr>
              <w:p w:rsidRPr="001B067C" w:rsidR="00CC7724" w:rsidRDefault="00CC7724" w14:paraId="4A935B80" w14:textId="77777777">
                <w:pPr>
                  <w:jc w:val="center"/>
                  <w:rPr>
                    <w:rFonts w:cs="Calibri"/>
                    <w:color w:val="000000"/>
                    <w:sz w:val="18"/>
                    <w:szCs w:val="18"/>
                  </w:rPr>
                </w:pPr>
                <w:r w:rsidRPr="001B067C">
                  <w:rPr>
                    <w:rFonts w:cs="Calibri"/>
                    <w:color w:val="000000"/>
                    <w:sz w:val="18"/>
                    <w:szCs w:val="18"/>
                  </w:rPr>
                  <w:t> </w:t>
                </w:r>
              </w:p>
            </w:tc>
            <w:tc>
              <w:tcPr>
                <w:tcW w:w="960" w:type="dxa"/>
                <w:tcBorders>
                  <w:top w:val="nil"/>
                  <w:left w:val="nil"/>
                  <w:bottom w:val="nil"/>
                  <w:right w:val="nil"/>
                </w:tcBorders>
                <w:noWrap/>
                <w:vAlign w:val="center"/>
                <w:hideMark/>
              </w:tcPr>
              <w:p w:rsidRPr="001B067C" w:rsidR="00CC7724" w:rsidRDefault="00CC7724" w14:paraId="122A10F9" w14:textId="77777777">
                <w:pPr>
                  <w:jc w:val="center"/>
                  <w:rPr>
                    <w:rFonts w:cs="Calibri"/>
                    <w:color w:val="000000"/>
                    <w:sz w:val="18"/>
                    <w:szCs w:val="18"/>
                  </w:rPr>
                </w:pPr>
                <w:r w:rsidRPr="001B067C">
                  <w:rPr>
                    <w:rFonts w:cs="Calibri"/>
                    <w:color w:val="000000"/>
                    <w:sz w:val="18"/>
                    <w:szCs w:val="18"/>
                  </w:rPr>
                  <w:t> </w:t>
                </w:r>
              </w:p>
            </w:tc>
            <w:tc>
              <w:tcPr>
                <w:tcW w:w="960" w:type="dxa"/>
                <w:tcBorders>
                  <w:top w:val="nil"/>
                  <w:left w:val="nil"/>
                  <w:bottom w:val="nil"/>
                  <w:right w:val="nil"/>
                </w:tcBorders>
                <w:noWrap/>
                <w:vAlign w:val="center"/>
                <w:hideMark/>
              </w:tcPr>
              <w:p w:rsidRPr="001B067C" w:rsidR="00CC7724" w:rsidRDefault="00CC7724" w14:paraId="72D9E144" w14:textId="77777777">
                <w:pPr>
                  <w:jc w:val="center"/>
                  <w:rPr>
                    <w:rFonts w:cs="Calibri"/>
                    <w:color w:val="000000"/>
                    <w:sz w:val="18"/>
                    <w:szCs w:val="18"/>
                  </w:rPr>
                </w:pPr>
                <w:r w:rsidRPr="001B067C">
                  <w:rPr>
                    <w:rFonts w:cs="Calibri"/>
                    <w:color w:val="000000"/>
                    <w:sz w:val="18"/>
                    <w:szCs w:val="18"/>
                  </w:rPr>
                  <w:t> </w:t>
                </w:r>
              </w:p>
            </w:tc>
          </w:tr>
          <w:tr w:rsidRPr="001B067C" w:rsidR="00CC7724" w14:paraId="088D9A2B" w14:textId="77777777">
            <w:trPr>
              <w:trHeight w:val="315"/>
            </w:trPr>
            <w:tc>
              <w:tcPr>
                <w:tcW w:w="2080" w:type="dxa"/>
                <w:tcBorders>
                  <w:top w:val="nil"/>
                  <w:left w:val="nil"/>
                  <w:bottom w:val="nil"/>
                  <w:right w:val="nil"/>
                </w:tcBorders>
                <w:noWrap/>
                <w:vAlign w:val="center"/>
                <w:hideMark/>
              </w:tcPr>
              <w:p w:rsidRPr="001B067C" w:rsidR="00CC7724" w:rsidRDefault="00CC7724" w14:paraId="4B9A0710" w14:textId="77777777">
                <w:pPr>
                  <w:rPr>
                    <w:rFonts w:cs="Calibri"/>
                    <w:color w:val="000000"/>
                    <w:sz w:val="18"/>
                    <w:szCs w:val="18"/>
                  </w:rPr>
                </w:pPr>
                <w:r w:rsidRPr="001B067C">
                  <w:rPr>
                    <w:rFonts w:cs="Calibri"/>
                    <w:color w:val="000000"/>
                    <w:sz w:val="18"/>
                    <w:szCs w:val="18"/>
                  </w:rPr>
                  <w:t>Miljoenennota 2027</w:t>
                </w:r>
              </w:p>
            </w:tc>
            <w:tc>
              <w:tcPr>
                <w:tcW w:w="960" w:type="dxa"/>
                <w:tcBorders>
                  <w:top w:val="nil"/>
                  <w:left w:val="nil"/>
                  <w:bottom w:val="nil"/>
                  <w:right w:val="nil"/>
                </w:tcBorders>
                <w:noWrap/>
                <w:vAlign w:val="center"/>
                <w:hideMark/>
              </w:tcPr>
              <w:p w:rsidRPr="001B067C" w:rsidR="00CC7724" w:rsidRDefault="00CC7724" w14:paraId="6F0DDB5C" w14:textId="77777777">
                <w:pPr>
                  <w:jc w:val="center"/>
                  <w:rPr>
                    <w:rFonts w:cs="Calibri"/>
                    <w:color w:val="000000"/>
                    <w:sz w:val="18"/>
                    <w:szCs w:val="18"/>
                  </w:rPr>
                </w:pPr>
                <w:r w:rsidRPr="001B067C">
                  <w:rPr>
                    <w:rFonts w:cs="Calibri"/>
                    <w:color w:val="000000"/>
                    <w:sz w:val="18"/>
                    <w:szCs w:val="18"/>
                  </w:rPr>
                  <w:t>-0,364</w:t>
                </w:r>
              </w:p>
            </w:tc>
            <w:tc>
              <w:tcPr>
                <w:tcW w:w="960" w:type="dxa"/>
                <w:tcBorders>
                  <w:top w:val="nil"/>
                  <w:left w:val="nil"/>
                  <w:bottom w:val="nil"/>
                  <w:right w:val="nil"/>
                </w:tcBorders>
                <w:noWrap/>
                <w:vAlign w:val="center"/>
                <w:hideMark/>
              </w:tcPr>
              <w:p w:rsidRPr="001B067C" w:rsidR="00CC7724" w:rsidRDefault="00CC7724" w14:paraId="01A53D81" w14:textId="77777777">
                <w:pPr>
                  <w:jc w:val="center"/>
                  <w:rPr>
                    <w:rFonts w:cs="Calibri"/>
                    <w:color w:val="000000"/>
                    <w:sz w:val="18"/>
                    <w:szCs w:val="18"/>
                  </w:rPr>
                </w:pPr>
                <w:r w:rsidRPr="001B067C">
                  <w:rPr>
                    <w:rFonts w:cs="Calibri"/>
                    <w:color w:val="000000"/>
                    <w:sz w:val="18"/>
                    <w:szCs w:val="18"/>
                  </w:rPr>
                  <w:t>0,291</w:t>
                </w:r>
              </w:p>
            </w:tc>
            <w:tc>
              <w:tcPr>
                <w:tcW w:w="960" w:type="dxa"/>
                <w:tcBorders>
                  <w:top w:val="nil"/>
                  <w:left w:val="nil"/>
                  <w:bottom w:val="nil"/>
                  <w:right w:val="nil"/>
                </w:tcBorders>
                <w:noWrap/>
                <w:vAlign w:val="center"/>
                <w:hideMark/>
              </w:tcPr>
              <w:p w:rsidRPr="001B067C" w:rsidR="00CC7724" w:rsidRDefault="00CC7724" w14:paraId="3B3532B0" w14:textId="77777777">
                <w:pPr>
                  <w:jc w:val="center"/>
                  <w:rPr>
                    <w:rFonts w:cs="Calibri"/>
                    <w:color w:val="000000"/>
                    <w:sz w:val="18"/>
                    <w:szCs w:val="18"/>
                  </w:rPr>
                </w:pPr>
                <w:r w:rsidRPr="001B067C">
                  <w:rPr>
                    <w:rFonts w:cs="Calibri"/>
                    <w:color w:val="000000"/>
                    <w:sz w:val="18"/>
                    <w:szCs w:val="18"/>
                  </w:rPr>
                  <w:t>-1,467</w:t>
                </w:r>
              </w:p>
            </w:tc>
            <w:tc>
              <w:tcPr>
                <w:tcW w:w="960" w:type="dxa"/>
                <w:tcBorders>
                  <w:top w:val="nil"/>
                  <w:left w:val="nil"/>
                  <w:bottom w:val="nil"/>
                  <w:right w:val="nil"/>
                </w:tcBorders>
                <w:noWrap/>
                <w:vAlign w:val="center"/>
                <w:hideMark/>
              </w:tcPr>
              <w:p w:rsidRPr="001B067C" w:rsidR="00CC7724" w:rsidRDefault="00CC7724" w14:paraId="02E665F4" w14:textId="77777777">
                <w:pPr>
                  <w:jc w:val="center"/>
                  <w:rPr>
                    <w:rFonts w:cs="Calibri"/>
                    <w:color w:val="000000"/>
                    <w:sz w:val="18"/>
                    <w:szCs w:val="18"/>
                  </w:rPr>
                </w:pPr>
                <w:r w:rsidRPr="001B067C">
                  <w:rPr>
                    <w:rFonts w:cs="Calibri"/>
                    <w:color w:val="000000"/>
                    <w:sz w:val="18"/>
                    <w:szCs w:val="18"/>
                  </w:rPr>
                  <w:t>-0,77</w:t>
                </w:r>
              </w:p>
            </w:tc>
            <w:tc>
              <w:tcPr>
                <w:tcW w:w="960" w:type="dxa"/>
                <w:tcBorders>
                  <w:top w:val="nil"/>
                  <w:left w:val="nil"/>
                  <w:bottom w:val="nil"/>
                  <w:right w:val="nil"/>
                </w:tcBorders>
                <w:noWrap/>
                <w:vAlign w:val="center"/>
                <w:hideMark/>
              </w:tcPr>
              <w:p w:rsidRPr="001B067C" w:rsidR="00CC7724" w:rsidRDefault="00CC7724" w14:paraId="5BE202AD" w14:textId="77777777">
                <w:pPr>
                  <w:jc w:val="center"/>
                  <w:rPr>
                    <w:rFonts w:cs="Calibri"/>
                    <w:color w:val="000000"/>
                    <w:sz w:val="18"/>
                    <w:szCs w:val="18"/>
                  </w:rPr>
                </w:pPr>
                <w:r w:rsidRPr="001B067C">
                  <w:rPr>
                    <w:rFonts w:cs="Calibri"/>
                    <w:color w:val="000000"/>
                    <w:sz w:val="18"/>
                    <w:szCs w:val="18"/>
                  </w:rPr>
                  <w:t>-0,32</w:t>
                </w:r>
              </w:p>
            </w:tc>
          </w:tr>
          <w:tr w:rsidRPr="001B067C" w:rsidR="00CC7724" w14:paraId="7C88DF5B" w14:textId="77777777">
            <w:trPr>
              <w:trHeight w:val="315"/>
            </w:trPr>
            <w:tc>
              <w:tcPr>
                <w:tcW w:w="2080" w:type="dxa"/>
                <w:tcBorders>
                  <w:top w:val="nil"/>
                  <w:left w:val="nil"/>
                  <w:bottom w:val="nil"/>
                  <w:right w:val="nil"/>
                </w:tcBorders>
                <w:noWrap/>
                <w:vAlign w:val="center"/>
                <w:hideMark/>
              </w:tcPr>
              <w:p w:rsidRPr="001B067C" w:rsidR="00CC7724" w:rsidRDefault="00CC7724" w14:paraId="3B601CA4" w14:textId="77777777">
                <w:pPr>
                  <w:rPr>
                    <w:rFonts w:cs="Calibri"/>
                    <w:color w:val="000000"/>
                    <w:sz w:val="18"/>
                    <w:szCs w:val="18"/>
                  </w:rPr>
                </w:pPr>
                <w:r w:rsidRPr="001B067C">
                  <w:rPr>
                    <w:rFonts w:cs="Calibri"/>
                    <w:color w:val="000000"/>
                    <w:sz w:val="18"/>
                    <w:szCs w:val="18"/>
                  </w:rPr>
                  <w:t>MEV 2027</w:t>
                </w:r>
              </w:p>
            </w:tc>
            <w:tc>
              <w:tcPr>
                <w:tcW w:w="960" w:type="dxa"/>
                <w:tcBorders>
                  <w:top w:val="nil"/>
                  <w:left w:val="nil"/>
                  <w:bottom w:val="nil"/>
                  <w:right w:val="nil"/>
                </w:tcBorders>
                <w:noWrap/>
                <w:vAlign w:val="center"/>
                <w:hideMark/>
              </w:tcPr>
              <w:p w:rsidRPr="001B067C" w:rsidR="00CC7724" w:rsidRDefault="00CC7724" w14:paraId="7137A22E" w14:textId="77777777">
                <w:pPr>
                  <w:jc w:val="center"/>
                  <w:rPr>
                    <w:rFonts w:cs="Calibri"/>
                    <w:color w:val="000000"/>
                    <w:sz w:val="18"/>
                    <w:szCs w:val="18"/>
                  </w:rPr>
                </w:pPr>
                <w:r w:rsidRPr="001B067C">
                  <w:rPr>
                    <w:rFonts w:cs="Calibri"/>
                    <w:color w:val="000000"/>
                    <w:sz w:val="18"/>
                    <w:szCs w:val="18"/>
                  </w:rPr>
                  <w:t>-0,4</w:t>
                </w:r>
              </w:p>
            </w:tc>
            <w:tc>
              <w:tcPr>
                <w:tcW w:w="960" w:type="dxa"/>
                <w:tcBorders>
                  <w:top w:val="nil"/>
                  <w:left w:val="nil"/>
                  <w:bottom w:val="nil"/>
                  <w:right w:val="nil"/>
                </w:tcBorders>
                <w:noWrap/>
                <w:vAlign w:val="center"/>
                <w:hideMark/>
              </w:tcPr>
              <w:p w:rsidRPr="001B067C" w:rsidR="00CC7724" w:rsidRDefault="00CC7724" w14:paraId="7E55C069" w14:textId="77777777">
                <w:pPr>
                  <w:jc w:val="center"/>
                  <w:rPr>
                    <w:rFonts w:cs="Calibri"/>
                    <w:color w:val="000000"/>
                    <w:sz w:val="18"/>
                    <w:szCs w:val="18"/>
                  </w:rPr>
                </w:pPr>
                <w:r w:rsidRPr="001B067C">
                  <w:rPr>
                    <w:rFonts w:cs="Calibri"/>
                    <w:color w:val="000000"/>
                    <w:sz w:val="18"/>
                    <w:szCs w:val="18"/>
                  </w:rPr>
                  <w:t>0,3</w:t>
                </w:r>
              </w:p>
            </w:tc>
            <w:tc>
              <w:tcPr>
                <w:tcW w:w="960" w:type="dxa"/>
                <w:tcBorders>
                  <w:top w:val="nil"/>
                  <w:left w:val="nil"/>
                  <w:bottom w:val="nil"/>
                  <w:right w:val="nil"/>
                </w:tcBorders>
                <w:noWrap/>
                <w:vAlign w:val="center"/>
                <w:hideMark/>
              </w:tcPr>
              <w:p w:rsidRPr="001B067C" w:rsidR="00CC7724" w:rsidRDefault="00CC7724" w14:paraId="3AC3662B" w14:textId="77777777">
                <w:pPr>
                  <w:jc w:val="center"/>
                  <w:rPr>
                    <w:rFonts w:cs="Calibri"/>
                    <w:color w:val="000000"/>
                    <w:sz w:val="18"/>
                    <w:szCs w:val="18"/>
                  </w:rPr>
                </w:pPr>
              </w:p>
            </w:tc>
            <w:tc>
              <w:tcPr>
                <w:tcW w:w="960" w:type="dxa"/>
                <w:tcBorders>
                  <w:top w:val="nil"/>
                  <w:left w:val="nil"/>
                  <w:bottom w:val="nil"/>
                  <w:right w:val="nil"/>
                </w:tcBorders>
                <w:noWrap/>
                <w:vAlign w:val="center"/>
                <w:hideMark/>
              </w:tcPr>
              <w:p w:rsidRPr="001B067C" w:rsidR="00CC7724" w:rsidRDefault="00CC7724" w14:paraId="75335A5B" w14:textId="77777777">
                <w:pPr>
                  <w:jc w:val="center"/>
                  <w:rPr>
                    <w:rFonts w:ascii="Times New Roman" w:hAnsi="Times New Roman"/>
                    <w:sz w:val="20"/>
                    <w:szCs w:val="20"/>
                  </w:rPr>
                </w:pPr>
              </w:p>
            </w:tc>
            <w:tc>
              <w:tcPr>
                <w:tcW w:w="960" w:type="dxa"/>
                <w:tcBorders>
                  <w:top w:val="nil"/>
                  <w:left w:val="nil"/>
                  <w:bottom w:val="nil"/>
                  <w:right w:val="nil"/>
                </w:tcBorders>
                <w:noWrap/>
                <w:vAlign w:val="center"/>
                <w:hideMark/>
              </w:tcPr>
              <w:p w:rsidRPr="001B067C" w:rsidR="00CC7724" w:rsidRDefault="00CC7724" w14:paraId="4E1E53FD" w14:textId="77777777">
                <w:pPr>
                  <w:jc w:val="center"/>
                  <w:rPr>
                    <w:rFonts w:ascii="Times New Roman" w:hAnsi="Times New Roman"/>
                    <w:sz w:val="20"/>
                    <w:szCs w:val="20"/>
                  </w:rPr>
                </w:pPr>
              </w:p>
            </w:tc>
          </w:tr>
          <w:tr w:rsidRPr="001B067C" w:rsidR="00CC7724" w14:paraId="1E15BE65" w14:textId="77777777">
            <w:trPr>
              <w:trHeight w:val="619"/>
            </w:trPr>
            <w:tc>
              <w:tcPr>
                <w:tcW w:w="6880" w:type="dxa"/>
                <w:gridSpan w:val="6"/>
                <w:tcBorders>
                  <w:top w:val="single" w:color="auto" w:sz="8" w:space="0"/>
                  <w:left w:val="nil"/>
                  <w:bottom w:val="nil"/>
                  <w:right w:val="nil"/>
                </w:tcBorders>
                <w:vAlign w:val="center"/>
                <w:hideMark/>
              </w:tcPr>
              <w:p w:rsidRPr="001B067C" w:rsidR="00CC7724" w:rsidRDefault="00CC7724" w14:paraId="29EDAD15" w14:textId="77777777">
                <w:pPr>
                  <w:rPr>
                    <w:rFonts w:cs="Calibri"/>
                    <w:i/>
                    <w:iCs/>
                    <w:color w:val="000000"/>
                    <w:sz w:val="18"/>
                    <w:szCs w:val="18"/>
                  </w:rPr>
                </w:pPr>
                <w:r w:rsidRPr="001B067C">
                  <w:rPr>
                    <w:rFonts w:cs="Calibri"/>
                    <w:i/>
                    <w:iCs/>
                    <w:color w:val="000000"/>
                    <w:sz w:val="18"/>
                    <w:szCs w:val="18"/>
                  </w:rPr>
                  <w:t>Bron: Ministerie van Financiën, Miljoenennota 2027 en CPB, Macro Economische Verkenning 2027</w:t>
                </w:r>
              </w:p>
            </w:tc>
          </w:tr>
        </w:tbl>
        <w:p w:rsidR="00CC7724" w:rsidP="00CC7724" w:rsidRDefault="00CC7724" w14:paraId="4335F245" w14:textId="77777777">
          <w:pPr>
            <w:rPr>
              <w:b/>
            </w:rPr>
          </w:pPr>
        </w:p>
        <w:p w:rsidR="00CC7724" w:rsidP="00CC7724" w:rsidRDefault="00CC7724" w14:paraId="079C2925" w14:textId="6A6017C8">
          <w:r>
            <w:t xml:space="preserve">De Afdeling kan zich vinden in de manier waarop de uitgavenkaders zijn aangepast. De uitgavenkaders zijn aangepast vanwege kasschuiven bij de overheidsuitgaven. In de begrotingsregels staat niet dat kasschuiven een reden </w:t>
          </w:r>
          <w:r>
            <w:lastRenderedPageBreak/>
            <w:t>zijn om de uitgavenkaders bij te stellen</w:t>
          </w:r>
          <w:r w:rsidR="00A644E1">
            <w:t>.</w:t>
          </w:r>
          <w:r>
            <w:t xml:space="preserve"> </w:t>
          </w:r>
          <w:r w:rsidR="00A644E1">
            <w:t>D</w:t>
          </w:r>
          <w:r>
            <w:t xml:space="preserve">e Afdeling begrijpt </w:t>
          </w:r>
          <w:r w:rsidR="00A644E1">
            <w:t xml:space="preserve">echter </w:t>
          </w:r>
          <w:r>
            <w:t>dat inschattingen van de uitgaven soms moeten worden bijgesteld</w:t>
          </w:r>
          <w:r w:rsidR="00A644E1">
            <w:t>;</w:t>
          </w:r>
          <w:r>
            <w:t xml:space="preserve"> </w:t>
          </w:r>
          <w:r w:rsidR="00A644E1">
            <w:t>d</w:t>
          </w:r>
          <w:r>
            <w:t xml:space="preserve">at </w:t>
          </w:r>
          <w:r w:rsidR="00A644E1">
            <w:t xml:space="preserve">heeft </w:t>
          </w:r>
          <w:r>
            <w:t>consequenties voor de kaders. De wijziging van de kaders vanwege de ontwikkelingen van de lonen en de prijzen is conform de begrotingsregels. Verder is het uitgavenkader volgens de begrotingsregels aangepast voor niet-beleidsmatige ontwikkeling in de WW en bijstand.</w:t>
          </w:r>
        </w:p>
        <w:p w:rsidR="00CC7724" w:rsidP="00CC7724" w:rsidRDefault="00CC7724" w14:paraId="0CE32F62" w14:textId="77777777"/>
        <w:p w:rsidR="00CC7724" w:rsidP="00CC7724" w:rsidRDefault="00CC7724" w14:paraId="029D8C43" w14:textId="77777777">
          <w:pPr>
            <w:rPr>
              <w:i/>
            </w:rPr>
          </w:pPr>
          <w:r w:rsidRPr="00AC1BFC">
            <w:rPr>
              <w:i/>
            </w:rPr>
            <w:t>Toetsing 2026 en 2027</w:t>
          </w:r>
        </w:p>
        <w:p w:rsidR="00CC7724" w:rsidP="00CC7724" w:rsidRDefault="00CC7724" w14:paraId="21F97638" w14:textId="49F5E25A">
          <w:r>
            <w:t>In de CPB-raming liggen in 2026 de geraamde kaderrelevante overheidsuitgaven met € 0,5 mld. boven het uitgavenkader, terwijl in 2027 sprake is van een onderschrijding (uitgaven lager dan het kader) van € 7,2 mld. In de Miljoenennota 2027 is de onderschrijding in 2026 en 2027 respectievelijk €</w:t>
          </w:r>
          <w:r w:rsidR="00A644E1">
            <w:t> </w:t>
          </w:r>
          <w:r>
            <w:t>0,4 mld. en €</w:t>
          </w:r>
          <w:r w:rsidR="00A644E1">
            <w:t> </w:t>
          </w:r>
          <w:r>
            <w:t xml:space="preserve">0,7 mld. Het verschil tussen de uitkomsten van het </w:t>
          </w:r>
          <w:r w:rsidR="00A644E1">
            <w:t>m</w:t>
          </w:r>
          <w:r>
            <w:t xml:space="preserve">inisterie van Financiën en het CPB is vooral toe te schrijven aan een andere inschatting van de </w:t>
          </w:r>
          <w:proofErr w:type="spellStart"/>
          <w:r>
            <w:t>onderuitputting</w:t>
          </w:r>
          <w:proofErr w:type="spellEnd"/>
          <w:r>
            <w:t xml:space="preserve">. Het CPB verwacht niet dat de </w:t>
          </w:r>
          <w:proofErr w:type="spellStart"/>
          <w:r>
            <w:t>onderuitputting</w:t>
          </w:r>
          <w:proofErr w:type="spellEnd"/>
          <w:r>
            <w:t xml:space="preserve"> voor 2026 die door het Ministerie van Financiën in de begroting is opgenomen zich volledig zal voordoen.</w:t>
          </w:r>
          <w:r>
            <w:rPr>
              <w:rStyle w:val="Voetnootmarkering"/>
            </w:rPr>
            <w:footnoteReference w:id="87"/>
          </w:r>
          <w:r>
            <w:t xml:space="preserve"> </w:t>
          </w:r>
        </w:p>
        <w:p w:rsidR="00CC7724" w:rsidP="00CC7724" w:rsidRDefault="00CC7724" w14:paraId="7A38FD02" w14:textId="77777777"/>
        <w:p w:rsidR="00CC7724" w:rsidP="00CC7724" w:rsidRDefault="00CC7724" w14:paraId="774F3E8B" w14:textId="77777777">
          <w:r>
            <w:t xml:space="preserve">Extra overheidsuitgaven worden in 2027 meer dan gecompenseerd door meevallers en bezuinigingen. Onder andere het uitstel van de verhoging van het eigen risico, het afschaffen van de compensatieregeling voor de transitievergoeding en extra uitgaven voor niet-militaire hulp aan Oekraïne leiden tot hogere overheidsuitgaven. Dit wordt vooral gedekt door meevallers bij de EU-afdrachten, aanvullende </w:t>
          </w:r>
          <w:proofErr w:type="spellStart"/>
          <w:r>
            <w:t>onderuitputting</w:t>
          </w:r>
          <w:proofErr w:type="spellEnd"/>
          <w:r>
            <w:t xml:space="preserve"> (in 2027) en verschuiving van overheidsuitgaven naar latere jaren (de kasschuiven in zowel 2026 als 2027)</w:t>
          </w:r>
        </w:p>
        <w:p w:rsidR="00CC7724" w:rsidP="00CC7724" w:rsidRDefault="00CC7724" w14:paraId="361F4E69" w14:textId="77777777"/>
        <w:p w:rsidR="00CC7724" w:rsidP="00CC7724" w:rsidRDefault="00CC7724" w14:paraId="6A0FEBFB" w14:textId="52051B12">
          <w:r>
            <w:t xml:space="preserve">Een aanvullende </w:t>
          </w:r>
          <w:proofErr w:type="spellStart"/>
          <w:r>
            <w:t>onderuitputting</w:t>
          </w:r>
          <w:proofErr w:type="spellEnd"/>
          <w:r>
            <w:t xml:space="preserve"> houdt in dat het kabinet op voorhand de besteding van gebudgetteerde middelen beperkt. Als deze </w:t>
          </w:r>
          <w:proofErr w:type="spellStart"/>
          <w:r>
            <w:t>onderuitputting</w:t>
          </w:r>
          <w:proofErr w:type="spellEnd"/>
          <w:r>
            <w:t xml:space="preserve"> niet wordt gerealiseerd, wordt de bezuiniging ingevuld </w:t>
          </w:r>
          <w:r w:rsidR="00A97F44">
            <w:t xml:space="preserve">door </w:t>
          </w:r>
          <w:r>
            <w:t xml:space="preserve">het niet toepassen van de loon- en prijsbijstelling. De Afdeling </w:t>
          </w:r>
          <w:r w:rsidR="0099073A">
            <w:t xml:space="preserve">merkt op </w:t>
          </w:r>
          <w:r>
            <w:t>dat door deze wijze van dekking niet duidelijk is welke overheidsuitgaven worden verminderd (zie aandachtspunten).</w:t>
          </w:r>
        </w:p>
        <w:p w:rsidR="00CC7724" w:rsidP="00CC7724" w:rsidRDefault="00CC7724" w14:paraId="7FDCF437" w14:textId="77777777"/>
        <w:p w:rsidR="00CC7724" w:rsidP="00CC7724" w:rsidRDefault="00CC7724" w14:paraId="5A91E1BB" w14:textId="471E6BA0">
          <w:r>
            <w:t xml:space="preserve">Het inkomstenkader sluit gemiddeld over de jaren 2026 en 2027. Voor de individuele jaren 2026 en 2027 is sprake van een (kleine) afwijking. In 2026 is sprake van een beleidsmatige lastenverlichting van € 0,4 mld. </w:t>
          </w:r>
          <w:r w:rsidR="00715EE9">
            <w:t>D</w:t>
          </w:r>
          <w:r>
            <w:t xml:space="preserve">at </w:t>
          </w:r>
          <w:r w:rsidR="00715EE9">
            <w:t xml:space="preserve">komt </w:t>
          </w:r>
          <w:r>
            <w:t xml:space="preserve">vooral door noodmaatregelen om huishoudens en bedrijven te compenseren voor de sterk gestegen energiekosten. In 2027 heeft het koopkrachtpakket weliswaar een drukkend effect op de lasten, maar leidt het uitstel van het verhogen van het </w:t>
          </w:r>
          <w:r>
            <w:lastRenderedPageBreak/>
            <w:t xml:space="preserve">eigen risico tot hogere nominale zorgpremies, wat doorwerkt in het inkomstenkader. Tegenover deze hogere premies staan hogere zorguitgaven door de overheid. </w:t>
          </w:r>
        </w:p>
        <w:p w:rsidR="00CC7724" w:rsidP="00CC7724" w:rsidRDefault="00CC7724" w14:paraId="298DB799" w14:textId="77777777"/>
        <w:p w:rsidR="00CC7724" w:rsidP="00CC7724" w:rsidRDefault="00CC7724" w14:paraId="3CC93B4E" w14:textId="77777777">
          <w:pPr>
            <w:rPr>
              <w:i/>
            </w:rPr>
          </w:pPr>
          <w:r>
            <w:rPr>
              <w:i/>
            </w:rPr>
            <w:t>Ontwikkelingen na 2027</w:t>
          </w:r>
        </w:p>
        <w:p w:rsidR="00CC7724" w:rsidP="00CC7724" w:rsidRDefault="00CC7724" w14:paraId="6456240E" w14:textId="77777777">
          <w:r>
            <w:t xml:space="preserve">Aan de uitgavenkant valt op dat maatregelen in de zorg en de sociale zekerheid zijn aangepast, wat leidt tot hogere uitgaven aan zorg en sociale zekerheid. Dit is financieel vooral gedekt door meevallers bij de EU-afdrachten, inzet van aanvullende </w:t>
          </w:r>
          <w:proofErr w:type="spellStart"/>
          <w:r>
            <w:t>onderuitputting</w:t>
          </w:r>
          <w:proofErr w:type="spellEnd"/>
          <w:r>
            <w:t xml:space="preserve">, verschuiving van overheidsuitgaven naar latere jaren (kasschuiven) en generieke taakstellingen bij het ambtenarenapparaat (inhouden loon en prijsbijstelling en versnellen slagvaardig overheid). </w:t>
          </w:r>
        </w:p>
        <w:p w:rsidR="00CC7724" w:rsidP="00CC7724" w:rsidRDefault="00CC7724" w14:paraId="57B22472" w14:textId="77777777"/>
        <w:p w:rsidR="00CC7724" w:rsidP="00CC7724" w:rsidRDefault="00CC7724" w14:paraId="682D10D0" w14:textId="77777777">
          <w:r>
            <w:t>Per saldo leiden de maatregelen aan de uitgavenkant tot een onderschrijding voor de jaren 2026-2030 van € 2,3 mld. Daar staat een ongeveer even grote beleidsmatige lastenverlichting tegenover. Het inkomstenkader sluit in de jaren 2026-2030 cumulatief niet. De beleidsmatige lasten worden verlaagd, vooral door de koopkrachtmaatregelen en in 2028 ook voor een groot deel door het langzamer afbouwen van de accijnskortingen op diesel en benzine.</w:t>
          </w:r>
        </w:p>
        <w:p w:rsidR="00CC7724" w:rsidP="00CC7724" w:rsidRDefault="00CC7724" w14:paraId="23EAEEE1" w14:textId="77777777"/>
        <w:p w:rsidR="00CC7724" w:rsidP="00CC7724" w:rsidRDefault="00CC7724" w14:paraId="06DAF61F" w14:textId="0F54F431">
          <w:r>
            <w:t xml:space="preserve">Volgens de Nationale begrotingsregels liggen de inkomsten- en uitgavenkaders vast en worden afwijkingen bij de inkomstenkaders niet gecompenseerd door afwijkingen bij de uitgavenkaders. De Afdeling heeft niet </w:t>
          </w:r>
          <w:r w:rsidR="00DC33CA">
            <w:t xml:space="preserve">waargenomen </w:t>
          </w:r>
          <w:r>
            <w:t>dat maatregelen aan de inkomstenkant direct zijn gerelateerd aan maatregelen aan de uitgavenkant.</w:t>
          </w:r>
        </w:p>
        <w:p w:rsidR="00CC7724" w:rsidP="00CC7724" w:rsidRDefault="00CC7724" w14:paraId="1920C893" w14:textId="77777777"/>
        <w:p w:rsidR="00CC7724" w:rsidP="00CC7724" w:rsidRDefault="00CC7724" w14:paraId="19BB638E" w14:textId="77777777">
          <w:pPr>
            <w:rPr>
              <w:i/>
            </w:rPr>
          </w:pPr>
          <w:r w:rsidRPr="00767E84">
            <w:rPr>
              <w:i/>
            </w:rPr>
            <w:t>Conclusie</w:t>
          </w:r>
        </w:p>
        <w:p w:rsidR="00255DE1" w:rsidP="00CC7724" w:rsidRDefault="00CC7724" w14:paraId="7900E105" w14:textId="77777777">
          <w:r>
            <w:t xml:space="preserve">Met de Miljoenennota 2027 voert het kabinet een trendmatig begrotingsbeleid. In 2026 liggen de kaderrelevante overheidsuitgaven volgens de CPB-cijfers weliswaar iets hoger dan de uitgavenkaders, maar daar staat tegenover dat deze uitgaven in 2027 ruim onder de gestelde kaders blijven. Alhoewel er in individuele jaren wordt afgeweken sluit gemiddeld genomen ook het inkomstenkader in 2026 en 2027. </w:t>
          </w:r>
        </w:p>
        <w:p w:rsidR="00255DE1" w:rsidP="00CC7724" w:rsidRDefault="00255DE1" w14:paraId="0087F880" w14:textId="77777777"/>
        <w:p w:rsidRPr="00CD14EB" w:rsidR="00CC7724" w:rsidP="00CC7724" w:rsidRDefault="00CC7724" w14:paraId="6D4E058C" w14:textId="31C57E38">
          <w:r>
            <w:t xml:space="preserve">Voor de jaren na 2027 sluit het inkomstenkader op basis van de cijfers uit de Miljoenennota 2027 niet. Ten slotte valt op dat extra uitgaven worden gedekt door kasschuiven en aanvullende </w:t>
          </w:r>
          <w:proofErr w:type="spellStart"/>
          <w:r>
            <w:t>onderuitputting</w:t>
          </w:r>
          <w:proofErr w:type="spellEnd"/>
          <w:r>
            <w:t xml:space="preserve"> die niet worden gespecifieerd. Dit maakt het lastig vast te stellen welke afwegingen uiteindelijk worden gemaakt bij de aanpassing van de overheidsuitgaven. </w:t>
          </w:r>
        </w:p>
        <w:p w:rsidRPr="00563EEC" w:rsidR="00CC7724" w:rsidP="00CC7724" w:rsidRDefault="00CC7724" w14:paraId="6537C3D1" w14:textId="77777777"/>
        <w:p w:rsidR="00CC7724" w:rsidP="00CC7724" w:rsidRDefault="00CC7724" w14:paraId="276021C9" w14:textId="77777777">
          <w:pPr>
            <w:rPr>
              <w:i/>
            </w:rPr>
          </w:pPr>
          <w:r>
            <w:rPr>
              <w:i/>
            </w:rPr>
            <w:t>2.2</w:t>
          </w:r>
          <w:r w:rsidRPr="00123EF7">
            <w:rPr>
              <w:i/>
            </w:rPr>
            <w:tab/>
            <w:t>Begrotingsproces</w:t>
          </w:r>
        </w:p>
        <w:p w:rsidR="00CC7724" w:rsidP="00CC7724" w:rsidRDefault="00CC7724" w14:paraId="5C5CAB7F" w14:textId="67239EA6">
          <w:pPr>
            <w:rPr>
              <w:kern w:val="2"/>
              <w14:ligatures w14:val="standardContextual"/>
            </w:rPr>
          </w:pPr>
          <w:r w:rsidRPr="00AC163D">
            <w:rPr>
              <w:kern w:val="2"/>
              <w14:ligatures w14:val="standardContextual"/>
            </w:rPr>
            <w:t xml:space="preserve">De Afdeling onderkent dat de begroting en fiscale wetgeving niet alleen overeenstemming binnen </w:t>
          </w:r>
          <w:r w:rsidR="000F07FE">
            <w:rPr>
              <w:kern w:val="2"/>
              <w14:ligatures w14:val="standardContextual"/>
            </w:rPr>
            <w:t xml:space="preserve">de regering </w:t>
          </w:r>
          <w:r w:rsidRPr="00AC163D">
            <w:rPr>
              <w:kern w:val="2"/>
              <w14:ligatures w14:val="standardContextual"/>
            </w:rPr>
            <w:t xml:space="preserve">en </w:t>
          </w:r>
          <w:r w:rsidR="000F07FE">
            <w:rPr>
              <w:kern w:val="2"/>
              <w14:ligatures w14:val="standardContextual"/>
            </w:rPr>
            <w:t xml:space="preserve">de </w:t>
          </w:r>
          <w:r w:rsidRPr="00AC163D">
            <w:rPr>
              <w:kern w:val="2"/>
              <w14:ligatures w14:val="standardContextual"/>
            </w:rPr>
            <w:t xml:space="preserve">coalitie vergen, maar uiteraard ook instemming </w:t>
          </w:r>
          <w:r w:rsidR="005D0F4B">
            <w:rPr>
              <w:kern w:val="2"/>
              <w14:ligatures w14:val="standardContextual"/>
            </w:rPr>
            <w:t xml:space="preserve">van </w:t>
          </w:r>
          <w:r w:rsidRPr="00AC163D">
            <w:rPr>
              <w:kern w:val="2"/>
              <w14:ligatures w14:val="standardContextual"/>
            </w:rPr>
            <w:t xml:space="preserve">het parlement. Het behoeft geen betoog dat een kabinet dat niet op voorhand wordt gesteund door een meerderheid in het parlement meer dan anders rekening moet houden met aanpassingen na indiening van de </w:t>
          </w:r>
          <w:r>
            <w:rPr>
              <w:kern w:val="2"/>
              <w14:ligatures w14:val="standardContextual"/>
            </w:rPr>
            <w:t>wets</w:t>
          </w:r>
          <w:r w:rsidRPr="00AC163D">
            <w:rPr>
              <w:kern w:val="2"/>
              <w14:ligatures w14:val="standardContextual"/>
            </w:rPr>
            <w:t xml:space="preserve">voorstellen bij de Tweede Kamer, door amendering en nota’s van wijziging, en dat daardoor het </w:t>
          </w:r>
          <w:r>
            <w:rPr>
              <w:kern w:val="2"/>
              <w14:ligatures w14:val="standardContextual"/>
            </w:rPr>
            <w:t>wetgeving</w:t>
          </w:r>
          <w:r w:rsidRPr="00AC163D">
            <w:rPr>
              <w:kern w:val="2"/>
              <w14:ligatures w14:val="standardContextual"/>
            </w:rPr>
            <w:t>sproces complexer wordt.</w:t>
          </w:r>
        </w:p>
        <w:p w:rsidRPr="00AC163D" w:rsidR="00BF3BAF" w:rsidP="00CC7724" w:rsidRDefault="00BF3BAF" w14:paraId="03287348" w14:textId="77777777">
          <w:pPr>
            <w:rPr>
              <w:kern w:val="2"/>
              <w14:ligatures w14:val="standardContextual"/>
            </w:rPr>
          </w:pPr>
        </w:p>
        <w:p w:rsidRPr="005524B4" w:rsidR="00CC7724" w:rsidP="00CC7724" w:rsidRDefault="00CC7724" w14:paraId="6A2C1D5F" w14:textId="08ED6B27">
          <w:pPr>
            <w:rPr>
              <w:kern w:val="2"/>
              <w14:ligatures w14:val="standardContextual"/>
            </w:rPr>
          </w:pPr>
          <w:r w:rsidRPr="00AC163D">
            <w:rPr>
              <w:kern w:val="2"/>
              <w14:ligatures w14:val="standardContextual"/>
            </w:rPr>
            <w:t xml:space="preserve">Gegeven de geschetste mogelijkheid van meer dan gebruikelijke aanpassingen </w:t>
          </w:r>
          <w:r w:rsidR="00B25A9E">
            <w:rPr>
              <w:kern w:val="2"/>
              <w14:ligatures w14:val="standardContextual"/>
            </w:rPr>
            <w:t xml:space="preserve">(bijvoorbeeld door nota’s van wijzigingen en amendementen van begrotingen en belastingplan) </w:t>
          </w:r>
          <w:r w:rsidRPr="00AC163D">
            <w:rPr>
              <w:kern w:val="2"/>
              <w14:ligatures w14:val="standardContextual"/>
            </w:rPr>
            <w:t>gedurende de parlementaire behandeling, geeft de Afdeling in overweging om een aanvullend advies over het aangepaste geheel te vragen</w:t>
          </w:r>
          <w:r w:rsidR="00570DE7">
            <w:rPr>
              <w:kern w:val="2"/>
              <w14:ligatures w14:val="standardContextual"/>
            </w:rPr>
            <w:t>.</w:t>
          </w:r>
          <w:r w:rsidRPr="00AC163D">
            <w:rPr>
              <w:kern w:val="2"/>
              <w14:ligatures w14:val="standardContextual"/>
            </w:rPr>
            <w:t xml:space="preserve"> </w:t>
          </w:r>
          <w:r w:rsidR="00275C0D">
            <w:rPr>
              <w:kern w:val="2"/>
              <w14:ligatures w14:val="standardContextual"/>
            </w:rPr>
            <w:t>Ten behoeve van de integrale afweging kunnen d</w:t>
          </w:r>
          <w:r w:rsidR="000539B2">
            <w:rPr>
              <w:kern w:val="2"/>
              <w14:ligatures w14:val="standardContextual"/>
            </w:rPr>
            <w:t xml:space="preserve">e </w:t>
          </w:r>
          <w:r w:rsidRPr="00AC163D">
            <w:rPr>
              <w:kern w:val="2"/>
              <w14:ligatures w14:val="standardContextual"/>
            </w:rPr>
            <w:t xml:space="preserve">Tweede en/of </w:t>
          </w:r>
          <w:r w:rsidR="000539B2">
            <w:rPr>
              <w:kern w:val="2"/>
              <w14:ligatures w14:val="standardContextual"/>
            </w:rPr>
            <w:t xml:space="preserve">de </w:t>
          </w:r>
          <w:r w:rsidRPr="00AC163D">
            <w:rPr>
              <w:kern w:val="2"/>
              <w14:ligatures w14:val="standardContextual"/>
            </w:rPr>
            <w:t xml:space="preserve">Eerste Kamer dit </w:t>
          </w:r>
          <w:r w:rsidR="008814E2">
            <w:rPr>
              <w:kern w:val="2"/>
              <w14:ligatures w14:val="standardContextual"/>
            </w:rPr>
            <w:t xml:space="preserve">vervolgens </w:t>
          </w:r>
          <w:r w:rsidRPr="00AC163D">
            <w:rPr>
              <w:kern w:val="2"/>
              <w14:ligatures w14:val="standardContextual"/>
            </w:rPr>
            <w:t>bij hun uiteindelijke beraadslagingen en besluitvorming betrekken.</w:t>
          </w:r>
          <w:r w:rsidRPr="00AC163D">
            <w:rPr>
              <w:kern w:val="2"/>
              <w:vertAlign w:val="superscript"/>
              <w14:ligatures w14:val="standardContextual"/>
            </w:rPr>
            <w:footnoteReference w:id="88"/>
          </w:r>
        </w:p>
        <w:p w:rsidRPr="00123EF7" w:rsidR="00CC7724" w:rsidP="00CC7724" w:rsidRDefault="00CC7724" w14:paraId="396FB77A" w14:textId="77777777">
          <w:pPr>
            <w:rPr>
              <w:i/>
            </w:rPr>
          </w:pPr>
        </w:p>
        <w:p w:rsidR="00CC7724" w:rsidP="00CC7724" w:rsidRDefault="00CC7724" w14:paraId="0DDEA7BA" w14:textId="77777777">
          <w:pPr>
            <w:rPr>
              <w:i/>
            </w:rPr>
          </w:pPr>
          <w:r>
            <w:rPr>
              <w:i/>
            </w:rPr>
            <w:t>2.3</w:t>
          </w:r>
          <w:r w:rsidRPr="00123EF7">
            <w:rPr>
              <w:i/>
            </w:rPr>
            <w:tab/>
            <w:t>Aandachtspunten bij uitgavenkaders</w:t>
          </w:r>
        </w:p>
        <w:p w:rsidR="00CC7724" w:rsidP="00CC7724" w:rsidRDefault="00CC7724" w14:paraId="5F0489A6" w14:textId="77777777">
          <w:pPr>
            <w:rPr>
              <w:i/>
            </w:rPr>
          </w:pPr>
          <w:r>
            <w:rPr>
              <w:i/>
            </w:rPr>
            <w:t>Verduidelijk de consequenties van inhouden prijsbijstelling</w:t>
          </w:r>
        </w:p>
        <w:p w:rsidR="00CC7724" w:rsidP="00CC7724" w:rsidRDefault="00CC7724" w14:paraId="3C84BB33" w14:textId="77777777">
          <w:r>
            <w:t xml:space="preserve">Een hoge kwaliteit van de overheidsfinanciën draagt bij aan de effectieve en </w:t>
          </w:r>
        </w:p>
        <w:p w:rsidR="00CC7724" w:rsidP="00CC7724" w:rsidRDefault="00CC7724" w14:paraId="4B0E69C5" w14:textId="77777777">
          <w:r>
            <w:t xml:space="preserve">doelmatige inzet van publieke middelen. Artikel 3.1 van de Comptabiliteitswet </w:t>
          </w:r>
        </w:p>
        <w:p w:rsidR="00CC7724" w:rsidP="00CC7724" w:rsidRDefault="00CC7724" w14:paraId="02FC8708" w14:textId="64CD6635">
          <w:r>
            <w:t xml:space="preserve">(CW) vereist dat voorstellen, voornemens en toezeggingen een toelichting bevatten die ingaat op de beleidsdoelstellingen, doeltreffendheid en doelmatigheid van de beleidsinstrumenten die worden ingezet, en de financiële gevolgen voor het Rijk en, waar mogelijk, voor maatschappelijke sectoren. Doorgaans reflecteert de Afdeling ter ondersteuning van het budgetrecht van de kamers daarom op een </w:t>
          </w:r>
          <w:r w:rsidR="00AD0F89">
            <w:t>motiver</w:t>
          </w:r>
          <w:r>
            <w:t>ing van de keuzes en de transparantie van de begrotingsinformatie.</w:t>
          </w:r>
        </w:p>
        <w:p w:rsidR="00CC7724" w:rsidP="00CC7724" w:rsidRDefault="00CC7724" w14:paraId="2CD4F6EE" w14:textId="77777777"/>
        <w:p w:rsidR="00CC7724" w:rsidP="00CC7724" w:rsidRDefault="00CC7724" w14:paraId="0111C4B6" w14:textId="77777777">
          <w:r>
            <w:t>In de Miljoenennota 2027 kiest het kabinet voor het inhouden van de tranche 2027 en 2028 van de loon- en prijsbijstellingen over de intensiveringen van het coalitieakkoord. Dit komt boven op het inhouden van de prijsbijstelling voor het jaar 2028 die in de Miljoenennota 2026 was afgesproken. Het is de vierde keer dat in korte tijd wordt gekozen voor het inhouden van de prijsbijstelling.</w:t>
          </w:r>
          <w:r>
            <w:rPr>
              <w:rStyle w:val="Voetnootmarkering"/>
            </w:rPr>
            <w:footnoteReference w:id="89"/>
          </w:r>
          <w:r>
            <w:t xml:space="preserve"> De Miljoenennota maakt niet duidelijk wat de consequenties zijn van deze bezuiniging.</w:t>
          </w:r>
        </w:p>
        <w:p w:rsidR="00CC7724" w:rsidP="00CC7724" w:rsidRDefault="00CC7724" w14:paraId="21B41FBC" w14:textId="77777777"/>
        <w:p w:rsidR="00CC7724" w:rsidP="00CC7724" w:rsidRDefault="00CC7724" w14:paraId="163229D2" w14:textId="77777777">
          <w:r>
            <w:t xml:space="preserve">Het inhouden van de loon- en prijsbijstelling is niet zonder gevolgen. De loon- en prijsbijstelling is een indexering die nodig is voor het continueren van de beleidsprocessen. Het inhouden van deze indexatie heeft gevolgen voor deze processen en heeft daarmee indirect gevolgen voor maatschappelijke doelen. Daarnaast is het inhouden van de prijsbijstellingen een ongerichte bezuiniging (“kaasschaaf”) en motiveert het kabinet de keuze voor deze bezuiniging niet. </w:t>
          </w:r>
        </w:p>
        <w:p w:rsidR="00CC7724" w:rsidP="00CC7724" w:rsidRDefault="00CC7724" w14:paraId="1D7B16F3" w14:textId="77777777"/>
        <w:p w:rsidR="00DE14CA" w:rsidRDefault="00CC7724" w14:paraId="5AB96AF9" w14:textId="16A70E33">
          <w:pPr>
            <w:rPr>
              <w:i/>
              <w:szCs w:val="22"/>
            </w:rPr>
          </w:pPr>
          <w:r w:rsidRPr="00521213">
            <w:t xml:space="preserve">Bovendien heeft de prijsbijstelling alleen betrekking op </w:t>
          </w:r>
          <w:proofErr w:type="spellStart"/>
          <w:r w:rsidRPr="00521213">
            <w:t>begrotingsgefinancierde</w:t>
          </w:r>
          <w:proofErr w:type="spellEnd"/>
          <w:r w:rsidRPr="00521213">
            <w:t xml:space="preserve"> uitgaven aan goederen en diensten. Deze post is niet voor alle begrotingen even groot. Dit betekent dat deze generieke systematiek ongelijksoortig kan uitpakken voor verschillende departementen.</w:t>
          </w:r>
          <w:r>
            <w:t xml:space="preserve"> Sommige uitgaven zoals defensie kennen hun eigen indexatie-systematiek en worden niet geraakt door het inhouden van de prijsbijstelling, terwijl bijvoorbeeld onderwijsuitgaven hierdoor wel zwaar geraakt </w:t>
          </w:r>
          <w:r>
            <w:lastRenderedPageBreak/>
            <w:t xml:space="preserve">kunnen worden. </w:t>
          </w:r>
          <w:r w:rsidRPr="00521213">
            <w:t>Het kabinet gaat in de Miljoenennota niet in op deze gevolgen van het inhouden van de prijsbijstellingen. Deze gevolgen zouden in het kader van de transparantie moeten worden benoemd.</w:t>
          </w:r>
          <w:r w:rsidR="00DE14CA">
            <w:rPr>
              <w:i/>
              <w:szCs w:val="22"/>
            </w:rPr>
            <w:br w:type="page"/>
          </w:r>
        </w:p>
        <w:p w:rsidR="00CC7724" w:rsidP="00CC7724" w:rsidRDefault="00CC7724" w14:paraId="60518828" w14:textId="475D20A0">
          <w:pPr>
            <w:rPr>
              <w:i/>
              <w:szCs w:val="22"/>
            </w:rPr>
          </w:pPr>
          <w:r>
            <w:rPr>
              <w:i/>
              <w:szCs w:val="22"/>
            </w:rPr>
            <w:lastRenderedPageBreak/>
            <w:t>Geef nadere toelichting op d</w:t>
          </w:r>
          <w:r w:rsidRPr="00E65A81">
            <w:rPr>
              <w:i/>
              <w:szCs w:val="22"/>
            </w:rPr>
            <w:t xml:space="preserve">e </w:t>
          </w:r>
          <w:r>
            <w:rPr>
              <w:i/>
              <w:szCs w:val="22"/>
            </w:rPr>
            <w:t>aanvullend</w:t>
          </w:r>
          <w:r w:rsidRPr="00E65A81">
            <w:rPr>
              <w:i/>
              <w:szCs w:val="22"/>
            </w:rPr>
            <w:t xml:space="preserve">e </w:t>
          </w:r>
          <w:proofErr w:type="spellStart"/>
          <w:r w:rsidRPr="00E65A81">
            <w:rPr>
              <w:i/>
              <w:szCs w:val="22"/>
            </w:rPr>
            <w:t>onderuitputting</w:t>
          </w:r>
          <w:proofErr w:type="spellEnd"/>
          <w:r w:rsidRPr="00E65A81">
            <w:rPr>
              <w:i/>
              <w:szCs w:val="22"/>
            </w:rPr>
            <w:t xml:space="preserve"> </w:t>
          </w:r>
        </w:p>
        <w:p w:rsidR="007E61CD" w:rsidP="00CC7724" w:rsidRDefault="00CC7724" w14:paraId="5099405B" w14:textId="77777777">
          <w:r w:rsidRPr="5A009FAB">
            <w:t xml:space="preserve">In de Miljoenennota is een </w:t>
          </w:r>
          <w:r>
            <w:t>aanvullende</w:t>
          </w:r>
          <w:r w:rsidRPr="5A009FAB">
            <w:t xml:space="preserve"> </w:t>
          </w:r>
          <w:proofErr w:type="spellStart"/>
          <w:r w:rsidRPr="5A009FAB">
            <w:t>onderuitputting</w:t>
          </w:r>
          <w:proofErr w:type="spellEnd"/>
          <w:r w:rsidRPr="5A009FAB">
            <w:t xml:space="preserve"> opgenomen die resulteert in een saldoverbetering van ruim €</w:t>
          </w:r>
          <w:r w:rsidR="00DE14CA">
            <w:t> </w:t>
          </w:r>
          <w:r w:rsidRPr="5A009FAB">
            <w:t xml:space="preserve">1,4 </w:t>
          </w:r>
          <w:r>
            <w:t>mld.</w:t>
          </w:r>
          <w:r w:rsidRPr="5A009FAB">
            <w:t xml:space="preserve"> voor 2027 en €</w:t>
          </w:r>
          <w:r w:rsidR="00DE14CA">
            <w:t> </w:t>
          </w:r>
          <w:r w:rsidRPr="5A009FAB">
            <w:t xml:space="preserve">1,8 </w:t>
          </w:r>
          <w:r>
            <w:t>mld.</w:t>
          </w:r>
          <w:r w:rsidRPr="5A009FAB">
            <w:t xml:space="preserve"> voor 2028.</w:t>
          </w:r>
          <w:r w:rsidRPr="5A009FAB">
            <w:rPr>
              <w:rStyle w:val="Voetnootmarkering"/>
            </w:rPr>
            <w:footnoteReference w:id="90"/>
          </w:r>
          <w:r w:rsidRPr="5A009FAB">
            <w:t xml:space="preserve"> </w:t>
          </w:r>
          <w:r>
            <w:t xml:space="preserve">Ook in de vorige Miljoenennota was aanvullende </w:t>
          </w:r>
          <w:proofErr w:type="spellStart"/>
          <w:r>
            <w:t>onderuitputting</w:t>
          </w:r>
          <w:proofErr w:type="spellEnd"/>
          <w:r>
            <w:t xml:space="preserve"> ingeboekt. </w:t>
          </w:r>
          <w:r w:rsidRPr="5A009FAB">
            <w:t xml:space="preserve">De afgelopen jaren is </w:t>
          </w:r>
          <w:proofErr w:type="spellStart"/>
          <w:r w:rsidRPr="5A009FAB">
            <w:t>onderuitputting</w:t>
          </w:r>
          <w:proofErr w:type="spellEnd"/>
          <w:r w:rsidRPr="5A009FAB">
            <w:t xml:space="preserve"> toegenomen en is er hier ook veel aandacht voor geweest. </w:t>
          </w:r>
        </w:p>
        <w:p w:rsidR="007E61CD" w:rsidP="00CC7724" w:rsidRDefault="007E61CD" w14:paraId="119B14C5" w14:textId="77777777"/>
        <w:p w:rsidR="00CC7724" w:rsidP="00CC7724" w:rsidRDefault="00CC7724" w14:paraId="06C86A2E" w14:textId="2246CFB5">
          <w:pPr>
            <w:rPr>
              <w:szCs w:val="22"/>
            </w:rPr>
          </w:pPr>
          <w:proofErr w:type="spellStart"/>
          <w:r w:rsidRPr="5A009FAB">
            <w:t>Onderuitputting</w:t>
          </w:r>
          <w:proofErr w:type="spellEnd"/>
          <w:r w:rsidRPr="5A009FAB">
            <w:t xml:space="preserve"> </w:t>
          </w:r>
          <w:r>
            <w:t>houdt in dat</w:t>
          </w:r>
          <w:r w:rsidRPr="5A009FAB">
            <w:t xml:space="preserve"> middelen die worden toebedeeld aan een begrotingspost niet allemaal </w:t>
          </w:r>
          <w:r>
            <w:t xml:space="preserve">kunnen worden </w:t>
          </w:r>
          <w:r w:rsidRPr="5A009FAB">
            <w:t xml:space="preserve">uitgegeven worden, bijvoorbeeld door uitvoeringsproblemen en arbeidsmarktkrapte. Idealiter worden deze belemmeringen meegenomen </w:t>
          </w:r>
          <w:r>
            <w:t xml:space="preserve">door begrotingsposten </w:t>
          </w:r>
          <w:r w:rsidRPr="5A009FAB">
            <w:t>realistisch te ramen.</w:t>
          </w:r>
          <w:r w:rsidRPr="5A009FAB">
            <w:rPr>
              <w:rStyle w:val="Voetnootmarkering"/>
            </w:rPr>
            <w:footnoteReference w:id="91"/>
          </w:r>
          <w:r w:rsidRPr="5A009FAB">
            <w:t xml:space="preserve"> In zijn advies over de Voorjaarsnota 2026 heeft de Afdeling geadviseerd </w:t>
          </w:r>
          <w:proofErr w:type="spellStart"/>
          <w:r w:rsidRPr="5A009FAB">
            <w:t>onderuitputting</w:t>
          </w:r>
          <w:proofErr w:type="spellEnd"/>
          <w:r w:rsidRPr="5A009FAB">
            <w:t xml:space="preserve"> niet in te zetten voor andere beleidsdoelen.</w:t>
          </w:r>
          <w:r w:rsidRPr="5A009FAB">
            <w:rPr>
              <w:rStyle w:val="Voetnootmarkering"/>
            </w:rPr>
            <w:footnoteReference w:id="92"/>
          </w:r>
        </w:p>
        <w:p w:rsidR="00CC7724" w:rsidP="00CC7724" w:rsidRDefault="00CC7724" w14:paraId="519E0D13" w14:textId="77777777">
          <w:pPr>
            <w:rPr>
              <w:szCs w:val="22"/>
            </w:rPr>
          </w:pPr>
        </w:p>
        <w:p w:rsidR="00CC7724" w:rsidP="00CC7724" w:rsidRDefault="00CC7724" w14:paraId="37686BBE" w14:textId="77777777">
          <w:r>
            <w:rPr>
              <w:szCs w:val="22"/>
            </w:rPr>
            <w:t xml:space="preserve">In de Miljoenennota 2027 wordt niet uitgelegd hoe de bedragen voor aanvullende </w:t>
          </w:r>
          <w:proofErr w:type="spellStart"/>
          <w:r>
            <w:rPr>
              <w:szCs w:val="22"/>
            </w:rPr>
            <w:t>onderuitputting</w:t>
          </w:r>
          <w:proofErr w:type="spellEnd"/>
          <w:r>
            <w:rPr>
              <w:szCs w:val="22"/>
            </w:rPr>
            <w:t xml:space="preserve"> zijn bepaald. Op zich kan </w:t>
          </w:r>
          <w:proofErr w:type="spellStart"/>
          <w:r>
            <w:rPr>
              <w:szCs w:val="22"/>
            </w:rPr>
            <w:t>onderuitputting</w:t>
          </w:r>
          <w:proofErr w:type="spellEnd"/>
          <w:r>
            <w:rPr>
              <w:szCs w:val="22"/>
            </w:rPr>
            <w:t xml:space="preserve"> op basis van bijvoorbeeld realisaties uit het verleden worden ingeschat. </w:t>
          </w:r>
          <w:proofErr w:type="spellStart"/>
          <w:r>
            <w:rPr>
              <w:szCs w:val="22"/>
            </w:rPr>
            <w:t>Onderuitputting</w:t>
          </w:r>
          <w:proofErr w:type="spellEnd"/>
          <w:r>
            <w:rPr>
              <w:szCs w:val="22"/>
            </w:rPr>
            <w:t xml:space="preserve"> kan echter door meerdere redenen ontstaan, bijvoorbeeld doordat investeringen of andere overheidsplannen meer tijd kosten om te implementeren, plannen door krapte op de arbeidsmarkt niet kunnen worden uitgevoerd of doordat een maatregel minder geld kost dan geraamd. Alleen in het laatste geval kan </w:t>
          </w:r>
          <w:proofErr w:type="spellStart"/>
          <w:r>
            <w:rPr>
              <w:szCs w:val="22"/>
            </w:rPr>
            <w:t>onderuitputting</w:t>
          </w:r>
          <w:proofErr w:type="spellEnd"/>
          <w:r>
            <w:rPr>
              <w:szCs w:val="22"/>
            </w:rPr>
            <w:t xml:space="preserve"> worden ingeboekt zonder dat dit óf impliciet een aanpassing van de beleidsdoelen is óf leidt tot extra uitgaven later. </w:t>
          </w:r>
        </w:p>
        <w:p w:rsidRPr="00E65A81" w:rsidR="00CC7724" w:rsidP="00CC7724" w:rsidRDefault="00CC7724" w14:paraId="3BFA29B2" w14:textId="77777777">
          <w:pPr>
            <w:rPr>
              <w:szCs w:val="22"/>
            </w:rPr>
          </w:pPr>
        </w:p>
        <w:p w:rsidR="00CC7724" w:rsidP="00CC7724" w:rsidRDefault="00CC7724" w14:paraId="071E6B0F" w14:textId="77777777">
          <w:pPr>
            <w:rPr>
              <w:szCs w:val="22"/>
            </w:rPr>
          </w:pPr>
          <w:r w:rsidRPr="00E65A81">
            <w:rPr>
              <w:szCs w:val="22"/>
            </w:rPr>
            <w:t xml:space="preserve">Het inboeken van </w:t>
          </w:r>
          <w:proofErr w:type="spellStart"/>
          <w:r w:rsidRPr="00E65A81">
            <w:rPr>
              <w:szCs w:val="22"/>
            </w:rPr>
            <w:t>onderuitputting</w:t>
          </w:r>
          <w:proofErr w:type="spellEnd"/>
          <w:r w:rsidRPr="00E65A81">
            <w:rPr>
              <w:szCs w:val="22"/>
            </w:rPr>
            <w:t xml:space="preserve"> is gunstig voor het saldo op de korte termijn, maar het vooruitschuiven van deze uitgaven betekent dat er later des te scherpere keuzes moeten worden gemaakt over</w:t>
          </w:r>
          <w:r>
            <w:rPr>
              <w:szCs w:val="22"/>
            </w:rPr>
            <w:t xml:space="preserve"> de vraag</w:t>
          </w:r>
          <w:r w:rsidRPr="00E65A81">
            <w:rPr>
              <w:szCs w:val="22"/>
            </w:rPr>
            <w:t xml:space="preserve"> aan welke doelen minder kan worden besteed</w:t>
          </w:r>
          <w:r>
            <w:rPr>
              <w:szCs w:val="22"/>
            </w:rPr>
            <w:t xml:space="preserve"> als de </w:t>
          </w:r>
          <w:proofErr w:type="spellStart"/>
          <w:r>
            <w:rPr>
              <w:szCs w:val="22"/>
            </w:rPr>
            <w:t>onderuitputting</w:t>
          </w:r>
          <w:proofErr w:type="spellEnd"/>
          <w:r>
            <w:rPr>
              <w:szCs w:val="22"/>
            </w:rPr>
            <w:t xml:space="preserve"> is veroorzaakt door uitgestelde plannen van de overheid</w:t>
          </w:r>
          <w:r w:rsidRPr="00E65A81">
            <w:rPr>
              <w:szCs w:val="22"/>
            </w:rPr>
            <w:t xml:space="preserve">. </w:t>
          </w:r>
        </w:p>
        <w:p w:rsidRPr="00E65A81" w:rsidR="00CC7724" w:rsidP="00CC7724" w:rsidRDefault="00CC7724" w14:paraId="34FDC650" w14:textId="77777777">
          <w:pPr>
            <w:rPr>
              <w:szCs w:val="22"/>
            </w:rPr>
          </w:pPr>
        </w:p>
        <w:p w:rsidR="00CC7724" w:rsidP="00CC7724" w:rsidRDefault="00CC7724" w14:paraId="06ADB6D2" w14:textId="77777777">
          <w:pPr>
            <w:rPr>
              <w:szCs w:val="22"/>
            </w:rPr>
          </w:pPr>
          <w:r w:rsidRPr="00E65A81">
            <w:rPr>
              <w:szCs w:val="22"/>
            </w:rPr>
            <w:t xml:space="preserve">Daarnaast blijft het bij de ingeboekte generieke </w:t>
          </w:r>
          <w:r>
            <w:rPr>
              <w:szCs w:val="22"/>
            </w:rPr>
            <w:t>aanvullende</w:t>
          </w:r>
          <w:r w:rsidRPr="00E65A81">
            <w:rPr>
              <w:szCs w:val="22"/>
            </w:rPr>
            <w:t xml:space="preserve"> </w:t>
          </w:r>
          <w:proofErr w:type="spellStart"/>
          <w:r w:rsidRPr="00E65A81">
            <w:rPr>
              <w:szCs w:val="22"/>
            </w:rPr>
            <w:t>onderuitputting</w:t>
          </w:r>
          <w:proofErr w:type="spellEnd"/>
          <w:r w:rsidRPr="00E65A81">
            <w:rPr>
              <w:szCs w:val="22"/>
            </w:rPr>
            <w:t xml:space="preserve"> onduidelijk op welke begrotingsposten de </w:t>
          </w:r>
          <w:proofErr w:type="spellStart"/>
          <w:r w:rsidRPr="00E65A81">
            <w:rPr>
              <w:szCs w:val="22"/>
            </w:rPr>
            <w:t>onderuitputting</w:t>
          </w:r>
          <w:proofErr w:type="spellEnd"/>
          <w:r w:rsidRPr="00E65A81">
            <w:rPr>
              <w:szCs w:val="22"/>
            </w:rPr>
            <w:t xml:space="preserve"> precies wordt verwacht. Van de bedragen die nu staan ingeboekt op iedere individuele post, kan het zijn dat een deel van deze uitgaven naar verwachting niet daadwerkelijk gedaan k</w:t>
          </w:r>
          <w:r>
            <w:rPr>
              <w:szCs w:val="22"/>
            </w:rPr>
            <w:t>an</w:t>
          </w:r>
          <w:r w:rsidRPr="00E65A81">
            <w:rPr>
              <w:szCs w:val="22"/>
            </w:rPr>
            <w:t xml:space="preserve"> worden. Omdat niet duidelijk gespecificeerd wordt voor welke posten dit in welke mate het geval is</w:t>
          </w:r>
          <w:r>
            <w:rPr>
              <w:szCs w:val="22"/>
            </w:rPr>
            <w:t xml:space="preserve">, </w:t>
          </w:r>
          <w:r w:rsidRPr="00E65A81">
            <w:rPr>
              <w:szCs w:val="22"/>
            </w:rPr>
            <w:t xml:space="preserve">ontstaat onzekerheid over waar de </w:t>
          </w:r>
          <w:r>
            <w:rPr>
              <w:szCs w:val="22"/>
            </w:rPr>
            <w:t>aanvullende</w:t>
          </w:r>
          <w:r w:rsidRPr="00E65A81">
            <w:rPr>
              <w:szCs w:val="22"/>
            </w:rPr>
            <w:t xml:space="preserve"> </w:t>
          </w:r>
          <w:proofErr w:type="spellStart"/>
          <w:r w:rsidRPr="00E65A81">
            <w:rPr>
              <w:szCs w:val="22"/>
            </w:rPr>
            <w:t>onderuitputting</w:t>
          </w:r>
          <w:proofErr w:type="spellEnd"/>
          <w:r w:rsidRPr="00E65A81">
            <w:rPr>
              <w:szCs w:val="22"/>
            </w:rPr>
            <w:t xml:space="preserve"> neerslaat en welke beleidsambities aangepast moeten worden om overschrijding te voorkomen.</w:t>
          </w:r>
          <w:r>
            <w:rPr>
              <w:szCs w:val="22"/>
            </w:rPr>
            <w:t xml:space="preserve"> Dit te meer nu de ook getroffen maatregel van het inhouden van loon- en prijsbijstelling hiermee kan cumuleren. </w:t>
          </w:r>
        </w:p>
        <w:p w:rsidRPr="00E65A81" w:rsidR="00CC7724" w:rsidP="00CC7724" w:rsidRDefault="00CC7724" w14:paraId="514B3BE7" w14:textId="77777777">
          <w:pPr>
            <w:rPr>
              <w:szCs w:val="22"/>
            </w:rPr>
          </w:pPr>
        </w:p>
        <w:p w:rsidRPr="00E65A81" w:rsidR="00CC7724" w:rsidP="00CC7724" w:rsidRDefault="00CC7724" w14:paraId="4E45EDCD" w14:textId="77777777">
          <w:pPr>
            <w:rPr>
              <w:szCs w:val="22"/>
            </w:rPr>
          </w:pPr>
          <w:r w:rsidRPr="00E65A81">
            <w:rPr>
              <w:szCs w:val="22"/>
            </w:rPr>
            <w:lastRenderedPageBreak/>
            <w:t xml:space="preserve">Gezien deze onduidelijkheid adviseert de Afdeling het kabinet om de </w:t>
          </w:r>
          <w:r>
            <w:rPr>
              <w:szCs w:val="22"/>
            </w:rPr>
            <w:t>aanvullende</w:t>
          </w:r>
          <w:r w:rsidRPr="00E65A81">
            <w:rPr>
              <w:szCs w:val="22"/>
            </w:rPr>
            <w:t xml:space="preserve"> </w:t>
          </w:r>
          <w:proofErr w:type="spellStart"/>
          <w:r w:rsidRPr="00E65A81">
            <w:rPr>
              <w:szCs w:val="22"/>
            </w:rPr>
            <w:t>onderuitputting</w:t>
          </w:r>
          <w:proofErr w:type="spellEnd"/>
          <w:r w:rsidRPr="00E65A81">
            <w:rPr>
              <w:szCs w:val="22"/>
            </w:rPr>
            <w:t xml:space="preserve"> </w:t>
          </w:r>
          <w:r>
            <w:rPr>
              <w:szCs w:val="22"/>
            </w:rPr>
            <w:t xml:space="preserve">waar mogelijk nader toe te lichten. Dit verbetert de transparantie van de begroting en de afweging van prioriteiten. </w:t>
          </w:r>
        </w:p>
        <w:p w:rsidR="00CC7724" w:rsidP="00CC7724" w:rsidRDefault="00CC7724" w14:paraId="6BC0A5FD" w14:textId="77777777">
          <w:pPr>
            <w:rPr>
              <w:i/>
            </w:rPr>
          </w:pPr>
        </w:p>
        <w:p w:rsidRPr="00123EF7" w:rsidR="00CC7724" w:rsidP="00CC7724" w:rsidRDefault="00CC7724" w14:paraId="58ACD6EA" w14:textId="77777777">
          <w:pPr>
            <w:rPr>
              <w:i/>
            </w:rPr>
          </w:pPr>
          <w:r>
            <w:rPr>
              <w:i/>
            </w:rPr>
            <w:t>2.4</w:t>
          </w:r>
          <w:r w:rsidRPr="00123EF7">
            <w:rPr>
              <w:i/>
            </w:rPr>
            <w:tab/>
            <w:t xml:space="preserve">Aandachtspunten bij </w:t>
          </w:r>
          <w:r>
            <w:rPr>
              <w:i/>
            </w:rPr>
            <w:t>inkomsten</w:t>
          </w:r>
          <w:r w:rsidRPr="00123EF7">
            <w:rPr>
              <w:i/>
            </w:rPr>
            <w:t>kader</w:t>
          </w:r>
          <w:r>
            <w:rPr>
              <w:i/>
            </w:rPr>
            <w:t>s</w:t>
          </w:r>
        </w:p>
        <w:p w:rsidR="00CC7724" w:rsidP="00CC7724" w:rsidRDefault="00CC7724" w14:paraId="7F8FB5A2" w14:textId="77777777">
          <w:pPr>
            <w:rPr>
              <w:i/>
            </w:rPr>
          </w:pPr>
          <w:r w:rsidRPr="00C52BDA">
            <w:rPr>
              <w:i/>
            </w:rPr>
            <w:t xml:space="preserve">Zorg voor een evenwichtige </w:t>
          </w:r>
          <w:r>
            <w:rPr>
              <w:i/>
            </w:rPr>
            <w:t>verdeling</w:t>
          </w:r>
          <w:r w:rsidRPr="00C52BDA">
            <w:rPr>
              <w:i/>
            </w:rPr>
            <w:t xml:space="preserve"> van de laste</w:t>
          </w:r>
          <w:r>
            <w:rPr>
              <w:i/>
            </w:rPr>
            <w:t>n</w:t>
          </w:r>
        </w:p>
        <w:p w:rsidR="00CC7724" w:rsidP="00CC7724" w:rsidRDefault="00CC7724" w14:paraId="4BDECFBA" w14:textId="017BF2A8">
          <w:r>
            <w:t>Het overheidsbeleid leidt in 2027 volgens de berekeningen van het CPB naar verwachting per saldo tot een verzwaring van de lasten van €</w:t>
          </w:r>
          <w:r w:rsidR="00641120">
            <w:t> </w:t>
          </w:r>
          <w:r>
            <w:t>6,0 mld. Dit is bijna volledig toe te schrijven aan een verzwaring van de lasten op arbeid met €</w:t>
          </w:r>
          <w:r w:rsidR="00641120">
            <w:t> </w:t>
          </w:r>
          <w:r>
            <w:t>5,8 mld. De 18</w:t>
          </w:r>
          <w:r w:rsidRPr="002837F9">
            <w:rPr>
              <w:vertAlign w:val="superscript"/>
            </w:rPr>
            <w:t>e</w:t>
          </w:r>
          <w:r>
            <w:t xml:space="preserve"> Studiegroep Begrotingsruimte (SBR) en het Bouwstenenrapport van het Ministerie van Financiën hebben dit verschil in (relatieve) verzwaring als bestaande onevenwichtigheid benoemd.</w:t>
          </w:r>
          <w:r>
            <w:rPr>
              <w:rStyle w:val="Voetnootmarkering"/>
            </w:rPr>
            <w:footnoteReference w:id="93"/>
          </w:r>
          <w:r>
            <w:t xml:space="preserve"> In de Voorjaarsrapportage 2026 heeft de Afdeling gewezen op het belang van een evenwichtige verdeling van de lasten tussen de factoren arbeid en kapitaal.</w:t>
          </w:r>
          <w:r>
            <w:rPr>
              <w:rStyle w:val="Voetnootmarkering"/>
            </w:rPr>
            <w:footnoteReference w:id="94"/>
          </w:r>
          <w:r>
            <w:t xml:space="preserve"> </w:t>
          </w:r>
        </w:p>
        <w:p w:rsidR="00CC7724" w:rsidP="00CC7724" w:rsidRDefault="00CC7724" w14:paraId="3DD4031D" w14:textId="77777777"/>
        <w:p w:rsidR="00CC7724" w:rsidP="00CC7724" w:rsidRDefault="00CC7724" w14:paraId="4B710530" w14:textId="6D871D6F">
          <w:r>
            <w:t>Een aanvullende uitsplitsing van de beleidsmatige lastenontwikkeling (blo) van het CPB, die aangeeft hoe zwaar verschillende activiteiten worden belast, biedt inzicht in de evenwichtigheid van de lastenontwikkeling. De blo wordt uitgesplitst naar arbeid, kapitaal en consumptie.</w:t>
          </w:r>
          <w:r>
            <w:rPr>
              <w:rStyle w:val="Voetnootmarkering"/>
            </w:rPr>
            <w:footnoteReference w:id="95"/>
          </w:r>
          <w:r>
            <w:t xml:space="preserve"> Het CPB wijst erop dat de cijfers zorgvuldig moeten worden geïnterpreteerd. Zo zijn de cijfers gebaseerd op statistische inschattingen. </w:t>
          </w:r>
          <w:r w:rsidRPr="00EF3542">
            <w:t xml:space="preserve">Daarnaast zorgen belastingen op arbeid voor een verhoging van de loonkosten die uiteindelijk worden doorberekend in de prijzen van geconsumeerde goederen en diensten. </w:t>
          </w:r>
          <w:r>
            <w:t xml:space="preserve">Dergelijke interacties en doorwerkingen tussen activiteiten kunnen maar in beperkte mate in de cijfers worden opgenomen. De Afdeling adviseert de toelichting in de Miljoenennota op </w:t>
          </w:r>
          <w:r w:rsidR="002D4223">
            <w:t xml:space="preserve">dit punt </w:t>
          </w:r>
          <w:r>
            <w:t>aan te vullen.</w:t>
          </w:r>
        </w:p>
        <w:p w:rsidR="00CC7724" w:rsidP="00CC7724" w:rsidRDefault="00CC7724" w14:paraId="49E0CF17" w14:textId="77777777">
          <w:pPr>
            <w:rPr>
              <w:b/>
            </w:rPr>
          </w:pPr>
          <w:r>
            <w:rPr>
              <w:b/>
            </w:rPr>
            <w:br w:type="page"/>
          </w:r>
        </w:p>
        <w:p w:rsidRPr="002837F9" w:rsidR="00CC7724" w:rsidP="00CC7724" w:rsidRDefault="00CC7724" w14:paraId="5075783A" w14:textId="77777777">
          <w:pPr>
            <w:rPr>
              <w:b/>
            </w:rPr>
          </w:pPr>
          <w:r w:rsidRPr="002837F9">
            <w:rPr>
              <w:b/>
            </w:rPr>
            <w:lastRenderedPageBreak/>
            <w:t>Figuur D.</w:t>
          </w:r>
          <w:r>
            <w:rPr>
              <w:b/>
            </w:rPr>
            <w:t>5</w:t>
          </w:r>
          <w:r w:rsidRPr="002837F9">
            <w:rPr>
              <w:b/>
            </w:rPr>
            <w:t xml:space="preserve">. Beleidsmatige lastenontwikkeling (blo) naar </w:t>
          </w:r>
          <w:r>
            <w:rPr>
              <w:b/>
              <w:bCs/>
            </w:rPr>
            <w:t>arbeid, kapitaal en consumptie</w:t>
          </w:r>
          <w:r w:rsidRPr="002837F9">
            <w:rPr>
              <w:b/>
            </w:rPr>
            <w:t>, 2026-2027</w:t>
          </w:r>
        </w:p>
        <w:p w:rsidR="00CC7724" w:rsidP="00CC7724" w:rsidRDefault="00CC7724" w14:paraId="45921EDD" w14:textId="77777777">
          <w:pPr>
            <w:rPr>
              <w:b/>
            </w:rPr>
          </w:pPr>
        </w:p>
        <w:p w:rsidRPr="002837F9" w:rsidR="00CC7724" w:rsidP="00CC7724" w:rsidRDefault="00CC7724" w14:paraId="11B6DD4E" w14:textId="77777777">
          <w:pPr>
            <w:rPr>
              <w:b/>
            </w:rPr>
          </w:pPr>
          <w:r w:rsidRPr="00AA541A">
            <w:rPr>
              <w:b/>
              <w:noProof/>
            </w:rPr>
            <w:drawing>
              <wp:inline distT="0" distB="0" distL="0" distR="0" wp14:anchorId="622248F8" wp14:editId="58564DE0">
                <wp:extent cx="5100358" cy="3714750"/>
                <wp:effectExtent l="0" t="0" r="5080" b="0"/>
                <wp:docPr id="18126689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68950" name=""/>
                        <pic:cNvPicPr/>
                      </pic:nvPicPr>
                      <pic:blipFill>
                        <a:blip r:embed="rId15"/>
                        <a:stretch>
                          <a:fillRect/>
                        </a:stretch>
                      </pic:blipFill>
                      <pic:spPr>
                        <a:xfrm>
                          <a:off x="0" y="0"/>
                          <a:ext cx="5102140" cy="3716048"/>
                        </a:xfrm>
                        <a:prstGeom prst="rect">
                          <a:avLst/>
                        </a:prstGeom>
                      </pic:spPr>
                    </pic:pic>
                  </a:graphicData>
                </a:graphic>
              </wp:inline>
            </w:drawing>
          </w:r>
        </w:p>
        <w:p w:rsidR="00CC7724" w:rsidP="00CC7724" w:rsidRDefault="00CC7724" w14:paraId="2F54A4B9" w14:textId="77777777"/>
        <w:p w:rsidRPr="002837F9" w:rsidR="00CC7724" w:rsidP="00CC7724" w:rsidRDefault="00CC7724" w14:paraId="5D400733" w14:textId="77777777">
          <w:pPr>
            <w:rPr>
              <w:i/>
              <w:sz w:val="18"/>
              <w:szCs w:val="18"/>
            </w:rPr>
          </w:pPr>
          <w:r w:rsidRPr="002837F9">
            <w:rPr>
              <w:i/>
              <w:sz w:val="18"/>
              <w:szCs w:val="18"/>
            </w:rPr>
            <w:t>Bron: Centraal Planbureau, Concept MEV 2027</w:t>
          </w:r>
        </w:p>
        <w:p w:rsidR="00CC7724" w:rsidP="00CC7724" w:rsidRDefault="00CC7724" w14:paraId="7C611FFE" w14:textId="77777777"/>
        <w:p w:rsidR="00CC7724" w:rsidP="00CC7724" w:rsidRDefault="00CC7724" w14:paraId="351545C4" w14:textId="77777777">
          <w:pPr>
            <w:rPr>
              <w:i/>
            </w:rPr>
          </w:pPr>
          <w:r w:rsidRPr="00D21876">
            <w:rPr>
              <w:i/>
            </w:rPr>
            <w:t xml:space="preserve">Beperk inzet van </w:t>
          </w:r>
          <w:proofErr w:type="spellStart"/>
          <w:r w:rsidRPr="00D21876">
            <w:rPr>
              <w:i/>
            </w:rPr>
            <w:t>Aof</w:t>
          </w:r>
          <w:proofErr w:type="spellEnd"/>
          <w:r w:rsidRPr="00D21876">
            <w:rPr>
              <w:i/>
            </w:rPr>
            <w:t>-middelen voor oneigenlijke doelen</w:t>
          </w:r>
        </w:p>
        <w:p w:rsidRPr="00D21876" w:rsidR="00CC7724" w:rsidP="00CC7724" w:rsidRDefault="00CC7724" w14:paraId="17E477AD" w14:textId="77777777">
          <w:r w:rsidRPr="00D21876">
            <w:t xml:space="preserve">Het kabinet verhoogt in 2027 de </w:t>
          </w:r>
          <w:r>
            <w:t>premie voor het Arbeidsongeschiktheidsfonds (</w:t>
          </w:r>
          <w:proofErr w:type="spellStart"/>
          <w:r w:rsidRPr="00D21876">
            <w:t>Aof</w:t>
          </w:r>
          <w:proofErr w:type="spellEnd"/>
          <w:r w:rsidRPr="00D21876">
            <w:t>-premie</w:t>
          </w:r>
          <w:r>
            <w:t>)</w:t>
          </w:r>
          <w:r w:rsidRPr="00D21876">
            <w:t xml:space="preserve">. Hoewel deze premieverhoging door bedrijven wordt afgedragen, wordt naar schatting 75% uiteindelijk betaald door werknemers. Daarmee is deze premieverhoging vooral een extra belasting op arbeid. </w:t>
          </w:r>
        </w:p>
        <w:p w:rsidRPr="00D21876" w:rsidR="00CC7724" w:rsidP="00CC7724" w:rsidRDefault="00CC7724" w14:paraId="32CFD7E1" w14:textId="77777777"/>
        <w:p w:rsidRPr="00D21876" w:rsidR="00CC7724" w:rsidP="00CC7724" w:rsidRDefault="00CC7724" w14:paraId="6A9996C5" w14:textId="4564C6F8">
          <w:r w:rsidRPr="00D21876">
            <w:t>Het vermogen van het Arbeidsongeschiktheidsfonds (</w:t>
          </w:r>
          <w:proofErr w:type="spellStart"/>
          <w:r w:rsidRPr="00D21876">
            <w:t>Aof</w:t>
          </w:r>
          <w:proofErr w:type="spellEnd"/>
          <w:r w:rsidRPr="00D21876">
            <w:t xml:space="preserve">-fonds) is sinds 2015 toegenomen </w:t>
          </w:r>
          <w:r>
            <w:t>van</w:t>
          </w:r>
          <w:r w:rsidRPr="00D21876">
            <w:t xml:space="preserve"> </w:t>
          </w:r>
          <w:r>
            <w:t>minder dan €</w:t>
          </w:r>
          <w:r w:rsidR="002D4223">
            <w:t> </w:t>
          </w:r>
          <w:r>
            <w:t xml:space="preserve">1 mld. </w:t>
          </w:r>
          <w:r w:rsidRPr="00D21876">
            <w:t xml:space="preserve">tot </w:t>
          </w:r>
          <w:r>
            <w:t>bijna €</w:t>
          </w:r>
          <w:r w:rsidR="002D4223">
            <w:t> </w:t>
          </w:r>
          <w:r>
            <w:t>45 mld. in 2026</w:t>
          </w:r>
          <w:r w:rsidRPr="00D21876">
            <w:t>. Voor een deel komt dit doordat de premie-inkomsten door een stijging van de lonen en de arbeidsparticipatie meer toenemen dan de uitgaven. Belangrijk zijn echter ook beleidsmatige verhogingen van de premies in deze periode</w:t>
          </w:r>
          <w:r>
            <w:t xml:space="preserve">. Het basistarief van de </w:t>
          </w:r>
          <w:proofErr w:type="spellStart"/>
          <w:r>
            <w:t>Aof</w:t>
          </w:r>
          <w:proofErr w:type="spellEnd"/>
          <w:r>
            <w:t xml:space="preserve">-premie steeg van 5,3% in 2015 naar 7,4% in 2026. </w:t>
          </w:r>
          <w:r w:rsidRPr="00D21876">
            <w:t xml:space="preserve">Vanuit het perspectief van de sociale verzekeringen en het doel van het Arbeidsongeschiktheidsfonds is de beoogde verdere premieverhoging dan ook </w:t>
          </w:r>
          <w:r>
            <w:t>onlogisch</w:t>
          </w:r>
          <w:r w:rsidRPr="00D21876">
            <w:t>.</w:t>
          </w:r>
        </w:p>
        <w:p w:rsidRPr="00D21876" w:rsidR="00CC7724" w:rsidP="00CC7724" w:rsidRDefault="00CC7724" w14:paraId="213A0113" w14:textId="77777777"/>
        <w:p w:rsidR="0080574A" w:rsidP="00CC7724" w:rsidRDefault="00CC7724" w14:paraId="18A0E009" w14:textId="77777777">
          <w:r w:rsidRPr="00D21876">
            <w:t xml:space="preserve">De </w:t>
          </w:r>
          <w:proofErr w:type="spellStart"/>
          <w:r>
            <w:t>Aof</w:t>
          </w:r>
          <w:proofErr w:type="spellEnd"/>
          <w:r>
            <w:t>-</w:t>
          </w:r>
          <w:r w:rsidRPr="00D21876">
            <w:t>premie wordt</w:t>
          </w:r>
          <w:r>
            <w:t>, in overeenstemming met de afspraken die in het Coalitieakkoord zijn gemaakt,</w:t>
          </w:r>
          <w:r w:rsidRPr="00D21876">
            <w:t xml:space="preserve"> in de begroting van 2027 </w:t>
          </w:r>
          <w:r>
            <w:t xml:space="preserve">verhoogd om redenen die </w:t>
          </w:r>
          <w:r w:rsidRPr="00D21876">
            <w:t>buiten de sociale verzekeringssfeer</w:t>
          </w:r>
          <w:r>
            <w:t xml:space="preserve"> vallen</w:t>
          </w:r>
          <w:r w:rsidR="006C6C1A">
            <w:t>. Be</w:t>
          </w:r>
          <w:r w:rsidR="003B0591">
            <w:t xml:space="preserve">oogd wordt </w:t>
          </w:r>
          <w:r>
            <w:t xml:space="preserve">door een verbetering van het EMU-saldo ruimte te creëren voor extra overheidsuitgaven. Het is dus niet zo dat met de verhoging van de </w:t>
          </w:r>
          <w:proofErr w:type="spellStart"/>
          <w:r>
            <w:t>Aof</w:t>
          </w:r>
          <w:proofErr w:type="spellEnd"/>
          <w:r>
            <w:t xml:space="preserve">-premie direct andere uitgaven worden </w:t>
          </w:r>
          <w:r>
            <w:lastRenderedPageBreak/>
            <w:t xml:space="preserve">gefinancierd. </w:t>
          </w:r>
          <w:r w:rsidRPr="00D21876">
            <w:t xml:space="preserve">De </w:t>
          </w:r>
          <w:proofErr w:type="spellStart"/>
          <w:r w:rsidRPr="00D21876">
            <w:t>Aof</w:t>
          </w:r>
          <w:proofErr w:type="spellEnd"/>
          <w:r w:rsidRPr="00D21876">
            <w:t xml:space="preserve">-premie is </w:t>
          </w:r>
          <w:r>
            <w:t xml:space="preserve">echter </w:t>
          </w:r>
          <w:r w:rsidRPr="00D21876">
            <w:t xml:space="preserve">bedoeld voor de financiering van een verzekering ter dekking van de lasten bij arbeidsongeschiktheid van werknemers. De </w:t>
          </w:r>
          <w:r>
            <w:t>premies</w:t>
          </w:r>
          <w:r w:rsidRPr="00D21876">
            <w:t xml:space="preserve"> </w:t>
          </w:r>
          <w:r>
            <w:t xml:space="preserve">komen uiteindelijk voor een groot deel ten laste van </w:t>
          </w:r>
          <w:r w:rsidRPr="00D21876">
            <w:t xml:space="preserve">diezelfde werknemers. </w:t>
          </w:r>
        </w:p>
        <w:p w:rsidR="0080574A" w:rsidP="00CC7724" w:rsidRDefault="0080574A" w14:paraId="42A45713" w14:textId="77777777"/>
        <w:p w:rsidRPr="00D21876" w:rsidR="00CC7724" w:rsidP="00CC7724" w:rsidRDefault="00CC7724" w14:paraId="4947F2E5" w14:textId="6EBF797B">
          <w:r>
            <w:t xml:space="preserve">Bij een steeds toenemend vermogen is op een bepaald moment niet meer aannemelijk dat de bijeengebrachte middelen ook daadwerkelijk voor dat doel worden gebruikt. </w:t>
          </w:r>
          <w:r w:rsidRPr="00D21876">
            <w:t xml:space="preserve">Vanuit dat oogpunt is de </w:t>
          </w:r>
          <w:r>
            <w:t xml:space="preserve">voorgestelde </w:t>
          </w:r>
          <w:r w:rsidRPr="00D21876">
            <w:t xml:space="preserve">verhoging </w:t>
          </w:r>
          <w:r>
            <w:t xml:space="preserve">behalve onlogisch ook </w:t>
          </w:r>
          <w:r w:rsidRPr="00D21876">
            <w:t>oneigenlijk te noemen. Dit komt ook de transparantie van de Rijksbegroting niet ten goede.</w:t>
          </w:r>
        </w:p>
        <w:p w:rsidRPr="00D21876" w:rsidR="00CC7724" w:rsidP="00CC7724" w:rsidRDefault="00CC7724" w14:paraId="683E0F7C" w14:textId="77777777"/>
        <w:p w:rsidR="00CC7724" w:rsidP="00CC7724" w:rsidRDefault="00CC7724" w14:paraId="2FE4EF26" w14:textId="77777777">
          <w:r>
            <w:t xml:space="preserve">De Afdeling adviseert om een verhoging van de </w:t>
          </w:r>
          <w:proofErr w:type="spellStart"/>
          <w:r>
            <w:t>Aof</w:t>
          </w:r>
          <w:proofErr w:type="spellEnd"/>
          <w:r>
            <w:t xml:space="preserve">-premie om andere redenen dan </w:t>
          </w:r>
          <w:r w:rsidRPr="00D21876">
            <w:t>ter dekking van de lasten bij arbeidsongeschiktheid van werknemers</w:t>
          </w:r>
          <w:r>
            <w:t xml:space="preserve"> dragend te motiveren of anders aan te passen. </w:t>
          </w:r>
        </w:p>
        <w:p w:rsidR="00CC7724" w:rsidP="00CC7724" w:rsidRDefault="00CC7724" w14:paraId="7CB75C3E" w14:textId="77777777">
          <w:pPr>
            <w:rPr>
              <w:u w:val="single"/>
            </w:rPr>
          </w:pPr>
        </w:p>
        <w:p w:rsidR="00CC7724" w:rsidP="00CC7724" w:rsidRDefault="00CC7724" w14:paraId="215AB5C1" w14:textId="77777777">
          <w:pPr>
            <w:pBdr>
              <w:top w:val="nil"/>
              <w:left w:val="nil"/>
              <w:bottom w:val="nil"/>
              <w:right w:val="nil"/>
              <w:between w:val="nil"/>
              <w:bar w:val="nil"/>
            </w:pBdr>
          </w:pPr>
          <w:r>
            <w:t>E.</w:t>
          </w:r>
          <w:r>
            <w:tab/>
            <w:t>REACTIE VAN DE REGERING</w:t>
          </w:r>
        </w:p>
        <w:p w:rsidRPr="00A725BF" w:rsidR="00A725BF" w:rsidP="00A725BF" w:rsidRDefault="00A725BF" w14:paraId="27633E29" w14:textId="77777777">
          <w:pPr>
            <w:pBdr>
              <w:top w:val="nil"/>
              <w:left w:val="nil"/>
              <w:bottom w:val="nil"/>
              <w:right w:val="nil"/>
              <w:between w:val="nil"/>
              <w:bar w:val="nil"/>
            </w:pBdr>
          </w:pPr>
        </w:p>
        <w:p w:rsidRPr="00A725BF" w:rsidR="00A725BF" w:rsidP="00A725BF" w:rsidRDefault="00A725BF" w14:paraId="25545FDF" w14:textId="20ED9BFC">
          <w:pPr>
            <w:pBdr>
              <w:top w:val="nil"/>
              <w:left w:val="nil"/>
              <w:bottom w:val="nil"/>
              <w:right w:val="nil"/>
              <w:between w:val="nil"/>
              <w:bar w:val="nil"/>
            </w:pBdr>
          </w:pPr>
          <w:r w:rsidRPr="00A725BF">
            <w:t xml:space="preserve">Het kabinet dankt de Afdeling advisering van de Raad van State (hierna: de Afdeling) voor haar oordeel over de ontwikkeling van de overheidsfinanciën en in hoeverre deze ontwikkeling voldoet aan de regels uit het Stabiliteits- en Groeipact (SGP) en de nationale begrotingsafspraken. Hierbij reageert het kabinet puntsgewijs op de aanbevelingen en opmerkingen van de Afdeling zoals beschreven in de </w:t>
          </w:r>
          <w:r>
            <w:t>S</w:t>
          </w:r>
          <w:r w:rsidRPr="00A725BF">
            <w:t>eptemberrapportage ten aanzien van de Europese begrotingstoetsing en de nationale begrotingstoetsing. De bredere adviezen over de Miljoenennota worden behandeld in het nader rapport, dat tegelijkertijd met de Miljoenennota 2027 naar het parlement is verstuurd.</w:t>
          </w:r>
        </w:p>
        <w:p w:rsidRPr="00A725BF" w:rsidR="00A725BF" w:rsidP="00A725BF" w:rsidRDefault="00A725BF" w14:paraId="30EEB199" w14:textId="77777777">
          <w:pPr>
            <w:pBdr>
              <w:top w:val="nil"/>
              <w:left w:val="nil"/>
              <w:bottom w:val="nil"/>
              <w:right w:val="nil"/>
              <w:between w:val="nil"/>
              <w:bar w:val="nil"/>
            </w:pBdr>
          </w:pPr>
        </w:p>
        <w:p w:rsidRPr="00A725BF" w:rsidR="00A725BF" w:rsidP="00A725BF" w:rsidRDefault="00A725BF" w14:paraId="50200E47" w14:textId="77777777">
          <w:pPr>
            <w:pBdr>
              <w:top w:val="nil"/>
              <w:left w:val="nil"/>
              <w:bottom w:val="nil"/>
              <w:right w:val="nil"/>
              <w:between w:val="nil"/>
              <w:bar w:val="nil"/>
            </w:pBdr>
            <w:rPr>
              <w:i/>
              <w:iCs/>
            </w:rPr>
          </w:pPr>
          <w:r w:rsidRPr="00A725BF">
            <w:rPr>
              <w:i/>
              <w:iCs/>
            </w:rPr>
            <w:t>Europese begrotingstoetsing</w:t>
          </w:r>
        </w:p>
        <w:p w:rsidR="002000D3" w:rsidP="00A725BF" w:rsidRDefault="00A725BF" w14:paraId="6C48BA81" w14:textId="240BBB7D">
          <w:pPr>
            <w:pBdr>
              <w:top w:val="nil"/>
              <w:left w:val="nil"/>
              <w:bottom w:val="nil"/>
              <w:right w:val="nil"/>
              <w:between w:val="nil"/>
              <w:bar w:val="nil"/>
            </w:pBdr>
          </w:pPr>
          <w:r w:rsidRPr="00A725BF">
            <w:t xml:space="preserve">In de </w:t>
          </w:r>
          <w:r w:rsidR="002000D3">
            <w:t>S</w:t>
          </w:r>
          <w:r w:rsidRPr="00A725BF">
            <w:t xml:space="preserve">eptemberrapportage toetst de Afdeling of de begroting voldoet aan de Europese begrotingsregels zoals vastgelegd in het SGP. De Afdeling kijkt hierbij naar de ramingen van de overheidsfinanciën uit de Macro Economische Verkenningen (MEV) van het Centraal Planbureau (CPB). Het tekort komt volgens het CPB in 2026 uit op 2,7% bbp en op 2,2% bbp in 2027. Het CPB raamt de EMU-schuld op 46,1% bbp in 2026 en 46,7% bbp in 2027. Op basis hiervan concludeert de Afdeling dat zowel het tekort als de schuld voldoen aan de Europese vereisten voor het maximale tekort (3% bbp) en de maximale schuld (60% bbp). </w:t>
          </w:r>
        </w:p>
        <w:p w:rsidR="002000D3" w:rsidP="00A725BF" w:rsidRDefault="002000D3" w14:paraId="39C7E32D" w14:textId="77777777">
          <w:pPr>
            <w:pBdr>
              <w:top w:val="nil"/>
              <w:left w:val="nil"/>
              <w:bottom w:val="nil"/>
              <w:right w:val="nil"/>
              <w:between w:val="nil"/>
              <w:bar w:val="nil"/>
            </w:pBdr>
          </w:pPr>
        </w:p>
        <w:p w:rsidRPr="00A725BF" w:rsidR="00A725BF" w:rsidP="00A725BF" w:rsidRDefault="00A725BF" w14:paraId="78D08F82" w14:textId="3D27C546">
          <w:pPr>
            <w:pBdr>
              <w:top w:val="nil"/>
              <w:left w:val="nil"/>
              <w:bottom w:val="nil"/>
              <w:right w:val="nil"/>
              <w:between w:val="nil"/>
              <w:bar w:val="nil"/>
            </w:pBdr>
          </w:pPr>
          <w:r w:rsidRPr="00A725BF">
            <w:t>De Afdeling concludeert voorts dat Nederland naar verwachting een hogere uitgavengroei laat zien dan genormeerd. De geraamde uitgavengroei overschrijdt zowel in 2026 (4,9%) als 2027 (4,7%) de maximaal toegestane uitgavengroei zoals aanbevolen door de Raad van de Europese Unie (4,7% in 2026 en 3,5% in 2027). In 2026 blijft deze overschrijding binnen de maximaal toegestane jaarlijkse drempelwaarde, maar in 2027 worden zowel de jaarlijkse als cumulatieve drempelwaarden overschreden.</w:t>
          </w:r>
          <w:r w:rsidRPr="00A725BF">
            <w:rPr>
              <w:vertAlign w:val="superscript"/>
            </w:rPr>
            <w:footnoteReference w:id="96"/>
          </w:r>
          <w:r w:rsidRPr="00A725BF">
            <w:t xml:space="preserve"> De Afdeling stelt dat deze overschrijding niet </w:t>
          </w:r>
          <w:r w:rsidRPr="00A725BF">
            <w:lastRenderedPageBreak/>
            <w:t>uitsluitend een boekhoudkundig karakter heeft, maar mede deels het gevolg is van de augustusbesluitvorming. De overschrijding blijft zonder directe gevolgen omdat de EMU-schuld naar verwachting ruimschoots onder de referentiewaarde van 60% bbp blijf. Wel leidt het ertoe dat de overheidsfinanciën op de middellange termijn de referentiewaarden zullen overschrijden.</w:t>
          </w:r>
        </w:p>
        <w:p w:rsidRPr="00A725BF" w:rsidR="00A725BF" w:rsidP="00A725BF" w:rsidRDefault="00A725BF" w14:paraId="741E66A2" w14:textId="77777777">
          <w:pPr>
            <w:pBdr>
              <w:top w:val="nil"/>
              <w:left w:val="nil"/>
              <w:bottom w:val="nil"/>
              <w:right w:val="nil"/>
              <w:between w:val="nil"/>
              <w:bar w:val="nil"/>
            </w:pBdr>
          </w:pPr>
        </w:p>
        <w:p w:rsidR="005E2534" w:rsidP="00A725BF" w:rsidRDefault="00A725BF" w14:paraId="5BA3D04A" w14:textId="77777777">
          <w:pPr>
            <w:pBdr>
              <w:top w:val="nil"/>
              <w:left w:val="nil"/>
              <w:bottom w:val="nil"/>
              <w:right w:val="nil"/>
              <w:between w:val="nil"/>
              <w:bar w:val="nil"/>
            </w:pBdr>
          </w:pPr>
          <w:r w:rsidRPr="00A725BF">
            <w:t xml:space="preserve">Het kabinet onderschrijft de beoordeling van de Afdeling over de naleving van de Europese begrotingsregels. Het kabinet heeft zich gecommitteerd aan de Europese referentiewaarden voor het tekort (3% bbp) en de schuld (60% bbp). Het kabinet presenteert met de Miljoenennota over de </w:t>
          </w:r>
          <w:proofErr w:type="spellStart"/>
          <w:r w:rsidRPr="00A725BF">
            <w:t>meerjarenperiode</w:t>
          </w:r>
          <w:proofErr w:type="spellEnd"/>
          <w:r w:rsidRPr="00A725BF">
            <w:t xml:space="preserve"> een gedekte begroting, die wel leidt tot een overschrijding van het Europese </w:t>
          </w:r>
          <w:proofErr w:type="spellStart"/>
          <w:r w:rsidRPr="00A725BF">
            <w:t>uitgavenpad</w:t>
          </w:r>
          <w:proofErr w:type="spellEnd"/>
          <w:r w:rsidRPr="00A725BF">
            <w:t xml:space="preserve"> in 2026 en 2027. Daarbij past de nuancering dat dit effect deels statistisch is, doordat de hogere inkomsten als gevolg van een hogere inflatie niet worden meegerekend in de maximaal toegestane uitgavengroei, terwijl het opwaartse effect van hogere inflatie op overheidsbestedingen wel doorwerkt. </w:t>
          </w:r>
        </w:p>
        <w:p w:rsidR="005E2534" w:rsidP="00A725BF" w:rsidRDefault="005E2534" w14:paraId="173E2D23" w14:textId="77777777">
          <w:pPr>
            <w:pBdr>
              <w:top w:val="nil"/>
              <w:left w:val="nil"/>
              <w:bottom w:val="nil"/>
              <w:right w:val="nil"/>
              <w:between w:val="nil"/>
              <w:bar w:val="nil"/>
            </w:pBdr>
          </w:pPr>
        </w:p>
        <w:p w:rsidRPr="00A725BF" w:rsidR="00A725BF" w:rsidP="00A725BF" w:rsidRDefault="00A725BF" w14:paraId="4D545128" w14:textId="367A91F5">
          <w:pPr>
            <w:pBdr>
              <w:top w:val="nil"/>
              <w:left w:val="nil"/>
              <w:bottom w:val="nil"/>
              <w:right w:val="nil"/>
              <w:between w:val="nil"/>
              <w:bar w:val="nil"/>
            </w:pBdr>
          </w:pPr>
          <w:r w:rsidRPr="00A725BF">
            <w:t>Het kabinet erkent dat de overschrijding ook deels het gevolg is van de politieke weging die in de Miljoenennota besloten ligt, bijvoorbeeld door het uitstel van het eigen risico. Zolang de Nederlandse overheidsfinanciën binnen deze referentiewaarden blijven, kan de Raad van de Europese Unie, op aanbeveling van de Europese Commissie, geen handhavingsmaatregelen opleggen. Ten slotte onderschrijft het kabinet dat de overheidsfinanciën bij ongewijzigd beleid verslechteren in de toekomst. Daarom zet het kabinet in overleg met sociale partners in op hervormingen in de sociale zekerheid en zorg om deze stelsels bestendig te houden en geen aanvullende rekeningen door te schuiven naar toekomstige generaties.</w:t>
          </w:r>
        </w:p>
        <w:p w:rsidRPr="00A725BF" w:rsidR="00A725BF" w:rsidP="00A725BF" w:rsidRDefault="00A725BF" w14:paraId="36BA528F" w14:textId="77777777">
          <w:pPr>
            <w:pBdr>
              <w:top w:val="nil"/>
              <w:left w:val="nil"/>
              <w:bottom w:val="nil"/>
              <w:right w:val="nil"/>
              <w:between w:val="nil"/>
              <w:bar w:val="nil"/>
            </w:pBdr>
          </w:pPr>
        </w:p>
        <w:p w:rsidRPr="00A725BF" w:rsidR="00A725BF" w:rsidP="00A725BF" w:rsidRDefault="00A725BF" w14:paraId="24FE086D" w14:textId="77777777">
          <w:pPr>
            <w:pBdr>
              <w:top w:val="nil"/>
              <w:left w:val="nil"/>
              <w:bottom w:val="nil"/>
              <w:right w:val="nil"/>
              <w:between w:val="nil"/>
              <w:bar w:val="nil"/>
            </w:pBdr>
            <w:rPr>
              <w:i/>
              <w:iCs/>
            </w:rPr>
          </w:pPr>
          <w:r w:rsidRPr="00A725BF">
            <w:rPr>
              <w:i/>
              <w:iCs/>
            </w:rPr>
            <w:t xml:space="preserve">Nationale begrotingstoetsing </w:t>
          </w:r>
        </w:p>
        <w:p w:rsidR="00A725BF" w:rsidP="00A725BF" w:rsidRDefault="00A725BF" w14:paraId="4095F438" w14:textId="77777777">
          <w:pPr>
            <w:pBdr>
              <w:top w:val="nil"/>
              <w:left w:val="nil"/>
              <w:bottom w:val="nil"/>
              <w:right w:val="nil"/>
              <w:between w:val="nil"/>
              <w:bar w:val="nil"/>
            </w:pBdr>
          </w:pPr>
          <w:r w:rsidRPr="00A725BF">
            <w:t xml:space="preserve">De Afdeling constateert dat het kabinet met het voorgenomen maatregelenpakket grotendeels een trendmatig begrotingsbeleid voert. De Afdeling constateert dat het inkomstenkader in 2026 en 2027 gemiddeld sluit, maar cumulatief over de jaren 2026-2030 niet sluit. Ook constateert de Afdeling dat de uitgaven in 2026 en 2027 binnen het uitgavenkader blijven op basis van de cijfers van het ministerie van Financiën, maar dat de cijfers van het CPB een overschrijding van het uitgavenkader laten zien in 2026. Dit komt door een verschil in de verwachte </w:t>
          </w:r>
          <w:proofErr w:type="spellStart"/>
          <w:r w:rsidRPr="00A725BF">
            <w:t>onderuitputting</w:t>
          </w:r>
          <w:proofErr w:type="spellEnd"/>
          <w:r w:rsidRPr="00A725BF">
            <w:t>.</w:t>
          </w:r>
        </w:p>
        <w:p w:rsidRPr="00A725BF" w:rsidR="005E2534" w:rsidP="00A725BF" w:rsidRDefault="005E2534" w14:paraId="562D55D9" w14:textId="77777777">
          <w:pPr>
            <w:pBdr>
              <w:top w:val="nil"/>
              <w:left w:val="nil"/>
              <w:bottom w:val="nil"/>
              <w:right w:val="nil"/>
              <w:between w:val="nil"/>
              <w:bar w:val="nil"/>
            </w:pBdr>
          </w:pPr>
        </w:p>
        <w:p w:rsidRPr="00A725BF" w:rsidR="00A725BF" w:rsidP="00A725BF" w:rsidRDefault="00A725BF" w14:paraId="53C6F224" w14:textId="77777777">
          <w:pPr>
            <w:pBdr>
              <w:top w:val="nil"/>
              <w:left w:val="nil"/>
              <w:bottom w:val="nil"/>
              <w:right w:val="nil"/>
              <w:between w:val="nil"/>
              <w:bar w:val="nil"/>
            </w:pBdr>
            <w:rPr>
              <w:i/>
              <w:iCs/>
            </w:rPr>
          </w:pPr>
          <w:r w:rsidRPr="00A725BF">
            <w:t xml:space="preserve">De Afdeling kan zich daarnaast vinden in de manier waarop het uitgavenkader is aangepast. In de begrotingsregels staat niet dat kasschuiven een reden zijn om de kaders bij te stellen, maar de Afdeling begrijpt dat inschattingen van uitgaven soms moeten worden bijgesteld, wat consequenties heeft voor de plafonds. De Afdeling heeft niet geconstateerd dat maatregelen aan de inkomstenkant direct zijn gerelateerd aan maatregelen aan de uitgavenkant. Ten slotte valt het de Afdeling op dat extra uitgaven worden gedekt door kasschuiven en aanvullende </w:t>
          </w:r>
          <w:proofErr w:type="spellStart"/>
          <w:r w:rsidRPr="00A725BF">
            <w:lastRenderedPageBreak/>
            <w:t>onderuitputting</w:t>
          </w:r>
          <w:proofErr w:type="spellEnd"/>
          <w:r w:rsidRPr="00A725BF">
            <w:t xml:space="preserve"> die niet wordt gespecificeerd (zie ook onder </w:t>
          </w:r>
          <w:r w:rsidRPr="00A725BF">
            <w:rPr>
              <w:i/>
              <w:iCs/>
            </w:rPr>
            <w:t>aanvullende adviezen)</w:t>
          </w:r>
          <w:r w:rsidRPr="00A725BF">
            <w:t>.</w:t>
          </w:r>
        </w:p>
        <w:p w:rsidRPr="00A725BF" w:rsidR="00A725BF" w:rsidP="00A725BF" w:rsidRDefault="00A725BF" w14:paraId="12443B34" w14:textId="77777777">
          <w:pPr>
            <w:pBdr>
              <w:top w:val="nil"/>
              <w:left w:val="nil"/>
              <w:bottom w:val="nil"/>
              <w:right w:val="nil"/>
              <w:between w:val="nil"/>
              <w:bar w:val="nil"/>
            </w:pBdr>
          </w:pPr>
        </w:p>
        <w:p w:rsidR="005E2534" w:rsidP="00A725BF" w:rsidRDefault="00A725BF" w14:paraId="45EB18C1" w14:textId="77777777">
          <w:pPr>
            <w:pBdr>
              <w:top w:val="nil"/>
              <w:left w:val="nil"/>
              <w:bottom w:val="nil"/>
              <w:right w:val="nil"/>
              <w:between w:val="nil"/>
              <w:bar w:val="nil"/>
            </w:pBdr>
          </w:pPr>
          <w:r w:rsidRPr="00A725BF">
            <w:t xml:space="preserve">Het kabinet beaamt de conclusie van de Afdeling dat met dit pakket het trendmatig begrotingsbeleid gevoerd wordt. De augustusbesluitvorming zorgt ervoor dat het afgesproken inkomstenkader wordt overschreden (tekort) met 2,7 miljard euro en het uitgavenkader wordt onderschreden met cumulatief 2,7 miljard euro over de </w:t>
          </w:r>
          <w:proofErr w:type="spellStart"/>
          <w:r w:rsidRPr="00A725BF">
            <w:t>meerjarenperiode</w:t>
          </w:r>
          <w:proofErr w:type="spellEnd"/>
          <w:r w:rsidRPr="00A725BF">
            <w:t xml:space="preserve">. In de politieke weging is het financiële kader herijkt. De ruimte is onder andere benut voor lastenverlichting. Om dit te reflecteren kiest het kabinet ervoor om zowel het uitgavenkader als het inkomstenkader cumulatief met 2,7 miljard euro te verlagen. Het inkomstenkader en het uitgavenkader worden daarbij voor ieder jaar en structureel gesloten. </w:t>
          </w:r>
        </w:p>
        <w:p w:rsidR="005E2534" w:rsidP="00A725BF" w:rsidRDefault="005E2534" w14:paraId="0D4B2FE6" w14:textId="77777777">
          <w:pPr>
            <w:pBdr>
              <w:top w:val="nil"/>
              <w:left w:val="nil"/>
              <w:bottom w:val="nil"/>
              <w:right w:val="nil"/>
              <w:between w:val="nil"/>
              <w:bar w:val="nil"/>
            </w:pBdr>
          </w:pPr>
        </w:p>
        <w:p w:rsidRPr="00A725BF" w:rsidR="00A725BF" w:rsidP="00A725BF" w:rsidRDefault="00A725BF" w14:paraId="5E9FF17C" w14:textId="67218DD6">
          <w:pPr>
            <w:pBdr>
              <w:top w:val="nil"/>
              <w:left w:val="nil"/>
              <w:bottom w:val="nil"/>
              <w:right w:val="nil"/>
              <w:between w:val="nil"/>
              <w:bar w:val="nil"/>
            </w:pBdr>
          </w:pPr>
          <w:r w:rsidRPr="00A725BF">
            <w:t>Het kabinet dankt de Afdeling voor het begrip voor de aanpassingen van het uitgavenkader. Met het oog op realistisch ramen moeten inschattingen voor uitgaven soms worden bijgesteld. Het is niet altijd mogelijk om bijstellingen ten behoeve van realistisch ramen in te passen onder het uitgavenkader. Door het kader aan te passen voor kasschuiven wordt voorkomen dat bijstellingen ten behoeve van realistisch ramen zorgen voor een over- of onderschrijding van het uitgavenkader.</w:t>
          </w:r>
        </w:p>
        <w:p w:rsidRPr="00A725BF" w:rsidR="00A725BF" w:rsidP="00A725BF" w:rsidRDefault="00A725BF" w14:paraId="390019B5" w14:textId="77777777">
          <w:pPr>
            <w:pBdr>
              <w:top w:val="nil"/>
              <w:left w:val="nil"/>
              <w:bottom w:val="nil"/>
              <w:right w:val="nil"/>
              <w:between w:val="nil"/>
              <w:bar w:val="nil"/>
            </w:pBdr>
          </w:pPr>
        </w:p>
        <w:p w:rsidRPr="00A725BF" w:rsidR="00A725BF" w:rsidP="00A725BF" w:rsidRDefault="00A725BF" w14:paraId="53E711AA" w14:textId="77777777">
          <w:pPr>
            <w:pBdr>
              <w:top w:val="nil"/>
              <w:left w:val="nil"/>
              <w:bottom w:val="nil"/>
              <w:right w:val="nil"/>
              <w:between w:val="nil"/>
              <w:bar w:val="nil"/>
            </w:pBdr>
            <w:rPr>
              <w:i/>
              <w:iCs/>
            </w:rPr>
          </w:pPr>
          <w:r w:rsidRPr="00A725BF">
            <w:rPr>
              <w:i/>
              <w:iCs/>
            </w:rPr>
            <w:t>Begrotingsproces</w:t>
          </w:r>
        </w:p>
        <w:p w:rsidRPr="00A725BF" w:rsidR="00A725BF" w:rsidP="00A725BF" w:rsidRDefault="00A725BF" w14:paraId="629D8996" w14:textId="77777777">
          <w:pPr>
            <w:pBdr>
              <w:top w:val="nil"/>
              <w:left w:val="nil"/>
              <w:bottom w:val="nil"/>
              <w:right w:val="nil"/>
              <w:between w:val="nil"/>
              <w:bar w:val="nil"/>
            </w:pBdr>
          </w:pPr>
          <w:r w:rsidRPr="00A725BF">
            <w:t>De Afdeling merkt op dat met een minderheidskabinet meer dan anders rekening moet worden gehouden met aanpassingen na indiening van de wetsvoorstellen bij de Tweede Kamer, door amendering en nota’s van wijziging, en dat daardoor het wetgevingsproces complexer wordt. De Afdeling geeft in overweging om een aanvullend advies over het aangepaste geheel te vragen zodat het parlement dit bij hun uiteindelijke beraadslagingen en besluitvorming kunnen betrekken.</w:t>
          </w:r>
        </w:p>
        <w:p w:rsidRPr="00A725BF" w:rsidR="00A725BF" w:rsidP="00A725BF" w:rsidRDefault="00A725BF" w14:paraId="50B42FBC" w14:textId="77777777">
          <w:pPr>
            <w:pBdr>
              <w:top w:val="nil"/>
              <w:left w:val="nil"/>
              <w:bottom w:val="nil"/>
              <w:right w:val="nil"/>
              <w:between w:val="nil"/>
              <w:bar w:val="nil"/>
            </w:pBdr>
          </w:pPr>
        </w:p>
        <w:p w:rsidR="00A15DFE" w:rsidP="00A725BF" w:rsidRDefault="00A725BF" w14:paraId="4CB1732A" w14:textId="77777777">
          <w:pPr>
            <w:pBdr>
              <w:top w:val="nil"/>
              <w:left w:val="nil"/>
              <w:bottom w:val="nil"/>
              <w:right w:val="nil"/>
              <w:between w:val="nil"/>
              <w:bar w:val="nil"/>
            </w:pBdr>
          </w:pPr>
          <w:r w:rsidRPr="00A725BF">
            <w:t xml:space="preserve">Een ordentelijk begrotingsproces is van groot belang voor het kabinet. Hierbij is een waardevolle rol weggelegd voor de advisering van de Raad van State bij de ontwerpbegrotingen, de Miljoenennota en het pakket Belastingplan voorafgaand aan indiening bij het parlement. Na indiening en algemene beschouwingen volgt de parlementaire behandeling van de individuele begrotingen, waarbij beide Kamers het budgetrecht kunnen uitoefenen. De Tweede Kamer kan aan de hand van moties en amendementen wijzigingen aanbrengen in de ontwerpbegrotingen. Het kabinet begrijpt dat het rust op een minderheid in het parlement en dat dit kan resulteren in meer wijzigingen dan gebruikelijk en kan daarom de suggestie van de Afdeling volgen. </w:t>
          </w:r>
        </w:p>
        <w:p w:rsidR="00A15DFE" w:rsidP="00A725BF" w:rsidRDefault="00A15DFE" w14:paraId="51AB8B00" w14:textId="77777777">
          <w:pPr>
            <w:pBdr>
              <w:top w:val="nil"/>
              <w:left w:val="nil"/>
              <w:bottom w:val="nil"/>
              <w:right w:val="nil"/>
              <w:between w:val="nil"/>
              <w:bar w:val="nil"/>
            </w:pBdr>
          </w:pPr>
        </w:p>
        <w:p w:rsidRPr="00A725BF" w:rsidR="00A725BF" w:rsidP="00A725BF" w:rsidRDefault="00A725BF" w14:paraId="2B981CE2" w14:textId="4E9BFFA7">
          <w:pPr>
            <w:pBdr>
              <w:top w:val="nil"/>
              <w:left w:val="nil"/>
              <w:bottom w:val="nil"/>
              <w:right w:val="nil"/>
              <w:between w:val="nil"/>
              <w:bar w:val="nil"/>
            </w:pBdr>
          </w:pPr>
          <w:r w:rsidRPr="00A725BF">
            <w:t xml:space="preserve">Tegelijkertijd is het onduidelijk of er binnen het huidige proces van parlementaire behandeling een natuurlijk moment ontstaat om het totaalbeeld nogmaals ter advisering voor te leggen. Mogelijk ontstaat pas na definitieve vaststelling van de begrotingen in de Eerste Kamer een nieuw totaalbeeld, inclusief overzicht van de aangebrachte wijzigingen na indiening op Prinsjesdag. Hoe dan ook zal dit samen met de uitkomsten van de voorjaarsbesluitvorming verwerkt worden in de </w:t>
          </w:r>
          <w:r w:rsidRPr="00A725BF">
            <w:lastRenderedPageBreak/>
            <w:t xml:space="preserve">Voorjaarsnota, waarbij de Raad van State, conform art. 2a van de Wet houdbare overheidsfinanciën, opnieuw zal worden gehoord. </w:t>
          </w:r>
        </w:p>
        <w:p w:rsidRPr="00A725BF" w:rsidR="00A725BF" w:rsidP="00A725BF" w:rsidRDefault="00A725BF" w14:paraId="0598DEED" w14:textId="77777777">
          <w:pPr>
            <w:pBdr>
              <w:top w:val="nil"/>
              <w:left w:val="nil"/>
              <w:bottom w:val="nil"/>
              <w:right w:val="nil"/>
              <w:between w:val="nil"/>
              <w:bar w:val="nil"/>
            </w:pBdr>
            <w:rPr>
              <w:i/>
              <w:iCs/>
            </w:rPr>
          </w:pPr>
        </w:p>
        <w:p w:rsidRPr="00A725BF" w:rsidR="00A725BF" w:rsidP="00A725BF" w:rsidRDefault="00A725BF" w14:paraId="54ACCEE3" w14:textId="77777777">
          <w:pPr>
            <w:pBdr>
              <w:top w:val="nil"/>
              <w:left w:val="nil"/>
              <w:bottom w:val="nil"/>
              <w:right w:val="nil"/>
              <w:between w:val="nil"/>
              <w:bar w:val="nil"/>
            </w:pBdr>
            <w:rPr>
              <w:i/>
              <w:iCs/>
            </w:rPr>
          </w:pPr>
          <w:r w:rsidRPr="00A725BF">
            <w:rPr>
              <w:i/>
              <w:iCs/>
            </w:rPr>
            <w:t>Aanvullende adviezen over de Miljoenennota 2027</w:t>
          </w:r>
        </w:p>
        <w:p w:rsidRPr="00A725BF" w:rsidR="00A725BF" w:rsidP="00A725BF" w:rsidRDefault="00A725BF" w14:paraId="0489BB6D" w14:textId="77777777">
          <w:pPr>
            <w:pBdr>
              <w:top w:val="nil"/>
              <w:left w:val="nil"/>
              <w:bottom w:val="nil"/>
              <w:right w:val="nil"/>
              <w:between w:val="nil"/>
              <w:bar w:val="nil"/>
            </w:pBdr>
          </w:pPr>
          <w:r w:rsidRPr="00A725BF">
            <w:t xml:space="preserve">Ten aanzien van de aanvullende </w:t>
          </w:r>
          <w:proofErr w:type="spellStart"/>
          <w:r w:rsidRPr="00A725BF">
            <w:t>onderuitputting</w:t>
          </w:r>
          <w:proofErr w:type="spellEnd"/>
          <w:r w:rsidRPr="00A725BF">
            <w:t xml:space="preserve"> adviseert de Afdeling het kabinet om de </w:t>
          </w:r>
          <w:proofErr w:type="spellStart"/>
          <w:r w:rsidRPr="00A725BF">
            <w:t>onderuitputting</w:t>
          </w:r>
          <w:proofErr w:type="spellEnd"/>
          <w:r w:rsidRPr="00A725BF">
            <w:t xml:space="preserve"> nader toe te lichten. De Afdeling constateert dat door deze wijze van dekking niet duidelijk is welke overheidsuitgaven worden verminderd. Ook voor de consequenties van het inhouden van de prijsbijstelling vraagt de Afdeling om extra verduidelijking. Het inhouden van prijsbijstelling heeft gevolgen voor beleidsprocessen en daarmee indirect gevolgen voor maatschappelijke doelen. Daarnaast stelt de Afdeling dat het een ongerichte bezuiniging is, die ongelijksoortig kan uitpakken voor verschillende departementen. De inzet van </w:t>
          </w:r>
          <w:proofErr w:type="spellStart"/>
          <w:r w:rsidRPr="00A725BF">
            <w:t>onderuitputting</w:t>
          </w:r>
          <w:proofErr w:type="spellEnd"/>
          <w:r w:rsidRPr="00A725BF">
            <w:t xml:space="preserve"> en prijsbijstelling ter dekking heeft gevolgen die in het kader van transparantie moeten worden benoemd.</w:t>
          </w:r>
        </w:p>
        <w:p w:rsidRPr="00A725BF" w:rsidR="00A725BF" w:rsidP="00A725BF" w:rsidRDefault="00A725BF" w14:paraId="32E7F9B9" w14:textId="77777777">
          <w:pPr>
            <w:pBdr>
              <w:top w:val="nil"/>
              <w:left w:val="nil"/>
              <w:bottom w:val="nil"/>
              <w:right w:val="nil"/>
              <w:between w:val="nil"/>
              <w:bar w:val="nil"/>
            </w:pBdr>
          </w:pPr>
        </w:p>
        <w:p w:rsidRPr="00A725BF" w:rsidR="00A725BF" w:rsidP="00A725BF" w:rsidRDefault="00A725BF" w14:paraId="0863FFBC" w14:textId="77777777">
          <w:pPr>
            <w:pBdr>
              <w:top w:val="nil"/>
              <w:left w:val="nil"/>
              <w:bottom w:val="nil"/>
              <w:right w:val="nil"/>
              <w:between w:val="nil"/>
              <w:bar w:val="nil"/>
            </w:pBdr>
          </w:pPr>
          <w:r w:rsidRPr="00A725BF">
            <w:t xml:space="preserve">Het kabinet sluit zich aan bij de constatering van de Afdeling dat het belangrijk is om terughoudend om te gaan met het inboeken van aanvullende </w:t>
          </w:r>
          <w:proofErr w:type="spellStart"/>
          <w:r w:rsidRPr="00A725BF">
            <w:t>onderuitputting</w:t>
          </w:r>
          <w:proofErr w:type="spellEnd"/>
          <w:r w:rsidRPr="00A725BF">
            <w:t xml:space="preserve">. Tegelijkertijd raamt het CPB een grotere </w:t>
          </w:r>
          <w:proofErr w:type="spellStart"/>
          <w:r w:rsidRPr="00A725BF">
            <w:t>onderuitputting</w:t>
          </w:r>
          <w:proofErr w:type="spellEnd"/>
          <w:r w:rsidRPr="00A725BF">
            <w:t xml:space="preserve">, en wordt er afgelopen jaren elk jaar een beperkte aanvullende </w:t>
          </w:r>
          <w:proofErr w:type="spellStart"/>
          <w:r w:rsidRPr="00A725BF">
            <w:t>onderuitputting</w:t>
          </w:r>
          <w:proofErr w:type="spellEnd"/>
          <w:r w:rsidRPr="00A725BF">
            <w:t xml:space="preserve"> geboekt en (grotendeels) gerealiseerd. Het kabinet kiest ervoor om de omvang van de aanvullende </w:t>
          </w:r>
          <w:proofErr w:type="spellStart"/>
          <w:r w:rsidRPr="00A725BF">
            <w:t>onderuitputting</w:t>
          </w:r>
          <w:proofErr w:type="spellEnd"/>
          <w:r w:rsidRPr="00A725BF">
            <w:t xml:space="preserve"> te begrenzen en het risico op niet invullen te verkleinen door een waarborg in te bouwen door de koppeling met de prijsbijstelling tranche 2028. Bij Voorjaarsnota 2027 kijkt het kabinet opnieuw meerjarig naar de uitgaven om de begroting zo realistisch mogelijk te maken. </w:t>
          </w:r>
          <w:bookmarkStart w:name="_Hlk239747911" w:id="0"/>
          <w:r w:rsidRPr="00A725BF">
            <w:t xml:space="preserve">Voor de prijsbijstelling onderschrijft het kabinet dat inhouden van deze indexatie gevolgen kan hebben voor beleidsprocessen. </w:t>
          </w:r>
          <w:bookmarkStart w:name="_Hlk239747978" w:id="1"/>
          <w:r w:rsidRPr="00A725BF">
            <w:t xml:space="preserve">Daarom heeft het kabinet gekozen om de prijsbijstelling specifiek te beperken voor de intensiveringen uit het coalitieakkoord. Vanuit dat oogpunt gaat het om ‘minder meer’.  </w:t>
          </w:r>
          <w:bookmarkEnd w:id="0"/>
          <w:bookmarkEnd w:id="1"/>
        </w:p>
        <w:p w:rsidRPr="00A725BF" w:rsidR="00A725BF" w:rsidP="00A725BF" w:rsidRDefault="00A725BF" w14:paraId="7F567462" w14:textId="77777777">
          <w:pPr>
            <w:pBdr>
              <w:top w:val="nil"/>
              <w:left w:val="nil"/>
              <w:bottom w:val="nil"/>
              <w:right w:val="nil"/>
              <w:between w:val="nil"/>
              <w:bar w:val="nil"/>
            </w:pBdr>
          </w:pPr>
        </w:p>
        <w:p w:rsidRPr="00A725BF" w:rsidR="00A725BF" w:rsidP="00A725BF" w:rsidRDefault="00A725BF" w14:paraId="32BBD06F" w14:textId="77777777">
          <w:pPr>
            <w:pBdr>
              <w:top w:val="nil"/>
              <w:left w:val="nil"/>
              <w:bottom w:val="nil"/>
              <w:right w:val="nil"/>
              <w:between w:val="nil"/>
              <w:bar w:val="nil"/>
            </w:pBdr>
          </w:pPr>
          <w:r w:rsidRPr="00A725BF">
            <w:t xml:space="preserve">Tot slot roept de Afdeling op tot een evenwichtige verdeling van de lasten tussen de factoren arbeid en kapitaal. Ook constateert de Afdeling dat de verhoging van de </w:t>
          </w:r>
          <w:proofErr w:type="spellStart"/>
          <w:r w:rsidRPr="00A725BF">
            <w:t>Aof</w:t>
          </w:r>
          <w:proofErr w:type="spellEnd"/>
          <w:r w:rsidRPr="00A725BF">
            <w:t xml:space="preserve">-premie behalve onlogisch (vanuit perspectief sociale verzekeringen en doel Arbeidsongeschiktheidsfonds) ook oneigenlijk te noemen is. Een verhoging van de </w:t>
          </w:r>
          <w:proofErr w:type="spellStart"/>
          <w:r w:rsidRPr="00A725BF">
            <w:t>Aof</w:t>
          </w:r>
          <w:proofErr w:type="spellEnd"/>
          <w:r w:rsidRPr="00A725BF">
            <w:t>-premie om andere redenen dan ter dekking van de lasten bij arbeidsongeschiktheid van werknemers zal dragend gemotiveerd of anders aangepast moeten worden.</w:t>
          </w:r>
        </w:p>
        <w:p w:rsidRPr="00A725BF" w:rsidR="00A725BF" w:rsidP="00A725BF" w:rsidRDefault="00A725BF" w14:paraId="6A37FD7A" w14:textId="77777777">
          <w:pPr>
            <w:pBdr>
              <w:top w:val="nil"/>
              <w:left w:val="nil"/>
              <w:bottom w:val="nil"/>
              <w:right w:val="nil"/>
              <w:between w:val="nil"/>
              <w:bar w:val="nil"/>
            </w:pBdr>
          </w:pPr>
        </w:p>
        <w:p w:rsidRPr="00A725BF" w:rsidR="00A725BF" w:rsidP="00A725BF" w:rsidRDefault="00A725BF" w14:paraId="01041248" w14:textId="77777777">
          <w:pPr>
            <w:pBdr>
              <w:top w:val="nil"/>
              <w:left w:val="nil"/>
              <w:bottom w:val="nil"/>
              <w:right w:val="nil"/>
              <w:between w:val="nil"/>
              <w:bar w:val="nil"/>
            </w:pBdr>
          </w:pPr>
          <w:r w:rsidRPr="00A725BF">
            <w:t xml:space="preserve">Het kabinet onderschrijft dat de lastenverdeling tussen arbeid, consumptie en kapitaal constante aandacht vergt. Deze belastingmix wordt bij de besluitvorming uitvoerig gewogen. De uitkomst van de verdeling zoals die nu is, is het resultaat van politieke onderhandelingen over aanpassingen van het coalitieakkoord. Het kabinet acht deze verdeling evenwichtig. Ten aanzien van de inzet van </w:t>
          </w:r>
          <w:proofErr w:type="spellStart"/>
          <w:r w:rsidRPr="00A725BF">
            <w:t>Aof</w:t>
          </w:r>
          <w:proofErr w:type="spellEnd"/>
          <w:r w:rsidRPr="00A725BF">
            <w:t>-middelen merkt het kabinet op dat de risico’s hiervan bekend zijn. De minister van Sociale Zaken en Werkgelegenheid werkt aan een Kamerbrief over de toekomstbestendigheid van de sociale fondsen. Daarin wordt ook nadrukkelijk gekeken naar de hoogte en de functie van de werkgeverspremies.</w:t>
          </w:r>
        </w:p>
        <w:p w:rsidRPr="00A725BF" w:rsidR="00A725BF" w:rsidP="00A725BF" w:rsidRDefault="00A725BF" w14:paraId="143E0949" w14:textId="77777777">
          <w:pPr>
            <w:pBdr>
              <w:top w:val="nil"/>
              <w:left w:val="nil"/>
              <w:bottom w:val="nil"/>
              <w:right w:val="nil"/>
              <w:between w:val="nil"/>
              <w:bar w:val="nil"/>
            </w:pBdr>
          </w:pPr>
        </w:p>
        <w:p w:rsidRPr="00A725BF" w:rsidR="00A725BF" w:rsidP="00A725BF" w:rsidRDefault="00A725BF" w14:paraId="2AF6E0AE" w14:textId="77777777">
          <w:pPr>
            <w:pBdr>
              <w:top w:val="nil"/>
              <w:left w:val="nil"/>
              <w:bottom w:val="nil"/>
              <w:right w:val="nil"/>
              <w:between w:val="nil"/>
              <w:bar w:val="nil"/>
            </w:pBdr>
          </w:pPr>
          <w:r w:rsidRPr="00A725BF">
            <w:lastRenderedPageBreak/>
            <w:t>Hoogachtend,</w:t>
          </w:r>
        </w:p>
        <w:p w:rsidRPr="00A725BF" w:rsidR="00A725BF" w:rsidP="00A725BF" w:rsidRDefault="00A725BF" w14:paraId="5C164A2A" w14:textId="77777777">
          <w:pPr>
            <w:pBdr>
              <w:top w:val="nil"/>
              <w:left w:val="nil"/>
              <w:bottom w:val="nil"/>
              <w:right w:val="nil"/>
              <w:between w:val="nil"/>
              <w:bar w:val="nil"/>
            </w:pBdr>
          </w:pPr>
        </w:p>
        <w:p w:rsidRPr="00A725BF" w:rsidR="00A725BF" w:rsidP="00A725BF" w:rsidRDefault="00A725BF" w14:paraId="5E28125F" w14:textId="77777777">
          <w:pPr>
            <w:pBdr>
              <w:top w:val="nil"/>
              <w:left w:val="nil"/>
              <w:bottom w:val="nil"/>
              <w:right w:val="nil"/>
              <w:between w:val="nil"/>
              <w:bar w:val="nil"/>
            </w:pBdr>
          </w:pPr>
          <w:r w:rsidRPr="00A725BF">
            <w:t>de minister van Financiën,</w:t>
          </w:r>
        </w:p>
        <w:p w:rsidR="00A725BF" w:rsidP="00A725BF" w:rsidRDefault="00A725BF" w14:paraId="266CCCF6" w14:textId="77777777">
          <w:pPr>
            <w:pBdr>
              <w:top w:val="nil"/>
              <w:left w:val="nil"/>
              <w:bottom w:val="nil"/>
              <w:right w:val="nil"/>
              <w:between w:val="nil"/>
              <w:bar w:val="nil"/>
            </w:pBdr>
          </w:pPr>
        </w:p>
        <w:p w:rsidR="00F74B22" w:rsidP="00A725BF" w:rsidRDefault="00F74B22" w14:paraId="57F8CBBF" w14:textId="77777777">
          <w:pPr>
            <w:pBdr>
              <w:top w:val="nil"/>
              <w:left w:val="nil"/>
              <w:bottom w:val="nil"/>
              <w:right w:val="nil"/>
              <w:between w:val="nil"/>
              <w:bar w:val="nil"/>
            </w:pBdr>
          </w:pPr>
        </w:p>
        <w:p w:rsidRPr="00A725BF" w:rsidR="00F74B22" w:rsidP="00A725BF" w:rsidRDefault="00F74B22" w14:paraId="5969572D" w14:textId="77777777">
          <w:pPr>
            <w:pBdr>
              <w:top w:val="nil"/>
              <w:left w:val="nil"/>
              <w:bottom w:val="nil"/>
              <w:right w:val="nil"/>
              <w:between w:val="nil"/>
              <w:bar w:val="nil"/>
            </w:pBdr>
          </w:pPr>
        </w:p>
        <w:p w:rsidRPr="00A725BF" w:rsidR="00A725BF" w:rsidP="00A725BF" w:rsidRDefault="00A725BF" w14:paraId="36FFBF5A" w14:textId="77777777">
          <w:pPr>
            <w:pBdr>
              <w:top w:val="nil"/>
              <w:left w:val="nil"/>
              <w:bottom w:val="nil"/>
              <w:right w:val="nil"/>
              <w:between w:val="nil"/>
              <w:bar w:val="nil"/>
            </w:pBdr>
          </w:pPr>
          <w:r w:rsidRPr="00A725BF">
            <w:t>E. Heinen</w:t>
          </w:r>
        </w:p>
        <w:p w:rsidRPr="00A725BF" w:rsidR="00A725BF" w:rsidP="00A725BF" w:rsidRDefault="00A725BF" w14:paraId="5A46E576" w14:textId="77777777">
          <w:pPr>
            <w:pBdr>
              <w:top w:val="nil"/>
              <w:left w:val="nil"/>
              <w:bottom w:val="nil"/>
              <w:right w:val="nil"/>
              <w:between w:val="nil"/>
              <w:bar w:val="nil"/>
            </w:pBdr>
          </w:pPr>
        </w:p>
        <w:p w:rsidR="00A725BF" w:rsidP="00CC7724" w:rsidRDefault="00A725BF" w14:paraId="70860590" w14:textId="77777777">
          <w:pPr>
            <w:pBdr>
              <w:top w:val="nil"/>
              <w:left w:val="nil"/>
              <w:bottom w:val="nil"/>
              <w:right w:val="nil"/>
              <w:between w:val="nil"/>
              <w:bar w:val="nil"/>
            </w:pBdr>
          </w:pPr>
        </w:p>
        <w:p w:rsidR="007470BA" w:rsidP="00CC7724" w:rsidRDefault="007470BA" w14:paraId="5E0CB5F7" w14:textId="77777777">
          <w:pPr>
            <w:rPr>
              <w:b/>
            </w:rPr>
          </w:pPr>
        </w:p>
        <w:p w:rsidR="007470BA" w:rsidP="00CC7724" w:rsidRDefault="007470BA" w14:paraId="752E4C55" w14:textId="77777777">
          <w:pPr>
            <w:rPr>
              <w:bCs/>
            </w:rPr>
          </w:pPr>
          <w:r w:rsidRPr="007470BA">
            <w:rPr>
              <w:bCs/>
            </w:rPr>
            <w:t xml:space="preserve">De Afdeling heeft in de reactie van de regering geen aanleiding gezien om haar beoordeling aan te passen. </w:t>
          </w:r>
        </w:p>
        <w:p w:rsidR="007470BA" w:rsidP="00CC7724" w:rsidRDefault="007470BA" w14:paraId="25DC8FC2" w14:textId="77777777">
          <w:pPr>
            <w:rPr>
              <w:bCs/>
            </w:rPr>
          </w:pPr>
        </w:p>
        <w:p w:rsidR="007470BA" w:rsidP="00CC7724" w:rsidRDefault="007470BA" w14:paraId="7140AD6F" w14:textId="77777777">
          <w:pPr>
            <w:rPr>
              <w:bCs/>
            </w:rPr>
          </w:pPr>
        </w:p>
        <w:p w:rsidR="00536D71" w:rsidP="00CC7724" w:rsidRDefault="00536D71" w14:paraId="077108FF" w14:textId="531B4086">
          <w:pPr>
            <w:rPr>
              <w:bCs/>
            </w:rPr>
          </w:pPr>
        </w:p>
        <w:p w:rsidRPr="007470BA" w:rsidR="007470BA" w:rsidP="00CC7724" w:rsidRDefault="007470BA" w14:paraId="4B3E82A5" w14:textId="21D870ED">
          <w:pPr>
            <w:rPr>
              <w:bCs/>
            </w:rPr>
          </w:pPr>
          <w:r w:rsidRPr="007470BA">
            <w:rPr>
              <w:bCs/>
            </w:rPr>
            <w:t xml:space="preserve">de vice-president van de Raad van State. </w:t>
          </w:r>
        </w:p>
        <w:p w:rsidR="007470BA" w:rsidP="00CC7724" w:rsidRDefault="000E5D33" w14:paraId="1298BBEA" w14:textId="77777777"/>
      </w:sdtContent>
    </w:sdt>
    <w:p w:rsidR="00CC7724" w:rsidRDefault="00CC7724" w14:paraId="40D9986C" w14:textId="77777777"/>
    <w:sectPr w:rsidR="00CC7724" w:rsidSect="000D2A5A">
      <w:headerReference w:type="even" r:id="rId16"/>
      <w:headerReference w:type="default" r:id="rId17"/>
      <w:footerReference w:type="even" r:id="rId18"/>
      <w:footerReference w:type="default" r:id="rId19"/>
      <w:headerReference w:type="first" r:id="rId20"/>
      <w:footerReference w:type="first" r:id="rId2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4655" w14:textId="77777777" w:rsidR="000E5D33" w:rsidRDefault="000E5D33">
      <w:r>
        <w:separator/>
      </w:r>
    </w:p>
  </w:endnote>
  <w:endnote w:type="continuationSeparator" w:id="0">
    <w:p w14:paraId="7334108D" w14:textId="77777777" w:rsidR="000E5D33" w:rsidRDefault="000E5D33">
      <w:r>
        <w:continuationSeparator/>
      </w:r>
    </w:p>
  </w:endnote>
  <w:endnote w:type="continuationNotice" w:id="1">
    <w:p w14:paraId="59EBE1FF" w14:textId="77777777" w:rsidR="000E5D33" w:rsidRDefault="000E5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903A" w14:textId="77777777" w:rsidR="00A002FF" w:rsidRDefault="00A002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41992" w14:paraId="0B7CC597" w14:textId="77777777" w:rsidTr="00D90098">
      <w:tc>
        <w:tcPr>
          <w:tcW w:w="4815" w:type="dxa"/>
        </w:tcPr>
        <w:p w14:paraId="0B7CC595" w14:textId="77777777" w:rsidR="00D90098" w:rsidRDefault="00D90098" w:rsidP="00D90098">
          <w:pPr>
            <w:pStyle w:val="Voettekst"/>
          </w:pPr>
        </w:p>
      </w:tc>
      <w:tc>
        <w:tcPr>
          <w:tcW w:w="4247" w:type="dxa"/>
        </w:tcPr>
        <w:p w14:paraId="0B7CC596" w14:textId="77777777" w:rsidR="00D90098" w:rsidRDefault="00D90098" w:rsidP="00D90098">
          <w:pPr>
            <w:pStyle w:val="Voettekst"/>
            <w:jc w:val="right"/>
          </w:pPr>
        </w:p>
      </w:tc>
    </w:tr>
  </w:tbl>
  <w:p w14:paraId="0B7CC59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692C" w14:textId="2EF73126" w:rsidR="008728EB" w:rsidRPr="008728EB" w:rsidRDefault="008728EB">
    <w:pPr>
      <w:pStyle w:val="Voettekst"/>
      <w:rPr>
        <w:rFonts w:ascii="Bembo" w:hAnsi="Bembo"/>
        <w:sz w:val="32"/>
      </w:rPr>
    </w:pPr>
    <w:r w:rsidRPr="008728EB">
      <w:rPr>
        <w:rFonts w:ascii="Bembo" w:hAnsi="Bembo"/>
        <w:sz w:val="32"/>
      </w:rPr>
      <w:t>AAN DE KONING</w:t>
    </w:r>
  </w:p>
  <w:p w14:paraId="0ED718CE" w14:textId="77777777" w:rsidR="008728EB" w:rsidRDefault="008728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998D" w14:textId="77777777" w:rsidR="000E5D33" w:rsidRDefault="000E5D33">
      <w:r>
        <w:separator/>
      </w:r>
    </w:p>
  </w:footnote>
  <w:footnote w:type="continuationSeparator" w:id="0">
    <w:p w14:paraId="2D1BDB58" w14:textId="77777777" w:rsidR="000E5D33" w:rsidRDefault="000E5D33">
      <w:r>
        <w:continuationSeparator/>
      </w:r>
    </w:p>
  </w:footnote>
  <w:footnote w:type="continuationNotice" w:id="1">
    <w:p w14:paraId="31E3EA9B" w14:textId="77777777" w:rsidR="000E5D33" w:rsidRDefault="000E5D33"/>
  </w:footnote>
  <w:footnote w:id="2">
    <w:p w14:paraId="01F666EA" w14:textId="77777777" w:rsidR="00CC7724" w:rsidRDefault="00CC7724" w:rsidP="00CC7724">
      <w:pPr>
        <w:pStyle w:val="Voetnoottekst"/>
      </w:pPr>
      <w:r>
        <w:rPr>
          <w:rStyle w:val="Voetnootmarkering"/>
        </w:rPr>
        <w:footnoteRef/>
      </w:r>
      <w:r>
        <w:t xml:space="preserve"> </w:t>
      </w:r>
      <w:r w:rsidRPr="00D369FB">
        <w:t>De Afdeling werkt voor haar beoordeling nauw samen met het Centraal Planbureau (CPB). De taakverdeling houdt in dat het opstellen van onafhankelijke macro economische en budgettaire ramingen en analyses is belegd bij het CPB. De Afdeling is belast met de meer normatieve beoordeling van de naleving van zowel de Europese als de nationale begrotingsregels.</w:t>
      </w:r>
      <w:r>
        <w:t xml:space="preserve"> </w:t>
      </w:r>
      <w:r w:rsidRPr="00D72132">
        <w:t xml:space="preserve">Artikel </w:t>
      </w:r>
      <w:r>
        <w:t>2a, tweede lid v</w:t>
      </w:r>
      <w:r w:rsidRPr="00D72132">
        <w:t xml:space="preserve">an de </w:t>
      </w:r>
      <w:hyperlink r:id="rId1" w:history="1">
        <w:r w:rsidRPr="00BF24CF">
          <w:rPr>
            <w:rStyle w:val="Hyperlink"/>
          </w:rPr>
          <w:t>Wet houdbare overheidsfinanciën</w:t>
        </w:r>
      </w:hyperlink>
      <w:r w:rsidRPr="00D72132">
        <w:t>.</w:t>
      </w:r>
    </w:p>
  </w:footnote>
  <w:footnote w:id="3">
    <w:p w14:paraId="64D6DEFF" w14:textId="417853BE" w:rsidR="00CC7724" w:rsidRDefault="00CC7724" w:rsidP="00CC7724">
      <w:pPr>
        <w:pStyle w:val="Voetnoottekst"/>
      </w:pPr>
      <w:r>
        <w:rPr>
          <w:rStyle w:val="Voetnootmarkering"/>
        </w:rPr>
        <w:footnoteRef/>
      </w:r>
      <w:r>
        <w:t xml:space="preserve"> </w:t>
      </w:r>
      <w:r w:rsidR="00932CAD">
        <w:t xml:space="preserve">In aansluiting bij het thema van </w:t>
      </w:r>
      <w:r w:rsidR="00DA2BDB">
        <w:t xml:space="preserve">het </w:t>
      </w:r>
      <w:r w:rsidR="00850F07">
        <w:t>J</w:t>
      </w:r>
      <w:r w:rsidR="00932CAD">
        <w:t>aarverslag</w:t>
      </w:r>
      <w:r w:rsidR="00CB133D">
        <w:t xml:space="preserve"> 2025</w:t>
      </w:r>
      <w:r w:rsidR="00596A2D">
        <w:t xml:space="preserve"> van de</w:t>
      </w:r>
      <w:r>
        <w:t xml:space="preserve"> Raad van State: “</w:t>
      </w:r>
      <w:hyperlink r:id="rId2" w:history="1">
        <w:r w:rsidRPr="00EA355B">
          <w:rPr>
            <w:rStyle w:val="Hyperlink"/>
          </w:rPr>
          <w:t>Recht op de Toekomst</w:t>
        </w:r>
      </w:hyperlink>
      <w:r>
        <w:t>”.</w:t>
      </w:r>
    </w:p>
  </w:footnote>
  <w:footnote w:id="4">
    <w:p w14:paraId="2235BB20" w14:textId="77777777" w:rsidR="00CC7724" w:rsidRDefault="00CC7724" w:rsidP="00CC7724">
      <w:pPr>
        <w:pStyle w:val="Voetnoottekst"/>
      </w:pPr>
      <w:r>
        <w:rPr>
          <w:rStyle w:val="Voetnootmarkering"/>
        </w:rPr>
        <w:footnoteRef/>
      </w:r>
      <w:r>
        <w:t xml:space="preserve"> Het betreft het begrotingstoezicht, bedoeld in het Verdrag inzake Stabiliteit, Coördinatie </w:t>
      </w:r>
    </w:p>
    <w:p w14:paraId="025886FB" w14:textId="77777777" w:rsidR="00CC7724" w:rsidRDefault="00CC7724" w:rsidP="00CC7724">
      <w:pPr>
        <w:pStyle w:val="Voetnoottekst"/>
      </w:pPr>
      <w:r>
        <w:t xml:space="preserve">en Bestuur (VSCB), in artikel 5 van </w:t>
      </w:r>
      <w:hyperlink r:id="rId3" w:history="1">
        <w:r w:rsidRPr="003C1BB1">
          <w:rPr>
            <w:rStyle w:val="Hyperlink"/>
          </w:rPr>
          <w:t>Verordening (EU) 473/2013</w:t>
        </w:r>
      </w:hyperlink>
      <w:r>
        <w:t xml:space="preserve"> en zoals opgenomen in </w:t>
      </w:r>
    </w:p>
    <w:p w14:paraId="193F022F" w14:textId="77777777" w:rsidR="00CC7724" w:rsidRDefault="00CC7724" w:rsidP="00CC7724">
      <w:pPr>
        <w:pStyle w:val="Voetnoottekst"/>
      </w:pPr>
      <w:r>
        <w:t xml:space="preserve">artikel 2a, eerste lid van de </w:t>
      </w:r>
      <w:hyperlink r:id="rId4" w:history="1">
        <w:r w:rsidRPr="00D44A1E">
          <w:rPr>
            <w:rStyle w:val="Hyperlink"/>
          </w:rPr>
          <w:t>Wet houdbare overheidsfinanciën</w:t>
        </w:r>
      </w:hyperlink>
      <w:r>
        <w:t xml:space="preserve">. </w:t>
      </w:r>
    </w:p>
  </w:footnote>
  <w:footnote w:id="5">
    <w:p w14:paraId="214384FE" w14:textId="77777777" w:rsidR="00CC7724" w:rsidRDefault="00CC7724" w:rsidP="00CC7724">
      <w:pPr>
        <w:pStyle w:val="Voetnoottekst"/>
      </w:pPr>
      <w:r>
        <w:rPr>
          <w:rStyle w:val="Voetnootmarkering"/>
        </w:rPr>
        <w:footnoteRef/>
      </w:r>
      <w:r>
        <w:t xml:space="preserve"> Het behoeft geen betoog dat een dergelijk verzoek zowel van Tweede Kamer, het kabinet en de Afdeling praktische proces- en werkafspraken vergt. </w:t>
      </w:r>
    </w:p>
  </w:footnote>
  <w:footnote w:id="6">
    <w:p w14:paraId="0DDDE6F6" w14:textId="57C50CA0" w:rsidR="00347080" w:rsidRDefault="00347080">
      <w:pPr>
        <w:pStyle w:val="Voetnoottekst"/>
      </w:pPr>
      <w:r>
        <w:rPr>
          <w:rStyle w:val="Voetnootmarkering"/>
        </w:rPr>
        <w:footnoteRef/>
      </w:r>
      <w:r>
        <w:t xml:space="preserve"> V</w:t>
      </w:r>
      <w:r w:rsidRPr="00347080">
        <w:t>an geopolitieke aard, door vergrijzing, op het terrein van klimaat, energie, natuur en stikstof, door tekorten aan ruimte en woningen en door tekorten in publieke voorzieningen zoals zorg en onderwijs</w:t>
      </w:r>
      <w:r w:rsidR="000B0C55">
        <w:t>.</w:t>
      </w:r>
    </w:p>
  </w:footnote>
  <w:footnote w:id="7">
    <w:p w14:paraId="3651CC6E" w14:textId="77777777" w:rsidR="00CC7724" w:rsidRDefault="00CC7724" w:rsidP="00CC7724">
      <w:pPr>
        <w:pStyle w:val="Voetnoottekst"/>
      </w:pPr>
      <w:r>
        <w:rPr>
          <w:rStyle w:val="Voetnootmarkering"/>
        </w:rPr>
        <w:footnoteRef/>
      </w:r>
      <w:r>
        <w:t xml:space="preserve"> </w:t>
      </w:r>
      <w:r w:rsidRPr="007F5395">
        <w:t>C</w:t>
      </w:r>
      <w:r>
        <w:t>entraal Planbureau</w:t>
      </w:r>
      <w:r w:rsidRPr="007F5395">
        <w:t xml:space="preserve"> (2026). </w:t>
      </w:r>
      <w:hyperlink r:id="rId5" w:history="1">
        <w:r w:rsidRPr="007F5395">
          <w:rPr>
            <w:rStyle w:val="Hyperlink"/>
          </w:rPr>
          <w:t>Centraal Economisch Plan 2026</w:t>
        </w:r>
      </w:hyperlink>
      <w:r w:rsidRPr="00382B8A">
        <w:t>, bijlage 1. Dit is de gemiddelde volumegroei van het bbp over de periode 1996-2025.</w:t>
      </w:r>
    </w:p>
  </w:footnote>
  <w:footnote w:id="8">
    <w:p w14:paraId="7B1C6EBA" w14:textId="77777777" w:rsidR="00CC7724" w:rsidRPr="00CC7724" w:rsidRDefault="00CC7724" w:rsidP="00CC7724">
      <w:pPr>
        <w:pStyle w:val="Voetnoottekst"/>
        <w:rPr>
          <w:lang w:val="en-US"/>
        </w:rPr>
      </w:pPr>
      <w:r>
        <w:rPr>
          <w:rStyle w:val="Voetnootmarkering"/>
        </w:rPr>
        <w:footnoteRef/>
      </w:r>
      <w:r>
        <w:t xml:space="preserve"> </w:t>
      </w:r>
      <w:r w:rsidRPr="007F5395">
        <w:t>C</w:t>
      </w:r>
      <w:r>
        <w:t>entraal Planbureau</w:t>
      </w:r>
      <w:r w:rsidRPr="007F5395">
        <w:t xml:space="preserve"> (2026). </w:t>
      </w:r>
      <w:hyperlink r:id="rId6" w:history="1">
        <w:r w:rsidRPr="007F5395">
          <w:rPr>
            <w:rStyle w:val="Hyperlink"/>
          </w:rPr>
          <w:t>Centraal Economisch Plan 2026</w:t>
        </w:r>
      </w:hyperlink>
      <w:r w:rsidRPr="007F5395">
        <w:t>.</w:t>
      </w:r>
      <w:r>
        <w:t xml:space="preserve"> </w:t>
      </w:r>
      <w:r w:rsidRPr="00CC7724">
        <w:rPr>
          <w:lang w:val="en-US"/>
        </w:rPr>
        <w:t xml:space="preserve">CPB raming maart 2026. </w:t>
      </w:r>
    </w:p>
  </w:footnote>
  <w:footnote w:id="9">
    <w:p w14:paraId="0CD0BC73" w14:textId="77777777" w:rsidR="00CC7724" w:rsidRPr="00CC7724" w:rsidRDefault="00CC7724" w:rsidP="00CC7724">
      <w:pPr>
        <w:pStyle w:val="Voetnoottekst"/>
      </w:pPr>
      <w:r>
        <w:rPr>
          <w:rStyle w:val="Voetnootmarkering"/>
        </w:rPr>
        <w:footnoteRef/>
      </w:r>
      <w:r w:rsidRPr="006A4D66">
        <w:rPr>
          <w:lang w:val="en-US"/>
        </w:rPr>
        <w:t xml:space="preserve"> Eurostat (2026). </w:t>
      </w:r>
      <w:hyperlink r:id="rId7" w:history="1">
        <w:r w:rsidRPr="00293DD3">
          <w:rPr>
            <w:rStyle w:val="Hyperlink"/>
            <w:lang w:val="en-US"/>
          </w:rPr>
          <w:t>Government debt at 87,7% of GDP in euro area</w:t>
        </w:r>
      </w:hyperlink>
      <w:r w:rsidRPr="00293DD3">
        <w:rPr>
          <w:lang w:val="en-US"/>
        </w:rPr>
        <w:t xml:space="preserve">. </w:t>
      </w:r>
      <w:r w:rsidRPr="00CC7724">
        <w:t xml:space="preserve">Persbericht, 22 april. </w:t>
      </w:r>
    </w:p>
  </w:footnote>
  <w:footnote w:id="10">
    <w:p w14:paraId="3EDA4A64" w14:textId="77777777" w:rsidR="00CC7724" w:rsidRDefault="00CC7724" w:rsidP="00CC7724">
      <w:pPr>
        <w:pStyle w:val="Voetnoottekst"/>
      </w:pPr>
      <w:r>
        <w:rPr>
          <w:rStyle w:val="Voetnootmarkering"/>
        </w:rPr>
        <w:footnoteRef/>
      </w:r>
      <w:r>
        <w:t xml:space="preserve"> Centraal Planbureau (2026). </w:t>
      </w:r>
      <w:r w:rsidRPr="00FD6242">
        <w:t>Macro Economische Verkenning 2027</w:t>
      </w:r>
      <w:r>
        <w:t>.</w:t>
      </w:r>
    </w:p>
  </w:footnote>
  <w:footnote w:id="11">
    <w:p w14:paraId="5764A429" w14:textId="77777777" w:rsidR="00CC7724" w:rsidRDefault="00CC7724" w:rsidP="00CC7724">
      <w:pPr>
        <w:pStyle w:val="Voetnoottekst"/>
      </w:pPr>
      <w:r>
        <w:rPr>
          <w:rStyle w:val="Voetnootmarkering"/>
        </w:rPr>
        <w:footnoteRef/>
      </w:r>
      <w:r>
        <w:t xml:space="preserve"> </w:t>
      </w:r>
      <w:r w:rsidRPr="007F5395">
        <w:t>C</w:t>
      </w:r>
      <w:r>
        <w:t>entraal Planbureau</w:t>
      </w:r>
      <w:r w:rsidRPr="007F5395">
        <w:t xml:space="preserve"> (2026). </w:t>
      </w:r>
      <w:hyperlink r:id="rId8" w:history="1">
        <w:r w:rsidRPr="007F5395">
          <w:rPr>
            <w:rStyle w:val="Hyperlink"/>
          </w:rPr>
          <w:t>Centraal Economisch Plan 2026</w:t>
        </w:r>
      </w:hyperlink>
      <w:r w:rsidRPr="007F5395">
        <w:t>.</w:t>
      </w:r>
    </w:p>
  </w:footnote>
  <w:footnote w:id="12">
    <w:p w14:paraId="4AFA9DD3" w14:textId="77777777" w:rsidR="00CC7724" w:rsidRDefault="00CC7724" w:rsidP="00CC7724">
      <w:pPr>
        <w:pStyle w:val="Voetnoottekst"/>
      </w:pPr>
      <w:r>
        <w:rPr>
          <w:rStyle w:val="Voetnootmarkering"/>
        </w:rPr>
        <w:footnoteRef/>
      </w:r>
      <w:r>
        <w:t xml:space="preserve"> Ten opzichte van het CEP uit het voorjaar van 2026 is in het MEV de verwachtte consumptie door huishoudens afgenomen en de verwachtte consumptie door de overheid toegenomen. Dit komt met name doordat het uitstellen van de verhoging van het eigen risico consumptie verschuift van huishoudens naar overheid.</w:t>
      </w:r>
    </w:p>
  </w:footnote>
  <w:footnote w:id="13">
    <w:p w14:paraId="0B8574D5" w14:textId="77777777" w:rsidR="00CC7724" w:rsidRDefault="00CC7724" w:rsidP="00CC7724">
      <w:pPr>
        <w:pStyle w:val="Voetnoottekst"/>
      </w:pPr>
      <w:r>
        <w:rPr>
          <w:rStyle w:val="Voetnootmarkering"/>
        </w:rPr>
        <w:footnoteRef/>
      </w:r>
      <w:r>
        <w:t xml:space="preserve"> </w:t>
      </w:r>
      <w:r w:rsidRPr="007F5395">
        <w:t>Ministerie van Economische Zaken</w:t>
      </w:r>
      <w:r>
        <w:t xml:space="preserve"> en Klimaat</w:t>
      </w:r>
      <w:r w:rsidRPr="007F5395">
        <w:t xml:space="preserve"> (2026).</w:t>
      </w:r>
      <w:r>
        <w:t xml:space="preserve"> </w:t>
      </w:r>
      <w:hyperlink r:id="rId9" w:history="1">
        <w:r w:rsidRPr="00B26738">
          <w:rPr>
            <w:rStyle w:val="Hyperlink"/>
          </w:rPr>
          <w:t>Kabinetsreactie op het rapport van Peter Wennink</w:t>
        </w:r>
      </w:hyperlink>
      <w:r w:rsidRPr="007F5395">
        <w:t>. Kamerbrief Ministerie van Economische zaken, DGED-AEP/</w:t>
      </w:r>
      <w:r>
        <w:t>107162051.</w:t>
      </w:r>
    </w:p>
  </w:footnote>
  <w:footnote w:id="14">
    <w:p w14:paraId="19DFC64E" w14:textId="77777777" w:rsidR="00CC7724" w:rsidRDefault="00CC7724" w:rsidP="00CC7724">
      <w:pPr>
        <w:pStyle w:val="Voetnoottekst"/>
      </w:pPr>
      <w:r>
        <w:rPr>
          <w:rStyle w:val="Voetnootmarkering"/>
        </w:rPr>
        <w:footnoteRef/>
      </w:r>
      <w:r>
        <w:t xml:space="preserve"> Centraal Planbureau (2026). </w:t>
      </w:r>
      <w:hyperlink r:id="rId10" w:history="1">
        <w:r w:rsidRPr="00C45943">
          <w:rPr>
            <w:rStyle w:val="Hyperlink"/>
          </w:rPr>
          <w:t>Concept</w:t>
        </w:r>
        <w:r>
          <w:rPr>
            <w:rStyle w:val="Hyperlink"/>
          </w:rPr>
          <w:t>-</w:t>
        </w:r>
        <w:r w:rsidRPr="00C45943">
          <w:rPr>
            <w:rStyle w:val="Hyperlink"/>
          </w:rPr>
          <w:t>Macro Economische Verkenning 2027</w:t>
        </w:r>
      </w:hyperlink>
      <w:r>
        <w:t>.</w:t>
      </w:r>
    </w:p>
  </w:footnote>
  <w:footnote w:id="15">
    <w:p w14:paraId="3AC86CBF" w14:textId="1F0F3D78" w:rsidR="00540C43" w:rsidRDefault="00540C43">
      <w:pPr>
        <w:pStyle w:val="Voetnoottekst"/>
      </w:pPr>
      <w:r>
        <w:rPr>
          <w:rStyle w:val="Voetnootmarkering"/>
        </w:rPr>
        <w:footnoteRef/>
      </w:r>
      <w:r>
        <w:t xml:space="preserve"> </w:t>
      </w:r>
      <w:r w:rsidR="00AD64C5" w:rsidRPr="00AD64C5">
        <w:t>Het mediaan besteedbaar inkomen van alle particuliere huishoudens in Nederland</w:t>
      </w:r>
      <w:r w:rsidR="00AD64C5">
        <w:t>.</w:t>
      </w:r>
    </w:p>
  </w:footnote>
  <w:footnote w:id="16">
    <w:p w14:paraId="38C75748" w14:textId="77777777" w:rsidR="00CC7724" w:rsidRDefault="00CC7724" w:rsidP="00CC7724">
      <w:pPr>
        <w:pStyle w:val="Voetnoottekst"/>
      </w:pPr>
      <w:r>
        <w:rPr>
          <w:rStyle w:val="Voetnootmarkering"/>
        </w:rPr>
        <w:footnoteRef/>
      </w:r>
      <w:r>
        <w:t xml:space="preserve"> Centraal Planbureau (2026). </w:t>
      </w:r>
      <w:r w:rsidRPr="001941AC">
        <w:t>Macro Economische Verkenning 2027</w:t>
      </w:r>
      <w:r>
        <w:t>.</w:t>
      </w:r>
    </w:p>
  </w:footnote>
  <w:footnote w:id="17">
    <w:p w14:paraId="526C40CB" w14:textId="77777777" w:rsidR="00CC7724" w:rsidRDefault="00CC7724" w:rsidP="00CC7724">
      <w:pPr>
        <w:pStyle w:val="Voetnoottekst"/>
      </w:pPr>
      <w:r>
        <w:rPr>
          <w:rStyle w:val="Voetnootmarkering"/>
        </w:rPr>
        <w:footnoteRef/>
      </w:r>
      <w:r>
        <w:t xml:space="preserve"> Centraal Planbureau (2026). </w:t>
      </w:r>
      <w:hyperlink r:id="rId11" w:history="1">
        <w:r w:rsidRPr="00C45943">
          <w:rPr>
            <w:rStyle w:val="Hyperlink"/>
          </w:rPr>
          <w:t>Concept</w:t>
        </w:r>
        <w:r>
          <w:rPr>
            <w:rStyle w:val="Hyperlink"/>
          </w:rPr>
          <w:t>-</w:t>
        </w:r>
        <w:r w:rsidRPr="00C45943">
          <w:rPr>
            <w:rStyle w:val="Hyperlink"/>
          </w:rPr>
          <w:t>Macro Economische Verkenning 2027</w:t>
        </w:r>
      </w:hyperlink>
      <w:r>
        <w:t>.</w:t>
      </w:r>
    </w:p>
  </w:footnote>
  <w:footnote w:id="18">
    <w:p w14:paraId="1DFE8B35" w14:textId="77777777" w:rsidR="00CC7724" w:rsidRDefault="00CC7724" w:rsidP="00CC7724">
      <w:pPr>
        <w:pStyle w:val="Voetnoottekst"/>
      </w:pPr>
      <w:r>
        <w:rPr>
          <w:rStyle w:val="Voetnootmarkering"/>
        </w:rPr>
        <w:footnoteRef/>
      </w:r>
      <w:r>
        <w:t xml:space="preserve"> Centraal Planbureau (2026). </w:t>
      </w:r>
      <w:r w:rsidRPr="001941AC">
        <w:t>Macro Economische Verkenning 2027</w:t>
      </w:r>
      <w:r>
        <w:t>.</w:t>
      </w:r>
    </w:p>
  </w:footnote>
  <w:footnote w:id="19">
    <w:p w14:paraId="492F3377" w14:textId="77777777" w:rsidR="00CC7724" w:rsidRPr="00CC7724" w:rsidRDefault="00CC7724" w:rsidP="00CC7724">
      <w:pPr>
        <w:pStyle w:val="Voetnoottekst"/>
        <w:rPr>
          <w:lang w:val="en-US"/>
        </w:rPr>
      </w:pPr>
      <w:r>
        <w:rPr>
          <w:rStyle w:val="Voetnootmarkering"/>
        </w:rPr>
        <w:footnoteRef/>
      </w:r>
      <w:r>
        <w:t xml:space="preserve"> Centraal Planbureau (2026). Centraal Economisch Plan. </w:t>
      </w:r>
      <w:r w:rsidRPr="00CC7724">
        <w:rPr>
          <w:lang w:val="en-US"/>
        </w:rPr>
        <w:t xml:space="preserve">CPB raming maart 2026 </w:t>
      </w:r>
    </w:p>
  </w:footnote>
  <w:footnote w:id="20">
    <w:p w14:paraId="32D63373" w14:textId="77777777" w:rsidR="00CC7724" w:rsidRPr="00CC7724" w:rsidRDefault="00CC7724" w:rsidP="00CC7724">
      <w:pPr>
        <w:pStyle w:val="Voetnoottekst"/>
      </w:pPr>
      <w:r>
        <w:rPr>
          <w:rStyle w:val="Voetnootmarkering"/>
        </w:rPr>
        <w:footnoteRef/>
      </w:r>
      <w:r w:rsidRPr="006A4D66">
        <w:rPr>
          <w:lang w:val="en-US"/>
        </w:rPr>
        <w:t xml:space="preserve"> Eurostat (2026). </w:t>
      </w:r>
      <w:hyperlink r:id="rId12" w:history="1">
        <w:r w:rsidRPr="00293DD3">
          <w:rPr>
            <w:rStyle w:val="Hyperlink"/>
            <w:lang w:val="en-US"/>
          </w:rPr>
          <w:t>Government debt at 87,8% of GDP in euro area</w:t>
        </w:r>
      </w:hyperlink>
      <w:r w:rsidRPr="001C231D">
        <w:rPr>
          <w:lang w:val="en-US"/>
        </w:rPr>
        <w:t xml:space="preserve">. </w:t>
      </w:r>
      <w:r w:rsidRPr="00CC7724">
        <w:t xml:space="preserve">Persbericht, 22 april. </w:t>
      </w:r>
    </w:p>
  </w:footnote>
  <w:footnote w:id="21">
    <w:p w14:paraId="5E8086BC" w14:textId="77777777" w:rsidR="00CC7724" w:rsidRDefault="00CC7724" w:rsidP="00CC7724">
      <w:pPr>
        <w:pStyle w:val="Voetnoottekst"/>
      </w:pPr>
      <w:r>
        <w:rPr>
          <w:rStyle w:val="Voetnootmarkering"/>
        </w:rPr>
        <w:footnoteRef/>
      </w:r>
      <w:r>
        <w:t xml:space="preserve"> OECD (2025). Global Debt Report 2025</w:t>
      </w:r>
    </w:p>
  </w:footnote>
  <w:footnote w:id="22">
    <w:p w14:paraId="03BDD0D6" w14:textId="2D1F3375" w:rsidR="00CC7724" w:rsidRDefault="00CC7724" w:rsidP="00CC7724">
      <w:pPr>
        <w:pStyle w:val="Voetnoottekst"/>
      </w:pPr>
      <w:r>
        <w:rPr>
          <w:rStyle w:val="Voetnootmarkering"/>
        </w:rPr>
        <w:footnoteRef/>
      </w:r>
      <w:r>
        <w:t xml:space="preserve"> Dit thema sluit aan bij d</w:t>
      </w:r>
      <w:r w:rsidR="00565672">
        <w:t>at</w:t>
      </w:r>
      <w:r>
        <w:t xml:space="preserve"> van het jaarverslag 2025 van de Afdeling advisering van de Raad van State: “</w:t>
      </w:r>
      <w:hyperlink r:id="rId13" w:history="1">
        <w:r w:rsidRPr="00EA355B">
          <w:rPr>
            <w:rStyle w:val="Hyperlink"/>
          </w:rPr>
          <w:t>Recht op de Toekomst</w:t>
        </w:r>
      </w:hyperlink>
      <w:r>
        <w:t>”.</w:t>
      </w:r>
    </w:p>
  </w:footnote>
  <w:footnote w:id="23">
    <w:p w14:paraId="240162DB" w14:textId="77777777" w:rsidR="00CC7724" w:rsidRPr="007F5395" w:rsidRDefault="00CC7724" w:rsidP="00CC7724">
      <w:pPr>
        <w:pStyle w:val="Voetnoottekst"/>
      </w:pPr>
      <w:r w:rsidRPr="007F5395">
        <w:rPr>
          <w:rStyle w:val="Voetnootmarkering"/>
        </w:rPr>
        <w:footnoteRef/>
      </w:r>
      <w:r w:rsidRPr="007F5395">
        <w:t xml:space="preserve"> Gebaseerd op het Verantwoordingsdocument van het </w:t>
      </w:r>
      <w:hyperlink r:id="rId14" w:history="1">
        <w:r w:rsidRPr="00AF4290">
          <w:rPr>
            <w:rStyle w:val="Hyperlink"/>
          </w:rPr>
          <w:t>CEP 2026</w:t>
        </w:r>
      </w:hyperlink>
      <w:r w:rsidRPr="007F5395">
        <w:t xml:space="preserve"> van het CPB. </w:t>
      </w:r>
    </w:p>
  </w:footnote>
  <w:footnote w:id="24">
    <w:p w14:paraId="643A3F7A" w14:textId="09FE15D9" w:rsidR="00CC7724" w:rsidRPr="007F5395" w:rsidRDefault="00CC7724" w:rsidP="00CC7724">
      <w:pPr>
        <w:pStyle w:val="Voetnoottekst"/>
      </w:pPr>
      <w:r w:rsidRPr="007F5395">
        <w:rPr>
          <w:rStyle w:val="Voetnootmarkering"/>
        </w:rPr>
        <w:footnoteRef/>
      </w:r>
      <w:r w:rsidRPr="007F5395">
        <w:t xml:space="preserve"> Gebaseerd op de cijfers van het </w:t>
      </w:r>
      <w:hyperlink r:id="rId15" w:history="1">
        <w:r w:rsidRPr="00AF4290">
          <w:rPr>
            <w:rStyle w:val="Hyperlink"/>
          </w:rPr>
          <w:t>CEP 2026</w:t>
        </w:r>
      </w:hyperlink>
      <w:r w:rsidRPr="007F5395">
        <w:t xml:space="preserve"> van het CPB. De geraamde schuldquote van 62% uit 2039 is vermenigvuldigd met het bbp van 2025 en gedeeld door het bevolkingsaantal in dat jaar (0,62*€</w:t>
      </w:r>
      <w:r w:rsidR="004F042B">
        <w:t> </w:t>
      </w:r>
      <w:r w:rsidRPr="007F5395">
        <w:t>1</w:t>
      </w:r>
      <w:r>
        <w:t>.</w:t>
      </w:r>
      <w:r w:rsidRPr="007F5395">
        <w:t xml:space="preserve">171 </w:t>
      </w:r>
      <w:r>
        <w:t>mld.</w:t>
      </w:r>
      <w:r w:rsidRPr="007F5395">
        <w:t>/ 18 m</w:t>
      </w:r>
      <w:r>
        <w:t>iljoen</w:t>
      </w:r>
      <w:r w:rsidRPr="007F5395">
        <w:t xml:space="preserve"> personen </w:t>
      </w:r>
      <w:r w:rsidRPr="00544D6A">
        <w:t>≈</w:t>
      </w:r>
      <w:r w:rsidRPr="007F5395">
        <w:t xml:space="preserve"> €</w:t>
      </w:r>
      <w:r w:rsidR="004F042B">
        <w:t> </w:t>
      </w:r>
      <w:r w:rsidRPr="007F5395">
        <w:t>40</w:t>
      </w:r>
      <w:r w:rsidR="00F87B44">
        <w:t>.</w:t>
      </w:r>
      <w:r w:rsidRPr="007F5395">
        <w:t>2</w:t>
      </w:r>
      <w:r w:rsidR="00F87B44">
        <w:t>00</w:t>
      </w:r>
      <w:r w:rsidRPr="007F5395">
        <w:t xml:space="preserve">). </w:t>
      </w:r>
    </w:p>
  </w:footnote>
  <w:footnote w:id="25">
    <w:p w14:paraId="29A215F2" w14:textId="77777777" w:rsidR="00CC7724" w:rsidRDefault="00CC7724" w:rsidP="00CC7724">
      <w:pPr>
        <w:pStyle w:val="Voetnoottekst"/>
      </w:pPr>
      <w:r>
        <w:rPr>
          <w:rStyle w:val="Voetnootmarkering"/>
        </w:rPr>
        <w:footnoteRef/>
      </w:r>
      <w:r>
        <w:t xml:space="preserve"> In breder Europees verband tekent zich eenzelfde patroon af. Het Internationaal Monetair Fonds (IMF) constateert dat de gecombineerde uitgavendruk door vergrijzing, klimaattransitie en defensie de overheidsuitgaven in Europese economieën tot 2040 gemiddeld met ongeveer 4,5 procent bbp zal doen toenemen. Indien deze opgave ongeadresseerd blijft, zou de gemiddeld Europese overheidsschuld de eerstkomende vijftien jaar kunnen verdubbelen tot ruim boven de honderd procent bbp. Dit onderstreept dat de houdbaarheidsopgave waarvoor Nederland zich gesteld ziet geen geïsoleerd nationaal vraagstuk is, maar onderdeel uitmaakt van een structurele, Unie-brede spanning tussen oplopende collectieve verplichtingen en de grenzen van de begrotingsruimte. </w:t>
      </w:r>
      <w:r w:rsidRPr="00ED7549">
        <w:rPr>
          <w:lang w:val="en-US"/>
        </w:rPr>
        <w:t xml:space="preserve">Internationaal Monetair Fonds (2026). Europe’s Fiscal Squeeze. Tackling Rising Spending Pressures. </w:t>
      </w:r>
      <w:r>
        <w:t xml:space="preserve">Departemental Paper. </w:t>
      </w:r>
    </w:p>
  </w:footnote>
  <w:footnote w:id="26">
    <w:p w14:paraId="4A30AA99" w14:textId="77777777" w:rsidR="00CC7724" w:rsidRPr="00F813E3" w:rsidRDefault="00CC7724" w:rsidP="00CC7724">
      <w:pPr>
        <w:pStyle w:val="Voetnoottekst"/>
      </w:pPr>
      <w:r w:rsidRPr="0006360E">
        <w:rPr>
          <w:rStyle w:val="Voetnootmarkering"/>
        </w:rPr>
        <w:footnoteRef/>
      </w:r>
      <w:r w:rsidRPr="0006360E">
        <w:t xml:space="preserve"> </w:t>
      </w:r>
      <w:r w:rsidRPr="0006360E">
        <w:rPr>
          <w:szCs w:val="22"/>
        </w:rPr>
        <w:t xml:space="preserve">Zie bijvoorbeeld TNO vector (2025). </w:t>
      </w:r>
      <w:hyperlink r:id="rId16" w:history="1">
        <w:r w:rsidRPr="0006360E">
          <w:rPr>
            <w:rStyle w:val="Hyperlink"/>
            <w:szCs w:val="22"/>
          </w:rPr>
          <w:t>Het Nederlandse investeringsgat</w:t>
        </w:r>
      </w:hyperlink>
      <w:r w:rsidRPr="0006360E">
        <w:rPr>
          <w:szCs w:val="22"/>
        </w:rPr>
        <w:t xml:space="preserve">; Rabo Research (2025). </w:t>
      </w:r>
      <w:hyperlink r:id="rId17" w:history="1">
        <w:r w:rsidRPr="0006360E">
          <w:rPr>
            <w:rStyle w:val="Hyperlink"/>
            <w:szCs w:val="22"/>
          </w:rPr>
          <w:t>De weg naar hogere economische groei</w:t>
        </w:r>
      </w:hyperlink>
      <w:r w:rsidRPr="0006360E">
        <w:rPr>
          <w:szCs w:val="22"/>
        </w:rPr>
        <w:t xml:space="preserve">. Deze onderzoeken, die in het kader van het rapport Wennink zijn uitgevoerd, wijzen erop dat nog aanzienlijk hogere uitgaven noodzakelijk zijn. Volgens de aanbevelingen van de Raad van de Europese Unie blijven de private en publieke R&amp;D investeringen nog steeds achter bij die in Europa. </w:t>
      </w:r>
      <w:r>
        <w:rPr>
          <w:szCs w:val="22"/>
        </w:rPr>
        <w:t xml:space="preserve">Zie </w:t>
      </w:r>
      <w:r w:rsidRPr="00F813E3">
        <w:rPr>
          <w:szCs w:val="22"/>
        </w:rPr>
        <w:t xml:space="preserve">de Aanbeveling van de Raad van 10 juli 2026 inzake het economisch, sociaal, werkgelegenheids-, structuur- en begrotingsbeleid van Nederland, </w:t>
      </w:r>
      <w:hyperlink r:id="rId18" w:history="1">
        <w:r w:rsidRPr="00B8114A">
          <w:rPr>
            <w:rStyle w:val="Hyperlink"/>
            <w:szCs w:val="22"/>
          </w:rPr>
          <w:t>PbEU C/2026/3932</w:t>
        </w:r>
      </w:hyperlink>
      <w:r w:rsidRPr="00F813E3">
        <w:rPr>
          <w:szCs w:val="22"/>
        </w:rPr>
        <w:t xml:space="preserve">, punt 25. </w:t>
      </w:r>
    </w:p>
  </w:footnote>
  <w:footnote w:id="27">
    <w:p w14:paraId="480D8693" w14:textId="77777777" w:rsidR="00CC7724" w:rsidRPr="007F5395" w:rsidRDefault="00CC7724" w:rsidP="00CC7724">
      <w:pPr>
        <w:pStyle w:val="Voetnoottekst"/>
      </w:pPr>
      <w:r w:rsidRPr="007F5395">
        <w:rPr>
          <w:rStyle w:val="Voetnootmarkering"/>
        </w:rPr>
        <w:footnoteRef/>
      </w:r>
      <w:r w:rsidRPr="007F5395">
        <w:t xml:space="preserve"> </w:t>
      </w:r>
      <w:r>
        <w:t xml:space="preserve">Advies van de Afdeling advisering van de </w:t>
      </w:r>
      <w:r w:rsidRPr="007F5395">
        <w:t>Raad van State (</w:t>
      </w:r>
      <w:r>
        <w:t xml:space="preserve">september </w:t>
      </w:r>
      <w:r w:rsidRPr="007F5395">
        <w:t>2025)</w:t>
      </w:r>
      <w:r>
        <w:t xml:space="preserve"> over de</w:t>
      </w:r>
      <w:r w:rsidRPr="00A472A0">
        <w:t xml:space="preserve"> Miljoenennota 2026 en septemberrapportage begrotingstoezicht 2025</w:t>
      </w:r>
      <w:r>
        <w:t>,</w:t>
      </w:r>
      <w:r w:rsidRPr="00A472A0">
        <w:t xml:space="preserve"> </w:t>
      </w:r>
      <w:r>
        <w:t>(</w:t>
      </w:r>
      <w:hyperlink r:id="rId19" w:history="1">
        <w:r w:rsidRPr="00A472A0">
          <w:rPr>
            <w:rStyle w:val="Hyperlink"/>
          </w:rPr>
          <w:t>W06.25.00214/III.</w:t>
        </w:r>
      </w:hyperlink>
      <w:r>
        <w:t>)</w:t>
      </w:r>
    </w:p>
  </w:footnote>
  <w:footnote w:id="28">
    <w:p w14:paraId="49F08AD2" w14:textId="77777777" w:rsidR="00CC7724" w:rsidRPr="007F5395" w:rsidRDefault="00CC7724" w:rsidP="00CC7724">
      <w:pPr>
        <w:pStyle w:val="Voetnoottekst"/>
      </w:pPr>
      <w:r w:rsidRPr="007F5395">
        <w:rPr>
          <w:rStyle w:val="Voetnootmarkering"/>
        </w:rPr>
        <w:footnoteRef/>
      </w:r>
      <w:r w:rsidRPr="007F5395">
        <w:t xml:space="preserve"> Investeringen zijn in de </w:t>
      </w:r>
      <w:r>
        <w:t>n</w:t>
      </w:r>
      <w:r w:rsidRPr="007F5395">
        <w:t xml:space="preserve">ationale </w:t>
      </w:r>
      <w:r>
        <w:t>r</w:t>
      </w:r>
      <w:r w:rsidRPr="007F5395">
        <w:t>ekeningen van het Centraal Bureau voor de Statistiek gedefinieerd als uitgaven aan materiële en immateriële activa die meer dan een jaar gebruikt worden in het productieproces.</w:t>
      </w:r>
    </w:p>
  </w:footnote>
  <w:footnote w:id="29">
    <w:p w14:paraId="2C0A76D4" w14:textId="77777777" w:rsidR="00CC7724" w:rsidRPr="007F5395" w:rsidRDefault="00CC7724" w:rsidP="00CC7724">
      <w:pPr>
        <w:pStyle w:val="Voetnoottekst"/>
      </w:pPr>
      <w:r w:rsidRPr="007F5395">
        <w:rPr>
          <w:rStyle w:val="Voetnootmarkering"/>
        </w:rPr>
        <w:footnoteRef/>
      </w:r>
      <w:r w:rsidRPr="007D1C2B">
        <w:t xml:space="preserve"> Zie bijvoorbeeld Foster, V., Gorgulu, N., D. Jain, S. Straub en M. Vagliasindi (2025)</w:t>
      </w:r>
      <w:r>
        <w:t xml:space="preserve">. </w:t>
      </w:r>
      <w:hyperlink r:id="rId20" w:history="1">
        <w:r w:rsidRPr="00264339">
          <w:rPr>
            <w:rStyle w:val="Hyperlink"/>
            <w:lang w:val="en-US"/>
          </w:rPr>
          <w:t>The impact of infrastructure on development outcomes: a meta-analysis.</w:t>
        </w:r>
      </w:hyperlink>
      <w:r w:rsidRPr="00CF24AB">
        <w:rPr>
          <w:lang w:val="en-US"/>
        </w:rPr>
        <w:t xml:space="preserve"> </w:t>
      </w:r>
      <w:r w:rsidRPr="00264339">
        <w:t>World Bank Research Observer; CPB (202</w:t>
      </w:r>
      <w:r>
        <w:t>5</w:t>
      </w:r>
      <w:r w:rsidRPr="00264339">
        <w:t>).</w:t>
      </w:r>
      <w:r w:rsidRPr="00891B49">
        <w:t xml:space="preserve"> </w:t>
      </w:r>
      <w:hyperlink r:id="rId21" w:history="1">
        <w:r w:rsidRPr="00891B49">
          <w:rPr>
            <w:rStyle w:val="Hyperlink"/>
          </w:rPr>
          <w:t>Lessen</w:t>
        </w:r>
        <w:r w:rsidRPr="007F5395">
          <w:rPr>
            <w:rStyle w:val="Hyperlink"/>
          </w:rPr>
          <w:t xml:space="preserve"> voor productiviteitsbeleid</w:t>
        </w:r>
        <w:r w:rsidRPr="00891B49">
          <w:rPr>
            <w:rStyle w:val="Hyperlink"/>
          </w:rPr>
          <w:t>.</w:t>
        </w:r>
      </w:hyperlink>
      <w:r w:rsidRPr="00891B49">
        <w:t xml:space="preserve"> </w:t>
      </w:r>
      <w:r w:rsidRPr="007F5395">
        <w:t xml:space="preserve">Ook over de stimulerende bijdrage van onderwijsuitgaven bestaat in de economische literatuur brede consensus. Zie bijvoorbeeld SEO (2025). </w:t>
      </w:r>
      <w:hyperlink r:id="rId22" w:history="1">
        <w:r w:rsidRPr="007F5395">
          <w:rPr>
            <w:rStyle w:val="Hyperlink"/>
          </w:rPr>
          <w:t>Slimme investeringen: naar een kwantificering van de bbp-effecten van investeringen in onderwijs en onderzoek en ontwikkeling</w:t>
        </w:r>
      </w:hyperlink>
      <w:r w:rsidRPr="007F5395">
        <w:t xml:space="preserve">. In de meest recente doorrekeningen van de verkiezingsprogramma’s houdt het CPB expliciet rekening met het investeringsklimaat, waarbij onder andere de innovatiesubsidies worden meegenomen. Zie CPB (2025). </w:t>
      </w:r>
      <w:hyperlink r:id="rId23" w:history="1">
        <w:r w:rsidRPr="007F5395">
          <w:rPr>
            <w:rStyle w:val="Hyperlink"/>
          </w:rPr>
          <w:t>Keuzes in kaart 2027-2030</w:t>
        </w:r>
      </w:hyperlink>
      <w:r w:rsidRPr="007F5395">
        <w:t>, Hoofdstuk 12</w:t>
      </w:r>
      <w:r>
        <w:t>,</w:t>
      </w:r>
      <w:r w:rsidRPr="007F5395">
        <w:t xml:space="preserve"> verantwoording en toelichting.</w:t>
      </w:r>
    </w:p>
  </w:footnote>
  <w:footnote w:id="30">
    <w:p w14:paraId="287D6302" w14:textId="77777777" w:rsidR="00CC7724" w:rsidRPr="007F5395" w:rsidRDefault="00CC7724" w:rsidP="00CC7724">
      <w:pPr>
        <w:pStyle w:val="Voetnoottekst"/>
      </w:pPr>
      <w:r w:rsidRPr="007F5395">
        <w:rPr>
          <w:rStyle w:val="Voetnootmarkering"/>
        </w:rPr>
        <w:footnoteRef/>
      </w:r>
      <w:r w:rsidRPr="007F5395">
        <w:t xml:space="preserve"> C</w:t>
      </w:r>
      <w:r>
        <w:t>entraal Planbureau</w:t>
      </w:r>
      <w:r w:rsidRPr="007F5395">
        <w:t xml:space="preserve"> (2025). </w:t>
      </w:r>
      <w:hyperlink r:id="rId24" w:history="1">
        <w:r w:rsidRPr="007F5395">
          <w:rPr>
            <w:rStyle w:val="Hyperlink"/>
          </w:rPr>
          <w:t>Keuzes in kaart 2027-2030</w:t>
        </w:r>
      </w:hyperlink>
      <w:r w:rsidRPr="007F5395">
        <w:t>; Ministerie van Financiën (2026). Miljoenennota 2027.</w:t>
      </w:r>
    </w:p>
  </w:footnote>
  <w:footnote w:id="31">
    <w:p w14:paraId="6D4BFBD8" w14:textId="77777777" w:rsidR="00CC7724" w:rsidRPr="007F5395" w:rsidRDefault="00CC7724" w:rsidP="00CC7724">
      <w:pPr>
        <w:pStyle w:val="Voetnoottekst"/>
      </w:pPr>
      <w:r w:rsidRPr="007F5395">
        <w:rPr>
          <w:rStyle w:val="Voetnootmarkering"/>
        </w:rPr>
        <w:footnoteRef/>
      </w:r>
      <w:r w:rsidRPr="007F5395">
        <w:t xml:space="preserve"> Op basis van de cijfers van de overheidsinvesteringen en de uitgaven volgens de internationaal geharmoniseerde COFOG-classificatie (Classification of the Functions of Government.) </w:t>
      </w:r>
    </w:p>
  </w:footnote>
  <w:footnote w:id="32">
    <w:p w14:paraId="17098F8C" w14:textId="77777777" w:rsidR="00CC7724" w:rsidRPr="007F5395" w:rsidRDefault="00CC7724" w:rsidP="00CC7724">
      <w:pPr>
        <w:pStyle w:val="Voetnoottekst"/>
      </w:pPr>
      <w:r w:rsidRPr="007F5395">
        <w:rPr>
          <w:rStyle w:val="Voetnootmarkering"/>
        </w:rPr>
        <w:footnoteRef/>
      </w:r>
      <w:r w:rsidRPr="007F5395">
        <w:t xml:space="preserve"> Overheidsuitgaven aan defensie, woningen en bedrijfsgebouwen worden als voorwaardenscheppend beschouwd voor productiviteitsgroei en daarom niet meegenomen in de figuur.</w:t>
      </w:r>
    </w:p>
  </w:footnote>
  <w:footnote w:id="33">
    <w:p w14:paraId="64D4ADEC" w14:textId="77777777" w:rsidR="00CC7724" w:rsidRPr="007F5395" w:rsidRDefault="00CC7724" w:rsidP="00CC7724">
      <w:pPr>
        <w:pStyle w:val="Voetnoottekst"/>
      </w:pPr>
      <w:r w:rsidRPr="007F5395">
        <w:rPr>
          <w:rStyle w:val="Voetnootmarkering"/>
        </w:rPr>
        <w:footnoteRef/>
      </w:r>
      <w:r w:rsidRPr="007F5395">
        <w:t xml:space="preserve"> Dit zijn de uitgaven aan de COFOG-functie onderwijs (COFOG 9) plus de overheidsuitgaven aan onderzoek die niet als investeringen worden gezien. Uitkeringen aan studenten zijn meer een vorm van inkomensondersteuning en daarom niet opgenomen in de figuur. Studiefinanciering kan deels gezien worden als een investering in menselijk kapitaal omdat het de participatie aan vervolgonderwijs bevordert. </w:t>
      </w:r>
    </w:p>
  </w:footnote>
  <w:footnote w:id="34">
    <w:p w14:paraId="4E211C30" w14:textId="77777777" w:rsidR="00CC7724" w:rsidRPr="007F5395" w:rsidRDefault="00CC7724" w:rsidP="00CC7724">
      <w:pPr>
        <w:pStyle w:val="Voetnoottekst"/>
      </w:pPr>
      <w:r w:rsidRPr="007F5395">
        <w:rPr>
          <w:rStyle w:val="Voetnootmarkering"/>
        </w:rPr>
        <w:footnoteRef/>
      </w:r>
      <w:r w:rsidRPr="007F5395">
        <w:t xml:space="preserve"> De uitgaven aan deze COFOG-groep zijn verminderd met de investeringen in deze groep en de belastinguitgaven. Belastinguitgaven zijn vooral kortingen op energie en brandstoffen, die deels ook als inkomensondersteuning kunnen worden gezien.</w:t>
      </w:r>
    </w:p>
  </w:footnote>
  <w:footnote w:id="35">
    <w:p w14:paraId="67433507" w14:textId="77777777" w:rsidR="00CC7724" w:rsidRPr="007F5395" w:rsidRDefault="00CC7724" w:rsidP="00CC7724">
      <w:pPr>
        <w:pStyle w:val="Voetnoottekst"/>
      </w:pPr>
      <w:r w:rsidRPr="007F5395">
        <w:rPr>
          <w:rStyle w:val="Voetnootmarkering"/>
        </w:rPr>
        <w:footnoteRef/>
      </w:r>
      <w:r w:rsidRPr="007F5395">
        <w:t xml:space="preserve"> Naast het opwaartse effect van de uitgaven speelt ook het noemereffect een rol. Bij grote economische schokken daalt het bbp. Bij de Covid-uitbraak was de terugval van het bbp in de jaren erna relatief snel goed gemaakt. Bij de kredietcrisis duurde dit aanmerkelijk langer, mede vanwege de beperkte inflatie. Een volledige correctie voor dit soort uitschieters en andere -bijvoorbeeld demografische – factoren die voor een exacte interpretatie van belang zijn is zeer bewerkelijk en ligt buiten de scope van het advies.</w:t>
      </w:r>
    </w:p>
  </w:footnote>
  <w:footnote w:id="36">
    <w:p w14:paraId="18563459" w14:textId="77777777" w:rsidR="00CC7724" w:rsidRPr="00C44E05" w:rsidRDefault="00CC7724" w:rsidP="00CC7724">
      <w:pPr>
        <w:pStyle w:val="Voetnoottekst"/>
      </w:pPr>
      <w:r w:rsidRPr="007F5395">
        <w:rPr>
          <w:rStyle w:val="Voetnootmarkering"/>
        </w:rPr>
        <w:footnoteRef/>
      </w:r>
      <w:r w:rsidRPr="00825B05">
        <w:t xml:space="preserve"> Zie OECD (2025). </w:t>
      </w:r>
      <w:hyperlink r:id="rId25" w:history="1">
        <w:r w:rsidRPr="00825B05">
          <w:rPr>
            <w:rStyle w:val="Hyperlink"/>
          </w:rPr>
          <w:t>OECD Economic Surveys: Netherlands 2025</w:t>
        </w:r>
      </w:hyperlink>
      <w:r w:rsidRPr="00825B05">
        <w:t xml:space="preserve">. </w:t>
      </w:r>
      <w:r w:rsidRPr="007F5395">
        <w:t xml:space="preserve">Over de achterblijvende investeringen en productiviteitsgroei. </w:t>
      </w:r>
      <w:r w:rsidRPr="00EA1B7F">
        <w:t>De</w:t>
      </w:r>
      <w:r w:rsidRPr="007F5395">
        <w:t xml:space="preserve"> aanbeveling van de </w:t>
      </w:r>
      <w:r w:rsidRPr="00EA1B7F">
        <w:t>Raad van 10 juli 2026</w:t>
      </w:r>
      <w:r w:rsidRPr="007F5395">
        <w:t xml:space="preserve"> wijst erop dat de Nederlandse R&amp;D uitgaven achterblijven bij het Europese gemiddelde. </w:t>
      </w:r>
      <w:r>
        <w:rPr>
          <w:szCs w:val="22"/>
        </w:rPr>
        <w:t xml:space="preserve">Zie </w:t>
      </w:r>
      <w:r w:rsidRPr="00F813E3">
        <w:rPr>
          <w:szCs w:val="22"/>
        </w:rPr>
        <w:t xml:space="preserve">de Aanbeveling van de Raad van 10 juli 2026 inzake het economisch, sociaal, werkgelegenheids-, structuur- en begrotingsbeleid van Nederland, </w:t>
      </w:r>
      <w:hyperlink r:id="rId26" w:history="1">
        <w:r w:rsidRPr="00B8114A">
          <w:rPr>
            <w:rStyle w:val="Hyperlink"/>
            <w:szCs w:val="22"/>
          </w:rPr>
          <w:t>PbEU C/2026/3932</w:t>
        </w:r>
      </w:hyperlink>
      <w:r w:rsidRPr="00F813E3">
        <w:rPr>
          <w:szCs w:val="22"/>
        </w:rPr>
        <w:t>, punt 25.</w:t>
      </w:r>
    </w:p>
  </w:footnote>
  <w:footnote w:id="37">
    <w:p w14:paraId="3E22F5E7" w14:textId="77777777" w:rsidR="00CC7724" w:rsidRPr="007F5395" w:rsidRDefault="00CC7724" w:rsidP="00CC7724">
      <w:pPr>
        <w:pStyle w:val="Voetnoottekst"/>
      </w:pPr>
      <w:r w:rsidRPr="007F5395">
        <w:rPr>
          <w:rStyle w:val="Voetnootmarkering"/>
        </w:rPr>
        <w:footnoteRef/>
      </w:r>
      <w:r w:rsidRPr="007F5395">
        <w:t xml:space="preserve"> Nederland heeft geen omvangrijke defensie-industrie, zodat veel militair materieel op dit moment ingevoerd moet worden. Mede daarom dragen defensie-uitgaven maar in beperkte mate bij aan de economische groei en is het de vraag of deze uitgaven productiviteitsbevorderend zijn. CPB (2025). </w:t>
      </w:r>
      <w:hyperlink r:id="rId27" w:history="1">
        <w:r w:rsidRPr="007F5395">
          <w:rPr>
            <w:rStyle w:val="Hyperlink"/>
          </w:rPr>
          <w:t>Macro-economische effecten van hogere defensie-uitgaven.</w:t>
        </w:r>
      </w:hyperlink>
    </w:p>
  </w:footnote>
  <w:footnote w:id="38">
    <w:p w14:paraId="5E4061E7" w14:textId="77777777" w:rsidR="00CC7724" w:rsidRPr="007F5395" w:rsidRDefault="00CC7724" w:rsidP="00CC7724">
      <w:pPr>
        <w:pStyle w:val="Voetnoottekst"/>
      </w:pPr>
      <w:r w:rsidRPr="007F5395">
        <w:rPr>
          <w:rStyle w:val="Voetnootmarkering"/>
        </w:rPr>
        <w:footnoteRef/>
      </w:r>
      <w:r w:rsidRPr="007F5395">
        <w:t xml:space="preserve"> Ministerie van Economische Zaken en Klimaat (2026). </w:t>
      </w:r>
      <w:hyperlink r:id="rId28" w:history="1">
        <w:r w:rsidRPr="007F5395">
          <w:rPr>
            <w:rStyle w:val="Hyperlink"/>
          </w:rPr>
          <w:t>Update Taskforce Toekomstige Welvaart en Vestigingsklimaat.</w:t>
        </w:r>
      </w:hyperlink>
      <w:r w:rsidRPr="007F5395">
        <w:t xml:space="preserve"> Kamerbrief BPZ/107452619.</w:t>
      </w:r>
    </w:p>
  </w:footnote>
  <w:footnote w:id="39">
    <w:p w14:paraId="66F8C397" w14:textId="77777777" w:rsidR="00CC7724" w:rsidRPr="007F5395" w:rsidRDefault="00CC7724" w:rsidP="00CC7724">
      <w:pPr>
        <w:pStyle w:val="Voetnoottekst"/>
      </w:pPr>
      <w:r w:rsidRPr="007F5395">
        <w:rPr>
          <w:rStyle w:val="Voetnootmarkering"/>
        </w:rPr>
        <w:footnoteRef/>
      </w:r>
      <w:r w:rsidRPr="007F5395">
        <w:t xml:space="preserve"> Knol, J., J. van Rijn, D. van Vuuren en V. Ziesemer (2025). </w:t>
      </w:r>
      <w:hyperlink r:id="rId29" w:history="1">
        <w:r w:rsidRPr="007F5395">
          <w:rPr>
            <w:rStyle w:val="Hyperlink"/>
          </w:rPr>
          <w:t>Sectoren van de toekomst.</w:t>
        </w:r>
      </w:hyperlink>
      <w:r w:rsidRPr="007F5395">
        <w:t xml:space="preserve"> IPE en SEO Economisch Onderzoek.</w:t>
      </w:r>
    </w:p>
  </w:footnote>
  <w:footnote w:id="40">
    <w:p w14:paraId="70746E8A" w14:textId="77777777" w:rsidR="00CC7724" w:rsidRPr="007F5395" w:rsidRDefault="00CC7724" w:rsidP="00CC7724">
      <w:pPr>
        <w:pStyle w:val="Voetnoottekst"/>
      </w:pPr>
      <w:r w:rsidRPr="007F5395">
        <w:rPr>
          <w:rStyle w:val="Voetnootmarkering"/>
        </w:rPr>
        <w:footnoteRef/>
      </w:r>
      <w:r w:rsidRPr="007F5395">
        <w:t xml:space="preserve"> Erken</w:t>
      </w:r>
      <w:r>
        <w:t>, H</w:t>
      </w:r>
      <w:r w:rsidRPr="007F5395">
        <w:t xml:space="preserve"> (2024). </w:t>
      </w:r>
      <w:hyperlink r:id="rId30" w:history="1">
        <w:r w:rsidRPr="007F5395">
          <w:rPr>
            <w:rStyle w:val="Hyperlink"/>
          </w:rPr>
          <w:t>Lage groei productiviteit mede door ongunstige structuur economie,</w:t>
        </w:r>
      </w:hyperlink>
      <w:r w:rsidRPr="007F5395">
        <w:t> ESB 109(4837S), 16-20.</w:t>
      </w:r>
    </w:p>
  </w:footnote>
  <w:footnote w:id="41">
    <w:p w14:paraId="3DC1998C" w14:textId="77777777" w:rsidR="00CC7724" w:rsidRPr="007F5395" w:rsidRDefault="00CC7724" w:rsidP="00CC7724">
      <w:pPr>
        <w:pStyle w:val="Voetnoottekst"/>
      </w:pPr>
      <w:r w:rsidRPr="007F5395">
        <w:rPr>
          <w:rStyle w:val="Voetnootmarkering"/>
        </w:rPr>
        <w:footnoteRef/>
      </w:r>
      <w:r w:rsidRPr="007F5395">
        <w:t xml:space="preserve"> De werkgelegenheidsgroei in onder andere zakelijke diensten, horeca, curatieve zorg en kunst, cultuur en recreatie droegen hieraan bij. Hoewel dit soort verschuivingen op zich wenselijk kunnen zijn, heeft dit wel een effect op de arbeidsproductiviteitsgroei. </w:t>
      </w:r>
    </w:p>
  </w:footnote>
  <w:footnote w:id="42">
    <w:p w14:paraId="472C5B9D" w14:textId="77777777" w:rsidR="00CC7724" w:rsidRPr="007F5395" w:rsidRDefault="00CC7724" w:rsidP="00CC7724">
      <w:pPr>
        <w:pStyle w:val="Voetnoottekst"/>
      </w:pPr>
      <w:r w:rsidRPr="007F5395">
        <w:rPr>
          <w:rStyle w:val="Voetnootmarkering"/>
        </w:rPr>
        <w:footnoteRef/>
      </w:r>
      <w:r w:rsidRPr="007F5395">
        <w:t xml:space="preserve"> DenkWerk (2025)</w:t>
      </w:r>
      <w:r>
        <w:t>.</w:t>
      </w:r>
      <w:r w:rsidRPr="007F5395">
        <w:t> </w:t>
      </w:r>
      <w:hyperlink r:id="rId31" w:history="1">
        <w:r w:rsidRPr="007F5395">
          <w:rPr>
            <w:rStyle w:val="Hyperlink"/>
          </w:rPr>
          <w:t>Kiezen én delen</w:t>
        </w:r>
      </w:hyperlink>
      <w:r w:rsidRPr="007F5395">
        <w:t>.</w:t>
      </w:r>
    </w:p>
  </w:footnote>
  <w:footnote w:id="43">
    <w:p w14:paraId="0BC36204" w14:textId="77777777" w:rsidR="00CC7724" w:rsidRPr="00D40F14" w:rsidRDefault="00CC7724" w:rsidP="00CC7724">
      <w:pPr>
        <w:rPr>
          <w:sz w:val="20"/>
          <w:szCs w:val="20"/>
        </w:rPr>
      </w:pPr>
      <w:r w:rsidRPr="00D40F14">
        <w:rPr>
          <w:rStyle w:val="Voetnootmarkering"/>
          <w:sz w:val="20"/>
          <w:szCs w:val="20"/>
        </w:rPr>
        <w:footnoteRef/>
      </w:r>
      <w:r w:rsidRPr="000A449E">
        <w:rPr>
          <w:sz w:val="20"/>
          <w:szCs w:val="20"/>
        </w:rPr>
        <w:t xml:space="preserve"> C</w:t>
      </w:r>
      <w:r>
        <w:rPr>
          <w:sz w:val="20"/>
          <w:szCs w:val="20"/>
        </w:rPr>
        <w:t>entraal Planbureau</w:t>
      </w:r>
      <w:r w:rsidRPr="000A449E">
        <w:rPr>
          <w:sz w:val="20"/>
          <w:szCs w:val="20"/>
        </w:rPr>
        <w:t xml:space="preserve"> (2023). </w:t>
      </w:r>
      <w:hyperlink r:id="rId32" w:history="1">
        <w:r w:rsidRPr="000A449E">
          <w:rPr>
            <w:rStyle w:val="Hyperlink"/>
            <w:sz w:val="20"/>
            <w:szCs w:val="20"/>
          </w:rPr>
          <w:t>De Nederlandse economie in historisch perspectief.</w:t>
        </w:r>
      </w:hyperlink>
    </w:p>
  </w:footnote>
  <w:footnote w:id="44">
    <w:p w14:paraId="6193EDF8" w14:textId="77777777" w:rsidR="00CC7724" w:rsidRPr="007F5395" w:rsidRDefault="00CC7724" w:rsidP="00CC7724">
      <w:pPr>
        <w:pStyle w:val="Voetnoottekst"/>
      </w:pPr>
      <w:r w:rsidRPr="007F5395">
        <w:rPr>
          <w:rStyle w:val="Voetnootmarkering"/>
        </w:rPr>
        <w:footnoteRef/>
      </w:r>
      <w:r w:rsidRPr="007F5395">
        <w:t xml:space="preserve"> </w:t>
      </w:r>
      <w:r w:rsidRPr="00D40F14">
        <w:t>Zie bijvoorbeeld C</w:t>
      </w:r>
      <w:r>
        <w:t>entraal Planbureau</w:t>
      </w:r>
      <w:r w:rsidRPr="00D40F14">
        <w:t xml:space="preserve"> (2026). </w:t>
      </w:r>
      <w:hyperlink r:id="rId33" w:history="1">
        <w:r w:rsidRPr="00D40F14">
          <w:rPr>
            <w:rStyle w:val="Hyperlink"/>
          </w:rPr>
          <w:t>Nationale Productiviteitsmonitor 2025</w:t>
        </w:r>
      </w:hyperlink>
      <w:r w:rsidRPr="00D40F14">
        <w:t>.</w:t>
      </w:r>
    </w:p>
  </w:footnote>
  <w:footnote w:id="45">
    <w:p w14:paraId="031D3DFB" w14:textId="77777777" w:rsidR="00CC7724" w:rsidRPr="007F5395" w:rsidRDefault="00CC7724" w:rsidP="00CC7724">
      <w:pPr>
        <w:pStyle w:val="Voetnoottekst"/>
      </w:pPr>
      <w:r w:rsidRPr="007F5395">
        <w:rPr>
          <w:rStyle w:val="Voetnootmarkering"/>
        </w:rPr>
        <w:footnoteRef/>
      </w:r>
      <w:r w:rsidRPr="007F5395">
        <w:t xml:space="preserve"> De uitgaven aan landbouwsubsidies bedragen voor 2026 ruim €2 </w:t>
      </w:r>
      <w:r>
        <w:t>mld.</w:t>
      </w:r>
      <w:r w:rsidRPr="007F5395">
        <w:t xml:space="preserve"> inclusief regelingen voor beëindigen, verplaatsen of extensivering en ruim €1 </w:t>
      </w:r>
      <w:r>
        <w:t>mld.</w:t>
      </w:r>
      <w:r w:rsidRPr="007F5395">
        <w:t xml:space="preserve"> exclusief deze regelingen. Daarnaast ontvangt de Nederlandse landbouw ook EU-subsidie</w:t>
      </w:r>
      <w:r>
        <w:t xml:space="preserve">s. Kamerstukken II 2025/09, </w:t>
      </w:r>
      <w:hyperlink r:id="rId34" w:history="1">
        <w:r w:rsidRPr="00700A91">
          <w:rPr>
            <w:rStyle w:val="Hyperlink"/>
          </w:rPr>
          <w:t>36800-XIV, nr 2</w:t>
        </w:r>
      </w:hyperlink>
      <w:r>
        <w:t>, p36-37.</w:t>
      </w:r>
    </w:p>
  </w:footnote>
  <w:footnote w:id="46">
    <w:p w14:paraId="13DF7577" w14:textId="77777777" w:rsidR="00CC7724" w:rsidRPr="007F5395" w:rsidRDefault="00CC7724" w:rsidP="00CC7724">
      <w:pPr>
        <w:pStyle w:val="Voetnoottekst"/>
      </w:pPr>
      <w:r w:rsidRPr="007F5395">
        <w:rPr>
          <w:rStyle w:val="Voetnootmarkering"/>
        </w:rPr>
        <w:footnoteRef/>
      </w:r>
      <w:r w:rsidRPr="007F5395">
        <w:t xml:space="preserve"> Waaronder de landbouwvrijstelling die de heffingsgrondslag voor de inkomsten- en vennootschapsbelasting beperkt. Het budgettair beslag van deze regeling wordt voor 2026 op </w:t>
      </w:r>
      <w:r>
        <w:t>€</w:t>
      </w:r>
      <w:r w:rsidRPr="007F5395">
        <w:t>1,3</w:t>
      </w:r>
      <w:r>
        <w:t>8</w:t>
      </w:r>
      <w:r w:rsidRPr="007F5395">
        <w:t xml:space="preserve"> </w:t>
      </w:r>
      <w:r>
        <w:t>mld.</w:t>
      </w:r>
      <w:r w:rsidRPr="007F5395">
        <w:t xml:space="preserve"> geschat. Ministerie van Financiën (2026). Miljoenennota 2027, bijlage </w:t>
      </w:r>
      <w:r>
        <w:t>4.3 tabel 4.3.2.</w:t>
      </w:r>
    </w:p>
  </w:footnote>
  <w:footnote w:id="47">
    <w:p w14:paraId="7EAA214F" w14:textId="77777777" w:rsidR="00CC7724" w:rsidRPr="007F5395" w:rsidRDefault="00CC7724" w:rsidP="00CC7724">
      <w:pPr>
        <w:pStyle w:val="Voetnoottekst"/>
      </w:pPr>
      <w:r w:rsidRPr="007F5395">
        <w:rPr>
          <w:rStyle w:val="Voetnootmarkering"/>
        </w:rPr>
        <w:footnoteRef/>
      </w:r>
      <w:r w:rsidRPr="007F5395">
        <w:t xml:space="preserve"> DNB (2026). </w:t>
      </w:r>
      <w:hyperlink r:id="rId35" w:history="1">
        <w:r w:rsidRPr="007F5395">
          <w:rPr>
            <w:rStyle w:val="Hyperlink"/>
          </w:rPr>
          <w:t>Gezonde bedrijven, gezonde groei: Dynamiek, marktmacht en misallocatie in het Nederlandse bedrijfsleven.</w:t>
        </w:r>
      </w:hyperlink>
    </w:p>
  </w:footnote>
  <w:footnote w:id="48">
    <w:p w14:paraId="5FCCC4B1" w14:textId="77777777" w:rsidR="00CC7724" w:rsidRPr="007F5395" w:rsidRDefault="00CC7724" w:rsidP="00CC7724">
      <w:pPr>
        <w:pStyle w:val="Voetnoottekst"/>
      </w:pPr>
      <w:r w:rsidRPr="007F5395">
        <w:rPr>
          <w:rStyle w:val="Voetnootmarkering"/>
        </w:rPr>
        <w:footnoteRef/>
      </w:r>
      <w:r w:rsidRPr="007F5395">
        <w:t xml:space="preserve"> C</w:t>
      </w:r>
      <w:r>
        <w:t>entraal Planbureau</w:t>
      </w:r>
      <w:r w:rsidRPr="007F5395">
        <w:t xml:space="preserve"> (2025). </w:t>
      </w:r>
      <w:hyperlink r:id="rId36" w:history="1">
        <w:r w:rsidRPr="007F5395">
          <w:rPr>
            <w:rStyle w:val="Hyperlink"/>
          </w:rPr>
          <w:t>Proces creatieve destructie verzwakt in Nederland</w:t>
        </w:r>
      </w:hyperlink>
      <w:r w:rsidRPr="007F5395">
        <w:t>.</w:t>
      </w:r>
    </w:p>
  </w:footnote>
  <w:footnote w:id="49">
    <w:p w14:paraId="4DA290D8" w14:textId="77777777" w:rsidR="00CC7724" w:rsidRPr="007F5395" w:rsidRDefault="00CC7724" w:rsidP="00CC7724">
      <w:pPr>
        <w:pStyle w:val="Voetnoottekst"/>
      </w:pPr>
      <w:r w:rsidRPr="007F5395">
        <w:rPr>
          <w:rStyle w:val="Voetnootmarkering"/>
        </w:rPr>
        <w:footnoteRef/>
      </w:r>
      <w:r w:rsidRPr="007F5395">
        <w:t xml:space="preserve"> C</w:t>
      </w:r>
      <w:r>
        <w:t>entraal Planbureau</w:t>
      </w:r>
      <w:r w:rsidRPr="007F5395">
        <w:t xml:space="preserve"> (2020). </w:t>
      </w:r>
      <w:hyperlink r:id="rId37" w:history="1">
        <w:r w:rsidRPr="007F5395">
          <w:rPr>
            <w:rStyle w:val="Hyperlink"/>
          </w:rPr>
          <w:t>Stromen en ongelijkheid op de arbeidsmarkt.</w:t>
        </w:r>
      </w:hyperlink>
    </w:p>
  </w:footnote>
  <w:footnote w:id="50">
    <w:p w14:paraId="709B8070" w14:textId="77777777" w:rsidR="00CC7724" w:rsidRPr="007F5395" w:rsidRDefault="00CC7724" w:rsidP="00CC7724">
      <w:pPr>
        <w:pStyle w:val="Voetnoottekst"/>
      </w:pPr>
      <w:r w:rsidRPr="007F5395">
        <w:rPr>
          <w:rStyle w:val="Voetnootmarkering"/>
        </w:rPr>
        <w:footnoteRef/>
      </w:r>
      <w:r w:rsidRPr="007F5395">
        <w:t xml:space="preserve"> DNB (2026). </w:t>
      </w:r>
      <w:hyperlink r:id="rId38" w:history="1">
        <w:r w:rsidRPr="007F5395">
          <w:rPr>
            <w:rStyle w:val="Hyperlink"/>
          </w:rPr>
          <w:t>Gezonde bedrijven, gezonde groei: Dynamiek, marktmacht en misallocatie in het Nederlandse bedrijfsleven.</w:t>
        </w:r>
      </w:hyperlink>
    </w:p>
  </w:footnote>
  <w:footnote w:id="51">
    <w:p w14:paraId="189B3DF4" w14:textId="77777777" w:rsidR="00CC7724" w:rsidRPr="00FF78BC" w:rsidRDefault="00CC7724" w:rsidP="00CC7724">
      <w:pPr>
        <w:pStyle w:val="Voetnoottekst"/>
      </w:pPr>
      <w:r w:rsidRPr="00FF78BC">
        <w:rPr>
          <w:rStyle w:val="Voetnootmarkering"/>
        </w:rPr>
        <w:footnoteRef/>
      </w:r>
      <w:r w:rsidRPr="00FF78BC">
        <w:t xml:space="preserve"> Voorbeeld hiervan is beleid dat het zelfstandig ondernemerschap of migratie stimuleert. Zelfstandigen zonder personeel (ZZP-ers) worden bijvoorbeeld gestimuleerd doordat voor zelfstandigen geen ontslagbescherming en loondoorbetaling bij ziekte geldt en zij profiteren van de MKB-winstvrijstelling en zelfstandigenaftrek. </w:t>
      </w:r>
    </w:p>
  </w:footnote>
  <w:footnote w:id="52">
    <w:p w14:paraId="16A47776" w14:textId="77777777" w:rsidR="00CC7724" w:rsidRPr="007F5395" w:rsidRDefault="00CC7724" w:rsidP="00CC7724">
      <w:r w:rsidRPr="00FF78BC">
        <w:rPr>
          <w:rStyle w:val="Voetnootmarkering"/>
          <w:sz w:val="20"/>
          <w:szCs w:val="22"/>
        </w:rPr>
        <w:footnoteRef/>
      </w:r>
      <w:r w:rsidRPr="00FF78BC">
        <w:rPr>
          <w:sz w:val="20"/>
          <w:szCs w:val="22"/>
        </w:rPr>
        <w:t xml:space="preserve"> Bestemmingsbeleid heeft invloed op de waarde en daarmee op de transacties en de verdeling van grond. Wel wordt de handelingsruimte van beleidsmakers beperkt, doordat de verdeling van grond het resultaat is van transacties uit het verleden waaraan rechten kunnen worden ontleend. </w:t>
      </w:r>
    </w:p>
  </w:footnote>
  <w:footnote w:id="53">
    <w:p w14:paraId="3E8797B9" w14:textId="77777777" w:rsidR="00CC7724" w:rsidRPr="007F5395" w:rsidRDefault="00CC7724" w:rsidP="00CC7724">
      <w:pPr>
        <w:pStyle w:val="Voetnoottekst"/>
      </w:pPr>
      <w:r w:rsidRPr="007F5395">
        <w:rPr>
          <w:rStyle w:val="Voetnootmarkering"/>
        </w:rPr>
        <w:footnoteRef/>
      </w:r>
      <w:r w:rsidRPr="007F5395">
        <w:t xml:space="preserve"> Ministerie van Economische Zaken </w:t>
      </w:r>
      <w:r>
        <w:t xml:space="preserve">en Klimaat </w:t>
      </w:r>
      <w:r w:rsidRPr="007F5395">
        <w:t xml:space="preserve">(2026). </w:t>
      </w:r>
      <w:hyperlink r:id="rId39" w:history="1">
        <w:r w:rsidRPr="007B1EA9">
          <w:rPr>
            <w:rStyle w:val="Hyperlink"/>
          </w:rPr>
          <w:t>Tweede productiviteitsagenda</w:t>
        </w:r>
      </w:hyperlink>
      <w:r w:rsidRPr="007F5395">
        <w:t xml:space="preserve">. Kamerbrief Ministerie van Economische </w:t>
      </w:r>
      <w:r>
        <w:t>Z</w:t>
      </w:r>
      <w:r w:rsidRPr="007F5395">
        <w:t>aken</w:t>
      </w:r>
      <w:r>
        <w:t xml:space="preserve"> en Klimaat</w:t>
      </w:r>
      <w:r w:rsidRPr="007F5395">
        <w:t>, DGED-AEP/107187537</w:t>
      </w:r>
    </w:p>
  </w:footnote>
  <w:footnote w:id="54">
    <w:p w14:paraId="72D47456" w14:textId="77777777" w:rsidR="00CC7724" w:rsidRPr="007F5395" w:rsidRDefault="00CC7724" w:rsidP="00CC7724">
      <w:pPr>
        <w:pStyle w:val="Voetnoottekst"/>
      </w:pPr>
      <w:r w:rsidRPr="007F5395">
        <w:rPr>
          <w:rStyle w:val="Voetnootmarkering"/>
        </w:rPr>
        <w:footnoteRef/>
      </w:r>
      <w:r w:rsidRPr="007F5395">
        <w:t xml:space="preserve"> SEO (2025)</w:t>
      </w:r>
      <w:r>
        <w:t>.</w:t>
      </w:r>
      <w:r w:rsidRPr="007F5395">
        <w:t xml:space="preserve"> </w:t>
      </w:r>
      <w:hyperlink r:id="rId40" w:history="1">
        <w:r w:rsidRPr="007F5395">
          <w:rPr>
            <w:rStyle w:val="Hyperlink"/>
          </w:rPr>
          <w:t>Slimme investeringen: Naar een kwantificering van de bbp-effecten van investeringen in onderwijs en onderzoek en ontwikkeling</w:t>
        </w:r>
      </w:hyperlink>
      <w:r>
        <w:t>;</w:t>
      </w:r>
      <w:r w:rsidRPr="007F5395">
        <w:t xml:space="preserve"> CPB (2026)</w:t>
      </w:r>
      <w:r>
        <w:t>.</w:t>
      </w:r>
      <w:r w:rsidRPr="007F5395">
        <w:t xml:space="preserve"> </w:t>
      </w:r>
      <w:hyperlink r:id="rId41" w:history="1">
        <w:r w:rsidRPr="007F5395">
          <w:rPr>
            <w:rStyle w:val="Hyperlink"/>
          </w:rPr>
          <w:t>Het human capital model van het CPB</w:t>
        </w:r>
      </w:hyperlink>
      <w:r w:rsidRPr="007F5395">
        <w:t xml:space="preserve">. </w:t>
      </w:r>
    </w:p>
  </w:footnote>
  <w:footnote w:id="55">
    <w:p w14:paraId="5B80092B" w14:textId="77777777" w:rsidR="00CC7724" w:rsidRPr="007F5395" w:rsidRDefault="00CC7724" w:rsidP="00CC7724">
      <w:pPr>
        <w:pStyle w:val="Voetnoottekst"/>
      </w:pPr>
      <w:r w:rsidRPr="007F5395">
        <w:rPr>
          <w:rStyle w:val="Voetnootmarkering"/>
        </w:rPr>
        <w:footnoteRef/>
      </w:r>
      <w:r w:rsidRPr="007F5395">
        <w:t xml:space="preserve"> De </w:t>
      </w:r>
      <w:r>
        <w:t>n</w:t>
      </w:r>
      <w:r w:rsidRPr="007F5395">
        <w:t xml:space="preserve">ationale </w:t>
      </w:r>
      <w:r>
        <w:t>r</w:t>
      </w:r>
      <w:r w:rsidRPr="007F5395">
        <w:t xml:space="preserve">ekeningen boeken een uitgave bijvoorbeeld op het tijdstip waarop de economische activiteit en de transactie plaats vindt (transactiebasis). De Miljoenennota gaat uit van het moment waarop het geld wordt uitgegeven (kasbasis). Voor cijfers die betrekking hebben op toekomstige jaren gaat de Miljoenennota uit van de gebudgetteerde cijfers, terwijl het CPB een inschatting maakt op basis van economische uitgangspunten. De geraamde overheidsuitgaven van het CPB kunnen mede daardoor afwijken van die uit de Miljoenennota. </w:t>
      </w:r>
    </w:p>
  </w:footnote>
  <w:footnote w:id="56">
    <w:p w14:paraId="59EC8F43" w14:textId="019521E7" w:rsidR="00CC7724" w:rsidRPr="007F5395" w:rsidRDefault="00CC7724" w:rsidP="00CC7724">
      <w:pPr>
        <w:pStyle w:val="Voetnoottekst"/>
      </w:pPr>
      <w:r w:rsidRPr="007F5395">
        <w:rPr>
          <w:rStyle w:val="Voetnootmarkering"/>
        </w:rPr>
        <w:footnoteRef/>
      </w:r>
      <w:r w:rsidRPr="007F5395">
        <w:t xml:space="preserve"> </w:t>
      </w:r>
      <w:hyperlink r:id="rId42" w:history="1">
        <w:r w:rsidRPr="007F5395">
          <w:rPr>
            <w:rStyle w:val="Hyperlink"/>
          </w:rPr>
          <w:t>Instellingsbesluit productiviteitsraad.</w:t>
        </w:r>
      </w:hyperlink>
      <w:r w:rsidRPr="007F5395">
        <w:t>; Tweede Kamer der Staten-Generaal. (2026). Motie van het lid Aartsen over een rijksbrede verkenning van meer sturing op arbeidsbesparing en arbeidsproductiviteit binnen bestaande regelingen.</w:t>
      </w:r>
      <w:r w:rsidRPr="007F5395">
        <w:rPr>
          <w:b/>
          <w:bCs/>
        </w:rPr>
        <w:t xml:space="preserve"> </w:t>
      </w:r>
      <w:hyperlink r:id="rId43" w:history="1">
        <w:r w:rsidRPr="007F5395">
          <w:rPr>
            <w:rStyle w:val="Hyperlink"/>
          </w:rPr>
          <w:t>Kamerstuk</w:t>
        </w:r>
        <w:r w:rsidR="00001676">
          <w:rPr>
            <w:rStyle w:val="Hyperlink"/>
          </w:rPr>
          <w:t>ken II</w:t>
        </w:r>
        <w:r w:rsidRPr="007F5395">
          <w:rPr>
            <w:rStyle w:val="Hyperlink"/>
          </w:rPr>
          <w:t xml:space="preserve"> </w:t>
        </w:r>
        <w:r w:rsidR="00B95144">
          <w:rPr>
            <w:rStyle w:val="Hyperlink"/>
          </w:rPr>
          <w:t xml:space="preserve">2023/24, </w:t>
        </w:r>
        <w:r w:rsidRPr="007F5395">
          <w:rPr>
            <w:rStyle w:val="Hyperlink"/>
          </w:rPr>
          <w:t>29861 nr. 142.</w:t>
        </w:r>
      </w:hyperlink>
    </w:p>
  </w:footnote>
  <w:footnote w:id="57">
    <w:p w14:paraId="6340D29B" w14:textId="77777777" w:rsidR="00CC7724" w:rsidRDefault="00CC7724" w:rsidP="00CC7724">
      <w:pPr>
        <w:pStyle w:val="Voetnoottekst"/>
      </w:pPr>
      <w:r>
        <w:rPr>
          <w:rStyle w:val="Voetnootmarkering"/>
        </w:rPr>
        <w:footnoteRef/>
      </w:r>
      <w:r>
        <w:t xml:space="preserve"> </w:t>
      </w:r>
      <w:r w:rsidRPr="00123F30">
        <w:t>Wennink (2025)</w:t>
      </w:r>
      <w:r>
        <w:t>.</w:t>
      </w:r>
      <w:r w:rsidRPr="00123F30">
        <w:t xml:space="preserve"> </w:t>
      </w:r>
      <w:hyperlink r:id="rId44" w:history="1">
        <w:r w:rsidRPr="002F236B">
          <w:rPr>
            <w:rStyle w:val="Hyperlink"/>
          </w:rPr>
          <w:t>De route naar toekomstige welvaart</w:t>
        </w:r>
      </w:hyperlink>
      <w:r w:rsidRPr="00123F30">
        <w:t>.</w:t>
      </w:r>
    </w:p>
  </w:footnote>
  <w:footnote w:id="58">
    <w:p w14:paraId="48DC7945" w14:textId="77777777" w:rsidR="00CC7724" w:rsidRDefault="00CC7724" w:rsidP="00CC7724">
      <w:r>
        <w:rPr>
          <w:rStyle w:val="Voetnootmarkering"/>
        </w:rPr>
        <w:footnoteRef/>
      </w:r>
      <w:r>
        <w:t xml:space="preserve"> </w:t>
      </w:r>
      <w:r w:rsidRPr="000B7013">
        <w:rPr>
          <w:sz w:val="20"/>
          <w:szCs w:val="20"/>
        </w:rPr>
        <w:t>Deze afhankelijkheid strekt zich bovendien uit tot grondstoffen en halffabricaten die noodzakelijk zijn voor de energietransitie zelf, zoals kritieke metalen en mineralen, waarvoor de Europese Unie in grote mate afhankelijk is van een beperkt aantal derde landen, in het bijzonder China.</w:t>
      </w:r>
      <w:r>
        <w:t xml:space="preserve"> </w:t>
      </w:r>
    </w:p>
  </w:footnote>
  <w:footnote w:id="59">
    <w:p w14:paraId="4D253AA9" w14:textId="77777777" w:rsidR="00CC7724" w:rsidRPr="006A11BD" w:rsidRDefault="00CC7724" w:rsidP="00CC7724">
      <w:pPr>
        <w:pStyle w:val="Voetnoottekst"/>
      </w:pPr>
      <w:r w:rsidRPr="00BA488D">
        <w:rPr>
          <w:rStyle w:val="Voetnootmarkering"/>
        </w:rPr>
        <w:footnoteRef/>
      </w:r>
      <w:r w:rsidRPr="00BA488D">
        <w:t xml:space="preserve"> </w:t>
      </w:r>
      <w:r>
        <w:t xml:space="preserve">PBL/CPB (2026). </w:t>
      </w:r>
      <w:hyperlink r:id="rId45" w:history="1">
        <w:r w:rsidRPr="00ED17A2">
          <w:rPr>
            <w:rStyle w:val="Hyperlink"/>
          </w:rPr>
          <w:t>Trends voor de toekomst van de industrie</w:t>
        </w:r>
      </w:hyperlink>
      <w:r>
        <w:t xml:space="preserve">; </w:t>
      </w:r>
      <w:hyperlink r:id="rId46" w:history="1">
        <w:r w:rsidRPr="002B5161">
          <w:rPr>
            <w:rStyle w:val="Hyperlink"/>
          </w:rPr>
          <w:t>Verordening 2023/956</w:t>
        </w:r>
      </w:hyperlink>
      <w:r>
        <w:t xml:space="preserve"> tot instelling van een mechanisme voor koolstofgrenscorrectie.; Onlangs heeft de Europese Commissie onder meer voorgesteld om, onder bepaalde voorwaarden, het aantal beschikbare emissierechten voor bedrijven in de periode tot 2040 minder snel te laten afnemen en ook na 2030 gratis emissierechten beschikbaar te stellen. </w:t>
      </w:r>
      <w:r w:rsidRPr="003D449A">
        <w:rPr>
          <w:lang w:val="en-US"/>
        </w:rPr>
        <w:t>Europese Commissie (2026)</w:t>
      </w:r>
      <w:r>
        <w:rPr>
          <w:lang w:val="en-US"/>
        </w:rPr>
        <w:t>.</w:t>
      </w:r>
      <w:r w:rsidRPr="003D449A">
        <w:rPr>
          <w:lang w:val="en-US"/>
        </w:rPr>
        <w:t xml:space="preserve"> </w:t>
      </w:r>
      <w:hyperlink r:id="rId47" w:history="1">
        <w:r w:rsidRPr="003D449A">
          <w:rPr>
            <w:rStyle w:val="Hyperlink"/>
            <w:lang w:val="en-US"/>
          </w:rPr>
          <w:t xml:space="preserve">Proposal for a directive of the European Parliament and of the </w:t>
        </w:r>
        <w:r w:rsidRPr="005A0E28">
          <w:rPr>
            <w:rStyle w:val="Hyperlink"/>
            <w:lang w:val="en-US"/>
          </w:rPr>
          <w:t>Council amending Directive 2003/87/EC and Decision (EU) 2015/1814 as regards driving competitiveness and cost-effective carbonization.</w:t>
        </w:r>
      </w:hyperlink>
      <w:r>
        <w:rPr>
          <w:lang w:val="en-US"/>
        </w:rPr>
        <w:t xml:space="preserve">; In de Clean Industrial Deal van 26 februari 2025 zijn maatregelen opgenomen voor decarbonisatie van de industrie. </w:t>
      </w:r>
      <w:r w:rsidRPr="0006360E">
        <w:t xml:space="preserve">Europese Commissie (2025). </w:t>
      </w:r>
      <w:hyperlink r:id="rId48" w:history="1">
        <w:r w:rsidRPr="00ED4D0B">
          <w:rPr>
            <w:rStyle w:val="Hyperlink"/>
          </w:rPr>
          <w:t xml:space="preserve">Mededeling van de Commissie aan het Europees Parlement, de Raad, het Europees Economisch en Sociaal Comité en het Comité van de Regio's - </w:t>
        </w:r>
        <w:r w:rsidRPr="0006360E">
          <w:rPr>
            <w:rStyle w:val="Hyperlink"/>
          </w:rPr>
          <w:t>De Clean Industrial Deal: Een gezamenlijke routekaart voor concurrentievermogen en decarbonisatie</w:t>
        </w:r>
      </w:hyperlink>
      <w:r w:rsidRPr="0006360E">
        <w:t xml:space="preserve"> </w:t>
      </w:r>
    </w:p>
  </w:footnote>
  <w:footnote w:id="60">
    <w:p w14:paraId="28484322" w14:textId="77777777" w:rsidR="00CC7724" w:rsidRDefault="00CC7724" w:rsidP="00CC7724">
      <w:pPr>
        <w:pStyle w:val="Voetnoottekst"/>
      </w:pPr>
      <w:r>
        <w:rPr>
          <w:rStyle w:val="Voetnootmarkering"/>
        </w:rPr>
        <w:footnoteRef/>
      </w:r>
      <w:r>
        <w:t xml:space="preserve"> </w:t>
      </w:r>
      <w:r w:rsidRPr="000B7CBF">
        <w:t>Voorstel tot wijziging van Richtlijn 2003/87, COM(2026) 616.</w:t>
      </w:r>
    </w:p>
  </w:footnote>
  <w:footnote w:id="61">
    <w:p w14:paraId="77442BBE" w14:textId="77777777" w:rsidR="00CC7724" w:rsidRPr="002F236B" w:rsidRDefault="00CC7724" w:rsidP="00CC7724">
      <w:pPr>
        <w:pStyle w:val="Voetnoottekst"/>
        <w:rPr>
          <w:highlight w:val="yellow"/>
        </w:rPr>
      </w:pPr>
      <w:r w:rsidRPr="00BA488D">
        <w:rPr>
          <w:rStyle w:val="Voetnootmarkering"/>
        </w:rPr>
        <w:footnoteRef/>
      </w:r>
      <w:r w:rsidRPr="00BA488D">
        <w:t xml:space="preserve"> </w:t>
      </w:r>
      <w:r>
        <w:t xml:space="preserve">Ministerie van Economische Zaken (2019). </w:t>
      </w:r>
      <w:hyperlink r:id="rId49" w:history="1">
        <w:r w:rsidRPr="001B7887">
          <w:rPr>
            <w:rStyle w:val="Hyperlink"/>
          </w:rPr>
          <w:t>Klimaatakkoord</w:t>
        </w:r>
      </w:hyperlink>
      <w:r>
        <w:t>.</w:t>
      </w:r>
      <w:r w:rsidRPr="00BA488D">
        <w:t xml:space="preserve"> </w:t>
      </w:r>
    </w:p>
  </w:footnote>
  <w:footnote w:id="62">
    <w:p w14:paraId="0D4F014D" w14:textId="021B1CF4" w:rsidR="00CC7724" w:rsidRDefault="00CC7724" w:rsidP="00CC7724">
      <w:pPr>
        <w:pStyle w:val="Voetnoottekst"/>
      </w:pPr>
      <w:r w:rsidRPr="00B24CF6">
        <w:rPr>
          <w:rStyle w:val="Voetnootmarkering"/>
        </w:rPr>
        <w:footnoteRef/>
      </w:r>
      <w:r w:rsidRPr="00B24CF6">
        <w:t xml:space="preserve"> </w:t>
      </w:r>
      <w:r>
        <w:t xml:space="preserve">Advies van de Afdeling advisering van de Raad van State van </w:t>
      </w:r>
      <w:r w:rsidR="00F07643">
        <w:t xml:space="preserve">9 </w:t>
      </w:r>
      <w:r>
        <w:t xml:space="preserve">september 2026 over de Klimaat- en Energienota 2026, (W19.26.00232/IV). </w:t>
      </w:r>
    </w:p>
  </w:footnote>
  <w:footnote w:id="63">
    <w:p w14:paraId="2AF1A264" w14:textId="77777777" w:rsidR="00CC7724" w:rsidRDefault="00CC7724" w:rsidP="00CC7724">
      <w:pPr>
        <w:pStyle w:val="Voetnoottekst"/>
      </w:pPr>
      <w:r>
        <w:rPr>
          <w:rStyle w:val="Voetnootmarkering"/>
        </w:rPr>
        <w:footnoteRef/>
      </w:r>
      <w:r>
        <w:t xml:space="preserve"> Planbureau voor de Leefomgeving (2025). Klimaat- en Energieverkenning 2025. </w:t>
      </w:r>
    </w:p>
  </w:footnote>
  <w:footnote w:id="64">
    <w:p w14:paraId="74723B1F" w14:textId="57F82022" w:rsidR="00212C7C" w:rsidRDefault="00212C7C">
      <w:pPr>
        <w:pStyle w:val="Voetnoottekst"/>
      </w:pPr>
      <w:r>
        <w:rPr>
          <w:rStyle w:val="Voetnootmarkering"/>
        </w:rPr>
        <w:footnoteRef/>
      </w:r>
      <w:r>
        <w:t xml:space="preserve"> S</w:t>
      </w:r>
      <w:r w:rsidRPr="00212C7C">
        <w:t>chuldbeheersing, productiviteitsgroei en het versnellen van de energietransitie</w:t>
      </w:r>
      <w:r>
        <w:t>.</w:t>
      </w:r>
    </w:p>
  </w:footnote>
  <w:footnote w:id="65">
    <w:p w14:paraId="12EFB1BE" w14:textId="77777777" w:rsidR="00CC7724" w:rsidRDefault="00CC7724" w:rsidP="00CC7724">
      <w:pPr>
        <w:pStyle w:val="Voetnoottekst"/>
      </w:pPr>
      <w:r>
        <w:rPr>
          <w:rStyle w:val="Voetnootmarkering"/>
        </w:rPr>
        <w:footnoteRef/>
      </w:r>
      <w:r>
        <w:t xml:space="preserve"> </w:t>
      </w:r>
      <w:r w:rsidRPr="000251C0">
        <w:t>Het betreft het begrotingstoezicht, bedoeld in het Verdrag inzake Stabiliteit, Coördinatie en Bestuur (VSCB), in artikel 5 van Verordening (EU) 473/2013 en zoals opgenomen in artikel 2a, eerste lid van de Wet houdbare overheidsfinanciën.</w:t>
      </w:r>
    </w:p>
  </w:footnote>
  <w:footnote w:id="66">
    <w:p w14:paraId="10829095" w14:textId="77777777" w:rsidR="00CC7724" w:rsidRDefault="00CC7724" w:rsidP="00CC7724">
      <w:pPr>
        <w:pStyle w:val="Voetnoottekst"/>
      </w:pPr>
      <w:r>
        <w:rPr>
          <w:rStyle w:val="Voetnootmarkering"/>
        </w:rPr>
        <w:footnoteRef/>
      </w:r>
      <w:r>
        <w:t xml:space="preserve"> Gelet op artikel 15, tweede lid, van </w:t>
      </w:r>
      <w:hyperlink r:id="rId50" w:history="1">
        <w:r w:rsidRPr="0040065D">
          <w:rPr>
            <w:rStyle w:val="Hyperlink"/>
          </w:rPr>
          <w:t>Verordening (EU) 2024/1263</w:t>
        </w:r>
      </w:hyperlink>
      <w:r>
        <w:t xml:space="preserve"> kan een lidstaat bij aantreden van een nieuwe regering een herzien budgettair-structureel plan voor de middellange termijn indienen.</w:t>
      </w:r>
    </w:p>
  </w:footnote>
  <w:footnote w:id="67">
    <w:p w14:paraId="7BF14D56" w14:textId="77777777" w:rsidR="00CC7724" w:rsidRPr="002F236B" w:rsidRDefault="00CC7724" w:rsidP="00CC7724">
      <w:pPr>
        <w:pStyle w:val="Voetnoottekst"/>
        <w:rPr>
          <w:highlight w:val="yellow"/>
        </w:rPr>
      </w:pPr>
      <w:r w:rsidRPr="00674FB6">
        <w:rPr>
          <w:rStyle w:val="Voetnootmarkering"/>
        </w:rPr>
        <w:footnoteRef/>
      </w:r>
      <w:r>
        <w:t xml:space="preserve"> Ministerie van Financiën (2026). </w:t>
      </w:r>
      <w:hyperlink r:id="rId51" w:history="1">
        <w:r w:rsidRPr="00896F88">
          <w:rPr>
            <w:rStyle w:val="Hyperlink"/>
          </w:rPr>
          <w:t>Budgettair-structureel plan voor de middellange termijn 2026-2030</w:t>
        </w:r>
      </w:hyperlink>
      <w:r>
        <w:t>.</w:t>
      </w:r>
    </w:p>
  </w:footnote>
  <w:footnote w:id="68">
    <w:p w14:paraId="7330D8B2" w14:textId="59BC4A3E" w:rsidR="00CC7724" w:rsidRPr="00A8503D" w:rsidRDefault="00CC7724" w:rsidP="00CC7724">
      <w:pPr>
        <w:pStyle w:val="Voetnoottekst"/>
        <w:rPr>
          <w:highlight w:val="yellow"/>
        </w:rPr>
      </w:pPr>
      <w:r w:rsidRPr="00A74CE1">
        <w:rPr>
          <w:rStyle w:val="Voetnootmarkering"/>
        </w:rPr>
        <w:footnoteRef/>
      </w:r>
      <w:r w:rsidRPr="00A8503D">
        <w:t xml:space="preserve"> Europese </w:t>
      </w:r>
      <w:r w:rsidR="00535011">
        <w:t>Commissie</w:t>
      </w:r>
      <w:r w:rsidRPr="00A8503D">
        <w:t xml:space="preserve"> (2026). </w:t>
      </w:r>
      <w:hyperlink r:id="rId52" w:history="1">
        <w:r w:rsidRPr="00A8503D">
          <w:rPr>
            <w:rStyle w:val="Hyperlink"/>
          </w:rPr>
          <w:t xml:space="preserve">Aanbeveling </w:t>
        </w:r>
        <w:r w:rsidR="00535011">
          <w:rPr>
            <w:rStyle w:val="Hyperlink"/>
          </w:rPr>
          <w:t>voor een a</w:t>
        </w:r>
        <w:r w:rsidRPr="00A8503D">
          <w:rPr>
            <w:rStyle w:val="Hyperlink"/>
          </w:rPr>
          <w:t>anbeveling van de Raad tot goedkeuring van het nationaal budgettair-structureel plan voor de middellange termijn van Nederland</w:t>
        </w:r>
      </w:hyperlink>
      <w:r w:rsidRPr="00A8503D">
        <w:t>.</w:t>
      </w:r>
    </w:p>
  </w:footnote>
  <w:footnote w:id="69">
    <w:p w14:paraId="33F619A1" w14:textId="77777777" w:rsidR="00CC7724" w:rsidRPr="002F236B" w:rsidRDefault="00CC7724" w:rsidP="00CC7724">
      <w:pPr>
        <w:pStyle w:val="Voetnoottekst"/>
        <w:rPr>
          <w:highlight w:val="yellow"/>
        </w:rPr>
      </w:pPr>
      <w:r w:rsidRPr="00A8503D">
        <w:rPr>
          <w:rStyle w:val="Voetnootmarkering"/>
        </w:rPr>
        <w:footnoteRef/>
      </w:r>
      <w:r w:rsidRPr="00A8503D">
        <w:t xml:space="preserve"> Ministerie van Financiën (2024). </w:t>
      </w:r>
      <w:hyperlink r:id="rId53" w:history="1">
        <w:r w:rsidRPr="00A8503D">
          <w:rPr>
            <w:rStyle w:val="Hyperlink"/>
          </w:rPr>
          <w:t>Budgettair-structureel plan voor de middellange termijn</w:t>
        </w:r>
      </w:hyperlink>
      <w:r w:rsidRPr="00A8503D">
        <w:t>.</w:t>
      </w:r>
    </w:p>
  </w:footnote>
  <w:footnote w:id="70">
    <w:p w14:paraId="62C3782B" w14:textId="19616568" w:rsidR="003742A7" w:rsidRDefault="003742A7">
      <w:pPr>
        <w:pStyle w:val="Voetnoottekst"/>
      </w:pPr>
      <w:r>
        <w:rPr>
          <w:rStyle w:val="Voetnootmarkering"/>
        </w:rPr>
        <w:footnoteRef/>
      </w:r>
      <w:r>
        <w:t xml:space="preserve"> </w:t>
      </w:r>
      <w:r w:rsidR="0058562B">
        <w:t xml:space="preserve">Raad van de Europese Unie (2026). </w:t>
      </w:r>
      <w:r w:rsidR="00CC059E">
        <w:t xml:space="preserve">Aanbeveling van </w:t>
      </w:r>
      <w:r w:rsidR="00EE6613">
        <w:t xml:space="preserve">de Raad tot </w:t>
      </w:r>
      <w:r w:rsidR="00232E6E">
        <w:t xml:space="preserve">vaststellen van het nationaal </w:t>
      </w:r>
      <w:r w:rsidR="009E242E">
        <w:t xml:space="preserve">budgettair-structureel plan voor de middellange termijn. </w:t>
      </w:r>
      <w:r w:rsidR="00F05365">
        <w:t>ECOFIN 874</w:t>
      </w:r>
      <w:r w:rsidR="00D569B8">
        <w:t xml:space="preserve">. </w:t>
      </w:r>
    </w:p>
  </w:footnote>
  <w:footnote w:id="71">
    <w:p w14:paraId="0341FDCC" w14:textId="77777777" w:rsidR="00CC7724" w:rsidRPr="00032E9E" w:rsidRDefault="00CC7724" w:rsidP="00CC7724">
      <w:pPr>
        <w:pStyle w:val="Voetnoottekst"/>
        <w:rPr>
          <w:highlight w:val="yellow"/>
        </w:rPr>
      </w:pPr>
      <w:r w:rsidRPr="003C2A57">
        <w:rPr>
          <w:rStyle w:val="Voetnootmarkering"/>
        </w:rPr>
        <w:footnoteRef/>
      </w:r>
      <w:r w:rsidRPr="003C2A57">
        <w:t xml:space="preserve"> Europese Commissie (2026). </w:t>
      </w:r>
      <w:hyperlink r:id="rId54" w:history="1">
        <w:r w:rsidRPr="003C2A57">
          <w:rPr>
            <w:rStyle w:val="Hyperlink"/>
          </w:rPr>
          <w:t>Landenrapport Nederland 2026.</w:t>
        </w:r>
      </w:hyperlink>
    </w:p>
  </w:footnote>
  <w:footnote w:id="72">
    <w:p w14:paraId="15B23974" w14:textId="77777777" w:rsidR="00CC7724" w:rsidRDefault="00CC7724" w:rsidP="00CC7724">
      <w:pPr>
        <w:pStyle w:val="Voetnoottekst"/>
      </w:pPr>
      <w:r>
        <w:rPr>
          <w:rStyle w:val="Voetnootmarkering"/>
        </w:rPr>
        <w:footnoteRef/>
      </w:r>
      <w:r>
        <w:t xml:space="preserve"> Europese Commissie (2026). Aanbeveling van de Europese Commissie voor een aanbeveling aan de Raad over het economisch, sociaal, werkgelegenheids-, structureel en begrotingsbeleid van Nederland voor 2026, COM(2026) 219 final. </w:t>
      </w:r>
    </w:p>
  </w:footnote>
  <w:footnote w:id="73">
    <w:p w14:paraId="7152CF69" w14:textId="77777777" w:rsidR="00CC7724" w:rsidRDefault="00CC7724" w:rsidP="00CC7724">
      <w:pPr>
        <w:pStyle w:val="Voetnoottekst"/>
      </w:pPr>
      <w:r>
        <w:rPr>
          <w:rStyle w:val="Voetnootmarkering"/>
        </w:rPr>
        <w:footnoteRef/>
      </w:r>
      <w:r>
        <w:t xml:space="preserve"> Verordening (EU) 2024/1263, artikel 21. </w:t>
      </w:r>
    </w:p>
  </w:footnote>
  <w:footnote w:id="74">
    <w:p w14:paraId="10EBEFCD" w14:textId="77777777" w:rsidR="00CC7724" w:rsidRPr="00E37098" w:rsidRDefault="00CC7724" w:rsidP="00CC7724">
      <w:pPr>
        <w:pStyle w:val="Voetnoottekst"/>
        <w:rPr>
          <w:highlight w:val="yellow"/>
          <w:lang w:val="en-US"/>
        </w:rPr>
      </w:pPr>
      <w:r w:rsidRPr="00E37098">
        <w:rPr>
          <w:rStyle w:val="Voetnootmarkering"/>
        </w:rPr>
        <w:footnoteRef/>
      </w:r>
      <w:r w:rsidRPr="00E37098">
        <w:t xml:space="preserve"> Europese Commissie (2025). </w:t>
      </w:r>
      <w:hyperlink r:id="rId55" w:history="1">
        <w:r w:rsidRPr="00E37098">
          <w:rPr>
            <w:rStyle w:val="Hyperlink"/>
            <w:lang w:val="en-US"/>
          </w:rPr>
          <w:t>Communication from the Commission – Accommodating increased defence expenditure within de Stability and Growth Pact.</w:t>
        </w:r>
      </w:hyperlink>
    </w:p>
  </w:footnote>
  <w:footnote w:id="75">
    <w:p w14:paraId="465B3A4E" w14:textId="77777777" w:rsidR="00CC7724" w:rsidRPr="00825B05" w:rsidRDefault="00CC7724" w:rsidP="00CC7724">
      <w:pPr>
        <w:pStyle w:val="Voetnoottekst"/>
        <w:rPr>
          <w:highlight w:val="yellow"/>
        </w:rPr>
      </w:pPr>
      <w:r w:rsidRPr="00A02781">
        <w:rPr>
          <w:rStyle w:val="Voetnootmarkering"/>
        </w:rPr>
        <w:footnoteRef/>
      </w:r>
      <w:r w:rsidRPr="00A02781">
        <w:t xml:space="preserve"> “Op</w:t>
      </w:r>
      <w:r>
        <w:t xml:space="preserve"> 8 juli 2025 activeerde de Raad de nationale ontsnappingsclausule voor 15 lidstaten: België, Bulgarije, Denemarken, Estland, Finland, Griekenland, Hongarije, Kroatië, Letland, Litouwen, Polen, Portugal, Slovenië, Slowakije en Tsjechië. Op 10 oktober 2025 activeerde de Raad de nationale ontsnappingsclausule voor Duitsland; op 17 februari 2026 voor Oostenrijk; op 12 juni voor Spanje.” </w:t>
      </w:r>
      <w:r w:rsidRPr="00825B05">
        <w:t xml:space="preserve">Bron: </w:t>
      </w:r>
      <w:hyperlink r:id="rId56" w:history="1">
        <w:r w:rsidRPr="00825B05">
          <w:rPr>
            <w:rStyle w:val="Hyperlink"/>
          </w:rPr>
          <w:t>Nationale ontsnappingsclausule voor defensie-uitgaven - Consilium</w:t>
        </w:r>
      </w:hyperlink>
    </w:p>
  </w:footnote>
  <w:footnote w:id="76">
    <w:p w14:paraId="34D889F8" w14:textId="77777777" w:rsidR="00CC7724" w:rsidRPr="00997983" w:rsidRDefault="00CC7724" w:rsidP="00CC7724">
      <w:pPr>
        <w:pStyle w:val="Voetnoottekst"/>
      </w:pPr>
      <w:r w:rsidRPr="003B0CA2">
        <w:rPr>
          <w:rStyle w:val="Voetnootmarkering"/>
        </w:rPr>
        <w:footnoteRef/>
      </w:r>
      <w:r w:rsidRPr="009B29D2">
        <w:t xml:space="preserve"> Europese Commissie (2026). </w:t>
      </w:r>
      <w:r w:rsidRPr="00997983">
        <w:t xml:space="preserve">Mededeling van de </w:t>
      </w:r>
      <w:r>
        <w:t>C</w:t>
      </w:r>
      <w:r w:rsidRPr="00997983">
        <w:t xml:space="preserve">ommissie aan het </w:t>
      </w:r>
      <w:r>
        <w:t>E</w:t>
      </w:r>
      <w:r w:rsidRPr="00997983">
        <w:t xml:space="preserve">uropees </w:t>
      </w:r>
      <w:r>
        <w:t>P</w:t>
      </w:r>
      <w:r w:rsidRPr="00997983">
        <w:t xml:space="preserve">arlement, de Raad, de </w:t>
      </w:r>
      <w:r>
        <w:t>E</w:t>
      </w:r>
      <w:r w:rsidRPr="00997983">
        <w:t xml:space="preserve">uropese </w:t>
      </w:r>
      <w:r>
        <w:t>C</w:t>
      </w:r>
      <w:r w:rsidRPr="00997983">
        <w:t xml:space="preserve">entrale </w:t>
      </w:r>
      <w:r>
        <w:t>B</w:t>
      </w:r>
      <w:r w:rsidRPr="00997983">
        <w:t xml:space="preserve">ank, het </w:t>
      </w:r>
      <w:r>
        <w:t>E</w:t>
      </w:r>
      <w:r w:rsidRPr="00997983">
        <w:t xml:space="preserve">uropees </w:t>
      </w:r>
      <w:r>
        <w:t>E</w:t>
      </w:r>
      <w:r w:rsidRPr="00997983">
        <w:t xml:space="preserve">conomisch en </w:t>
      </w:r>
    </w:p>
    <w:p w14:paraId="7231BB71" w14:textId="77777777" w:rsidR="00CC7724" w:rsidRPr="00997983" w:rsidRDefault="00CC7724" w:rsidP="00CC7724">
      <w:pPr>
        <w:pStyle w:val="Voetnoottekst"/>
      </w:pPr>
      <w:r w:rsidRPr="00997983">
        <w:t xml:space="preserve">Sociaal </w:t>
      </w:r>
      <w:r>
        <w:t>C</w:t>
      </w:r>
      <w:r w:rsidRPr="00997983">
        <w:t xml:space="preserve">omité, het </w:t>
      </w:r>
      <w:r>
        <w:t>C</w:t>
      </w:r>
      <w:r w:rsidRPr="00997983">
        <w:t xml:space="preserve">omité van de </w:t>
      </w:r>
      <w:r>
        <w:t>R</w:t>
      </w:r>
      <w:r w:rsidRPr="00997983">
        <w:t xml:space="preserve">egio’s en de </w:t>
      </w:r>
      <w:r>
        <w:t>E</w:t>
      </w:r>
      <w:r w:rsidRPr="00997983">
        <w:t xml:space="preserve">uropese Investeringsbank </w:t>
      </w:r>
      <w:r>
        <w:t xml:space="preserve">– </w:t>
      </w:r>
      <w:hyperlink r:id="rId57" w:history="1">
        <w:r w:rsidRPr="00997983">
          <w:rPr>
            <w:rStyle w:val="Hyperlink"/>
          </w:rPr>
          <w:t>Europees Semester 2026 – Voorjaarspakket</w:t>
        </w:r>
      </w:hyperlink>
      <w:r>
        <w:t>.</w:t>
      </w:r>
    </w:p>
  </w:footnote>
  <w:footnote w:id="77">
    <w:p w14:paraId="78F0E1C6" w14:textId="77777777" w:rsidR="00CC7724" w:rsidRDefault="00CC7724" w:rsidP="00CC7724">
      <w:pPr>
        <w:pStyle w:val="Voetnoottekst"/>
      </w:pPr>
      <w:r w:rsidRPr="458195F9">
        <w:rPr>
          <w:rStyle w:val="Voetnootmarkering"/>
        </w:rPr>
        <w:footnoteRef/>
      </w:r>
      <w:r>
        <w:t xml:space="preserve"> Lidstaten met een schuld boven de 60% bbp mogen jaarlijks tot 0,3% bbp afwijken van hun uitgavenpad en opgeteld over meer jaren tot 0,6% bbp. </w:t>
      </w:r>
    </w:p>
  </w:footnote>
  <w:footnote w:id="78">
    <w:p w14:paraId="4C124F5B" w14:textId="77777777" w:rsidR="00CC7724" w:rsidRDefault="00CC7724" w:rsidP="00CC7724">
      <w:pPr>
        <w:pStyle w:val="Voetnoottekst"/>
      </w:pPr>
      <w:r w:rsidRPr="458195F9">
        <w:rPr>
          <w:rStyle w:val="Voetnootmarkering"/>
        </w:rPr>
        <w:footnoteRef/>
      </w:r>
      <w:r>
        <w:t xml:space="preserve"> Er is een groeicijfer per jaar aanbevolen. Deze jaarlijkse aanbevolen groeicijfers voor de netto primaire uitgaven zijn: 4,7% in 2026, 3,5% in 2027, 3,1% in 2028, 3,5% in 2029 en 3,7% in 2030. </w:t>
      </w:r>
    </w:p>
  </w:footnote>
  <w:footnote w:id="79">
    <w:p w14:paraId="757B3B95" w14:textId="77777777" w:rsidR="00CC7724" w:rsidRDefault="00CC7724" w:rsidP="00CC7724">
      <w:pPr>
        <w:pStyle w:val="Voetnoottekst"/>
      </w:pPr>
      <w:r w:rsidRPr="458195F9">
        <w:rPr>
          <w:rStyle w:val="Voetnootmarkering"/>
        </w:rPr>
        <w:footnoteRef/>
      </w:r>
      <w:r>
        <w:t xml:space="preserve"> De cumulatieve groei wordt berekend op basis van referentiejaar 2025. De cumulatieve groei wordt gebruikt in de jaarlijkse monitoring van de ex-post naleving van de begrotingsregels in de controlerekening. De cumulatieve groeicijfers zijn ook per jaar aangegeven: 4,7% in 2026, 8,4% in 2027, 11,7% in 2028, 15,6% in 2029 en 19,9% in 2030. </w:t>
      </w:r>
    </w:p>
  </w:footnote>
  <w:footnote w:id="80">
    <w:p w14:paraId="13A9C80E" w14:textId="519C74E2" w:rsidR="00CC7724" w:rsidRDefault="00CC7724" w:rsidP="00CC7724">
      <w:pPr>
        <w:pStyle w:val="Voetnoottekst"/>
      </w:pPr>
      <w:r>
        <w:rPr>
          <w:rStyle w:val="Voetnootmarkering"/>
        </w:rPr>
        <w:footnoteRef/>
      </w:r>
      <w:r>
        <w:t xml:space="preserve"> In de cMEV werden de Zvw-premies op een andere wijze toegerekend aan de beleidsmatige lastenontwikkeling. Dit werkte door in de netto gecorrigeerde nominale uitgavengroei. In de MEV is dit teruggedraaid en zijn de Zvw-premies op de oude wijze toegerekend aan de beleidsmatige lastenontwikkeling</w:t>
      </w:r>
      <w:r w:rsidR="006E7F20">
        <w:t xml:space="preserve"> voor</w:t>
      </w:r>
      <w:r>
        <w:t xml:space="preserve"> de uitgavengroei. </w:t>
      </w:r>
      <w:r w:rsidR="00EF6A07">
        <w:t>Het gebruik van de oude berekeningswijze verhoogt de cumulatieve uitgavengroei</w:t>
      </w:r>
      <w:r>
        <w:t xml:space="preserve"> licht. </w:t>
      </w:r>
    </w:p>
  </w:footnote>
  <w:footnote w:id="81">
    <w:p w14:paraId="736C7D8D" w14:textId="77777777" w:rsidR="00CC7724" w:rsidRPr="00130541" w:rsidRDefault="00CC7724" w:rsidP="00CC7724">
      <w:pPr>
        <w:pStyle w:val="Voetnoottekst"/>
      </w:pPr>
      <w:r>
        <w:rPr>
          <w:rStyle w:val="Voetnootmarkering"/>
        </w:rPr>
        <w:footnoteRef/>
      </w:r>
      <w:r w:rsidRPr="004F574B">
        <w:t xml:space="preserve"> </w:t>
      </w:r>
      <w:r>
        <w:t xml:space="preserve">Centraal Planbureau (2026). </w:t>
      </w:r>
      <w:hyperlink r:id="rId58" w:history="1">
        <w:r w:rsidRPr="00C45943">
          <w:rPr>
            <w:rStyle w:val="Hyperlink"/>
          </w:rPr>
          <w:t>Concept</w:t>
        </w:r>
        <w:r>
          <w:rPr>
            <w:rStyle w:val="Hyperlink"/>
          </w:rPr>
          <w:t>-</w:t>
        </w:r>
        <w:r w:rsidRPr="00C45943">
          <w:rPr>
            <w:rStyle w:val="Hyperlink"/>
          </w:rPr>
          <w:t>Macro Economische Verkenning 2027</w:t>
        </w:r>
      </w:hyperlink>
      <w:r>
        <w:t>.</w:t>
      </w:r>
    </w:p>
  </w:footnote>
  <w:footnote w:id="82">
    <w:p w14:paraId="24197A78" w14:textId="77777777" w:rsidR="00CC7724" w:rsidRDefault="00CC7724" w:rsidP="00CC7724">
      <w:pPr>
        <w:pStyle w:val="Voetnoottekst"/>
      </w:pPr>
      <w:r>
        <w:rPr>
          <w:rStyle w:val="Voetnootmarkering"/>
        </w:rPr>
        <w:footnoteRef/>
      </w:r>
      <w:r>
        <w:t xml:space="preserve"> bni staat voor bruto nationaal inkomen en is bepalend voor de afdracht dat lidstaten betalen aan de EU voor diens eigen middelen. De bni-afdracht fungeert daarmee als sluitpost voor de financiering van de EU-begroting.</w:t>
      </w:r>
    </w:p>
  </w:footnote>
  <w:footnote w:id="83">
    <w:p w14:paraId="007C04F8" w14:textId="77777777" w:rsidR="00CC7724" w:rsidRDefault="00CC7724" w:rsidP="00CC7724">
      <w:pPr>
        <w:pStyle w:val="Voetnoottekst"/>
      </w:pPr>
      <w:r>
        <w:rPr>
          <w:rStyle w:val="Voetnootmarkering"/>
        </w:rPr>
        <w:footnoteRef/>
      </w:r>
      <w:r>
        <w:t xml:space="preserve"> Centraal Planbureau (2026). </w:t>
      </w:r>
      <w:hyperlink r:id="rId59" w:history="1">
        <w:r w:rsidRPr="00C45943">
          <w:rPr>
            <w:rStyle w:val="Hyperlink"/>
          </w:rPr>
          <w:t>Concept</w:t>
        </w:r>
        <w:r>
          <w:rPr>
            <w:rStyle w:val="Hyperlink"/>
          </w:rPr>
          <w:t>-</w:t>
        </w:r>
        <w:r w:rsidRPr="00C45943">
          <w:rPr>
            <w:rStyle w:val="Hyperlink"/>
          </w:rPr>
          <w:t>Macro Economische Verkenning 2027</w:t>
        </w:r>
      </w:hyperlink>
      <w:r>
        <w:t>.</w:t>
      </w:r>
    </w:p>
  </w:footnote>
  <w:footnote w:id="84">
    <w:p w14:paraId="30D75A7D" w14:textId="77777777" w:rsidR="00CC7724" w:rsidRDefault="00CC7724" w:rsidP="00CC7724">
      <w:pPr>
        <w:pStyle w:val="Voetnoottekst"/>
      </w:pPr>
      <w:r>
        <w:rPr>
          <w:rStyle w:val="Voetnootmarkering"/>
        </w:rPr>
        <w:footnoteRef/>
      </w:r>
      <w:r>
        <w:t xml:space="preserve"> Ministerie van Financiën (2026). </w:t>
      </w:r>
      <w:hyperlink r:id="rId60" w:history="1">
        <w:r w:rsidRPr="00A929D1">
          <w:rPr>
            <w:rStyle w:val="Hyperlink"/>
          </w:rPr>
          <w:t>Voorjaarsnota 2026</w:t>
        </w:r>
      </w:hyperlink>
      <w:r>
        <w:t>.</w:t>
      </w:r>
    </w:p>
  </w:footnote>
  <w:footnote w:id="85">
    <w:p w14:paraId="50B73052" w14:textId="77777777" w:rsidR="00CC7724" w:rsidRDefault="00CC7724" w:rsidP="00CC7724">
      <w:pPr>
        <w:pStyle w:val="Voetnoottekst"/>
      </w:pPr>
      <w:r>
        <w:rPr>
          <w:rStyle w:val="Voetnootmarkering"/>
          <w:rFonts w:eastAsiaTheme="majorEastAsia"/>
        </w:rPr>
        <w:footnoteRef/>
      </w:r>
      <w:r>
        <w:t xml:space="preserve"> Voorbeelden van generale dossiers zijn hogere uitgaven aan Justitie en Veiligheid door hogere asielinstroom en veranderingen in de EU-afdrachten. </w:t>
      </w:r>
    </w:p>
  </w:footnote>
  <w:footnote w:id="86">
    <w:p w14:paraId="273F5444" w14:textId="0F774A60" w:rsidR="00345F1E" w:rsidRPr="00345F1E" w:rsidRDefault="0036221B" w:rsidP="00345F1E">
      <w:pPr>
        <w:pStyle w:val="Voetnoottekst"/>
      </w:pPr>
      <w:r>
        <w:rPr>
          <w:rStyle w:val="Voetnootmarkering"/>
        </w:rPr>
        <w:footnoteRef/>
      </w:r>
      <w:r>
        <w:t xml:space="preserve"> </w:t>
      </w:r>
      <w:r w:rsidR="00345F1E" w:rsidRPr="00345F1E">
        <w:t xml:space="preserve">Voor de toetsing aan de </w:t>
      </w:r>
      <w:r w:rsidR="000F5B63">
        <w:t>n</w:t>
      </w:r>
      <w:r w:rsidR="00345F1E" w:rsidRPr="00345F1E">
        <w:t xml:space="preserve">ationale begrotingsregels is gebruik gemaakt van de versie van de Miljoenennota 2027 die op 1 september door de Raad van State is ontvangen. Hierin was de informatie van de raming van de MEV 2027 nog niet verwerkt. Hierdoor kunnen de cijfers in Tabel D.3 en Tabel D.4. licht afwijken van de gepresenteerde cijfers in de Miljoenennota 2027. </w:t>
      </w:r>
    </w:p>
    <w:p w14:paraId="574AD134" w14:textId="43907AE9" w:rsidR="0036221B" w:rsidRDefault="0036221B">
      <w:pPr>
        <w:pStyle w:val="Voetnoottekst"/>
      </w:pPr>
    </w:p>
  </w:footnote>
  <w:footnote w:id="87">
    <w:p w14:paraId="1EC5A700" w14:textId="77777777" w:rsidR="00CC7724" w:rsidRDefault="00CC7724" w:rsidP="00CC7724">
      <w:pPr>
        <w:pStyle w:val="Voetnoottekst"/>
      </w:pPr>
      <w:r>
        <w:rPr>
          <w:rStyle w:val="Voetnootmarkering"/>
        </w:rPr>
        <w:footnoteRef/>
      </w:r>
      <w:r>
        <w:t xml:space="preserve"> De uitkomsten van de toetsen van de uitgavenkaders worden verder beïnvloed door verschillen tussen boekingen op transactiebasis (boeking wanneer de economische transactie plaats vindt) en kasbasis (boeking wanneer er wordt betaald). De rijksbegroting en de uitgavenkaders worden opgesteld op kasbasis, terwijl het EMU-saldo wordt berekend op transactiebasis. Dit boekhoudkundig aspect komt tot uiting in de verschillen tussen de raming van de onderuitputting van het CPB en het Ministerie van Financiën. </w:t>
      </w:r>
      <w:r w:rsidRPr="008C64B8">
        <w:t>Het CPB heeft voor de kadertoetsing namelijk aangenomen dat de onderuitputting op transactiebasis gelijk is aan de onderuitputting op kasbasis, terwijl de onderuitputting op transactiebasis ook in kasschuiven of kastransverschillen kan zitten</w:t>
      </w:r>
      <w:r>
        <w:t>.</w:t>
      </w:r>
    </w:p>
  </w:footnote>
  <w:footnote w:id="88">
    <w:p w14:paraId="1FA467B2" w14:textId="77777777" w:rsidR="00CC7724" w:rsidRDefault="00CC7724" w:rsidP="00CC7724">
      <w:pPr>
        <w:pStyle w:val="Voetnoottekst"/>
      </w:pPr>
      <w:r>
        <w:rPr>
          <w:rStyle w:val="Voetnootmarkering"/>
        </w:rPr>
        <w:footnoteRef/>
      </w:r>
      <w:r>
        <w:t xml:space="preserve"> Zie het advies van de Raad van State van </w:t>
      </w:r>
      <w:r w:rsidRPr="00D234A0">
        <w:t>23 oktober 2013</w:t>
      </w:r>
      <w:r>
        <w:t xml:space="preserve"> over de tweede nota van wijziging (Herfstakkoord 2013) bij het Belastingplan 2014, Kamerstukken II 2013/14, </w:t>
      </w:r>
      <w:r w:rsidRPr="00BA51A1">
        <w:t>33752</w:t>
      </w:r>
      <w:r>
        <w:t>, nr. 14.</w:t>
      </w:r>
    </w:p>
  </w:footnote>
  <w:footnote w:id="89">
    <w:p w14:paraId="012AD017" w14:textId="77777777" w:rsidR="00CC7724" w:rsidRDefault="00CC7724" w:rsidP="00CC7724">
      <w:pPr>
        <w:pStyle w:val="Voetnoottekst"/>
      </w:pPr>
      <w:r>
        <w:rPr>
          <w:rStyle w:val="Voetnootmarkering"/>
        </w:rPr>
        <w:footnoteRef/>
      </w:r>
      <w:r>
        <w:t xml:space="preserve"> Advies van de Afdeling advisering van de </w:t>
      </w:r>
      <w:r w:rsidRPr="007F5395">
        <w:t>Raad van State (</w:t>
      </w:r>
      <w:r>
        <w:t xml:space="preserve">september </w:t>
      </w:r>
      <w:r w:rsidRPr="007F5395">
        <w:t>2025)</w:t>
      </w:r>
      <w:r>
        <w:t xml:space="preserve"> over de</w:t>
      </w:r>
      <w:r w:rsidRPr="00A472A0">
        <w:t xml:space="preserve"> Miljoenennota 2026 en septemberrapportage begrotingstoezicht 2025</w:t>
      </w:r>
      <w:r>
        <w:t>,</w:t>
      </w:r>
      <w:r w:rsidRPr="00A472A0">
        <w:t xml:space="preserve"> </w:t>
      </w:r>
      <w:r>
        <w:t>(</w:t>
      </w:r>
      <w:hyperlink r:id="rId61" w:history="1">
        <w:r w:rsidRPr="00A472A0">
          <w:rPr>
            <w:rStyle w:val="Hyperlink"/>
          </w:rPr>
          <w:t>W06.25.00214/III.</w:t>
        </w:r>
      </w:hyperlink>
      <w:r>
        <w:t>)</w:t>
      </w:r>
    </w:p>
  </w:footnote>
  <w:footnote w:id="90">
    <w:p w14:paraId="627DAD36" w14:textId="77777777" w:rsidR="00CC7724" w:rsidRPr="00E65A81" w:rsidRDefault="00CC7724" w:rsidP="00CC7724">
      <w:pPr>
        <w:pStyle w:val="Voetnoottekst"/>
      </w:pPr>
      <w:r w:rsidRPr="00E65A81">
        <w:rPr>
          <w:rStyle w:val="Voetnootmarkering"/>
        </w:rPr>
        <w:footnoteRef/>
      </w:r>
      <w:r w:rsidRPr="00E65A81">
        <w:t xml:space="preserve"> Ministerie van Financiën (2026). Miljoenennota 2027, hoofdstuk 2.2.</w:t>
      </w:r>
    </w:p>
  </w:footnote>
  <w:footnote w:id="91">
    <w:p w14:paraId="0A6AECEE" w14:textId="77777777" w:rsidR="00CC7724" w:rsidRPr="00E65A81" w:rsidRDefault="00CC7724" w:rsidP="00CC7724">
      <w:pPr>
        <w:pStyle w:val="Voetnoottekst"/>
      </w:pPr>
      <w:r w:rsidRPr="00E65A81">
        <w:rPr>
          <w:rStyle w:val="Voetnootmarkering"/>
        </w:rPr>
        <w:footnoteRef/>
      </w:r>
      <w:r w:rsidRPr="00E65A81">
        <w:t xml:space="preserve"> Expertgroep Realistisch Ramen (2025). </w:t>
      </w:r>
      <w:hyperlink r:id="rId62" w:history="1">
        <w:r w:rsidRPr="00E65A81">
          <w:rPr>
            <w:rStyle w:val="Hyperlink"/>
          </w:rPr>
          <w:t>Op drift of op koers? Analyses en aanbevelingen om beter te ramen en begroten.</w:t>
        </w:r>
      </w:hyperlink>
    </w:p>
  </w:footnote>
  <w:footnote w:id="92">
    <w:p w14:paraId="43100C26" w14:textId="77777777" w:rsidR="00CC7724" w:rsidRPr="00E65A81" w:rsidRDefault="00CC7724" w:rsidP="00CC7724">
      <w:pPr>
        <w:pStyle w:val="Voetnoottekst"/>
      </w:pPr>
      <w:r w:rsidRPr="00E65A81">
        <w:rPr>
          <w:rStyle w:val="Voetnootmarkering"/>
        </w:rPr>
        <w:footnoteRef/>
      </w:r>
      <w:r w:rsidRPr="00E65A81">
        <w:t xml:space="preserve"> </w:t>
      </w:r>
      <w:r w:rsidRPr="00E65A81">
        <w:rPr>
          <w:rFonts w:cstheme="minorBidi"/>
        </w:rPr>
        <w:t xml:space="preserve">Advies van de Afdeling </w:t>
      </w:r>
      <w:r>
        <w:rPr>
          <w:rFonts w:cstheme="minorBidi"/>
        </w:rPr>
        <w:t>a</w:t>
      </w:r>
      <w:r w:rsidRPr="00E65A81">
        <w:rPr>
          <w:rFonts w:cstheme="minorBidi"/>
        </w:rPr>
        <w:t>dvisering van de Raad van State van 13 april 2026 over de Voorjaarsnota 2026, de Europese Voortgangsrapportage 2026 en het Budgettair Structureel Plan voor de middellange termijn 2026-2030, (</w:t>
      </w:r>
      <w:hyperlink r:id="rId63" w:history="1">
        <w:r w:rsidRPr="00E65A81">
          <w:rPr>
            <w:rStyle w:val="Hyperlink"/>
          </w:rPr>
          <w:t>W06.26.00062/III</w:t>
        </w:r>
      </w:hyperlink>
      <w:r w:rsidRPr="00E65A81">
        <w:rPr>
          <w:rFonts w:cstheme="minorBidi"/>
        </w:rPr>
        <w:t>).</w:t>
      </w:r>
    </w:p>
  </w:footnote>
  <w:footnote w:id="93">
    <w:p w14:paraId="59AEF5A7" w14:textId="77777777" w:rsidR="00CC7724" w:rsidRDefault="00CC7724" w:rsidP="00CC7724">
      <w:pPr>
        <w:pStyle w:val="Voetnoottekst"/>
      </w:pPr>
      <w:r>
        <w:rPr>
          <w:rStyle w:val="Voetnootmarkering"/>
        </w:rPr>
        <w:footnoteRef/>
      </w:r>
      <w:r>
        <w:t xml:space="preserve"> 18</w:t>
      </w:r>
      <w:r w:rsidRPr="00157CE5">
        <w:rPr>
          <w:vertAlign w:val="superscript"/>
        </w:rPr>
        <w:t>e</w:t>
      </w:r>
      <w:r>
        <w:t xml:space="preserve"> Studiegroep Begrotingsruimte (2025). </w:t>
      </w:r>
      <w:hyperlink r:id="rId64" w:history="1">
        <w:r w:rsidRPr="00B306A0">
          <w:rPr>
            <w:rStyle w:val="Hyperlink"/>
          </w:rPr>
          <w:t>De toekomst begint nu</w:t>
        </w:r>
      </w:hyperlink>
      <w:r>
        <w:t xml:space="preserve">; Ministerie van Financiën (2020). </w:t>
      </w:r>
      <w:hyperlink r:id="rId65" w:history="1">
        <w:r w:rsidRPr="001C1F4F">
          <w:rPr>
            <w:rStyle w:val="Hyperlink"/>
          </w:rPr>
          <w:t>Bouwstenen voor een beter belastingstelsel</w:t>
        </w:r>
      </w:hyperlink>
      <w:r>
        <w:t xml:space="preserve">. </w:t>
      </w:r>
    </w:p>
  </w:footnote>
  <w:footnote w:id="94">
    <w:p w14:paraId="2812FE6E" w14:textId="77777777" w:rsidR="00CC7724" w:rsidRDefault="00CC7724" w:rsidP="00CC7724">
      <w:pPr>
        <w:pStyle w:val="Voetnoottekst"/>
      </w:pPr>
      <w:r>
        <w:rPr>
          <w:rStyle w:val="Voetnootmarkering"/>
        </w:rPr>
        <w:footnoteRef/>
      </w:r>
      <w:r>
        <w:t xml:space="preserve"> </w:t>
      </w:r>
      <w:r w:rsidRPr="00E65A81">
        <w:rPr>
          <w:rFonts w:cstheme="minorBidi"/>
        </w:rPr>
        <w:t xml:space="preserve">Advies van de Afdeling </w:t>
      </w:r>
      <w:r>
        <w:rPr>
          <w:rFonts w:cstheme="minorBidi"/>
        </w:rPr>
        <w:t>a</w:t>
      </w:r>
      <w:r w:rsidRPr="00E65A81">
        <w:rPr>
          <w:rFonts w:cstheme="minorBidi"/>
        </w:rPr>
        <w:t>dvisering van de Raad van State van 13 april 2026 over de Voorjaarsnota 2026, de Europese Voortgangsrapportage 2026 en het Budgettair Structureel Plan voor de middellange termijn 2026-2030, (</w:t>
      </w:r>
      <w:hyperlink r:id="rId66" w:history="1">
        <w:r w:rsidRPr="00E65A81">
          <w:rPr>
            <w:rStyle w:val="Hyperlink"/>
          </w:rPr>
          <w:t>W06.26.00062/III</w:t>
        </w:r>
      </w:hyperlink>
      <w:r w:rsidRPr="00E65A81">
        <w:rPr>
          <w:rFonts w:cstheme="minorBidi"/>
        </w:rPr>
        <w:t>).</w:t>
      </w:r>
    </w:p>
  </w:footnote>
  <w:footnote w:id="95">
    <w:p w14:paraId="7BB797FA" w14:textId="77777777" w:rsidR="00CC7724" w:rsidRDefault="00CC7724" w:rsidP="00CC7724">
      <w:pPr>
        <w:pStyle w:val="Voetnoottekst"/>
      </w:pPr>
      <w:r>
        <w:rPr>
          <w:rStyle w:val="Voetnootmarkering"/>
        </w:rPr>
        <w:footnoteRef/>
      </w:r>
      <w:r>
        <w:t xml:space="preserve"> Zie Centraal Planbureau (2026). </w:t>
      </w:r>
      <w:hyperlink r:id="rId67" w:history="1">
        <w:r w:rsidRPr="001A2D14">
          <w:rPr>
            <w:rStyle w:val="Hyperlink"/>
          </w:rPr>
          <w:t>Nieuwe indeling beleidsmatige lastenontwikkeling</w:t>
        </w:r>
      </w:hyperlink>
      <w:r>
        <w:t>. De lasten op de consumptie zijn inclusief de ontwikkeling van de nominale zorgpremies. De voorgestelde verhoging van het eigen risico zorgt voor een daling van de nominale premies en heeft derhalve een negatief effect.</w:t>
      </w:r>
    </w:p>
  </w:footnote>
  <w:footnote w:id="96">
    <w:p w14:paraId="6CDDBDE6" w14:textId="77777777" w:rsidR="00A725BF" w:rsidRDefault="00A725BF" w:rsidP="00A725BF">
      <w:pPr>
        <w:pStyle w:val="Voetnoottekst"/>
        <w:rPr>
          <w:rFonts w:asciiTheme="minorHAnsi" w:hAnsiTheme="minorHAnsi"/>
        </w:rPr>
      </w:pPr>
      <w:r>
        <w:rPr>
          <w:rStyle w:val="Voetnootmarkering"/>
          <w:rFonts w:ascii="Verdana" w:hAnsi="Verdana"/>
          <w:sz w:val="13"/>
          <w:szCs w:val="13"/>
        </w:rPr>
        <w:footnoteRef/>
      </w:r>
      <w:r>
        <w:rPr>
          <w:rFonts w:ascii="Verdana" w:hAnsi="Verdana"/>
          <w:sz w:val="13"/>
          <w:szCs w:val="13"/>
        </w:rPr>
        <w:t xml:space="preserve"> Afwijkingen van het </w:t>
      </w:r>
      <w:proofErr w:type="spellStart"/>
      <w:r>
        <w:rPr>
          <w:rFonts w:ascii="Verdana" w:hAnsi="Verdana"/>
          <w:sz w:val="13"/>
          <w:szCs w:val="13"/>
        </w:rPr>
        <w:t>uitgavenpad</w:t>
      </w:r>
      <w:proofErr w:type="spellEnd"/>
      <w:r>
        <w:rPr>
          <w:rFonts w:ascii="Verdana" w:hAnsi="Verdana"/>
          <w:sz w:val="13"/>
          <w:szCs w:val="13"/>
        </w:rPr>
        <w:t xml:space="preserve"> worden bijgehouden in een controlerekening. De afwijkingen in deze controlerekening worden niet uitgedrukt als percentage van de uitgavengroei, maar als percentage van het bbp. Afwijkingen zijn toegestaan tot de volgende drempelwaarden: maximaal 0,3% van het bbp op jaarbasis en 0,6% van het bbp cumulatief. Ter illustratie: bij een netto-primaire uitgavenquote van 50% van het bbp leidt een overschrijding van het </w:t>
      </w:r>
      <w:proofErr w:type="spellStart"/>
      <w:r>
        <w:rPr>
          <w:rFonts w:ascii="Verdana" w:hAnsi="Verdana"/>
          <w:sz w:val="13"/>
          <w:szCs w:val="13"/>
        </w:rPr>
        <w:t>uitgavenpad</w:t>
      </w:r>
      <w:proofErr w:type="spellEnd"/>
      <w:r>
        <w:rPr>
          <w:rFonts w:ascii="Verdana" w:hAnsi="Verdana"/>
          <w:sz w:val="13"/>
          <w:szCs w:val="13"/>
        </w:rPr>
        <w:t xml:space="preserve"> met 1% tot een afwijking van 0,5% van het bbp in de controlerekening.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1241" w14:textId="77777777" w:rsidR="00A002FF" w:rsidRDefault="00A002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C593" w14:textId="77777777" w:rsidR="00FA7BCD" w:rsidRDefault="006C591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C599" w14:textId="77777777" w:rsidR="00DA0CDA" w:rsidRDefault="006C591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B7CC59A" w14:textId="77777777" w:rsidR="00993C75" w:rsidRDefault="006C591F">
    <w:pPr>
      <w:pStyle w:val="Koptekst"/>
    </w:pPr>
    <w:r>
      <w:rPr>
        <w:noProof/>
      </w:rPr>
      <w:drawing>
        <wp:anchor distT="0" distB="0" distL="114300" distR="114300" simplePos="0" relativeHeight="251658240" behindDoc="1" locked="0" layoutInCell="1" allowOverlap="1" wp14:anchorId="0B7CC5A5" wp14:editId="0B7CC5A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F73"/>
    <w:multiLevelType w:val="hybridMultilevel"/>
    <w:tmpl w:val="A57E6E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4233CBB"/>
    <w:multiLevelType w:val="hybridMultilevel"/>
    <w:tmpl w:val="CF5A2F56"/>
    <w:lvl w:ilvl="0" w:tplc="A0F0922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C56F03"/>
    <w:multiLevelType w:val="hybridMultilevel"/>
    <w:tmpl w:val="0B6EF1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187003"/>
    <w:multiLevelType w:val="hybridMultilevel"/>
    <w:tmpl w:val="48928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0A4CE6"/>
    <w:multiLevelType w:val="hybridMultilevel"/>
    <w:tmpl w:val="AD88E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C0376B"/>
    <w:multiLevelType w:val="hybridMultilevel"/>
    <w:tmpl w:val="216C9D2E"/>
    <w:lvl w:ilvl="0" w:tplc="222EB4F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143C16"/>
    <w:multiLevelType w:val="hybridMultilevel"/>
    <w:tmpl w:val="A0ECFE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CF3EC0"/>
    <w:multiLevelType w:val="hybridMultilevel"/>
    <w:tmpl w:val="02409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1F1251"/>
    <w:multiLevelType w:val="hybridMultilevel"/>
    <w:tmpl w:val="DCA2B84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6771247">
    <w:abstractNumId w:val="6"/>
  </w:num>
  <w:num w:numId="2" w16cid:durableId="711927836">
    <w:abstractNumId w:val="3"/>
  </w:num>
  <w:num w:numId="3" w16cid:durableId="629363605">
    <w:abstractNumId w:val="1"/>
  </w:num>
  <w:num w:numId="4" w16cid:durableId="1827547268">
    <w:abstractNumId w:val="5"/>
  </w:num>
  <w:num w:numId="5" w16cid:durableId="1729693863">
    <w:abstractNumId w:val="8"/>
  </w:num>
  <w:num w:numId="6" w16cid:durableId="1602684605">
    <w:abstractNumId w:val="4"/>
  </w:num>
  <w:num w:numId="7" w16cid:durableId="665937636">
    <w:abstractNumId w:val="0"/>
  </w:num>
  <w:num w:numId="8" w16cid:durableId="1506162828">
    <w:abstractNumId w:val="2"/>
  </w:num>
  <w:num w:numId="9" w16cid:durableId="895631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92"/>
    <w:rsid w:val="000001D9"/>
    <w:rsid w:val="00000246"/>
    <w:rsid w:val="00000310"/>
    <w:rsid w:val="00000864"/>
    <w:rsid w:val="00000A0E"/>
    <w:rsid w:val="00000B3B"/>
    <w:rsid w:val="00000B70"/>
    <w:rsid w:val="00000EDB"/>
    <w:rsid w:val="0000122A"/>
    <w:rsid w:val="00001584"/>
    <w:rsid w:val="00001676"/>
    <w:rsid w:val="000016AE"/>
    <w:rsid w:val="000019A5"/>
    <w:rsid w:val="0000204D"/>
    <w:rsid w:val="00002786"/>
    <w:rsid w:val="00002901"/>
    <w:rsid w:val="00002CD5"/>
    <w:rsid w:val="00002D78"/>
    <w:rsid w:val="00003484"/>
    <w:rsid w:val="00003587"/>
    <w:rsid w:val="000035E8"/>
    <w:rsid w:val="00003688"/>
    <w:rsid w:val="00003735"/>
    <w:rsid w:val="00003D14"/>
    <w:rsid w:val="0000410D"/>
    <w:rsid w:val="000042AC"/>
    <w:rsid w:val="00004733"/>
    <w:rsid w:val="0000494D"/>
    <w:rsid w:val="00004FEE"/>
    <w:rsid w:val="00005033"/>
    <w:rsid w:val="00005255"/>
    <w:rsid w:val="00005B60"/>
    <w:rsid w:val="00005C19"/>
    <w:rsid w:val="00005C9F"/>
    <w:rsid w:val="00005D33"/>
    <w:rsid w:val="00005D46"/>
    <w:rsid w:val="00005F4C"/>
    <w:rsid w:val="00005FAF"/>
    <w:rsid w:val="0000619F"/>
    <w:rsid w:val="00007486"/>
    <w:rsid w:val="000078F3"/>
    <w:rsid w:val="00007909"/>
    <w:rsid w:val="00007C68"/>
    <w:rsid w:val="000100DB"/>
    <w:rsid w:val="00010181"/>
    <w:rsid w:val="00010350"/>
    <w:rsid w:val="0001086C"/>
    <w:rsid w:val="00010C3E"/>
    <w:rsid w:val="00010CAB"/>
    <w:rsid w:val="00010CFA"/>
    <w:rsid w:val="00010D6B"/>
    <w:rsid w:val="0001117D"/>
    <w:rsid w:val="000111F6"/>
    <w:rsid w:val="00011491"/>
    <w:rsid w:val="000116F9"/>
    <w:rsid w:val="00011B83"/>
    <w:rsid w:val="00011D74"/>
    <w:rsid w:val="00011E99"/>
    <w:rsid w:val="000121AA"/>
    <w:rsid w:val="000127AB"/>
    <w:rsid w:val="00012BA0"/>
    <w:rsid w:val="00012E33"/>
    <w:rsid w:val="00012EA9"/>
    <w:rsid w:val="00013304"/>
    <w:rsid w:val="000134F5"/>
    <w:rsid w:val="00013913"/>
    <w:rsid w:val="00013A0E"/>
    <w:rsid w:val="00013ABB"/>
    <w:rsid w:val="00013C8E"/>
    <w:rsid w:val="00013C97"/>
    <w:rsid w:val="00013E2E"/>
    <w:rsid w:val="00013FAF"/>
    <w:rsid w:val="00014424"/>
    <w:rsid w:val="0001454E"/>
    <w:rsid w:val="00014855"/>
    <w:rsid w:val="00014869"/>
    <w:rsid w:val="00014963"/>
    <w:rsid w:val="00014BB7"/>
    <w:rsid w:val="00014CCD"/>
    <w:rsid w:val="00014F7C"/>
    <w:rsid w:val="00015018"/>
    <w:rsid w:val="00015293"/>
    <w:rsid w:val="000152FB"/>
    <w:rsid w:val="00015415"/>
    <w:rsid w:val="0001560C"/>
    <w:rsid w:val="000157FD"/>
    <w:rsid w:val="0001582C"/>
    <w:rsid w:val="000159C3"/>
    <w:rsid w:val="00015B82"/>
    <w:rsid w:val="00015B9C"/>
    <w:rsid w:val="00015F7B"/>
    <w:rsid w:val="00016018"/>
    <w:rsid w:val="000160C1"/>
    <w:rsid w:val="000160DA"/>
    <w:rsid w:val="000165A4"/>
    <w:rsid w:val="000165C6"/>
    <w:rsid w:val="0001665F"/>
    <w:rsid w:val="00016812"/>
    <w:rsid w:val="00016A1A"/>
    <w:rsid w:val="00016A7F"/>
    <w:rsid w:val="00016DAC"/>
    <w:rsid w:val="00016EB3"/>
    <w:rsid w:val="0001713F"/>
    <w:rsid w:val="00017200"/>
    <w:rsid w:val="0001724E"/>
    <w:rsid w:val="0001727E"/>
    <w:rsid w:val="000178D6"/>
    <w:rsid w:val="00017C54"/>
    <w:rsid w:val="00017FF7"/>
    <w:rsid w:val="0002039B"/>
    <w:rsid w:val="00020643"/>
    <w:rsid w:val="00020773"/>
    <w:rsid w:val="000207B7"/>
    <w:rsid w:val="00020861"/>
    <w:rsid w:val="0002090C"/>
    <w:rsid w:val="00020CF8"/>
    <w:rsid w:val="00021059"/>
    <w:rsid w:val="0002122A"/>
    <w:rsid w:val="00021622"/>
    <w:rsid w:val="00021792"/>
    <w:rsid w:val="0002179D"/>
    <w:rsid w:val="00021A23"/>
    <w:rsid w:val="00021B1B"/>
    <w:rsid w:val="00021B6B"/>
    <w:rsid w:val="0002225E"/>
    <w:rsid w:val="00022504"/>
    <w:rsid w:val="00022625"/>
    <w:rsid w:val="000227AF"/>
    <w:rsid w:val="0002299D"/>
    <w:rsid w:val="00022A86"/>
    <w:rsid w:val="00022AE9"/>
    <w:rsid w:val="00022F56"/>
    <w:rsid w:val="000231CA"/>
    <w:rsid w:val="0002338A"/>
    <w:rsid w:val="0002354D"/>
    <w:rsid w:val="00023815"/>
    <w:rsid w:val="00023975"/>
    <w:rsid w:val="00023BEF"/>
    <w:rsid w:val="00024126"/>
    <w:rsid w:val="00024192"/>
    <w:rsid w:val="0002422C"/>
    <w:rsid w:val="0002438A"/>
    <w:rsid w:val="000245F7"/>
    <w:rsid w:val="0002492F"/>
    <w:rsid w:val="00024C27"/>
    <w:rsid w:val="00024C60"/>
    <w:rsid w:val="00024E6E"/>
    <w:rsid w:val="00025005"/>
    <w:rsid w:val="00025181"/>
    <w:rsid w:val="000255A5"/>
    <w:rsid w:val="00025887"/>
    <w:rsid w:val="00025A9C"/>
    <w:rsid w:val="00025ADC"/>
    <w:rsid w:val="00025C26"/>
    <w:rsid w:val="00025F9B"/>
    <w:rsid w:val="00025FA6"/>
    <w:rsid w:val="000267BA"/>
    <w:rsid w:val="00027038"/>
    <w:rsid w:val="000270CD"/>
    <w:rsid w:val="00027212"/>
    <w:rsid w:val="000276FB"/>
    <w:rsid w:val="00027708"/>
    <w:rsid w:val="00027A15"/>
    <w:rsid w:val="00027A4C"/>
    <w:rsid w:val="00027B8B"/>
    <w:rsid w:val="00027E79"/>
    <w:rsid w:val="00027F70"/>
    <w:rsid w:val="00027FBB"/>
    <w:rsid w:val="000301A9"/>
    <w:rsid w:val="0003028E"/>
    <w:rsid w:val="000303B1"/>
    <w:rsid w:val="00030AC0"/>
    <w:rsid w:val="00030ACB"/>
    <w:rsid w:val="00030B0D"/>
    <w:rsid w:val="00030D3E"/>
    <w:rsid w:val="00031262"/>
    <w:rsid w:val="0003132E"/>
    <w:rsid w:val="00031551"/>
    <w:rsid w:val="00031940"/>
    <w:rsid w:val="000319C2"/>
    <w:rsid w:val="00031A5A"/>
    <w:rsid w:val="00031E51"/>
    <w:rsid w:val="00031F7E"/>
    <w:rsid w:val="000321D9"/>
    <w:rsid w:val="00032442"/>
    <w:rsid w:val="00032449"/>
    <w:rsid w:val="00032A63"/>
    <w:rsid w:val="00032B01"/>
    <w:rsid w:val="00032BF8"/>
    <w:rsid w:val="00032DCA"/>
    <w:rsid w:val="00032E9E"/>
    <w:rsid w:val="0003307D"/>
    <w:rsid w:val="000331A6"/>
    <w:rsid w:val="000333B7"/>
    <w:rsid w:val="0003375F"/>
    <w:rsid w:val="0003402A"/>
    <w:rsid w:val="000341CE"/>
    <w:rsid w:val="00034278"/>
    <w:rsid w:val="00034851"/>
    <w:rsid w:val="00034BE7"/>
    <w:rsid w:val="00034FB9"/>
    <w:rsid w:val="00035222"/>
    <w:rsid w:val="00035475"/>
    <w:rsid w:val="000355D2"/>
    <w:rsid w:val="000355E6"/>
    <w:rsid w:val="000358C6"/>
    <w:rsid w:val="00035BD9"/>
    <w:rsid w:val="00035C62"/>
    <w:rsid w:val="00035EAB"/>
    <w:rsid w:val="00035EB1"/>
    <w:rsid w:val="00036134"/>
    <w:rsid w:val="00036581"/>
    <w:rsid w:val="00036A3B"/>
    <w:rsid w:val="00036EBB"/>
    <w:rsid w:val="00037755"/>
    <w:rsid w:val="000377D2"/>
    <w:rsid w:val="00037853"/>
    <w:rsid w:val="00037860"/>
    <w:rsid w:val="000378D2"/>
    <w:rsid w:val="00037B97"/>
    <w:rsid w:val="00037E1A"/>
    <w:rsid w:val="00037EAF"/>
    <w:rsid w:val="00037FD9"/>
    <w:rsid w:val="00040002"/>
    <w:rsid w:val="0004012B"/>
    <w:rsid w:val="00040409"/>
    <w:rsid w:val="0004046B"/>
    <w:rsid w:val="0004075B"/>
    <w:rsid w:val="00040AC8"/>
    <w:rsid w:val="00040ADA"/>
    <w:rsid w:val="00040DEB"/>
    <w:rsid w:val="00040E2B"/>
    <w:rsid w:val="00040EF7"/>
    <w:rsid w:val="00040FB5"/>
    <w:rsid w:val="00041122"/>
    <w:rsid w:val="00041284"/>
    <w:rsid w:val="000417CA"/>
    <w:rsid w:val="00041BEB"/>
    <w:rsid w:val="000422BF"/>
    <w:rsid w:val="000423FC"/>
    <w:rsid w:val="00042760"/>
    <w:rsid w:val="000427DC"/>
    <w:rsid w:val="00042BEC"/>
    <w:rsid w:val="00043057"/>
    <w:rsid w:val="000439DC"/>
    <w:rsid w:val="00044286"/>
    <w:rsid w:val="000442B0"/>
    <w:rsid w:val="000447B6"/>
    <w:rsid w:val="000447FC"/>
    <w:rsid w:val="00044B32"/>
    <w:rsid w:val="00044F6B"/>
    <w:rsid w:val="00045053"/>
    <w:rsid w:val="00045280"/>
    <w:rsid w:val="000456B9"/>
    <w:rsid w:val="00045A70"/>
    <w:rsid w:val="00045CE6"/>
    <w:rsid w:val="00045E55"/>
    <w:rsid w:val="00045E56"/>
    <w:rsid w:val="00046068"/>
    <w:rsid w:val="000465F1"/>
    <w:rsid w:val="00046918"/>
    <w:rsid w:val="00047AD6"/>
    <w:rsid w:val="00047B53"/>
    <w:rsid w:val="00047C80"/>
    <w:rsid w:val="00047ED7"/>
    <w:rsid w:val="00050C7B"/>
    <w:rsid w:val="00050E34"/>
    <w:rsid w:val="000511F3"/>
    <w:rsid w:val="0005125F"/>
    <w:rsid w:val="00051895"/>
    <w:rsid w:val="00051CB0"/>
    <w:rsid w:val="00051E27"/>
    <w:rsid w:val="00051E30"/>
    <w:rsid w:val="00052077"/>
    <w:rsid w:val="00052212"/>
    <w:rsid w:val="000527B7"/>
    <w:rsid w:val="00052871"/>
    <w:rsid w:val="00052BDC"/>
    <w:rsid w:val="00052C7F"/>
    <w:rsid w:val="00052F9A"/>
    <w:rsid w:val="000539AB"/>
    <w:rsid w:val="000539AD"/>
    <w:rsid w:val="000539B2"/>
    <w:rsid w:val="00053AC4"/>
    <w:rsid w:val="00053AEA"/>
    <w:rsid w:val="00053B14"/>
    <w:rsid w:val="00053B64"/>
    <w:rsid w:val="00053D41"/>
    <w:rsid w:val="000542B5"/>
    <w:rsid w:val="00054792"/>
    <w:rsid w:val="000549A1"/>
    <w:rsid w:val="00054A33"/>
    <w:rsid w:val="00054AFA"/>
    <w:rsid w:val="00054C1A"/>
    <w:rsid w:val="00054DE3"/>
    <w:rsid w:val="00054EF3"/>
    <w:rsid w:val="00054FF6"/>
    <w:rsid w:val="000550C3"/>
    <w:rsid w:val="00055148"/>
    <w:rsid w:val="00055A43"/>
    <w:rsid w:val="00055EFF"/>
    <w:rsid w:val="00055F52"/>
    <w:rsid w:val="0005610B"/>
    <w:rsid w:val="00056484"/>
    <w:rsid w:val="00056A17"/>
    <w:rsid w:val="00056ACC"/>
    <w:rsid w:val="00056B47"/>
    <w:rsid w:val="000571F8"/>
    <w:rsid w:val="0005755B"/>
    <w:rsid w:val="000576FD"/>
    <w:rsid w:val="000578FC"/>
    <w:rsid w:val="000579C9"/>
    <w:rsid w:val="000579CD"/>
    <w:rsid w:val="00057A47"/>
    <w:rsid w:val="00057A8F"/>
    <w:rsid w:val="00057ACE"/>
    <w:rsid w:val="0006016E"/>
    <w:rsid w:val="00060244"/>
    <w:rsid w:val="00060510"/>
    <w:rsid w:val="00060825"/>
    <w:rsid w:val="000608E0"/>
    <w:rsid w:val="00060999"/>
    <w:rsid w:val="000609F7"/>
    <w:rsid w:val="00060D9D"/>
    <w:rsid w:val="00061197"/>
    <w:rsid w:val="00061374"/>
    <w:rsid w:val="000613BC"/>
    <w:rsid w:val="000616D4"/>
    <w:rsid w:val="00061C88"/>
    <w:rsid w:val="00061CF5"/>
    <w:rsid w:val="0006215B"/>
    <w:rsid w:val="000621ED"/>
    <w:rsid w:val="0006229A"/>
    <w:rsid w:val="0006239C"/>
    <w:rsid w:val="000626BD"/>
    <w:rsid w:val="00062771"/>
    <w:rsid w:val="0006288A"/>
    <w:rsid w:val="000633CD"/>
    <w:rsid w:val="00063741"/>
    <w:rsid w:val="00063B63"/>
    <w:rsid w:val="00063DC3"/>
    <w:rsid w:val="00063E4F"/>
    <w:rsid w:val="000640CC"/>
    <w:rsid w:val="000644D4"/>
    <w:rsid w:val="0006465F"/>
    <w:rsid w:val="0006473C"/>
    <w:rsid w:val="000649B9"/>
    <w:rsid w:val="00064C9B"/>
    <w:rsid w:val="000650B9"/>
    <w:rsid w:val="0006543A"/>
    <w:rsid w:val="000660F1"/>
    <w:rsid w:val="00066633"/>
    <w:rsid w:val="000667A6"/>
    <w:rsid w:val="00066805"/>
    <w:rsid w:val="00066846"/>
    <w:rsid w:val="000668FD"/>
    <w:rsid w:val="00066A75"/>
    <w:rsid w:val="00066B11"/>
    <w:rsid w:val="00066BEA"/>
    <w:rsid w:val="0006713D"/>
    <w:rsid w:val="00067335"/>
    <w:rsid w:val="000675FF"/>
    <w:rsid w:val="00067E56"/>
    <w:rsid w:val="00067E98"/>
    <w:rsid w:val="00070112"/>
    <w:rsid w:val="000701E2"/>
    <w:rsid w:val="000704F4"/>
    <w:rsid w:val="000705C0"/>
    <w:rsid w:val="00070676"/>
    <w:rsid w:val="00070BAD"/>
    <w:rsid w:val="00070BB6"/>
    <w:rsid w:val="00070BB7"/>
    <w:rsid w:val="00071108"/>
    <w:rsid w:val="00071563"/>
    <w:rsid w:val="00071866"/>
    <w:rsid w:val="00071CEF"/>
    <w:rsid w:val="00072757"/>
    <w:rsid w:val="00073464"/>
    <w:rsid w:val="00073619"/>
    <w:rsid w:val="00073A9D"/>
    <w:rsid w:val="00073D8B"/>
    <w:rsid w:val="00073F0D"/>
    <w:rsid w:val="00073F56"/>
    <w:rsid w:val="00074138"/>
    <w:rsid w:val="0007428E"/>
    <w:rsid w:val="0007463A"/>
    <w:rsid w:val="0007470E"/>
    <w:rsid w:val="00074950"/>
    <w:rsid w:val="00074DF9"/>
    <w:rsid w:val="00075014"/>
    <w:rsid w:val="00075114"/>
    <w:rsid w:val="00075225"/>
    <w:rsid w:val="0007557E"/>
    <w:rsid w:val="00075815"/>
    <w:rsid w:val="00075C4D"/>
    <w:rsid w:val="00075D78"/>
    <w:rsid w:val="00076173"/>
    <w:rsid w:val="00076375"/>
    <w:rsid w:val="00076691"/>
    <w:rsid w:val="000766C0"/>
    <w:rsid w:val="000767E9"/>
    <w:rsid w:val="00076F18"/>
    <w:rsid w:val="000774CF"/>
    <w:rsid w:val="000774F0"/>
    <w:rsid w:val="000774F3"/>
    <w:rsid w:val="000774FB"/>
    <w:rsid w:val="0007766E"/>
    <w:rsid w:val="0007798C"/>
    <w:rsid w:val="00077D5B"/>
    <w:rsid w:val="0008007D"/>
    <w:rsid w:val="000804DE"/>
    <w:rsid w:val="00080642"/>
    <w:rsid w:val="00080755"/>
    <w:rsid w:val="00080C3F"/>
    <w:rsid w:val="00081A26"/>
    <w:rsid w:val="00081E2D"/>
    <w:rsid w:val="00082003"/>
    <w:rsid w:val="00082085"/>
    <w:rsid w:val="00082694"/>
    <w:rsid w:val="00082797"/>
    <w:rsid w:val="000829CB"/>
    <w:rsid w:val="00082BFB"/>
    <w:rsid w:val="00083139"/>
    <w:rsid w:val="0008315A"/>
    <w:rsid w:val="0008329E"/>
    <w:rsid w:val="000833DF"/>
    <w:rsid w:val="00083446"/>
    <w:rsid w:val="00083454"/>
    <w:rsid w:val="000835F4"/>
    <w:rsid w:val="000835F5"/>
    <w:rsid w:val="000838A1"/>
    <w:rsid w:val="00083CA2"/>
    <w:rsid w:val="00083E5A"/>
    <w:rsid w:val="00083E9B"/>
    <w:rsid w:val="000843A6"/>
    <w:rsid w:val="000844DA"/>
    <w:rsid w:val="00084969"/>
    <w:rsid w:val="00084C4C"/>
    <w:rsid w:val="00084D24"/>
    <w:rsid w:val="00084DAE"/>
    <w:rsid w:val="0008526C"/>
    <w:rsid w:val="00085331"/>
    <w:rsid w:val="0008555C"/>
    <w:rsid w:val="0008558A"/>
    <w:rsid w:val="0008568D"/>
    <w:rsid w:val="00085979"/>
    <w:rsid w:val="000859F7"/>
    <w:rsid w:val="0008605C"/>
    <w:rsid w:val="000863C7"/>
    <w:rsid w:val="000867A4"/>
    <w:rsid w:val="00086B55"/>
    <w:rsid w:val="00086EDE"/>
    <w:rsid w:val="000870D0"/>
    <w:rsid w:val="0008773C"/>
    <w:rsid w:val="00087749"/>
    <w:rsid w:val="00087B30"/>
    <w:rsid w:val="00087C40"/>
    <w:rsid w:val="00087FA3"/>
    <w:rsid w:val="00090336"/>
    <w:rsid w:val="00090561"/>
    <w:rsid w:val="0009058E"/>
    <w:rsid w:val="000906F0"/>
    <w:rsid w:val="00090AB7"/>
    <w:rsid w:val="00090BD9"/>
    <w:rsid w:val="00090EA5"/>
    <w:rsid w:val="00090F54"/>
    <w:rsid w:val="00090FE6"/>
    <w:rsid w:val="00091004"/>
    <w:rsid w:val="00091029"/>
    <w:rsid w:val="0009107D"/>
    <w:rsid w:val="0009153A"/>
    <w:rsid w:val="00091729"/>
    <w:rsid w:val="00091736"/>
    <w:rsid w:val="00092030"/>
    <w:rsid w:val="00092048"/>
    <w:rsid w:val="0009235D"/>
    <w:rsid w:val="0009278D"/>
    <w:rsid w:val="0009295A"/>
    <w:rsid w:val="000929BB"/>
    <w:rsid w:val="00092E3E"/>
    <w:rsid w:val="00092F92"/>
    <w:rsid w:val="000930F1"/>
    <w:rsid w:val="000932EC"/>
    <w:rsid w:val="00093526"/>
    <w:rsid w:val="00093836"/>
    <w:rsid w:val="00093852"/>
    <w:rsid w:val="00093B03"/>
    <w:rsid w:val="00093CDE"/>
    <w:rsid w:val="00093D3D"/>
    <w:rsid w:val="00093E96"/>
    <w:rsid w:val="00093F04"/>
    <w:rsid w:val="00093FB8"/>
    <w:rsid w:val="00094262"/>
    <w:rsid w:val="0009469A"/>
    <w:rsid w:val="00094886"/>
    <w:rsid w:val="00094A97"/>
    <w:rsid w:val="00094D25"/>
    <w:rsid w:val="00094D72"/>
    <w:rsid w:val="00094DC9"/>
    <w:rsid w:val="00094E85"/>
    <w:rsid w:val="00095397"/>
    <w:rsid w:val="000958CD"/>
    <w:rsid w:val="00095ABC"/>
    <w:rsid w:val="00096637"/>
    <w:rsid w:val="00096898"/>
    <w:rsid w:val="00096DB2"/>
    <w:rsid w:val="0009707C"/>
    <w:rsid w:val="000972BF"/>
    <w:rsid w:val="0009748E"/>
    <w:rsid w:val="00097706"/>
    <w:rsid w:val="00097B03"/>
    <w:rsid w:val="000A0111"/>
    <w:rsid w:val="000A0751"/>
    <w:rsid w:val="000A0866"/>
    <w:rsid w:val="000A0A2A"/>
    <w:rsid w:val="000A0B81"/>
    <w:rsid w:val="000A0CB0"/>
    <w:rsid w:val="000A1298"/>
    <w:rsid w:val="000A13F1"/>
    <w:rsid w:val="000A1B27"/>
    <w:rsid w:val="000A1C8A"/>
    <w:rsid w:val="000A1E1A"/>
    <w:rsid w:val="000A1EB3"/>
    <w:rsid w:val="000A2038"/>
    <w:rsid w:val="000A20A0"/>
    <w:rsid w:val="000A2313"/>
    <w:rsid w:val="000A26CF"/>
    <w:rsid w:val="000A298D"/>
    <w:rsid w:val="000A2DB2"/>
    <w:rsid w:val="000A2DD7"/>
    <w:rsid w:val="000A2E31"/>
    <w:rsid w:val="000A2E76"/>
    <w:rsid w:val="000A30CC"/>
    <w:rsid w:val="000A3447"/>
    <w:rsid w:val="000A34AE"/>
    <w:rsid w:val="000A36B9"/>
    <w:rsid w:val="000A36D1"/>
    <w:rsid w:val="000A3750"/>
    <w:rsid w:val="000A3925"/>
    <w:rsid w:val="000A39CE"/>
    <w:rsid w:val="000A3A98"/>
    <w:rsid w:val="000A3C88"/>
    <w:rsid w:val="000A3E5B"/>
    <w:rsid w:val="000A4188"/>
    <w:rsid w:val="000A449E"/>
    <w:rsid w:val="000A48E0"/>
    <w:rsid w:val="000A49A0"/>
    <w:rsid w:val="000A4B40"/>
    <w:rsid w:val="000A4B5D"/>
    <w:rsid w:val="000A4CF3"/>
    <w:rsid w:val="000A4DBE"/>
    <w:rsid w:val="000A4F9D"/>
    <w:rsid w:val="000A50B1"/>
    <w:rsid w:val="000A51C1"/>
    <w:rsid w:val="000A563D"/>
    <w:rsid w:val="000A5710"/>
    <w:rsid w:val="000A5736"/>
    <w:rsid w:val="000A5773"/>
    <w:rsid w:val="000A5ADB"/>
    <w:rsid w:val="000A5EE1"/>
    <w:rsid w:val="000A61B8"/>
    <w:rsid w:val="000A6874"/>
    <w:rsid w:val="000A6A09"/>
    <w:rsid w:val="000A7140"/>
    <w:rsid w:val="000A7DF8"/>
    <w:rsid w:val="000A7E4E"/>
    <w:rsid w:val="000B024D"/>
    <w:rsid w:val="000B02B5"/>
    <w:rsid w:val="000B09BB"/>
    <w:rsid w:val="000B0BDE"/>
    <w:rsid w:val="000B0C55"/>
    <w:rsid w:val="000B0CA0"/>
    <w:rsid w:val="000B0DCD"/>
    <w:rsid w:val="000B1338"/>
    <w:rsid w:val="000B1485"/>
    <w:rsid w:val="000B17FF"/>
    <w:rsid w:val="000B1805"/>
    <w:rsid w:val="000B1A0C"/>
    <w:rsid w:val="000B2814"/>
    <w:rsid w:val="000B2940"/>
    <w:rsid w:val="000B2978"/>
    <w:rsid w:val="000B2BFF"/>
    <w:rsid w:val="000B36A4"/>
    <w:rsid w:val="000B3B1F"/>
    <w:rsid w:val="000B3F24"/>
    <w:rsid w:val="000B46D3"/>
    <w:rsid w:val="000B4720"/>
    <w:rsid w:val="000B4779"/>
    <w:rsid w:val="000B4889"/>
    <w:rsid w:val="000B48C7"/>
    <w:rsid w:val="000B4C97"/>
    <w:rsid w:val="000B4CD4"/>
    <w:rsid w:val="000B4FED"/>
    <w:rsid w:val="000B506D"/>
    <w:rsid w:val="000B520D"/>
    <w:rsid w:val="000B5261"/>
    <w:rsid w:val="000B54CD"/>
    <w:rsid w:val="000B56F6"/>
    <w:rsid w:val="000B5A89"/>
    <w:rsid w:val="000B5BCB"/>
    <w:rsid w:val="000B5FCC"/>
    <w:rsid w:val="000B610D"/>
    <w:rsid w:val="000B6268"/>
    <w:rsid w:val="000B644B"/>
    <w:rsid w:val="000B6789"/>
    <w:rsid w:val="000B6F4F"/>
    <w:rsid w:val="000B6F8C"/>
    <w:rsid w:val="000B7013"/>
    <w:rsid w:val="000B74B8"/>
    <w:rsid w:val="000B77AD"/>
    <w:rsid w:val="000B7CBF"/>
    <w:rsid w:val="000C0032"/>
    <w:rsid w:val="000C01C3"/>
    <w:rsid w:val="000C0516"/>
    <w:rsid w:val="000C05CD"/>
    <w:rsid w:val="000C05D3"/>
    <w:rsid w:val="000C0601"/>
    <w:rsid w:val="000C07F3"/>
    <w:rsid w:val="000C082C"/>
    <w:rsid w:val="000C0CF1"/>
    <w:rsid w:val="000C0F84"/>
    <w:rsid w:val="000C1114"/>
    <w:rsid w:val="000C1150"/>
    <w:rsid w:val="000C1183"/>
    <w:rsid w:val="000C133A"/>
    <w:rsid w:val="000C173B"/>
    <w:rsid w:val="000C1789"/>
    <w:rsid w:val="000C1B43"/>
    <w:rsid w:val="000C2014"/>
    <w:rsid w:val="000C22FD"/>
    <w:rsid w:val="000C23E0"/>
    <w:rsid w:val="000C2635"/>
    <w:rsid w:val="000C263B"/>
    <w:rsid w:val="000C28BF"/>
    <w:rsid w:val="000C2BFA"/>
    <w:rsid w:val="000C2C35"/>
    <w:rsid w:val="000C2CB7"/>
    <w:rsid w:val="000C2E23"/>
    <w:rsid w:val="000C2EA4"/>
    <w:rsid w:val="000C3032"/>
    <w:rsid w:val="000C341E"/>
    <w:rsid w:val="000C3622"/>
    <w:rsid w:val="000C3AE5"/>
    <w:rsid w:val="000C3C17"/>
    <w:rsid w:val="000C3E4E"/>
    <w:rsid w:val="000C4675"/>
    <w:rsid w:val="000C4C29"/>
    <w:rsid w:val="000C51F6"/>
    <w:rsid w:val="000C524C"/>
    <w:rsid w:val="000C5376"/>
    <w:rsid w:val="000C55BD"/>
    <w:rsid w:val="000C560E"/>
    <w:rsid w:val="000C56E5"/>
    <w:rsid w:val="000C570E"/>
    <w:rsid w:val="000C5886"/>
    <w:rsid w:val="000C5B33"/>
    <w:rsid w:val="000C5F93"/>
    <w:rsid w:val="000C60F8"/>
    <w:rsid w:val="000C65F6"/>
    <w:rsid w:val="000C6D8B"/>
    <w:rsid w:val="000C6E96"/>
    <w:rsid w:val="000C7772"/>
    <w:rsid w:val="000C77E8"/>
    <w:rsid w:val="000C7B21"/>
    <w:rsid w:val="000C7BC9"/>
    <w:rsid w:val="000C7C11"/>
    <w:rsid w:val="000C7DE8"/>
    <w:rsid w:val="000D0501"/>
    <w:rsid w:val="000D085C"/>
    <w:rsid w:val="000D09EE"/>
    <w:rsid w:val="000D0A27"/>
    <w:rsid w:val="000D0A7D"/>
    <w:rsid w:val="000D1343"/>
    <w:rsid w:val="000D13E1"/>
    <w:rsid w:val="000D19AF"/>
    <w:rsid w:val="000D1B80"/>
    <w:rsid w:val="000D1C57"/>
    <w:rsid w:val="000D1D18"/>
    <w:rsid w:val="000D1DE1"/>
    <w:rsid w:val="000D1F53"/>
    <w:rsid w:val="000D279E"/>
    <w:rsid w:val="000D283D"/>
    <w:rsid w:val="000D2A5A"/>
    <w:rsid w:val="000D2F7B"/>
    <w:rsid w:val="000D2FA0"/>
    <w:rsid w:val="000D322E"/>
    <w:rsid w:val="000D3479"/>
    <w:rsid w:val="000D3579"/>
    <w:rsid w:val="000D368A"/>
    <w:rsid w:val="000D3CA1"/>
    <w:rsid w:val="000D3D5D"/>
    <w:rsid w:val="000D3DCA"/>
    <w:rsid w:val="000D4056"/>
    <w:rsid w:val="000D417B"/>
    <w:rsid w:val="000D4264"/>
    <w:rsid w:val="000D4404"/>
    <w:rsid w:val="000D4B24"/>
    <w:rsid w:val="000D4B4E"/>
    <w:rsid w:val="000D4B82"/>
    <w:rsid w:val="000D4BDF"/>
    <w:rsid w:val="000D4CAF"/>
    <w:rsid w:val="000D4DFB"/>
    <w:rsid w:val="000D4E81"/>
    <w:rsid w:val="000D5A5E"/>
    <w:rsid w:val="000D5BC4"/>
    <w:rsid w:val="000D6302"/>
    <w:rsid w:val="000D641E"/>
    <w:rsid w:val="000D6977"/>
    <w:rsid w:val="000D6CE1"/>
    <w:rsid w:val="000D6E77"/>
    <w:rsid w:val="000D70E5"/>
    <w:rsid w:val="000D74F2"/>
    <w:rsid w:val="000D7730"/>
    <w:rsid w:val="000D7AD8"/>
    <w:rsid w:val="000D7AEC"/>
    <w:rsid w:val="000D7DCE"/>
    <w:rsid w:val="000D7EDF"/>
    <w:rsid w:val="000D7F08"/>
    <w:rsid w:val="000E00B5"/>
    <w:rsid w:val="000E0226"/>
    <w:rsid w:val="000E0766"/>
    <w:rsid w:val="000E0A11"/>
    <w:rsid w:val="000E0D20"/>
    <w:rsid w:val="000E0EC4"/>
    <w:rsid w:val="000E15F5"/>
    <w:rsid w:val="000E180F"/>
    <w:rsid w:val="000E19F1"/>
    <w:rsid w:val="000E1C09"/>
    <w:rsid w:val="000E260A"/>
    <w:rsid w:val="000E2659"/>
    <w:rsid w:val="000E26A9"/>
    <w:rsid w:val="000E26E8"/>
    <w:rsid w:val="000E28E0"/>
    <w:rsid w:val="000E29AA"/>
    <w:rsid w:val="000E2F86"/>
    <w:rsid w:val="000E2FBF"/>
    <w:rsid w:val="000E3232"/>
    <w:rsid w:val="000E3455"/>
    <w:rsid w:val="000E3542"/>
    <w:rsid w:val="000E35A0"/>
    <w:rsid w:val="000E3637"/>
    <w:rsid w:val="000E3845"/>
    <w:rsid w:val="000E3B0A"/>
    <w:rsid w:val="000E4913"/>
    <w:rsid w:val="000E4C26"/>
    <w:rsid w:val="000E4D84"/>
    <w:rsid w:val="000E4E0A"/>
    <w:rsid w:val="000E4F78"/>
    <w:rsid w:val="000E569E"/>
    <w:rsid w:val="000E590C"/>
    <w:rsid w:val="000E5AEA"/>
    <w:rsid w:val="000E5D33"/>
    <w:rsid w:val="000E5E18"/>
    <w:rsid w:val="000E5E1C"/>
    <w:rsid w:val="000E5E2A"/>
    <w:rsid w:val="000E69A8"/>
    <w:rsid w:val="000E69AE"/>
    <w:rsid w:val="000E6F50"/>
    <w:rsid w:val="000E7443"/>
    <w:rsid w:val="000E75C8"/>
    <w:rsid w:val="000E7652"/>
    <w:rsid w:val="000E7A06"/>
    <w:rsid w:val="000E7A75"/>
    <w:rsid w:val="000E7AA2"/>
    <w:rsid w:val="000E7AAC"/>
    <w:rsid w:val="000E7B75"/>
    <w:rsid w:val="000E7E61"/>
    <w:rsid w:val="000F0156"/>
    <w:rsid w:val="000F0479"/>
    <w:rsid w:val="000F07FE"/>
    <w:rsid w:val="000F0811"/>
    <w:rsid w:val="000F0E99"/>
    <w:rsid w:val="000F142A"/>
    <w:rsid w:val="000F14BF"/>
    <w:rsid w:val="000F14F4"/>
    <w:rsid w:val="000F1775"/>
    <w:rsid w:val="000F2111"/>
    <w:rsid w:val="000F247F"/>
    <w:rsid w:val="000F25DC"/>
    <w:rsid w:val="000F25F2"/>
    <w:rsid w:val="000F2648"/>
    <w:rsid w:val="000F29A6"/>
    <w:rsid w:val="000F30FE"/>
    <w:rsid w:val="000F3113"/>
    <w:rsid w:val="000F341E"/>
    <w:rsid w:val="000F35AD"/>
    <w:rsid w:val="000F3646"/>
    <w:rsid w:val="000F3852"/>
    <w:rsid w:val="000F385D"/>
    <w:rsid w:val="000F3AB7"/>
    <w:rsid w:val="000F4454"/>
    <w:rsid w:val="000F484B"/>
    <w:rsid w:val="000F4850"/>
    <w:rsid w:val="000F4918"/>
    <w:rsid w:val="000F5028"/>
    <w:rsid w:val="000F545D"/>
    <w:rsid w:val="000F5529"/>
    <w:rsid w:val="000F55C4"/>
    <w:rsid w:val="000F57BC"/>
    <w:rsid w:val="000F5804"/>
    <w:rsid w:val="000F5B2D"/>
    <w:rsid w:val="000F5B36"/>
    <w:rsid w:val="000F5B63"/>
    <w:rsid w:val="000F5D59"/>
    <w:rsid w:val="000F5DB8"/>
    <w:rsid w:val="000F5F56"/>
    <w:rsid w:val="000F6099"/>
    <w:rsid w:val="000F688D"/>
    <w:rsid w:val="000F6CB5"/>
    <w:rsid w:val="000F6FF0"/>
    <w:rsid w:val="000F709E"/>
    <w:rsid w:val="000F70AC"/>
    <w:rsid w:val="000F7276"/>
    <w:rsid w:val="000F7315"/>
    <w:rsid w:val="000F74A6"/>
    <w:rsid w:val="000F7644"/>
    <w:rsid w:val="000F7872"/>
    <w:rsid w:val="000F7C83"/>
    <w:rsid w:val="000F7E1B"/>
    <w:rsid w:val="000F7E69"/>
    <w:rsid w:val="000F7FDA"/>
    <w:rsid w:val="001000B0"/>
    <w:rsid w:val="0010011E"/>
    <w:rsid w:val="001009BA"/>
    <w:rsid w:val="00100A60"/>
    <w:rsid w:val="00100C33"/>
    <w:rsid w:val="00100C57"/>
    <w:rsid w:val="00100E79"/>
    <w:rsid w:val="001012FC"/>
    <w:rsid w:val="00101838"/>
    <w:rsid w:val="00101DF4"/>
    <w:rsid w:val="00101EE9"/>
    <w:rsid w:val="00102863"/>
    <w:rsid w:val="0010298D"/>
    <w:rsid w:val="00102C53"/>
    <w:rsid w:val="00102DF0"/>
    <w:rsid w:val="001036FE"/>
    <w:rsid w:val="00103A3F"/>
    <w:rsid w:val="00103C34"/>
    <w:rsid w:val="00103D8C"/>
    <w:rsid w:val="001040B5"/>
    <w:rsid w:val="0010420A"/>
    <w:rsid w:val="001043BE"/>
    <w:rsid w:val="00104AEE"/>
    <w:rsid w:val="00104CA1"/>
    <w:rsid w:val="00104D2D"/>
    <w:rsid w:val="00105685"/>
    <w:rsid w:val="001057CD"/>
    <w:rsid w:val="001057D3"/>
    <w:rsid w:val="00105AA7"/>
    <w:rsid w:val="00105ECC"/>
    <w:rsid w:val="001062ED"/>
    <w:rsid w:val="001065BA"/>
    <w:rsid w:val="001065D8"/>
    <w:rsid w:val="00106824"/>
    <w:rsid w:val="001068C2"/>
    <w:rsid w:val="00106D55"/>
    <w:rsid w:val="00106FD0"/>
    <w:rsid w:val="0010706C"/>
    <w:rsid w:val="001073FE"/>
    <w:rsid w:val="001074AE"/>
    <w:rsid w:val="00107E55"/>
    <w:rsid w:val="00110088"/>
    <w:rsid w:val="00110B86"/>
    <w:rsid w:val="0011106C"/>
    <w:rsid w:val="0011112C"/>
    <w:rsid w:val="00111520"/>
    <w:rsid w:val="001115A5"/>
    <w:rsid w:val="001117E2"/>
    <w:rsid w:val="001119DB"/>
    <w:rsid w:val="00111A1A"/>
    <w:rsid w:val="00111AF3"/>
    <w:rsid w:val="00111FAE"/>
    <w:rsid w:val="001122FB"/>
    <w:rsid w:val="001126B5"/>
    <w:rsid w:val="00112E36"/>
    <w:rsid w:val="001135CA"/>
    <w:rsid w:val="00113911"/>
    <w:rsid w:val="00113964"/>
    <w:rsid w:val="001139AB"/>
    <w:rsid w:val="00113AB9"/>
    <w:rsid w:val="00113BDB"/>
    <w:rsid w:val="0011429B"/>
    <w:rsid w:val="00114446"/>
    <w:rsid w:val="00114851"/>
    <w:rsid w:val="00114B98"/>
    <w:rsid w:val="00114FD5"/>
    <w:rsid w:val="0011534C"/>
    <w:rsid w:val="00115561"/>
    <w:rsid w:val="00115802"/>
    <w:rsid w:val="001159D5"/>
    <w:rsid w:val="00115BC8"/>
    <w:rsid w:val="00115DDE"/>
    <w:rsid w:val="00115E78"/>
    <w:rsid w:val="00116981"/>
    <w:rsid w:val="001170D8"/>
    <w:rsid w:val="001170F7"/>
    <w:rsid w:val="00117201"/>
    <w:rsid w:val="001174AF"/>
    <w:rsid w:val="001175AF"/>
    <w:rsid w:val="001176A5"/>
    <w:rsid w:val="001179D2"/>
    <w:rsid w:val="00117AFA"/>
    <w:rsid w:val="00117B44"/>
    <w:rsid w:val="00117B59"/>
    <w:rsid w:val="00117BF8"/>
    <w:rsid w:val="00117EA8"/>
    <w:rsid w:val="00117EC1"/>
    <w:rsid w:val="00117F04"/>
    <w:rsid w:val="001201A5"/>
    <w:rsid w:val="001201A7"/>
    <w:rsid w:val="00120713"/>
    <w:rsid w:val="00120775"/>
    <w:rsid w:val="00120E87"/>
    <w:rsid w:val="00120F13"/>
    <w:rsid w:val="00120F2C"/>
    <w:rsid w:val="0012193C"/>
    <w:rsid w:val="00122278"/>
    <w:rsid w:val="001223CB"/>
    <w:rsid w:val="00122611"/>
    <w:rsid w:val="00122662"/>
    <w:rsid w:val="001228AF"/>
    <w:rsid w:val="00122D5E"/>
    <w:rsid w:val="00123101"/>
    <w:rsid w:val="0012345F"/>
    <w:rsid w:val="00123544"/>
    <w:rsid w:val="0012367A"/>
    <w:rsid w:val="00123963"/>
    <w:rsid w:val="00123D71"/>
    <w:rsid w:val="00123E0D"/>
    <w:rsid w:val="00123F30"/>
    <w:rsid w:val="00124133"/>
    <w:rsid w:val="001242CD"/>
    <w:rsid w:val="0012448B"/>
    <w:rsid w:val="0012479D"/>
    <w:rsid w:val="001249AB"/>
    <w:rsid w:val="00124BA8"/>
    <w:rsid w:val="00124D30"/>
    <w:rsid w:val="00124D82"/>
    <w:rsid w:val="00124FA6"/>
    <w:rsid w:val="0012515E"/>
    <w:rsid w:val="00125331"/>
    <w:rsid w:val="00125C50"/>
    <w:rsid w:val="00125F13"/>
    <w:rsid w:val="0012628F"/>
    <w:rsid w:val="00126BF2"/>
    <w:rsid w:val="00126CA4"/>
    <w:rsid w:val="00126DBE"/>
    <w:rsid w:val="00127044"/>
    <w:rsid w:val="00127127"/>
    <w:rsid w:val="00127222"/>
    <w:rsid w:val="001272C0"/>
    <w:rsid w:val="0012757E"/>
    <w:rsid w:val="001278D5"/>
    <w:rsid w:val="00127CE2"/>
    <w:rsid w:val="00127DC1"/>
    <w:rsid w:val="00127F0D"/>
    <w:rsid w:val="001300FA"/>
    <w:rsid w:val="001302D2"/>
    <w:rsid w:val="001303B8"/>
    <w:rsid w:val="00130541"/>
    <w:rsid w:val="001306D0"/>
    <w:rsid w:val="00130799"/>
    <w:rsid w:val="00130ADA"/>
    <w:rsid w:val="00130E35"/>
    <w:rsid w:val="00130ED7"/>
    <w:rsid w:val="00131038"/>
    <w:rsid w:val="0013112F"/>
    <w:rsid w:val="001314B3"/>
    <w:rsid w:val="00132022"/>
    <w:rsid w:val="0013238B"/>
    <w:rsid w:val="00132609"/>
    <w:rsid w:val="00132717"/>
    <w:rsid w:val="001327A7"/>
    <w:rsid w:val="00132970"/>
    <w:rsid w:val="00132A69"/>
    <w:rsid w:val="00132AF5"/>
    <w:rsid w:val="00132BF3"/>
    <w:rsid w:val="00132C1D"/>
    <w:rsid w:val="00132D12"/>
    <w:rsid w:val="00132E74"/>
    <w:rsid w:val="001332AA"/>
    <w:rsid w:val="0013381F"/>
    <w:rsid w:val="00133C3D"/>
    <w:rsid w:val="00133D96"/>
    <w:rsid w:val="001342CD"/>
    <w:rsid w:val="00134521"/>
    <w:rsid w:val="00134709"/>
    <w:rsid w:val="00134A2D"/>
    <w:rsid w:val="00134A54"/>
    <w:rsid w:val="00134C22"/>
    <w:rsid w:val="00135307"/>
    <w:rsid w:val="00135673"/>
    <w:rsid w:val="001359E7"/>
    <w:rsid w:val="00135F6C"/>
    <w:rsid w:val="00135FEB"/>
    <w:rsid w:val="0013620F"/>
    <w:rsid w:val="001366AE"/>
    <w:rsid w:val="0013690A"/>
    <w:rsid w:val="00137318"/>
    <w:rsid w:val="00137356"/>
    <w:rsid w:val="0013738F"/>
    <w:rsid w:val="00137606"/>
    <w:rsid w:val="00137685"/>
    <w:rsid w:val="00137749"/>
    <w:rsid w:val="00137A0D"/>
    <w:rsid w:val="00137AB5"/>
    <w:rsid w:val="00137DC3"/>
    <w:rsid w:val="0014007D"/>
    <w:rsid w:val="001401BA"/>
    <w:rsid w:val="0014091E"/>
    <w:rsid w:val="0014097B"/>
    <w:rsid w:val="00140B24"/>
    <w:rsid w:val="00140C01"/>
    <w:rsid w:val="00141192"/>
    <w:rsid w:val="001412AD"/>
    <w:rsid w:val="00141561"/>
    <w:rsid w:val="001419A4"/>
    <w:rsid w:val="00141C8A"/>
    <w:rsid w:val="00141E67"/>
    <w:rsid w:val="00141E7B"/>
    <w:rsid w:val="00143089"/>
    <w:rsid w:val="0014308E"/>
    <w:rsid w:val="001431CB"/>
    <w:rsid w:val="001432AA"/>
    <w:rsid w:val="001434E2"/>
    <w:rsid w:val="00143E4D"/>
    <w:rsid w:val="00143EB0"/>
    <w:rsid w:val="0014431E"/>
    <w:rsid w:val="001446A2"/>
    <w:rsid w:val="0014473F"/>
    <w:rsid w:val="0014478D"/>
    <w:rsid w:val="0014535C"/>
    <w:rsid w:val="001458D7"/>
    <w:rsid w:val="001459C7"/>
    <w:rsid w:val="00145E10"/>
    <w:rsid w:val="0014618A"/>
    <w:rsid w:val="00146234"/>
    <w:rsid w:val="001467B9"/>
    <w:rsid w:val="00146972"/>
    <w:rsid w:val="00146A60"/>
    <w:rsid w:val="001473BE"/>
    <w:rsid w:val="001474A9"/>
    <w:rsid w:val="001477A9"/>
    <w:rsid w:val="00147B38"/>
    <w:rsid w:val="00147BBC"/>
    <w:rsid w:val="00147DE2"/>
    <w:rsid w:val="00147E89"/>
    <w:rsid w:val="00147E96"/>
    <w:rsid w:val="00147EA7"/>
    <w:rsid w:val="0015035C"/>
    <w:rsid w:val="001507A2"/>
    <w:rsid w:val="001508C4"/>
    <w:rsid w:val="00150AED"/>
    <w:rsid w:val="00150B0C"/>
    <w:rsid w:val="00150B97"/>
    <w:rsid w:val="00150E38"/>
    <w:rsid w:val="00150E53"/>
    <w:rsid w:val="00151202"/>
    <w:rsid w:val="0015122A"/>
    <w:rsid w:val="001513BB"/>
    <w:rsid w:val="001514B6"/>
    <w:rsid w:val="00151839"/>
    <w:rsid w:val="0015183D"/>
    <w:rsid w:val="00151E20"/>
    <w:rsid w:val="00151E69"/>
    <w:rsid w:val="001522DC"/>
    <w:rsid w:val="001522F8"/>
    <w:rsid w:val="001527C1"/>
    <w:rsid w:val="001529CA"/>
    <w:rsid w:val="00152E78"/>
    <w:rsid w:val="00152F0F"/>
    <w:rsid w:val="00152FAF"/>
    <w:rsid w:val="00153656"/>
    <w:rsid w:val="00153C17"/>
    <w:rsid w:val="00154134"/>
    <w:rsid w:val="0015457B"/>
    <w:rsid w:val="001545BD"/>
    <w:rsid w:val="00154614"/>
    <w:rsid w:val="0015465E"/>
    <w:rsid w:val="001546B9"/>
    <w:rsid w:val="0015470B"/>
    <w:rsid w:val="00154DB6"/>
    <w:rsid w:val="00154DD6"/>
    <w:rsid w:val="00154E75"/>
    <w:rsid w:val="001552D8"/>
    <w:rsid w:val="00155357"/>
    <w:rsid w:val="001557E7"/>
    <w:rsid w:val="0015587A"/>
    <w:rsid w:val="001559C0"/>
    <w:rsid w:val="00155AD8"/>
    <w:rsid w:val="00155D07"/>
    <w:rsid w:val="00155E00"/>
    <w:rsid w:val="001561AF"/>
    <w:rsid w:val="001566AD"/>
    <w:rsid w:val="001567CA"/>
    <w:rsid w:val="00156AB6"/>
    <w:rsid w:val="00156D78"/>
    <w:rsid w:val="00156E0B"/>
    <w:rsid w:val="00157057"/>
    <w:rsid w:val="00157226"/>
    <w:rsid w:val="0015725F"/>
    <w:rsid w:val="0015735E"/>
    <w:rsid w:val="001575D0"/>
    <w:rsid w:val="00157C2A"/>
    <w:rsid w:val="00157CCC"/>
    <w:rsid w:val="00157CE5"/>
    <w:rsid w:val="00157EF8"/>
    <w:rsid w:val="00157F1A"/>
    <w:rsid w:val="00160464"/>
    <w:rsid w:val="0016050A"/>
    <w:rsid w:val="00160B78"/>
    <w:rsid w:val="00160D36"/>
    <w:rsid w:val="00160D9F"/>
    <w:rsid w:val="00160FAD"/>
    <w:rsid w:val="00160FE3"/>
    <w:rsid w:val="00161159"/>
    <w:rsid w:val="001611BF"/>
    <w:rsid w:val="0016138F"/>
    <w:rsid w:val="0016157A"/>
    <w:rsid w:val="001618FA"/>
    <w:rsid w:val="00161956"/>
    <w:rsid w:val="00161B2E"/>
    <w:rsid w:val="001621FA"/>
    <w:rsid w:val="00162A0F"/>
    <w:rsid w:val="00162AEC"/>
    <w:rsid w:val="00162B8D"/>
    <w:rsid w:val="00163C96"/>
    <w:rsid w:val="00163CFD"/>
    <w:rsid w:val="001641A9"/>
    <w:rsid w:val="0016447D"/>
    <w:rsid w:val="001644C8"/>
    <w:rsid w:val="00164792"/>
    <w:rsid w:val="00164D70"/>
    <w:rsid w:val="00164DF6"/>
    <w:rsid w:val="001651FA"/>
    <w:rsid w:val="001653AF"/>
    <w:rsid w:val="00165513"/>
    <w:rsid w:val="00165D72"/>
    <w:rsid w:val="00166023"/>
    <w:rsid w:val="00166438"/>
    <w:rsid w:val="001666D8"/>
    <w:rsid w:val="001666FD"/>
    <w:rsid w:val="0016680E"/>
    <w:rsid w:val="0016698A"/>
    <w:rsid w:val="00166AAE"/>
    <w:rsid w:val="00166B51"/>
    <w:rsid w:val="00166BD0"/>
    <w:rsid w:val="00166C98"/>
    <w:rsid w:val="001676CC"/>
    <w:rsid w:val="00167749"/>
    <w:rsid w:val="00167DC4"/>
    <w:rsid w:val="00167DF4"/>
    <w:rsid w:val="00170090"/>
    <w:rsid w:val="0017034D"/>
    <w:rsid w:val="00170925"/>
    <w:rsid w:val="00170C04"/>
    <w:rsid w:val="0017125F"/>
    <w:rsid w:val="0017143E"/>
    <w:rsid w:val="00171480"/>
    <w:rsid w:val="0017154C"/>
    <w:rsid w:val="0017191D"/>
    <w:rsid w:val="00171A61"/>
    <w:rsid w:val="00171B74"/>
    <w:rsid w:val="00171D90"/>
    <w:rsid w:val="00172377"/>
    <w:rsid w:val="001723EB"/>
    <w:rsid w:val="0017243A"/>
    <w:rsid w:val="0017292F"/>
    <w:rsid w:val="00172DED"/>
    <w:rsid w:val="0017338B"/>
    <w:rsid w:val="00173C10"/>
    <w:rsid w:val="00173CE6"/>
    <w:rsid w:val="00173EF9"/>
    <w:rsid w:val="00173F25"/>
    <w:rsid w:val="0017419E"/>
    <w:rsid w:val="001745E5"/>
    <w:rsid w:val="00174757"/>
    <w:rsid w:val="00174BA0"/>
    <w:rsid w:val="00174D83"/>
    <w:rsid w:val="0017581C"/>
    <w:rsid w:val="00175B64"/>
    <w:rsid w:val="00175E4F"/>
    <w:rsid w:val="00175F33"/>
    <w:rsid w:val="00175F6F"/>
    <w:rsid w:val="0017685F"/>
    <w:rsid w:val="00176A24"/>
    <w:rsid w:val="00176BE5"/>
    <w:rsid w:val="00176D2B"/>
    <w:rsid w:val="00176FB6"/>
    <w:rsid w:val="001773D0"/>
    <w:rsid w:val="0017765D"/>
    <w:rsid w:val="00177EEF"/>
    <w:rsid w:val="00177F38"/>
    <w:rsid w:val="00180254"/>
    <w:rsid w:val="0018079F"/>
    <w:rsid w:val="0018086F"/>
    <w:rsid w:val="001808E1"/>
    <w:rsid w:val="00180B92"/>
    <w:rsid w:val="00180C77"/>
    <w:rsid w:val="00180CE1"/>
    <w:rsid w:val="001811AF"/>
    <w:rsid w:val="00181335"/>
    <w:rsid w:val="00181BE2"/>
    <w:rsid w:val="00182178"/>
    <w:rsid w:val="00182336"/>
    <w:rsid w:val="00182404"/>
    <w:rsid w:val="0018273E"/>
    <w:rsid w:val="001827E9"/>
    <w:rsid w:val="0018285B"/>
    <w:rsid w:val="00182B46"/>
    <w:rsid w:val="00182D17"/>
    <w:rsid w:val="00182DA0"/>
    <w:rsid w:val="00183584"/>
    <w:rsid w:val="00183763"/>
    <w:rsid w:val="001838D7"/>
    <w:rsid w:val="00183CA7"/>
    <w:rsid w:val="00183DC8"/>
    <w:rsid w:val="001842E9"/>
    <w:rsid w:val="001843BE"/>
    <w:rsid w:val="00184488"/>
    <w:rsid w:val="0018459C"/>
    <w:rsid w:val="001845C2"/>
    <w:rsid w:val="00184EE4"/>
    <w:rsid w:val="00184EE8"/>
    <w:rsid w:val="0018522D"/>
    <w:rsid w:val="001852A3"/>
    <w:rsid w:val="001858DC"/>
    <w:rsid w:val="001859B3"/>
    <w:rsid w:val="00185A72"/>
    <w:rsid w:val="00185AC8"/>
    <w:rsid w:val="00186153"/>
    <w:rsid w:val="00186323"/>
    <w:rsid w:val="0018667B"/>
    <w:rsid w:val="00186A2D"/>
    <w:rsid w:val="00186A67"/>
    <w:rsid w:val="00186FD1"/>
    <w:rsid w:val="0018712B"/>
    <w:rsid w:val="0018722A"/>
    <w:rsid w:val="00187341"/>
    <w:rsid w:val="001876EC"/>
    <w:rsid w:val="00187975"/>
    <w:rsid w:val="00187B98"/>
    <w:rsid w:val="00187D06"/>
    <w:rsid w:val="00187E23"/>
    <w:rsid w:val="001900E4"/>
    <w:rsid w:val="0019021A"/>
    <w:rsid w:val="001902BF"/>
    <w:rsid w:val="00190479"/>
    <w:rsid w:val="00190535"/>
    <w:rsid w:val="00190A49"/>
    <w:rsid w:val="00190ACC"/>
    <w:rsid w:val="00190C2D"/>
    <w:rsid w:val="001910AA"/>
    <w:rsid w:val="00191182"/>
    <w:rsid w:val="0019188A"/>
    <w:rsid w:val="00191DF9"/>
    <w:rsid w:val="00191E95"/>
    <w:rsid w:val="001922B1"/>
    <w:rsid w:val="00192398"/>
    <w:rsid w:val="00192CA7"/>
    <w:rsid w:val="00192D7C"/>
    <w:rsid w:val="00192E44"/>
    <w:rsid w:val="00192FB8"/>
    <w:rsid w:val="0019308A"/>
    <w:rsid w:val="001934F5"/>
    <w:rsid w:val="00193642"/>
    <w:rsid w:val="00193844"/>
    <w:rsid w:val="001938D0"/>
    <w:rsid w:val="0019392B"/>
    <w:rsid w:val="00193E37"/>
    <w:rsid w:val="0019457F"/>
    <w:rsid w:val="001946DF"/>
    <w:rsid w:val="00194717"/>
    <w:rsid w:val="001947AA"/>
    <w:rsid w:val="00194948"/>
    <w:rsid w:val="00194B36"/>
    <w:rsid w:val="0019563B"/>
    <w:rsid w:val="00196079"/>
    <w:rsid w:val="001960EC"/>
    <w:rsid w:val="00196B04"/>
    <w:rsid w:val="00196BE2"/>
    <w:rsid w:val="00196C87"/>
    <w:rsid w:val="00196CF7"/>
    <w:rsid w:val="00196D4A"/>
    <w:rsid w:val="00196F6F"/>
    <w:rsid w:val="00197415"/>
    <w:rsid w:val="00197477"/>
    <w:rsid w:val="001978DD"/>
    <w:rsid w:val="001978DE"/>
    <w:rsid w:val="00197BF4"/>
    <w:rsid w:val="00197F03"/>
    <w:rsid w:val="001A00E5"/>
    <w:rsid w:val="001A0B95"/>
    <w:rsid w:val="001A1050"/>
    <w:rsid w:val="001A116E"/>
    <w:rsid w:val="001A12D0"/>
    <w:rsid w:val="001A1429"/>
    <w:rsid w:val="001A14B1"/>
    <w:rsid w:val="001A15F9"/>
    <w:rsid w:val="001A1752"/>
    <w:rsid w:val="001A17A7"/>
    <w:rsid w:val="001A1C32"/>
    <w:rsid w:val="001A1D95"/>
    <w:rsid w:val="001A1DD8"/>
    <w:rsid w:val="001A20C3"/>
    <w:rsid w:val="001A242C"/>
    <w:rsid w:val="001A2CD5"/>
    <w:rsid w:val="001A2D03"/>
    <w:rsid w:val="001A2D14"/>
    <w:rsid w:val="001A2DF5"/>
    <w:rsid w:val="001A31F2"/>
    <w:rsid w:val="001A320D"/>
    <w:rsid w:val="001A34CF"/>
    <w:rsid w:val="001A3647"/>
    <w:rsid w:val="001A3965"/>
    <w:rsid w:val="001A3B81"/>
    <w:rsid w:val="001A4408"/>
    <w:rsid w:val="001A44EB"/>
    <w:rsid w:val="001A49E7"/>
    <w:rsid w:val="001A4A75"/>
    <w:rsid w:val="001A4CC0"/>
    <w:rsid w:val="001A4E61"/>
    <w:rsid w:val="001A551A"/>
    <w:rsid w:val="001A5937"/>
    <w:rsid w:val="001A5A1B"/>
    <w:rsid w:val="001A5C18"/>
    <w:rsid w:val="001A6067"/>
    <w:rsid w:val="001A6141"/>
    <w:rsid w:val="001A631E"/>
    <w:rsid w:val="001A6438"/>
    <w:rsid w:val="001A6879"/>
    <w:rsid w:val="001A6E68"/>
    <w:rsid w:val="001A6E8A"/>
    <w:rsid w:val="001A6F24"/>
    <w:rsid w:val="001A707F"/>
    <w:rsid w:val="001A728D"/>
    <w:rsid w:val="001A74BA"/>
    <w:rsid w:val="001A772A"/>
    <w:rsid w:val="001A7994"/>
    <w:rsid w:val="001A7BD4"/>
    <w:rsid w:val="001A7C48"/>
    <w:rsid w:val="001A7CBE"/>
    <w:rsid w:val="001A7DA8"/>
    <w:rsid w:val="001A7EE4"/>
    <w:rsid w:val="001B0294"/>
    <w:rsid w:val="001B064D"/>
    <w:rsid w:val="001B067C"/>
    <w:rsid w:val="001B0704"/>
    <w:rsid w:val="001B0783"/>
    <w:rsid w:val="001B08D1"/>
    <w:rsid w:val="001B0E9A"/>
    <w:rsid w:val="001B10B5"/>
    <w:rsid w:val="001B1144"/>
    <w:rsid w:val="001B159D"/>
    <w:rsid w:val="001B16A2"/>
    <w:rsid w:val="001B1AAD"/>
    <w:rsid w:val="001B1B17"/>
    <w:rsid w:val="001B1CEA"/>
    <w:rsid w:val="001B1EE3"/>
    <w:rsid w:val="001B20CC"/>
    <w:rsid w:val="001B216F"/>
    <w:rsid w:val="001B23BD"/>
    <w:rsid w:val="001B24F6"/>
    <w:rsid w:val="001B25E0"/>
    <w:rsid w:val="001B2F35"/>
    <w:rsid w:val="001B355C"/>
    <w:rsid w:val="001B369B"/>
    <w:rsid w:val="001B3898"/>
    <w:rsid w:val="001B3C86"/>
    <w:rsid w:val="001B3DCF"/>
    <w:rsid w:val="001B3FF0"/>
    <w:rsid w:val="001B4162"/>
    <w:rsid w:val="001B4279"/>
    <w:rsid w:val="001B4297"/>
    <w:rsid w:val="001B4466"/>
    <w:rsid w:val="001B46E9"/>
    <w:rsid w:val="001B46EA"/>
    <w:rsid w:val="001B470E"/>
    <w:rsid w:val="001B4955"/>
    <w:rsid w:val="001B4DC1"/>
    <w:rsid w:val="001B53FF"/>
    <w:rsid w:val="001B58BD"/>
    <w:rsid w:val="001B5B5E"/>
    <w:rsid w:val="001B5C00"/>
    <w:rsid w:val="001B5F8F"/>
    <w:rsid w:val="001B6869"/>
    <w:rsid w:val="001B6925"/>
    <w:rsid w:val="001B6EA4"/>
    <w:rsid w:val="001B7176"/>
    <w:rsid w:val="001B71D1"/>
    <w:rsid w:val="001B728C"/>
    <w:rsid w:val="001B7720"/>
    <w:rsid w:val="001B7887"/>
    <w:rsid w:val="001B7B50"/>
    <w:rsid w:val="001B7D06"/>
    <w:rsid w:val="001C0235"/>
    <w:rsid w:val="001C0698"/>
    <w:rsid w:val="001C0720"/>
    <w:rsid w:val="001C08DE"/>
    <w:rsid w:val="001C0E28"/>
    <w:rsid w:val="001C0E39"/>
    <w:rsid w:val="001C1826"/>
    <w:rsid w:val="001C1BF8"/>
    <w:rsid w:val="001C1DA2"/>
    <w:rsid w:val="001C1EA7"/>
    <w:rsid w:val="001C1F4F"/>
    <w:rsid w:val="001C1FC9"/>
    <w:rsid w:val="001C20BC"/>
    <w:rsid w:val="001C2105"/>
    <w:rsid w:val="001C231D"/>
    <w:rsid w:val="001C2990"/>
    <w:rsid w:val="001C2DB7"/>
    <w:rsid w:val="001C2E6F"/>
    <w:rsid w:val="001C3221"/>
    <w:rsid w:val="001C391B"/>
    <w:rsid w:val="001C3ABB"/>
    <w:rsid w:val="001C3DD9"/>
    <w:rsid w:val="001C400D"/>
    <w:rsid w:val="001C425D"/>
    <w:rsid w:val="001C4990"/>
    <w:rsid w:val="001C4F32"/>
    <w:rsid w:val="001C4F52"/>
    <w:rsid w:val="001C5BD2"/>
    <w:rsid w:val="001C604B"/>
    <w:rsid w:val="001C6624"/>
    <w:rsid w:val="001C6740"/>
    <w:rsid w:val="001C67E8"/>
    <w:rsid w:val="001C69EC"/>
    <w:rsid w:val="001C6BE5"/>
    <w:rsid w:val="001C70AB"/>
    <w:rsid w:val="001C70B0"/>
    <w:rsid w:val="001C7A10"/>
    <w:rsid w:val="001C7A6F"/>
    <w:rsid w:val="001C7C65"/>
    <w:rsid w:val="001C7F6E"/>
    <w:rsid w:val="001D0844"/>
    <w:rsid w:val="001D086A"/>
    <w:rsid w:val="001D0CC7"/>
    <w:rsid w:val="001D0D3A"/>
    <w:rsid w:val="001D182F"/>
    <w:rsid w:val="001D18A3"/>
    <w:rsid w:val="001D1958"/>
    <w:rsid w:val="001D245D"/>
    <w:rsid w:val="001D2502"/>
    <w:rsid w:val="001D275B"/>
    <w:rsid w:val="001D27D0"/>
    <w:rsid w:val="001D35EA"/>
    <w:rsid w:val="001D3CF5"/>
    <w:rsid w:val="001D3DBF"/>
    <w:rsid w:val="001D3E17"/>
    <w:rsid w:val="001D3F12"/>
    <w:rsid w:val="001D4012"/>
    <w:rsid w:val="001D43BE"/>
    <w:rsid w:val="001D4411"/>
    <w:rsid w:val="001D46D6"/>
    <w:rsid w:val="001D47DC"/>
    <w:rsid w:val="001D49DF"/>
    <w:rsid w:val="001D4BCF"/>
    <w:rsid w:val="001D4CEA"/>
    <w:rsid w:val="001D4D13"/>
    <w:rsid w:val="001D4D8B"/>
    <w:rsid w:val="001D5142"/>
    <w:rsid w:val="001D51D8"/>
    <w:rsid w:val="001D52CD"/>
    <w:rsid w:val="001D531C"/>
    <w:rsid w:val="001D5352"/>
    <w:rsid w:val="001D5520"/>
    <w:rsid w:val="001D5662"/>
    <w:rsid w:val="001D5771"/>
    <w:rsid w:val="001D5830"/>
    <w:rsid w:val="001D5A46"/>
    <w:rsid w:val="001D5A86"/>
    <w:rsid w:val="001D5ADC"/>
    <w:rsid w:val="001D5CC9"/>
    <w:rsid w:val="001D601D"/>
    <w:rsid w:val="001D60C0"/>
    <w:rsid w:val="001D6281"/>
    <w:rsid w:val="001D62A3"/>
    <w:rsid w:val="001D6364"/>
    <w:rsid w:val="001D654C"/>
    <w:rsid w:val="001D674A"/>
    <w:rsid w:val="001D67D4"/>
    <w:rsid w:val="001D6AFC"/>
    <w:rsid w:val="001D6BEC"/>
    <w:rsid w:val="001D7240"/>
    <w:rsid w:val="001D728A"/>
    <w:rsid w:val="001D73BE"/>
    <w:rsid w:val="001D7DD1"/>
    <w:rsid w:val="001D7EE2"/>
    <w:rsid w:val="001E1211"/>
    <w:rsid w:val="001E135A"/>
    <w:rsid w:val="001E165A"/>
    <w:rsid w:val="001E1776"/>
    <w:rsid w:val="001E17B5"/>
    <w:rsid w:val="001E1A69"/>
    <w:rsid w:val="001E1B8A"/>
    <w:rsid w:val="001E1DCC"/>
    <w:rsid w:val="001E1EB8"/>
    <w:rsid w:val="001E21A1"/>
    <w:rsid w:val="001E2388"/>
    <w:rsid w:val="001E280E"/>
    <w:rsid w:val="001E2820"/>
    <w:rsid w:val="001E28DC"/>
    <w:rsid w:val="001E2919"/>
    <w:rsid w:val="001E2AC8"/>
    <w:rsid w:val="001E2C78"/>
    <w:rsid w:val="001E3139"/>
    <w:rsid w:val="001E31E8"/>
    <w:rsid w:val="001E357E"/>
    <w:rsid w:val="001E3616"/>
    <w:rsid w:val="001E3A35"/>
    <w:rsid w:val="001E3D0D"/>
    <w:rsid w:val="001E3EC3"/>
    <w:rsid w:val="001E3EE9"/>
    <w:rsid w:val="001E3EF7"/>
    <w:rsid w:val="001E43D4"/>
    <w:rsid w:val="001E43E7"/>
    <w:rsid w:val="001E453F"/>
    <w:rsid w:val="001E45C1"/>
    <w:rsid w:val="001E49C3"/>
    <w:rsid w:val="001E4EA9"/>
    <w:rsid w:val="001E4FF1"/>
    <w:rsid w:val="001E5187"/>
    <w:rsid w:val="001E5297"/>
    <w:rsid w:val="001E5C86"/>
    <w:rsid w:val="001E5D09"/>
    <w:rsid w:val="001E5E5E"/>
    <w:rsid w:val="001E60DE"/>
    <w:rsid w:val="001E61F4"/>
    <w:rsid w:val="001E6433"/>
    <w:rsid w:val="001E64F5"/>
    <w:rsid w:val="001E6861"/>
    <w:rsid w:val="001E6A9B"/>
    <w:rsid w:val="001E71C8"/>
    <w:rsid w:val="001E726B"/>
    <w:rsid w:val="001E751F"/>
    <w:rsid w:val="001E7557"/>
    <w:rsid w:val="001E757A"/>
    <w:rsid w:val="001E758C"/>
    <w:rsid w:val="001E7766"/>
    <w:rsid w:val="001E77F4"/>
    <w:rsid w:val="001E78B0"/>
    <w:rsid w:val="001E79A7"/>
    <w:rsid w:val="001E7B92"/>
    <w:rsid w:val="001E7C24"/>
    <w:rsid w:val="001E7FB5"/>
    <w:rsid w:val="001F0182"/>
    <w:rsid w:val="001F02CF"/>
    <w:rsid w:val="001F04FC"/>
    <w:rsid w:val="001F08B1"/>
    <w:rsid w:val="001F08CD"/>
    <w:rsid w:val="001F0E9F"/>
    <w:rsid w:val="001F102A"/>
    <w:rsid w:val="001F1113"/>
    <w:rsid w:val="001F11AC"/>
    <w:rsid w:val="001F1397"/>
    <w:rsid w:val="001F14E1"/>
    <w:rsid w:val="001F167C"/>
    <w:rsid w:val="001F1849"/>
    <w:rsid w:val="001F1A12"/>
    <w:rsid w:val="001F1CD4"/>
    <w:rsid w:val="001F1F7F"/>
    <w:rsid w:val="001F20E8"/>
    <w:rsid w:val="001F237C"/>
    <w:rsid w:val="001F24CF"/>
    <w:rsid w:val="001F259F"/>
    <w:rsid w:val="001F2861"/>
    <w:rsid w:val="001F29C8"/>
    <w:rsid w:val="001F2CFF"/>
    <w:rsid w:val="001F36DC"/>
    <w:rsid w:val="001F39E8"/>
    <w:rsid w:val="001F3A0B"/>
    <w:rsid w:val="001F4013"/>
    <w:rsid w:val="001F431E"/>
    <w:rsid w:val="001F4775"/>
    <w:rsid w:val="001F48BD"/>
    <w:rsid w:val="001F48F2"/>
    <w:rsid w:val="001F4F66"/>
    <w:rsid w:val="001F5019"/>
    <w:rsid w:val="001F527A"/>
    <w:rsid w:val="001F52F3"/>
    <w:rsid w:val="001F532D"/>
    <w:rsid w:val="001F53FF"/>
    <w:rsid w:val="001F5725"/>
    <w:rsid w:val="001F5737"/>
    <w:rsid w:val="001F586F"/>
    <w:rsid w:val="001F5900"/>
    <w:rsid w:val="001F5B46"/>
    <w:rsid w:val="001F5B8A"/>
    <w:rsid w:val="001F5D42"/>
    <w:rsid w:val="001F5F35"/>
    <w:rsid w:val="001F6222"/>
    <w:rsid w:val="001F631F"/>
    <w:rsid w:val="001F6669"/>
    <w:rsid w:val="001F69A6"/>
    <w:rsid w:val="001F6BAD"/>
    <w:rsid w:val="001F6CF6"/>
    <w:rsid w:val="001F7203"/>
    <w:rsid w:val="001F733A"/>
    <w:rsid w:val="001F739A"/>
    <w:rsid w:val="001F74FF"/>
    <w:rsid w:val="001F7791"/>
    <w:rsid w:val="001F79F2"/>
    <w:rsid w:val="0020008C"/>
    <w:rsid w:val="002000D3"/>
    <w:rsid w:val="002008A6"/>
    <w:rsid w:val="00200AE1"/>
    <w:rsid w:val="00201188"/>
    <w:rsid w:val="00201221"/>
    <w:rsid w:val="00201249"/>
    <w:rsid w:val="002012E2"/>
    <w:rsid w:val="00201317"/>
    <w:rsid w:val="002013C7"/>
    <w:rsid w:val="00201692"/>
    <w:rsid w:val="0020259A"/>
    <w:rsid w:val="00202CB7"/>
    <w:rsid w:val="00202DED"/>
    <w:rsid w:val="00202FCC"/>
    <w:rsid w:val="002032BA"/>
    <w:rsid w:val="002034F5"/>
    <w:rsid w:val="002036FC"/>
    <w:rsid w:val="002038DF"/>
    <w:rsid w:val="00203B4E"/>
    <w:rsid w:val="00203ECA"/>
    <w:rsid w:val="00204199"/>
    <w:rsid w:val="0020425C"/>
    <w:rsid w:val="002045A6"/>
    <w:rsid w:val="0020486D"/>
    <w:rsid w:val="00204878"/>
    <w:rsid w:val="00204A16"/>
    <w:rsid w:val="00204B1B"/>
    <w:rsid w:val="00204C81"/>
    <w:rsid w:val="00204D1B"/>
    <w:rsid w:val="00204F44"/>
    <w:rsid w:val="00205305"/>
    <w:rsid w:val="0020540F"/>
    <w:rsid w:val="002054C9"/>
    <w:rsid w:val="002055BB"/>
    <w:rsid w:val="002056F5"/>
    <w:rsid w:val="00205950"/>
    <w:rsid w:val="00206903"/>
    <w:rsid w:val="00206948"/>
    <w:rsid w:val="0020697B"/>
    <w:rsid w:val="00206A5A"/>
    <w:rsid w:val="00206FD0"/>
    <w:rsid w:val="002070A4"/>
    <w:rsid w:val="0020719D"/>
    <w:rsid w:val="00207429"/>
    <w:rsid w:val="002075B0"/>
    <w:rsid w:val="002077A5"/>
    <w:rsid w:val="00207DFE"/>
    <w:rsid w:val="002107C1"/>
    <w:rsid w:val="00210830"/>
    <w:rsid w:val="002113FD"/>
    <w:rsid w:val="0021148C"/>
    <w:rsid w:val="002115D8"/>
    <w:rsid w:val="002118D1"/>
    <w:rsid w:val="00211929"/>
    <w:rsid w:val="00211A1E"/>
    <w:rsid w:val="00211A45"/>
    <w:rsid w:val="00211BD9"/>
    <w:rsid w:val="00211CDE"/>
    <w:rsid w:val="00211D65"/>
    <w:rsid w:val="00211D9F"/>
    <w:rsid w:val="00211ECB"/>
    <w:rsid w:val="002120C1"/>
    <w:rsid w:val="002124D3"/>
    <w:rsid w:val="00212521"/>
    <w:rsid w:val="00212585"/>
    <w:rsid w:val="00212752"/>
    <w:rsid w:val="0021289A"/>
    <w:rsid w:val="00212C3E"/>
    <w:rsid w:val="00212C7C"/>
    <w:rsid w:val="002130BF"/>
    <w:rsid w:val="00213162"/>
    <w:rsid w:val="00213569"/>
    <w:rsid w:val="00213BA5"/>
    <w:rsid w:val="002144A2"/>
    <w:rsid w:val="0021458A"/>
    <w:rsid w:val="002145FC"/>
    <w:rsid w:val="00214A16"/>
    <w:rsid w:val="00214C78"/>
    <w:rsid w:val="002153DE"/>
    <w:rsid w:val="00215550"/>
    <w:rsid w:val="0021561C"/>
    <w:rsid w:val="00215872"/>
    <w:rsid w:val="00215BC2"/>
    <w:rsid w:val="00215F28"/>
    <w:rsid w:val="00215F86"/>
    <w:rsid w:val="0021659C"/>
    <w:rsid w:val="00216A65"/>
    <w:rsid w:val="00216A9B"/>
    <w:rsid w:val="002172F5"/>
    <w:rsid w:val="00217B8A"/>
    <w:rsid w:val="00217D2A"/>
    <w:rsid w:val="00217DB5"/>
    <w:rsid w:val="00220120"/>
    <w:rsid w:val="0022018D"/>
    <w:rsid w:val="002203AD"/>
    <w:rsid w:val="00220673"/>
    <w:rsid w:val="002207A3"/>
    <w:rsid w:val="00220A40"/>
    <w:rsid w:val="00220C48"/>
    <w:rsid w:val="00220D01"/>
    <w:rsid w:val="00220E07"/>
    <w:rsid w:val="00220F17"/>
    <w:rsid w:val="0022119C"/>
    <w:rsid w:val="00221572"/>
    <w:rsid w:val="00221590"/>
    <w:rsid w:val="00221624"/>
    <w:rsid w:val="00221883"/>
    <w:rsid w:val="00221910"/>
    <w:rsid w:val="00221A3E"/>
    <w:rsid w:val="00221A75"/>
    <w:rsid w:val="00221BFB"/>
    <w:rsid w:val="00221E89"/>
    <w:rsid w:val="002223FF"/>
    <w:rsid w:val="00222663"/>
    <w:rsid w:val="0022268E"/>
    <w:rsid w:val="00222A38"/>
    <w:rsid w:val="00222CB9"/>
    <w:rsid w:val="00222D68"/>
    <w:rsid w:val="00222FAA"/>
    <w:rsid w:val="00223127"/>
    <w:rsid w:val="002237CB"/>
    <w:rsid w:val="002238E2"/>
    <w:rsid w:val="00224095"/>
    <w:rsid w:val="00224170"/>
    <w:rsid w:val="0022417C"/>
    <w:rsid w:val="00224628"/>
    <w:rsid w:val="0022467D"/>
    <w:rsid w:val="002246C9"/>
    <w:rsid w:val="00224843"/>
    <w:rsid w:val="002248A4"/>
    <w:rsid w:val="00224ADF"/>
    <w:rsid w:val="00224B93"/>
    <w:rsid w:val="00224BE9"/>
    <w:rsid w:val="002251E3"/>
    <w:rsid w:val="00225470"/>
    <w:rsid w:val="00225BC3"/>
    <w:rsid w:val="002266B6"/>
    <w:rsid w:val="00226BA7"/>
    <w:rsid w:val="002271CB"/>
    <w:rsid w:val="00227214"/>
    <w:rsid w:val="0022722D"/>
    <w:rsid w:val="00227256"/>
    <w:rsid w:val="00227702"/>
    <w:rsid w:val="0022772F"/>
    <w:rsid w:val="00227870"/>
    <w:rsid w:val="00227BD0"/>
    <w:rsid w:val="00230194"/>
    <w:rsid w:val="00230255"/>
    <w:rsid w:val="00230CFA"/>
    <w:rsid w:val="00231137"/>
    <w:rsid w:val="002311D0"/>
    <w:rsid w:val="002311FD"/>
    <w:rsid w:val="002314AA"/>
    <w:rsid w:val="002315F5"/>
    <w:rsid w:val="00231762"/>
    <w:rsid w:val="002318C2"/>
    <w:rsid w:val="00231B1C"/>
    <w:rsid w:val="00231B20"/>
    <w:rsid w:val="00231BBE"/>
    <w:rsid w:val="00231F29"/>
    <w:rsid w:val="0023243C"/>
    <w:rsid w:val="0023247E"/>
    <w:rsid w:val="002325C7"/>
    <w:rsid w:val="00232A02"/>
    <w:rsid w:val="00232AC6"/>
    <w:rsid w:val="00232B9B"/>
    <w:rsid w:val="00232CBD"/>
    <w:rsid w:val="00232DA9"/>
    <w:rsid w:val="00232E6E"/>
    <w:rsid w:val="00232F3C"/>
    <w:rsid w:val="002332B1"/>
    <w:rsid w:val="002332CC"/>
    <w:rsid w:val="0023343D"/>
    <w:rsid w:val="0023388D"/>
    <w:rsid w:val="00233922"/>
    <w:rsid w:val="00233EA5"/>
    <w:rsid w:val="00233F8F"/>
    <w:rsid w:val="0023436F"/>
    <w:rsid w:val="00234375"/>
    <w:rsid w:val="00234C38"/>
    <w:rsid w:val="00235410"/>
    <w:rsid w:val="00235827"/>
    <w:rsid w:val="002359FD"/>
    <w:rsid w:val="00235B81"/>
    <w:rsid w:val="00235F2C"/>
    <w:rsid w:val="00236677"/>
    <w:rsid w:val="002369DF"/>
    <w:rsid w:val="002370F7"/>
    <w:rsid w:val="0023722B"/>
    <w:rsid w:val="0023727D"/>
    <w:rsid w:val="00237340"/>
    <w:rsid w:val="0023742F"/>
    <w:rsid w:val="00237625"/>
    <w:rsid w:val="002378AD"/>
    <w:rsid w:val="002378CD"/>
    <w:rsid w:val="00237BBD"/>
    <w:rsid w:val="00237E25"/>
    <w:rsid w:val="00237E66"/>
    <w:rsid w:val="00237EA0"/>
    <w:rsid w:val="00240121"/>
    <w:rsid w:val="00240602"/>
    <w:rsid w:val="002409F6"/>
    <w:rsid w:val="00240AD7"/>
    <w:rsid w:val="00240AEA"/>
    <w:rsid w:val="00240B71"/>
    <w:rsid w:val="00240B84"/>
    <w:rsid w:val="00240DD6"/>
    <w:rsid w:val="00241298"/>
    <w:rsid w:val="00241534"/>
    <w:rsid w:val="00241669"/>
    <w:rsid w:val="0024181F"/>
    <w:rsid w:val="002421D6"/>
    <w:rsid w:val="00242563"/>
    <w:rsid w:val="00242815"/>
    <w:rsid w:val="002428D4"/>
    <w:rsid w:val="00242B8A"/>
    <w:rsid w:val="0024312D"/>
    <w:rsid w:val="0024355D"/>
    <w:rsid w:val="0024388D"/>
    <w:rsid w:val="00243908"/>
    <w:rsid w:val="00243CCB"/>
    <w:rsid w:val="00244136"/>
    <w:rsid w:val="002445DC"/>
    <w:rsid w:val="002446BF"/>
    <w:rsid w:val="00245100"/>
    <w:rsid w:val="00245141"/>
    <w:rsid w:val="00245470"/>
    <w:rsid w:val="00245563"/>
    <w:rsid w:val="00245820"/>
    <w:rsid w:val="002458DF"/>
    <w:rsid w:val="00245B68"/>
    <w:rsid w:val="00245CCD"/>
    <w:rsid w:val="00245CEC"/>
    <w:rsid w:val="00245D53"/>
    <w:rsid w:val="00245E1A"/>
    <w:rsid w:val="00246744"/>
    <w:rsid w:val="002467F2"/>
    <w:rsid w:val="00246808"/>
    <w:rsid w:val="002468A3"/>
    <w:rsid w:val="00246A51"/>
    <w:rsid w:val="00247592"/>
    <w:rsid w:val="0024772B"/>
    <w:rsid w:val="0024799E"/>
    <w:rsid w:val="00247B1E"/>
    <w:rsid w:val="00247F25"/>
    <w:rsid w:val="002500E5"/>
    <w:rsid w:val="00250167"/>
    <w:rsid w:val="002506EA"/>
    <w:rsid w:val="002506FD"/>
    <w:rsid w:val="00251724"/>
    <w:rsid w:val="0025199D"/>
    <w:rsid w:val="002520D8"/>
    <w:rsid w:val="0025257B"/>
    <w:rsid w:val="00252B87"/>
    <w:rsid w:val="0025322B"/>
    <w:rsid w:val="00253459"/>
    <w:rsid w:val="002534C0"/>
    <w:rsid w:val="002535B3"/>
    <w:rsid w:val="00253A86"/>
    <w:rsid w:val="00253B49"/>
    <w:rsid w:val="00253C25"/>
    <w:rsid w:val="002545AD"/>
    <w:rsid w:val="002546BA"/>
    <w:rsid w:val="002548B6"/>
    <w:rsid w:val="0025496D"/>
    <w:rsid w:val="00254AAA"/>
    <w:rsid w:val="00254D3D"/>
    <w:rsid w:val="00254DD0"/>
    <w:rsid w:val="00254EBB"/>
    <w:rsid w:val="0025513B"/>
    <w:rsid w:val="00255198"/>
    <w:rsid w:val="002554B6"/>
    <w:rsid w:val="002558F6"/>
    <w:rsid w:val="00255B2F"/>
    <w:rsid w:val="00255C59"/>
    <w:rsid w:val="00255CE1"/>
    <w:rsid w:val="00255DE1"/>
    <w:rsid w:val="00255EA2"/>
    <w:rsid w:val="00255F30"/>
    <w:rsid w:val="002563C8"/>
    <w:rsid w:val="00256551"/>
    <w:rsid w:val="002565C5"/>
    <w:rsid w:val="0025673F"/>
    <w:rsid w:val="002568EB"/>
    <w:rsid w:val="00256F51"/>
    <w:rsid w:val="00256FEB"/>
    <w:rsid w:val="002570B4"/>
    <w:rsid w:val="0025735A"/>
    <w:rsid w:val="002574C0"/>
    <w:rsid w:val="00257645"/>
    <w:rsid w:val="00257A41"/>
    <w:rsid w:val="00257D49"/>
    <w:rsid w:val="00257DDE"/>
    <w:rsid w:val="00260608"/>
    <w:rsid w:val="0026090D"/>
    <w:rsid w:val="0026096C"/>
    <w:rsid w:val="00260BD4"/>
    <w:rsid w:val="00260D0E"/>
    <w:rsid w:val="00260DD0"/>
    <w:rsid w:val="00261061"/>
    <w:rsid w:val="002612A8"/>
    <w:rsid w:val="002612AE"/>
    <w:rsid w:val="00261610"/>
    <w:rsid w:val="00261747"/>
    <w:rsid w:val="0026189F"/>
    <w:rsid w:val="00261A37"/>
    <w:rsid w:val="00261B48"/>
    <w:rsid w:val="00262115"/>
    <w:rsid w:val="002624BD"/>
    <w:rsid w:val="002626A4"/>
    <w:rsid w:val="00262770"/>
    <w:rsid w:val="0026292B"/>
    <w:rsid w:val="002629FA"/>
    <w:rsid w:val="00262D86"/>
    <w:rsid w:val="00263342"/>
    <w:rsid w:val="00263597"/>
    <w:rsid w:val="00263943"/>
    <w:rsid w:val="00263A63"/>
    <w:rsid w:val="00263B07"/>
    <w:rsid w:val="00263B5C"/>
    <w:rsid w:val="00264133"/>
    <w:rsid w:val="0026432F"/>
    <w:rsid w:val="00264339"/>
    <w:rsid w:val="00264876"/>
    <w:rsid w:val="0026491F"/>
    <w:rsid w:val="00264927"/>
    <w:rsid w:val="002649B6"/>
    <w:rsid w:val="00264E6B"/>
    <w:rsid w:val="002650B3"/>
    <w:rsid w:val="00265188"/>
    <w:rsid w:val="00265252"/>
    <w:rsid w:val="00265640"/>
    <w:rsid w:val="00265998"/>
    <w:rsid w:val="00265B01"/>
    <w:rsid w:val="00265F00"/>
    <w:rsid w:val="00265FC8"/>
    <w:rsid w:val="002662B8"/>
    <w:rsid w:val="002666B7"/>
    <w:rsid w:val="002667D0"/>
    <w:rsid w:val="00266CCA"/>
    <w:rsid w:val="00266FB5"/>
    <w:rsid w:val="00267161"/>
    <w:rsid w:val="00267169"/>
    <w:rsid w:val="0026721E"/>
    <w:rsid w:val="00267FE9"/>
    <w:rsid w:val="00267FFC"/>
    <w:rsid w:val="00270234"/>
    <w:rsid w:val="00270525"/>
    <w:rsid w:val="00270672"/>
    <w:rsid w:val="002707F7"/>
    <w:rsid w:val="00270827"/>
    <w:rsid w:val="00270DF6"/>
    <w:rsid w:val="002712AB"/>
    <w:rsid w:val="00271A0C"/>
    <w:rsid w:val="002721B7"/>
    <w:rsid w:val="00272523"/>
    <w:rsid w:val="00272588"/>
    <w:rsid w:val="00272A29"/>
    <w:rsid w:val="00272A59"/>
    <w:rsid w:val="00272F3F"/>
    <w:rsid w:val="002730F6"/>
    <w:rsid w:val="00273130"/>
    <w:rsid w:val="002731E8"/>
    <w:rsid w:val="00273204"/>
    <w:rsid w:val="00273778"/>
    <w:rsid w:val="002737A0"/>
    <w:rsid w:val="00273BC4"/>
    <w:rsid w:val="00273CAD"/>
    <w:rsid w:val="00274365"/>
    <w:rsid w:val="0027437A"/>
    <w:rsid w:val="0027446E"/>
    <w:rsid w:val="00274AC8"/>
    <w:rsid w:val="00274B48"/>
    <w:rsid w:val="00275137"/>
    <w:rsid w:val="00275291"/>
    <w:rsid w:val="002756F8"/>
    <w:rsid w:val="00275C0D"/>
    <w:rsid w:val="00276197"/>
    <w:rsid w:val="0027626D"/>
    <w:rsid w:val="002765BC"/>
    <w:rsid w:val="00276919"/>
    <w:rsid w:val="00276D16"/>
    <w:rsid w:val="00277070"/>
    <w:rsid w:val="00277373"/>
    <w:rsid w:val="00277402"/>
    <w:rsid w:val="00277649"/>
    <w:rsid w:val="002778FB"/>
    <w:rsid w:val="00280048"/>
    <w:rsid w:val="00280050"/>
    <w:rsid w:val="0028007E"/>
    <w:rsid w:val="0028034B"/>
    <w:rsid w:val="00280353"/>
    <w:rsid w:val="00280A14"/>
    <w:rsid w:val="00280E5D"/>
    <w:rsid w:val="00280F8E"/>
    <w:rsid w:val="0028112E"/>
    <w:rsid w:val="00281395"/>
    <w:rsid w:val="0028176D"/>
    <w:rsid w:val="00281A95"/>
    <w:rsid w:val="00281EDB"/>
    <w:rsid w:val="002821D9"/>
    <w:rsid w:val="00282331"/>
    <w:rsid w:val="002828C7"/>
    <w:rsid w:val="002829AC"/>
    <w:rsid w:val="00282CDA"/>
    <w:rsid w:val="00282F7B"/>
    <w:rsid w:val="0028301D"/>
    <w:rsid w:val="002832BE"/>
    <w:rsid w:val="002833BC"/>
    <w:rsid w:val="002834A2"/>
    <w:rsid w:val="002837F9"/>
    <w:rsid w:val="00283965"/>
    <w:rsid w:val="0028396F"/>
    <w:rsid w:val="00283F5D"/>
    <w:rsid w:val="00283FD0"/>
    <w:rsid w:val="002843BE"/>
    <w:rsid w:val="00284AE6"/>
    <w:rsid w:val="00284DB2"/>
    <w:rsid w:val="002856F6"/>
    <w:rsid w:val="00285963"/>
    <w:rsid w:val="00285A16"/>
    <w:rsid w:val="00285DBD"/>
    <w:rsid w:val="00285E8D"/>
    <w:rsid w:val="00285EE9"/>
    <w:rsid w:val="0028603E"/>
    <w:rsid w:val="002861EA"/>
    <w:rsid w:val="0028651C"/>
    <w:rsid w:val="002865AC"/>
    <w:rsid w:val="00286B38"/>
    <w:rsid w:val="00287018"/>
    <w:rsid w:val="00287171"/>
    <w:rsid w:val="002874D4"/>
    <w:rsid w:val="00287790"/>
    <w:rsid w:val="00287992"/>
    <w:rsid w:val="002879A5"/>
    <w:rsid w:val="00287A96"/>
    <w:rsid w:val="00287B2C"/>
    <w:rsid w:val="00287B8B"/>
    <w:rsid w:val="00290162"/>
    <w:rsid w:val="002906F7"/>
    <w:rsid w:val="002909C9"/>
    <w:rsid w:val="00290B1F"/>
    <w:rsid w:val="00290C72"/>
    <w:rsid w:val="00291271"/>
    <w:rsid w:val="00291796"/>
    <w:rsid w:val="002919C4"/>
    <w:rsid w:val="00291FEA"/>
    <w:rsid w:val="0029205F"/>
    <w:rsid w:val="0029228E"/>
    <w:rsid w:val="0029234A"/>
    <w:rsid w:val="002925D1"/>
    <w:rsid w:val="00292652"/>
    <w:rsid w:val="00292A1D"/>
    <w:rsid w:val="00292C5A"/>
    <w:rsid w:val="002931CB"/>
    <w:rsid w:val="002937A3"/>
    <w:rsid w:val="00293846"/>
    <w:rsid w:val="00293B0F"/>
    <w:rsid w:val="00293C8A"/>
    <w:rsid w:val="00293D5F"/>
    <w:rsid w:val="00293DD3"/>
    <w:rsid w:val="00293E18"/>
    <w:rsid w:val="00293E2E"/>
    <w:rsid w:val="00293F62"/>
    <w:rsid w:val="002942A4"/>
    <w:rsid w:val="0029463F"/>
    <w:rsid w:val="00294C7E"/>
    <w:rsid w:val="00294D09"/>
    <w:rsid w:val="00294FBB"/>
    <w:rsid w:val="00295268"/>
    <w:rsid w:val="00295702"/>
    <w:rsid w:val="00295760"/>
    <w:rsid w:val="00295763"/>
    <w:rsid w:val="00295A31"/>
    <w:rsid w:val="0029603A"/>
    <w:rsid w:val="00296046"/>
    <w:rsid w:val="0029622E"/>
    <w:rsid w:val="002962EB"/>
    <w:rsid w:val="0029676F"/>
    <w:rsid w:val="00296BA7"/>
    <w:rsid w:val="00296CC0"/>
    <w:rsid w:val="002974D6"/>
    <w:rsid w:val="00297AA1"/>
    <w:rsid w:val="00297EAF"/>
    <w:rsid w:val="00297FF5"/>
    <w:rsid w:val="002A0189"/>
    <w:rsid w:val="002A03D5"/>
    <w:rsid w:val="002A0676"/>
    <w:rsid w:val="002A07B7"/>
    <w:rsid w:val="002A095F"/>
    <w:rsid w:val="002A09D8"/>
    <w:rsid w:val="002A0C26"/>
    <w:rsid w:val="002A0CAF"/>
    <w:rsid w:val="002A14D1"/>
    <w:rsid w:val="002A14DA"/>
    <w:rsid w:val="002A192D"/>
    <w:rsid w:val="002A19B4"/>
    <w:rsid w:val="002A1BD1"/>
    <w:rsid w:val="002A1EF7"/>
    <w:rsid w:val="002A1F6D"/>
    <w:rsid w:val="002A233F"/>
    <w:rsid w:val="002A2501"/>
    <w:rsid w:val="002A2774"/>
    <w:rsid w:val="002A2989"/>
    <w:rsid w:val="002A2B79"/>
    <w:rsid w:val="002A2CC9"/>
    <w:rsid w:val="002A2DDB"/>
    <w:rsid w:val="002A2EA4"/>
    <w:rsid w:val="002A2EA7"/>
    <w:rsid w:val="002A331F"/>
    <w:rsid w:val="002A33E0"/>
    <w:rsid w:val="002A3982"/>
    <w:rsid w:val="002A3B3A"/>
    <w:rsid w:val="002A3B56"/>
    <w:rsid w:val="002A46DF"/>
    <w:rsid w:val="002A4721"/>
    <w:rsid w:val="002A48B3"/>
    <w:rsid w:val="002A49AA"/>
    <w:rsid w:val="002A4C3E"/>
    <w:rsid w:val="002A4DA7"/>
    <w:rsid w:val="002A5166"/>
    <w:rsid w:val="002A52F3"/>
    <w:rsid w:val="002A5A30"/>
    <w:rsid w:val="002A5AAB"/>
    <w:rsid w:val="002A5EFE"/>
    <w:rsid w:val="002A5F79"/>
    <w:rsid w:val="002A616B"/>
    <w:rsid w:val="002A6C10"/>
    <w:rsid w:val="002A6EA4"/>
    <w:rsid w:val="002A729E"/>
    <w:rsid w:val="002A7418"/>
    <w:rsid w:val="002A770C"/>
    <w:rsid w:val="002A7AD3"/>
    <w:rsid w:val="002B006B"/>
    <w:rsid w:val="002B00AD"/>
    <w:rsid w:val="002B048A"/>
    <w:rsid w:val="002B057E"/>
    <w:rsid w:val="002B080A"/>
    <w:rsid w:val="002B093A"/>
    <w:rsid w:val="002B0944"/>
    <w:rsid w:val="002B0AEE"/>
    <w:rsid w:val="002B0F1A"/>
    <w:rsid w:val="002B1209"/>
    <w:rsid w:val="002B128A"/>
    <w:rsid w:val="002B2145"/>
    <w:rsid w:val="002B26C1"/>
    <w:rsid w:val="002B2776"/>
    <w:rsid w:val="002B2995"/>
    <w:rsid w:val="002B2ACC"/>
    <w:rsid w:val="002B2C7E"/>
    <w:rsid w:val="002B3534"/>
    <w:rsid w:val="002B35CC"/>
    <w:rsid w:val="002B396D"/>
    <w:rsid w:val="002B3AF8"/>
    <w:rsid w:val="002B3C8A"/>
    <w:rsid w:val="002B4036"/>
    <w:rsid w:val="002B4284"/>
    <w:rsid w:val="002B42AD"/>
    <w:rsid w:val="002B43B0"/>
    <w:rsid w:val="002B46F5"/>
    <w:rsid w:val="002B4916"/>
    <w:rsid w:val="002B4921"/>
    <w:rsid w:val="002B498D"/>
    <w:rsid w:val="002B4E9F"/>
    <w:rsid w:val="002B4FCB"/>
    <w:rsid w:val="002B5161"/>
    <w:rsid w:val="002B528F"/>
    <w:rsid w:val="002B52A4"/>
    <w:rsid w:val="002B56E1"/>
    <w:rsid w:val="002B59A7"/>
    <w:rsid w:val="002B5A81"/>
    <w:rsid w:val="002B631C"/>
    <w:rsid w:val="002B64AE"/>
    <w:rsid w:val="002B651D"/>
    <w:rsid w:val="002B66FB"/>
    <w:rsid w:val="002B670B"/>
    <w:rsid w:val="002B6A52"/>
    <w:rsid w:val="002B6A56"/>
    <w:rsid w:val="002B6B56"/>
    <w:rsid w:val="002B6E29"/>
    <w:rsid w:val="002B6F7C"/>
    <w:rsid w:val="002B75B4"/>
    <w:rsid w:val="002B77EC"/>
    <w:rsid w:val="002B7BC6"/>
    <w:rsid w:val="002C0057"/>
    <w:rsid w:val="002C0227"/>
    <w:rsid w:val="002C024B"/>
    <w:rsid w:val="002C02C5"/>
    <w:rsid w:val="002C097C"/>
    <w:rsid w:val="002C09F4"/>
    <w:rsid w:val="002C0BAE"/>
    <w:rsid w:val="002C0D54"/>
    <w:rsid w:val="002C14C3"/>
    <w:rsid w:val="002C18A0"/>
    <w:rsid w:val="002C22C8"/>
    <w:rsid w:val="002C2376"/>
    <w:rsid w:val="002C23ED"/>
    <w:rsid w:val="002C262D"/>
    <w:rsid w:val="002C267C"/>
    <w:rsid w:val="002C282F"/>
    <w:rsid w:val="002C2962"/>
    <w:rsid w:val="002C297B"/>
    <w:rsid w:val="002C2996"/>
    <w:rsid w:val="002C29A1"/>
    <w:rsid w:val="002C2B41"/>
    <w:rsid w:val="002C2D36"/>
    <w:rsid w:val="002C2E5C"/>
    <w:rsid w:val="002C306D"/>
    <w:rsid w:val="002C33EA"/>
    <w:rsid w:val="002C368E"/>
    <w:rsid w:val="002C36FB"/>
    <w:rsid w:val="002C3F9D"/>
    <w:rsid w:val="002C454C"/>
    <w:rsid w:val="002C48B1"/>
    <w:rsid w:val="002C4C2C"/>
    <w:rsid w:val="002C4DE8"/>
    <w:rsid w:val="002C4E53"/>
    <w:rsid w:val="002C4EE2"/>
    <w:rsid w:val="002C4F6A"/>
    <w:rsid w:val="002C5188"/>
    <w:rsid w:val="002C51F0"/>
    <w:rsid w:val="002C5235"/>
    <w:rsid w:val="002C523E"/>
    <w:rsid w:val="002C56DF"/>
    <w:rsid w:val="002C58FA"/>
    <w:rsid w:val="002C5DFE"/>
    <w:rsid w:val="002C5F83"/>
    <w:rsid w:val="002C64F9"/>
    <w:rsid w:val="002C6565"/>
    <w:rsid w:val="002C6728"/>
    <w:rsid w:val="002C692A"/>
    <w:rsid w:val="002C6D01"/>
    <w:rsid w:val="002C740F"/>
    <w:rsid w:val="002C75E9"/>
    <w:rsid w:val="002C77D5"/>
    <w:rsid w:val="002D0413"/>
    <w:rsid w:val="002D045C"/>
    <w:rsid w:val="002D06A6"/>
    <w:rsid w:val="002D0805"/>
    <w:rsid w:val="002D0C9D"/>
    <w:rsid w:val="002D0EA3"/>
    <w:rsid w:val="002D0F2C"/>
    <w:rsid w:val="002D0FF5"/>
    <w:rsid w:val="002D104C"/>
    <w:rsid w:val="002D11DB"/>
    <w:rsid w:val="002D1347"/>
    <w:rsid w:val="002D15E7"/>
    <w:rsid w:val="002D1BCB"/>
    <w:rsid w:val="002D1C88"/>
    <w:rsid w:val="002D1D84"/>
    <w:rsid w:val="002D1EFF"/>
    <w:rsid w:val="002D1F33"/>
    <w:rsid w:val="002D20D1"/>
    <w:rsid w:val="002D2380"/>
    <w:rsid w:val="002D26AF"/>
    <w:rsid w:val="002D301B"/>
    <w:rsid w:val="002D31D6"/>
    <w:rsid w:val="002D321C"/>
    <w:rsid w:val="002D3AC1"/>
    <w:rsid w:val="002D3D29"/>
    <w:rsid w:val="002D3E45"/>
    <w:rsid w:val="002D3F75"/>
    <w:rsid w:val="002D4223"/>
    <w:rsid w:val="002D45B0"/>
    <w:rsid w:val="002D4A33"/>
    <w:rsid w:val="002D4A49"/>
    <w:rsid w:val="002D4BA7"/>
    <w:rsid w:val="002D5833"/>
    <w:rsid w:val="002D58E6"/>
    <w:rsid w:val="002D5AB0"/>
    <w:rsid w:val="002D5B9F"/>
    <w:rsid w:val="002D5E65"/>
    <w:rsid w:val="002D607C"/>
    <w:rsid w:val="002D6098"/>
    <w:rsid w:val="002D63D3"/>
    <w:rsid w:val="002D6753"/>
    <w:rsid w:val="002D6829"/>
    <w:rsid w:val="002D68B1"/>
    <w:rsid w:val="002D6B04"/>
    <w:rsid w:val="002D71DD"/>
    <w:rsid w:val="002D7380"/>
    <w:rsid w:val="002D73D6"/>
    <w:rsid w:val="002D77B8"/>
    <w:rsid w:val="002D7811"/>
    <w:rsid w:val="002D7B19"/>
    <w:rsid w:val="002D7B8F"/>
    <w:rsid w:val="002D7DB6"/>
    <w:rsid w:val="002E037A"/>
    <w:rsid w:val="002E05BE"/>
    <w:rsid w:val="002E0862"/>
    <w:rsid w:val="002E0B06"/>
    <w:rsid w:val="002E0C9F"/>
    <w:rsid w:val="002E0CFB"/>
    <w:rsid w:val="002E0D6E"/>
    <w:rsid w:val="002E0D9F"/>
    <w:rsid w:val="002E0F13"/>
    <w:rsid w:val="002E1391"/>
    <w:rsid w:val="002E1461"/>
    <w:rsid w:val="002E19B0"/>
    <w:rsid w:val="002E1D2A"/>
    <w:rsid w:val="002E1FA6"/>
    <w:rsid w:val="002E23CB"/>
    <w:rsid w:val="002E23FE"/>
    <w:rsid w:val="002E2654"/>
    <w:rsid w:val="002E2C25"/>
    <w:rsid w:val="002E2F04"/>
    <w:rsid w:val="002E2FC1"/>
    <w:rsid w:val="002E3091"/>
    <w:rsid w:val="002E318E"/>
    <w:rsid w:val="002E3259"/>
    <w:rsid w:val="002E33FE"/>
    <w:rsid w:val="002E354E"/>
    <w:rsid w:val="002E376F"/>
    <w:rsid w:val="002E3778"/>
    <w:rsid w:val="002E38B6"/>
    <w:rsid w:val="002E3AD9"/>
    <w:rsid w:val="002E411B"/>
    <w:rsid w:val="002E4287"/>
    <w:rsid w:val="002E44E0"/>
    <w:rsid w:val="002E47C7"/>
    <w:rsid w:val="002E498D"/>
    <w:rsid w:val="002E4AD8"/>
    <w:rsid w:val="002E4C23"/>
    <w:rsid w:val="002E506E"/>
    <w:rsid w:val="002E50E7"/>
    <w:rsid w:val="002E53D8"/>
    <w:rsid w:val="002E560D"/>
    <w:rsid w:val="002E5AED"/>
    <w:rsid w:val="002E5B64"/>
    <w:rsid w:val="002E5BBC"/>
    <w:rsid w:val="002E5F53"/>
    <w:rsid w:val="002E60B9"/>
    <w:rsid w:val="002E60EA"/>
    <w:rsid w:val="002E6506"/>
    <w:rsid w:val="002E663E"/>
    <w:rsid w:val="002E6CC6"/>
    <w:rsid w:val="002E70B4"/>
    <w:rsid w:val="002E717C"/>
    <w:rsid w:val="002E73EF"/>
    <w:rsid w:val="002E7841"/>
    <w:rsid w:val="002E79D6"/>
    <w:rsid w:val="002E7C75"/>
    <w:rsid w:val="002E7CBE"/>
    <w:rsid w:val="002E7D9B"/>
    <w:rsid w:val="002E7E1F"/>
    <w:rsid w:val="002F013D"/>
    <w:rsid w:val="002F015A"/>
    <w:rsid w:val="002F08FF"/>
    <w:rsid w:val="002F0D86"/>
    <w:rsid w:val="002F0F9E"/>
    <w:rsid w:val="002F0FA7"/>
    <w:rsid w:val="002F105A"/>
    <w:rsid w:val="002F109C"/>
    <w:rsid w:val="002F1445"/>
    <w:rsid w:val="002F1C21"/>
    <w:rsid w:val="002F1C8D"/>
    <w:rsid w:val="002F1F47"/>
    <w:rsid w:val="002F21F5"/>
    <w:rsid w:val="002F236B"/>
    <w:rsid w:val="002F258C"/>
    <w:rsid w:val="002F259B"/>
    <w:rsid w:val="002F2719"/>
    <w:rsid w:val="002F2BC6"/>
    <w:rsid w:val="002F2C69"/>
    <w:rsid w:val="002F2EAD"/>
    <w:rsid w:val="002F31F7"/>
    <w:rsid w:val="002F322F"/>
    <w:rsid w:val="002F3308"/>
    <w:rsid w:val="002F3A86"/>
    <w:rsid w:val="002F3B2D"/>
    <w:rsid w:val="002F3C13"/>
    <w:rsid w:val="002F3FD5"/>
    <w:rsid w:val="002F458E"/>
    <w:rsid w:val="002F45D4"/>
    <w:rsid w:val="002F4614"/>
    <w:rsid w:val="002F4F79"/>
    <w:rsid w:val="002F5331"/>
    <w:rsid w:val="002F5577"/>
    <w:rsid w:val="002F57B6"/>
    <w:rsid w:val="002F5B0A"/>
    <w:rsid w:val="002F5B1F"/>
    <w:rsid w:val="002F5BB2"/>
    <w:rsid w:val="002F5CF4"/>
    <w:rsid w:val="002F5D6F"/>
    <w:rsid w:val="002F5F3C"/>
    <w:rsid w:val="002F61EE"/>
    <w:rsid w:val="002F62AA"/>
    <w:rsid w:val="002F62FE"/>
    <w:rsid w:val="002F6692"/>
    <w:rsid w:val="002F6695"/>
    <w:rsid w:val="002F6912"/>
    <w:rsid w:val="002F6A8E"/>
    <w:rsid w:val="002F6D81"/>
    <w:rsid w:val="002F6DA4"/>
    <w:rsid w:val="002F6F56"/>
    <w:rsid w:val="002F719B"/>
    <w:rsid w:val="002F71B9"/>
    <w:rsid w:val="002F7333"/>
    <w:rsid w:val="002F740C"/>
    <w:rsid w:val="002F75B1"/>
    <w:rsid w:val="002F771C"/>
    <w:rsid w:val="002F77AA"/>
    <w:rsid w:val="002F7E81"/>
    <w:rsid w:val="002F7E9B"/>
    <w:rsid w:val="002F7EB0"/>
    <w:rsid w:val="00300513"/>
    <w:rsid w:val="003009AF"/>
    <w:rsid w:val="00300A9B"/>
    <w:rsid w:val="00300D84"/>
    <w:rsid w:val="00300EF9"/>
    <w:rsid w:val="00300FAA"/>
    <w:rsid w:val="00301455"/>
    <w:rsid w:val="0030169B"/>
    <w:rsid w:val="00301726"/>
    <w:rsid w:val="003018FE"/>
    <w:rsid w:val="00301D13"/>
    <w:rsid w:val="00301D75"/>
    <w:rsid w:val="00301DDE"/>
    <w:rsid w:val="003020DD"/>
    <w:rsid w:val="0030233C"/>
    <w:rsid w:val="00302688"/>
    <w:rsid w:val="00302EEC"/>
    <w:rsid w:val="00302F1E"/>
    <w:rsid w:val="003034A8"/>
    <w:rsid w:val="00303547"/>
    <w:rsid w:val="00303557"/>
    <w:rsid w:val="00303C5C"/>
    <w:rsid w:val="00303C6E"/>
    <w:rsid w:val="00303F24"/>
    <w:rsid w:val="00304008"/>
    <w:rsid w:val="00304153"/>
    <w:rsid w:val="0030477A"/>
    <w:rsid w:val="003047D3"/>
    <w:rsid w:val="003049CD"/>
    <w:rsid w:val="00304B42"/>
    <w:rsid w:val="00305693"/>
    <w:rsid w:val="00305883"/>
    <w:rsid w:val="0030595A"/>
    <w:rsid w:val="00305BE1"/>
    <w:rsid w:val="00305C62"/>
    <w:rsid w:val="00305DF8"/>
    <w:rsid w:val="00305E01"/>
    <w:rsid w:val="00306125"/>
    <w:rsid w:val="003063DD"/>
    <w:rsid w:val="003065A7"/>
    <w:rsid w:val="0030670A"/>
    <w:rsid w:val="00306B47"/>
    <w:rsid w:val="00306F25"/>
    <w:rsid w:val="003074B4"/>
    <w:rsid w:val="00307539"/>
    <w:rsid w:val="00307C89"/>
    <w:rsid w:val="00310012"/>
    <w:rsid w:val="003101FD"/>
    <w:rsid w:val="0031073D"/>
    <w:rsid w:val="0031099E"/>
    <w:rsid w:val="00310BB3"/>
    <w:rsid w:val="00310C97"/>
    <w:rsid w:val="00310EBC"/>
    <w:rsid w:val="00311CF9"/>
    <w:rsid w:val="00312109"/>
    <w:rsid w:val="00312B21"/>
    <w:rsid w:val="0031305F"/>
    <w:rsid w:val="003130D0"/>
    <w:rsid w:val="003131E7"/>
    <w:rsid w:val="00313406"/>
    <w:rsid w:val="003135D2"/>
    <w:rsid w:val="00313953"/>
    <w:rsid w:val="00313A97"/>
    <w:rsid w:val="00313ABC"/>
    <w:rsid w:val="00314471"/>
    <w:rsid w:val="00314507"/>
    <w:rsid w:val="0031556B"/>
    <w:rsid w:val="00315E33"/>
    <w:rsid w:val="00315F75"/>
    <w:rsid w:val="003161AE"/>
    <w:rsid w:val="00316462"/>
    <w:rsid w:val="00316607"/>
    <w:rsid w:val="00316974"/>
    <w:rsid w:val="00316B09"/>
    <w:rsid w:val="00316E6A"/>
    <w:rsid w:val="00317210"/>
    <w:rsid w:val="003179BC"/>
    <w:rsid w:val="00317BC7"/>
    <w:rsid w:val="00317BD4"/>
    <w:rsid w:val="00317D05"/>
    <w:rsid w:val="00317D27"/>
    <w:rsid w:val="00317F22"/>
    <w:rsid w:val="0032037A"/>
    <w:rsid w:val="0032049B"/>
    <w:rsid w:val="00320510"/>
    <w:rsid w:val="00320520"/>
    <w:rsid w:val="003209F5"/>
    <w:rsid w:val="00320A96"/>
    <w:rsid w:val="00320CF0"/>
    <w:rsid w:val="00320ECA"/>
    <w:rsid w:val="003215EB"/>
    <w:rsid w:val="003217EA"/>
    <w:rsid w:val="00321818"/>
    <w:rsid w:val="00321BC0"/>
    <w:rsid w:val="00321F0A"/>
    <w:rsid w:val="003220C9"/>
    <w:rsid w:val="0032220C"/>
    <w:rsid w:val="00322369"/>
    <w:rsid w:val="003225EA"/>
    <w:rsid w:val="00322D30"/>
    <w:rsid w:val="00322E5A"/>
    <w:rsid w:val="00322FF3"/>
    <w:rsid w:val="0032300E"/>
    <w:rsid w:val="00323074"/>
    <w:rsid w:val="0032310B"/>
    <w:rsid w:val="0032344D"/>
    <w:rsid w:val="003235D7"/>
    <w:rsid w:val="003237B3"/>
    <w:rsid w:val="00323979"/>
    <w:rsid w:val="00323A0A"/>
    <w:rsid w:val="00324045"/>
    <w:rsid w:val="003242E3"/>
    <w:rsid w:val="00324521"/>
    <w:rsid w:val="0032494C"/>
    <w:rsid w:val="00324EC7"/>
    <w:rsid w:val="00325010"/>
    <w:rsid w:val="003252B5"/>
    <w:rsid w:val="00325346"/>
    <w:rsid w:val="0032539C"/>
    <w:rsid w:val="0032549F"/>
    <w:rsid w:val="00325565"/>
    <w:rsid w:val="00325668"/>
    <w:rsid w:val="0032570C"/>
    <w:rsid w:val="00325DEF"/>
    <w:rsid w:val="0032615A"/>
    <w:rsid w:val="003261E2"/>
    <w:rsid w:val="0032642D"/>
    <w:rsid w:val="00326B3C"/>
    <w:rsid w:val="00326B8B"/>
    <w:rsid w:val="00326C79"/>
    <w:rsid w:val="00326D6A"/>
    <w:rsid w:val="00327210"/>
    <w:rsid w:val="0032747B"/>
    <w:rsid w:val="003274BE"/>
    <w:rsid w:val="003274EF"/>
    <w:rsid w:val="0032765B"/>
    <w:rsid w:val="00327C0C"/>
    <w:rsid w:val="00327C68"/>
    <w:rsid w:val="003301BA"/>
    <w:rsid w:val="00330258"/>
    <w:rsid w:val="003302BB"/>
    <w:rsid w:val="00330918"/>
    <w:rsid w:val="00330B26"/>
    <w:rsid w:val="00330C57"/>
    <w:rsid w:val="00330C58"/>
    <w:rsid w:val="00330E20"/>
    <w:rsid w:val="00330FE4"/>
    <w:rsid w:val="003319B4"/>
    <w:rsid w:val="00331F1D"/>
    <w:rsid w:val="00331F22"/>
    <w:rsid w:val="0033203E"/>
    <w:rsid w:val="00332051"/>
    <w:rsid w:val="0033233B"/>
    <w:rsid w:val="003325DD"/>
    <w:rsid w:val="0033269D"/>
    <w:rsid w:val="003326AF"/>
    <w:rsid w:val="003327E2"/>
    <w:rsid w:val="00332EAC"/>
    <w:rsid w:val="0033370F"/>
    <w:rsid w:val="0033384E"/>
    <w:rsid w:val="0033387A"/>
    <w:rsid w:val="003338C5"/>
    <w:rsid w:val="003340B1"/>
    <w:rsid w:val="003342FE"/>
    <w:rsid w:val="0033440E"/>
    <w:rsid w:val="0033498C"/>
    <w:rsid w:val="00334F61"/>
    <w:rsid w:val="0033522F"/>
    <w:rsid w:val="0033526D"/>
    <w:rsid w:val="00335355"/>
    <w:rsid w:val="003357DA"/>
    <w:rsid w:val="00335930"/>
    <w:rsid w:val="00335974"/>
    <w:rsid w:val="00335A48"/>
    <w:rsid w:val="00335B69"/>
    <w:rsid w:val="00335CCE"/>
    <w:rsid w:val="0033600C"/>
    <w:rsid w:val="00336067"/>
    <w:rsid w:val="00336585"/>
    <w:rsid w:val="003365FE"/>
    <w:rsid w:val="00336864"/>
    <w:rsid w:val="00336A71"/>
    <w:rsid w:val="00336FF0"/>
    <w:rsid w:val="00337156"/>
    <w:rsid w:val="003371D6"/>
    <w:rsid w:val="003379C1"/>
    <w:rsid w:val="00337A8D"/>
    <w:rsid w:val="00337F4D"/>
    <w:rsid w:val="003400A8"/>
    <w:rsid w:val="00340330"/>
    <w:rsid w:val="00340384"/>
    <w:rsid w:val="003405A7"/>
    <w:rsid w:val="0034095B"/>
    <w:rsid w:val="00340F0E"/>
    <w:rsid w:val="00341082"/>
    <w:rsid w:val="003413FA"/>
    <w:rsid w:val="00341D79"/>
    <w:rsid w:val="00341DFF"/>
    <w:rsid w:val="003420EA"/>
    <w:rsid w:val="00342155"/>
    <w:rsid w:val="0034285F"/>
    <w:rsid w:val="0034292A"/>
    <w:rsid w:val="003432D2"/>
    <w:rsid w:val="0034338B"/>
    <w:rsid w:val="003433B6"/>
    <w:rsid w:val="00343A2B"/>
    <w:rsid w:val="00343B2C"/>
    <w:rsid w:val="00343D03"/>
    <w:rsid w:val="00343F4A"/>
    <w:rsid w:val="0034405A"/>
    <w:rsid w:val="003440E9"/>
    <w:rsid w:val="003442C8"/>
    <w:rsid w:val="0034447D"/>
    <w:rsid w:val="0034449D"/>
    <w:rsid w:val="003444A0"/>
    <w:rsid w:val="0034518C"/>
    <w:rsid w:val="003451FD"/>
    <w:rsid w:val="00345CD0"/>
    <w:rsid w:val="00345E33"/>
    <w:rsid w:val="00345F1E"/>
    <w:rsid w:val="00345FD5"/>
    <w:rsid w:val="00346036"/>
    <w:rsid w:val="00346660"/>
    <w:rsid w:val="003466B4"/>
    <w:rsid w:val="003466DB"/>
    <w:rsid w:val="00346B43"/>
    <w:rsid w:val="00346BEA"/>
    <w:rsid w:val="00346CA0"/>
    <w:rsid w:val="00346F69"/>
    <w:rsid w:val="00347080"/>
    <w:rsid w:val="0034731D"/>
    <w:rsid w:val="003478C0"/>
    <w:rsid w:val="003478CE"/>
    <w:rsid w:val="00347C1B"/>
    <w:rsid w:val="00347DD8"/>
    <w:rsid w:val="003506D1"/>
    <w:rsid w:val="00350ABD"/>
    <w:rsid w:val="00350AE1"/>
    <w:rsid w:val="00350F91"/>
    <w:rsid w:val="0035125E"/>
    <w:rsid w:val="003519C4"/>
    <w:rsid w:val="00351BC0"/>
    <w:rsid w:val="00351C0A"/>
    <w:rsid w:val="00351DA7"/>
    <w:rsid w:val="003520A7"/>
    <w:rsid w:val="00352353"/>
    <w:rsid w:val="003523CE"/>
    <w:rsid w:val="003524BD"/>
    <w:rsid w:val="00352CBF"/>
    <w:rsid w:val="00352EA6"/>
    <w:rsid w:val="00353012"/>
    <w:rsid w:val="003537EE"/>
    <w:rsid w:val="00353C0B"/>
    <w:rsid w:val="003540EC"/>
    <w:rsid w:val="0035451C"/>
    <w:rsid w:val="003545D4"/>
    <w:rsid w:val="00354710"/>
    <w:rsid w:val="00354BDF"/>
    <w:rsid w:val="00354C61"/>
    <w:rsid w:val="00355704"/>
    <w:rsid w:val="003559A7"/>
    <w:rsid w:val="00355F0B"/>
    <w:rsid w:val="00356537"/>
    <w:rsid w:val="003566AB"/>
    <w:rsid w:val="0035749B"/>
    <w:rsid w:val="00357562"/>
    <w:rsid w:val="00357582"/>
    <w:rsid w:val="00357667"/>
    <w:rsid w:val="003577A5"/>
    <w:rsid w:val="003579FB"/>
    <w:rsid w:val="00357AF6"/>
    <w:rsid w:val="00357E79"/>
    <w:rsid w:val="00357F23"/>
    <w:rsid w:val="0036030B"/>
    <w:rsid w:val="00360505"/>
    <w:rsid w:val="00360614"/>
    <w:rsid w:val="00360726"/>
    <w:rsid w:val="00360BDA"/>
    <w:rsid w:val="00360D78"/>
    <w:rsid w:val="00360EF2"/>
    <w:rsid w:val="0036107C"/>
    <w:rsid w:val="003614F9"/>
    <w:rsid w:val="003616A6"/>
    <w:rsid w:val="003616FC"/>
    <w:rsid w:val="00361756"/>
    <w:rsid w:val="003617CC"/>
    <w:rsid w:val="003617EA"/>
    <w:rsid w:val="00361F2C"/>
    <w:rsid w:val="0036221B"/>
    <w:rsid w:val="00362597"/>
    <w:rsid w:val="00362647"/>
    <w:rsid w:val="003626E5"/>
    <w:rsid w:val="00362708"/>
    <w:rsid w:val="0036280F"/>
    <w:rsid w:val="00362B62"/>
    <w:rsid w:val="00362D80"/>
    <w:rsid w:val="00363163"/>
    <w:rsid w:val="003631FA"/>
    <w:rsid w:val="00363E1F"/>
    <w:rsid w:val="00363E70"/>
    <w:rsid w:val="00363F97"/>
    <w:rsid w:val="003641FF"/>
    <w:rsid w:val="003642B7"/>
    <w:rsid w:val="0036441C"/>
    <w:rsid w:val="00364A53"/>
    <w:rsid w:val="00364D9E"/>
    <w:rsid w:val="00365115"/>
    <w:rsid w:val="0036516D"/>
    <w:rsid w:val="00365776"/>
    <w:rsid w:val="00365A03"/>
    <w:rsid w:val="00365EE8"/>
    <w:rsid w:val="00365FD1"/>
    <w:rsid w:val="0036606F"/>
    <w:rsid w:val="003661C7"/>
    <w:rsid w:val="0036639B"/>
    <w:rsid w:val="00366472"/>
    <w:rsid w:val="0036678E"/>
    <w:rsid w:val="00366964"/>
    <w:rsid w:val="00366AD8"/>
    <w:rsid w:val="00366F32"/>
    <w:rsid w:val="003671A3"/>
    <w:rsid w:val="003673FA"/>
    <w:rsid w:val="00367474"/>
    <w:rsid w:val="003676D7"/>
    <w:rsid w:val="00367962"/>
    <w:rsid w:val="00367C6C"/>
    <w:rsid w:val="00367E31"/>
    <w:rsid w:val="00367EEC"/>
    <w:rsid w:val="003704AA"/>
    <w:rsid w:val="00370826"/>
    <w:rsid w:val="00370C74"/>
    <w:rsid w:val="00370FA6"/>
    <w:rsid w:val="00371099"/>
    <w:rsid w:val="00371195"/>
    <w:rsid w:val="003711ED"/>
    <w:rsid w:val="003712FA"/>
    <w:rsid w:val="0037131F"/>
    <w:rsid w:val="00371576"/>
    <w:rsid w:val="003715E6"/>
    <w:rsid w:val="00371A60"/>
    <w:rsid w:val="00371D5E"/>
    <w:rsid w:val="00371E69"/>
    <w:rsid w:val="003724D3"/>
    <w:rsid w:val="003728D3"/>
    <w:rsid w:val="00372B52"/>
    <w:rsid w:val="00372CEA"/>
    <w:rsid w:val="003731A3"/>
    <w:rsid w:val="003737B9"/>
    <w:rsid w:val="00373ABF"/>
    <w:rsid w:val="003742A7"/>
    <w:rsid w:val="003746F2"/>
    <w:rsid w:val="00374836"/>
    <w:rsid w:val="00374B93"/>
    <w:rsid w:val="00374EFB"/>
    <w:rsid w:val="003750A4"/>
    <w:rsid w:val="003750C0"/>
    <w:rsid w:val="003752C9"/>
    <w:rsid w:val="00375511"/>
    <w:rsid w:val="00375534"/>
    <w:rsid w:val="00375536"/>
    <w:rsid w:val="003758C0"/>
    <w:rsid w:val="00375B97"/>
    <w:rsid w:val="00375CE6"/>
    <w:rsid w:val="00375FC3"/>
    <w:rsid w:val="00375FF1"/>
    <w:rsid w:val="00376195"/>
    <w:rsid w:val="00376A4D"/>
    <w:rsid w:val="00376FE5"/>
    <w:rsid w:val="00377105"/>
    <w:rsid w:val="003775EB"/>
    <w:rsid w:val="0037789F"/>
    <w:rsid w:val="00377989"/>
    <w:rsid w:val="00377D2A"/>
    <w:rsid w:val="00377F7F"/>
    <w:rsid w:val="00377FD2"/>
    <w:rsid w:val="003801B1"/>
    <w:rsid w:val="00380258"/>
    <w:rsid w:val="00380457"/>
    <w:rsid w:val="003805EB"/>
    <w:rsid w:val="003806C5"/>
    <w:rsid w:val="0038074B"/>
    <w:rsid w:val="00380BC6"/>
    <w:rsid w:val="00380E01"/>
    <w:rsid w:val="00380E97"/>
    <w:rsid w:val="00381065"/>
    <w:rsid w:val="0038135D"/>
    <w:rsid w:val="0038156D"/>
    <w:rsid w:val="00381795"/>
    <w:rsid w:val="0038197F"/>
    <w:rsid w:val="00381B46"/>
    <w:rsid w:val="00381D8D"/>
    <w:rsid w:val="00381E01"/>
    <w:rsid w:val="00381F88"/>
    <w:rsid w:val="0038201E"/>
    <w:rsid w:val="00382196"/>
    <w:rsid w:val="003824E0"/>
    <w:rsid w:val="0038252B"/>
    <w:rsid w:val="00382548"/>
    <w:rsid w:val="0038258C"/>
    <w:rsid w:val="00382750"/>
    <w:rsid w:val="003827FA"/>
    <w:rsid w:val="003828FE"/>
    <w:rsid w:val="0038290F"/>
    <w:rsid w:val="0038292B"/>
    <w:rsid w:val="00382937"/>
    <w:rsid w:val="00382ACE"/>
    <w:rsid w:val="00382AD9"/>
    <w:rsid w:val="003833D2"/>
    <w:rsid w:val="003836EB"/>
    <w:rsid w:val="0038380C"/>
    <w:rsid w:val="00383CBF"/>
    <w:rsid w:val="00383D06"/>
    <w:rsid w:val="00383D70"/>
    <w:rsid w:val="00383F01"/>
    <w:rsid w:val="00383F6E"/>
    <w:rsid w:val="00384161"/>
    <w:rsid w:val="00384199"/>
    <w:rsid w:val="003842D3"/>
    <w:rsid w:val="00384793"/>
    <w:rsid w:val="00384A57"/>
    <w:rsid w:val="00384ABE"/>
    <w:rsid w:val="00384B06"/>
    <w:rsid w:val="00384C73"/>
    <w:rsid w:val="00384DB8"/>
    <w:rsid w:val="00384F1F"/>
    <w:rsid w:val="0038521D"/>
    <w:rsid w:val="0038556E"/>
    <w:rsid w:val="00385607"/>
    <w:rsid w:val="00385679"/>
    <w:rsid w:val="00385FBA"/>
    <w:rsid w:val="0038607A"/>
    <w:rsid w:val="003860B2"/>
    <w:rsid w:val="00386469"/>
    <w:rsid w:val="00386A87"/>
    <w:rsid w:val="00386A9F"/>
    <w:rsid w:val="003870B7"/>
    <w:rsid w:val="00387212"/>
    <w:rsid w:val="00387409"/>
    <w:rsid w:val="00387965"/>
    <w:rsid w:val="003879B2"/>
    <w:rsid w:val="00387C1A"/>
    <w:rsid w:val="003900EB"/>
    <w:rsid w:val="00390A0B"/>
    <w:rsid w:val="00390DED"/>
    <w:rsid w:val="00390F63"/>
    <w:rsid w:val="00391404"/>
    <w:rsid w:val="0039150B"/>
    <w:rsid w:val="00391606"/>
    <w:rsid w:val="00391B27"/>
    <w:rsid w:val="00391D17"/>
    <w:rsid w:val="00391D64"/>
    <w:rsid w:val="00392179"/>
    <w:rsid w:val="003922C5"/>
    <w:rsid w:val="0039239D"/>
    <w:rsid w:val="00392C54"/>
    <w:rsid w:val="00393104"/>
    <w:rsid w:val="003937A5"/>
    <w:rsid w:val="0039399C"/>
    <w:rsid w:val="00393BD2"/>
    <w:rsid w:val="00393F2B"/>
    <w:rsid w:val="0039406C"/>
    <w:rsid w:val="0039425A"/>
    <w:rsid w:val="003943B1"/>
    <w:rsid w:val="00394A25"/>
    <w:rsid w:val="00394DBA"/>
    <w:rsid w:val="003952C6"/>
    <w:rsid w:val="003952DF"/>
    <w:rsid w:val="00395527"/>
    <w:rsid w:val="00395802"/>
    <w:rsid w:val="00395C1C"/>
    <w:rsid w:val="00395EC7"/>
    <w:rsid w:val="00396514"/>
    <w:rsid w:val="003968AE"/>
    <w:rsid w:val="0039692C"/>
    <w:rsid w:val="00396B0B"/>
    <w:rsid w:val="00396EC9"/>
    <w:rsid w:val="00396F54"/>
    <w:rsid w:val="00396F78"/>
    <w:rsid w:val="00397932"/>
    <w:rsid w:val="00397B65"/>
    <w:rsid w:val="00397C58"/>
    <w:rsid w:val="00397FB2"/>
    <w:rsid w:val="003A03FE"/>
    <w:rsid w:val="003A04BC"/>
    <w:rsid w:val="003A08BB"/>
    <w:rsid w:val="003A08FF"/>
    <w:rsid w:val="003A0BAB"/>
    <w:rsid w:val="003A0EEA"/>
    <w:rsid w:val="003A1017"/>
    <w:rsid w:val="003A150E"/>
    <w:rsid w:val="003A1572"/>
    <w:rsid w:val="003A17D7"/>
    <w:rsid w:val="003A18D2"/>
    <w:rsid w:val="003A1A0B"/>
    <w:rsid w:val="003A1F14"/>
    <w:rsid w:val="003A2086"/>
    <w:rsid w:val="003A210A"/>
    <w:rsid w:val="003A2364"/>
    <w:rsid w:val="003A279A"/>
    <w:rsid w:val="003A2FA2"/>
    <w:rsid w:val="003A3018"/>
    <w:rsid w:val="003A365A"/>
    <w:rsid w:val="003A3901"/>
    <w:rsid w:val="003A3C36"/>
    <w:rsid w:val="003A3CBF"/>
    <w:rsid w:val="003A41B0"/>
    <w:rsid w:val="003A430B"/>
    <w:rsid w:val="003A4A33"/>
    <w:rsid w:val="003A4B9A"/>
    <w:rsid w:val="003A4BED"/>
    <w:rsid w:val="003A4D39"/>
    <w:rsid w:val="003A4F44"/>
    <w:rsid w:val="003A50B1"/>
    <w:rsid w:val="003A5794"/>
    <w:rsid w:val="003A5B19"/>
    <w:rsid w:val="003A5B6C"/>
    <w:rsid w:val="003A61F8"/>
    <w:rsid w:val="003A6680"/>
    <w:rsid w:val="003A6776"/>
    <w:rsid w:val="003A6AE8"/>
    <w:rsid w:val="003A6BA6"/>
    <w:rsid w:val="003A6CFA"/>
    <w:rsid w:val="003A7529"/>
    <w:rsid w:val="003A75D1"/>
    <w:rsid w:val="003A77A1"/>
    <w:rsid w:val="003A7B74"/>
    <w:rsid w:val="003A7BAD"/>
    <w:rsid w:val="003A7EC4"/>
    <w:rsid w:val="003A7F4D"/>
    <w:rsid w:val="003A7F8D"/>
    <w:rsid w:val="003B03E6"/>
    <w:rsid w:val="003B0591"/>
    <w:rsid w:val="003B06A0"/>
    <w:rsid w:val="003B0942"/>
    <w:rsid w:val="003B0A21"/>
    <w:rsid w:val="003B0C3E"/>
    <w:rsid w:val="003B0CA2"/>
    <w:rsid w:val="003B0CFD"/>
    <w:rsid w:val="003B0ED8"/>
    <w:rsid w:val="003B1141"/>
    <w:rsid w:val="003B11BB"/>
    <w:rsid w:val="003B1C76"/>
    <w:rsid w:val="003B1EB1"/>
    <w:rsid w:val="003B2042"/>
    <w:rsid w:val="003B22B2"/>
    <w:rsid w:val="003B2315"/>
    <w:rsid w:val="003B24E0"/>
    <w:rsid w:val="003B2607"/>
    <w:rsid w:val="003B290D"/>
    <w:rsid w:val="003B2D13"/>
    <w:rsid w:val="003B3057"/>
    <w:rsid w:val="003B3865"/>
    <w:rsid w:val="003B3F74"/>
    <w:rsid w:val="003B42C7"/>
    <w:rsid w:val="003B43FB"/>
    <w:rsid w:val="003B4543"/>
    <w:rsid w:val="003B4938"/>
    <w:rsid w:val="003B4AE0"/>
    <w:rsid w:val="003B4D35"/>
    <w:rsid w:val="003B4DA2"/>
    <w:rsid w:val="003B4E81"/>
    <w:rsid w:val="003B4FA6"/>
    <w:rsid w:val="003B52DB"/>
    <w:rsid w:val="003B56B3"/>
    <w:rsid w:val="003B5827"/>
    <w:rsid w:val="003B5836"/>
    <w:rsid w:val="003B59B4"/>
    <w:rsid w:val="003B5C16"/>
    <w:rsid w:val="003B622F"/>
    <w:rsid w:val="003B6478"/>
    <w:rsid w:val="003B651D"/>
    <w:rsid w:val="003B684C"/>
    <w:rsid w:val="003B6E77"/>
    <w:rsid w:val="003B72A4"/>
    <w:rsid w:val="003B73FF"/>
    <w:rsid w:val="003B7618"/>
    <w:rsid w:val="003B7A1D"/>
    <w:rsid w:val="003B7A7E"/>
    <w:rsid w:val="003B7ADF"/>
    <w:rsid w:val="003B7C7B"/>
    <w:rsid w:val="003C0245"/>
    <w:rsid w:val="003C05A7"/>
    <w:rsid w:val="003C071A"/>
    <w:rsid w:val="003C0ACA"/>
    <w:rsid w:val="003C0C6C"/>
    <w:rsid w:val="003C0FBF"/>
    <w:rsid w:val="003C114C"/>
    <w:rsid w:val="003C1260"/>
    <w:rsid w:val="003C1328"/>
    <w:rsid w:val="003C13AF"/>
    <w:rsid w:val="003C1BB1"/>
    <w:rsid w:val="003C1C96"/>
    <w:rsid w:val="003C1D16"/>
    <w:rsid w:val="003C1D1C"/>
    <w:rsid w:val="003C1E89"/>
    <w:rsid w:val="003C2255"/>
    <w:rsid w:val="003C27E5"/>
    <w:rsid w:val="003C282E"/>
    <w:rsid w:val="003C2A03"/>
    <w:rsid w:val="003C2A57"/>
    <w:rsid w:val="003C31D6"/>
    <w:rsid w:val="003C32E9"/>
    <w:rsid w:val="003C3502"/>
    <w:rsid w:val="003C355C"/>
    <w:rsid w:val="003C363F"/>
    <w:rsid w:val="003C36E0"/>
    <w:rsid w:val="003C3AFE"/>
    <w:rsid w:val="003C3BC3"/>
    <w:rsid w:val="003C43BB"/>
    <w:rsid w:val="003C4569"/>
    <w:rsid w:val="003C45A6"/>
    <w:rsid w:val="003C4626"/>
    <w:rsid w:val="003C46AB"/>
    <w:rsid w:val="003C47E1"/>
    <w:rsid w:val="003C4F84"/>
    <w:rsid w:val="003C4FB0"/>
    <w:rsid w:val="003C570E"/>
    <w:rsid w:val="003C5826"/>
    <w:rsid w:val="003C599B"/>
    <w:rsid w:val="003C5C56"/>
    <w:rsid w:val="003C5DD9"/>
    <w:rsid w:val="003C5E9A"/>
    <w:rsid w:val="003C5FB6"/>
    <w:rsid w:val="003C64DE"/>
    <w:rsid w:val="003C6652"/>
    <w:rsid w:val="003C6921"/>
    <w:rsid w:val="003C6B5A"/>
    <w:rsid w:val="003C6F6C"/>
    <w:rsid w:val="003C7029"/>
    <w:rsid w:val="003C7732"/>
    <w:rsid w:val="003C78E5"/>
    <w:rsid w:val="003C7904"/>
    <w:rsid w:val="003C791D"/>
    <w:rsid w:val="003C7B32"/>
    <w:rsid w:val="003C7E31"/>
    <w:rsid w:val="003D0272"/>
    <w:rsid w:val="003D02D3"/>
    <w:rsid w:val="003D0479"/>
    <w:rsid w:val="003D0713"/>
    <w:rsid w:val="003D098E"/>
    <w:rsid w:val="003D0C00"/>
    <w:rsid w:val="003D0E3C"/>
    <w:rsid w:val="003D0EC7"/>
    <w:rsid w:val="003D0F00"/>
    <w:rsid w:val="003D0F6A"/>
    <w:rsid w:val="003D10E9"/>
    <w:rsid w:val="003D10F9"/>
    <w:rsid w:val="003D110D"/>
    <w:rsid w:val="003D1305"/>
    <w:rsid w:val="003D13AA"/>
    <w:rsid w:val="003D13D8"/>
    <w:rsid w:val="003D18EC"/>
    <w:rsid w:val="003D1B3A"/>
    <w:rsid w:val="003D1B52"/>
    <w:rsid w:val="003D1B76"/>
    <w:rsid w:val="003D1E62"/>
    <w:rsid w:val="003D2253"/>
    <w:rsid w:val="003D2355"/>
    <w:rsid w:val="003D2645"/>
    <w:rsid w:val="003D2988"/>
    <w:rsid w:val="003D29A7"/>
    <w:rsid w:val="003D2AEE"/>
    <w:rsid w:val="003D2B8B"/>
    <w:rsid w:val="003D2F6A"/>
    <w:rsid w:val="003D3649"/>
    <w:rsid w:val="003D3837"/>
    <w:rsid w:val="003D3972"/>
    <w:rsid w:val="003D3A0E"/>
    <w:rsid w:val="003D3AD2"/>
    <w:rsid w:val="003D3F8E"/>
    <w:rsid w:val="003D4114"/>
    <w:rsid w:val="003D4149"/>
    <w:rsid w:val="003D414D"/>
    <w:rsid w:val="003D418E"/>
    <w:rsid w:val="003D44AA"/>
    <w:rsid w:val="003D45B6"/>
    <w:rsid w:val="003D4738"/>
    <w:rsid w:val="003D483B"/>
    <w:rsid w:val="003D48AB"/>
    <w:rsid w:val="003D4C1F"/>
    <w:rsid w:val="003D4C9F"/>
    <w:rsid w:val="003D4E01"/>
    <w:rsid w:val="003D502F"/>
    <w:rsid w:val="003D507F"/>
    <w:rsid w:val="003D50FD"/>
    <w:rsid w:val="003D52FD"/>
    <w:rsid w:val="003D544E"/>
    <w:rsid w:val="003D5833"/>
    <w:rsid w:val="003D5A07"/>
    <w:rsid w:val="003D5A31"/>
    <w:rsid w:val="003D5ADB"/>
    <w:rsid w:val="003D5C09"/>
    <w:rsid w:val="003D5CAE"/>
    <w:rsid w:val="003D6551"/>
    <w:rsid w:val="003D680E"/>
    <w:rsid w:val="003D69EF"/>
    <w:rsid w:val="003D7184"/>
    <w:rsid w:val="003D723D"/>
    <w:rsid w:val="003D7252"/>
    <w:rsid w:val="003D771F"/>
    <w:rsid w:val="003D791C"/>
    <w:rsid w:val="003D7987"/>
    <w:rsid w:val="003D7A74"/>
    <w:rsid w:val="003D7C0F"/>
    <w:rsid w:val="003D7CF3"/>
    <w:rsid w:val="003D7DA6"/>
    <w:rsid w:val="003D7E5A"/>
    <w:rsid w:val="003E00EF"/>
    <w:rsid w:val="003E056E"/>
    <w:rsid w:val="003E07E4"/>
    <w:rsid w:val="003E0C47"/>
    <w:rsid w:val="003E0ECF"/>
    <w:rsid w:val="003E111E"/>
    <w:rsid w:val="003E1167"/>
    <w:rsid w:val="003E1587"/>
    <w:rsid w:val="003E15F5"/>
    <w:rsid w:val="003E182F"/>
    <w:rsid w:val="003E19DA"/>
    <w:rsid w:val="003E1A81"/>
    <w:rsid w:val="003E1BB5"/>
    <w:rsid w:val="003E1E4B"/>
    <w:rsid w:val="003E24A0"/>
    <w:rsid w:val="003E25B3"/>
    <w:rsid w:val="003E2851"/>
    <w:rsid w:val="003E2CB1"/>
    <w:rsid w:val="003E2D92"/>
    <w:rsid w:val="003E2DE4"/>
    <w:rsid w:val="003E3211"/>
    <w:rsid w:val="003E37A9"/>
    <w:rsid w:val="003E3877"/>
    <w:rsid w:val="003E3A90"/>
    <w:rsid w:val="003E3AB3"/>
    <w:rsid w:val="003E421C"/>
    <w:rsid w:val="003E4615"/>
    <w:rsid w:val="003E4A5E"/>
    <w:rsid w:val="003E4ABF"/>
    <w:rsid w:val="003E4BEF"/>
    <w:rsid w:val="003E4E15"/>
    <w:rsid w:val="003E51E9"/>
    <w:rsid w:val="003E5D0A"/>
    <w:rsid w:val="003E5FE7"/>
    <w:rsid w:val="003E6042"/>
    <w:rsid w:val="003E60B5"/>
    <w:rsid w:val="003E60F4"/>
    <w:rsid w:val="003E617F"/>
    <w:rsid w:val="003E6281"/>
    <w:rsid w:val="003E6292"/>
    <w:rsid w:val="003E65CB"/>
    <w:rsid w:val="003E66BC"/>
    <w:rsid w:val="003E68D9"/>
    <w:rsid w:val="003E6BF0"/>
    <w:rsid w:val="003E6D35"/>
    <w:rsid w:val="003E6F97"/>
    <w:rsid w:val="003E7268"/>
    <w:rsid w:val="003E7B39"/>
    <w:rsid w:val="003E7CA1"/>
    <w:rsid w:val="003E7E67"/>
    <w:rsid w:val="003E7F6D"/>
    <w:rsid w:val="003F0085"/>
    <w:rsid w:val="003F0367"/>
    <w:rsid w:val="003F0446"/>
    <w:rsid w:val="003F04D4"/>
    <w:rsid w:val="003F057A"/>
    <w:rsid w:val="003F05FD"/>
    <w:rsid w:val="003F0845"/>
    <w:rsid w:val="003F0B21"/>
    <w:rsid w:val="003F0E51"/>
    <w:rsid w:val="003F10CE"/>
    <w:rsid w:val="003F12DA"/>
    <w:rsid w:val="003F14AA"/>
    <w:rsid w:val="003F1666"/>
    <w:rsid w:val="003F1DBD"/>
    <w:rsid w:val="003F1E66"/>
    <w:rsid w:val="003F1FB0"/>
    <w:rsid w:val="003F2047"/>
    <w:rsid w:val="003F2072"/>
    <w:rsid w:val="003F22B7"/>
    <w:rsid w:val="003F236A"/>
    <w:rsid w:val="003F243F"/>
    <w:rsid w:val="003F24E3"/>
    <w:rsid w:val="003F2539"/>
    <w:rsid w:val="003F26E3"/>
    <w:rsid w:val="003F27DF"/>
    <w:rsid w:val="003F288A"/>
    <w:rsid w:val="003F289B"/>
    <w:rsid w:val="003F2CF2"/>
    <w:rsid w:val="003F2D06"/>
    <w:rsid w:val="003F2E14"/>
    <w:rsid w:val="003F32AD"/>
    <w:rsid w:val="003F339A"/>
    <w:rsid w:val="003F3501"/>
    <w:rsid w:val="003F35CB"/>
    <w:rsid w:val="003F36B3"/>
    <w:rsid w:val="003F36E2"/>
    <w:rsid w:val="003F3825"/>
    <w:rsid w:val="003F38BE"/>
    <w:rsid w:val="003F3D1C"/>
    <w:rsid w:val="003F3D21"/>
    <w:rsid w:val="003F3DB7"/>
    <w:rsid w:val="003F428F"/>
    <w:rsid w:val="003F45B0"/>
    <w:rsid w:val="003F46D0"/>
    <w:rsid w:val="003F4CBE"/>
    <w:rsid w:val="003F4D33"/>
    <w:rsid w:val="003F4E58"/>
    <w:rsid w:val="003F4ECF"/>
    <w:rsid w:val="003F5015"/>
    <w:rsid w:val="003F526B"/>
    <w:rsid w:val="003F539A"/>
    <w:rsid w:val="003F5FBA"/>
    <w:rsid w:val="003F6394"/>
    <w:rsid w:val="003F65B7"/>
    <w:rsid w:val="003F65FC"/>
    <w:rsid w:val="003F6BCA"/>
    <w:rsid w:val="003F6F15"/>
    <w:rsid w:val="003F7611"/>
    <w:rsid w:val="003F763F"/>
    <w:rsid w:val="003F79FB"/>
    <w:rsid w:val="003F7A9E"/>
    <w:rsid w:val="003F7AA4"/>
    <w:rsid w:val="003F7D87"/>
    <w:rsid w:val="00400043"/>
    <w:rsid w:val="004000E5"/>
    <w:rsid w:val="0040039B"/>
    <w:rsid w:val="004005C6"/>
    <w:rsid w:val="0040065D"/>
    <w:rsid w:val="0040068F"/>
    <w:rsid w:val="0040080E"/>
    <w:rsid w:val="004009D6"/>
    <w:rsid w:val="00400CAE"/>
    <w:rsid w:val="00400DA8"/>
    <w:rsid w:val="004018D4"/>
    <w:rsid w:val="00401BAD"/>
    <w:rsid w:val="00401C34"/>
    <w:rsid w:val="00402251"/>
    <w:rsid w:val="004026DA"/>
    <w:rsid w:val="00402EE8"/>
    <w:rsid w:val="00403135"/>
    <w:rsid w:val="004031E7"/>
    <w:rsid w:val="00403344"/>
    <w:rsid w:val="00403590"/>
    <w:rsid w:val="00403747"/>
    <w:rsid w:val="004039D9"/>
    <w:rsid w:val="00404249"/>
    <w:rsid w:val="004042C1"/>
    <w:rsid w:val="00404353"/>
    <w:rsid w:val="00404BBE"/>
    <w:rsid w:val="00404BE4"/>
    <w:rsid w:val="00404C72"/>
    <w:rsid w:val="00404D10"/>
    <w:rsid w:val="00405510"/>
    <w:rsid w:val="004056D2"/>
    <w:rsid w:val="00405918"/>
    <w:rsid w:val="00405A7B"/>
    <w:rsid w:val="00406416"/>
    <w:rsid w:val="004065C0"/>
    <w:rsid w:val="00406619"/>
    <w:rsid w:val="004068D1"/>
    <w:rsid w:val="00406C6C"/>
    <w:rsid w:val="004075BA"/>
    <w:rsid w:val="00407754"/>
    <w:rsid w:val="00407C24"/>
    <w:rsid w:val="00407D8F"/>
    <w:rsid w:val="00407F56"/>
    <w:rsid w:val="004102A8"/>
    <w:rsid w:val="0041032F"/>
    <w:rsid w:val="0041059B"/>
    <w:rsid w:val="00410770"/>
    <w:rsid w:val="00410CC2"/>
    <w:rsid w:val="0041132F"/>
    <w:rsid w:val="0041170F"/>
    <w:rsid w:val="004117E1"/>
    <w:rsid w:val="00411909"/>
    <w:rsid w:val="00411D32"/>
    <w:rsid w:val="00411F68"/>
    <w:rsid w:val="004122AF"/>
    <w:rsid w:val="00412328"/>
    <w:rsid w:val="00412607"/>
    <w:rsid w:val="00412640"/>
    <w:rsid w:val="00412914"/>
    <w:rsid w:val="00412CC1"/>
    <w:rsid w:val="00412DBA"/>
    <w:rsid w:val="00413514"/>
    <w:rsid w:val="0041368E"/>
    <w:rsid w:val="00413778"/>
    <w:rsid w:val="00413780"/>
    <w:rsid w:val="00413805"/>
    <w:rsid w:val="0041383E"/>
    <w:rsid w:val="00413930"/>
    <w:rsid w:val="00413AD1"/>
    <w:rsid w:val="004144D0"/>
    <w:rsid w:val="00414916"/>
    <w:rsid w:val="00414958"/>
    <w:rsid w:val="00414D09"/>
    <w:rsid w:val="0041506C"/>
    <w:rsid w:val="0041513F"/>
    <w:rsid w:val="00415172"/>
    <w:rsid w:val="004151E2"/>
    <w:rsid w:val="004152E3"/>
    <w:rsid w:val="00415441"/>
    <w:rsid w:val="0041550D"/>
    <w:rsid w:val="00415617"/>
    <w:rsid w:val="00415B1A"/>
    <w:rsid w:val="00415D95"/>
    <w:rsid w:val="004161DB"/>
    <w:rsid w:val="004162E5"/>
    <w:rsid w:val="0041654E"/>
    <w:rsid w:val="00416716"/>
    <w:rsid w:val="0041675C"/>
    <w:rsid w:val="00416873"/>
    <w:rsid w:val="004168B6"/>
    <w:rsid w:val="00417207"/>
    <w:rsid w:val="00417AD6"/>
    <w:rsid w:val="00417BC9"/>
    <w:rsid w:val="00417F0B"/>
    <w:rsid w:val="00417F67"/>
    <w:rsid w:val="0042008A"/>
    <w:rsid w:val="004204D1"/>
    <w:rsid w:val="004205FA"/>
    <w:rsid w:val="0042071A"/>
    <w:rsid w:val="0042097B"/>
    <w:rsid w:val="004209CA"/>
    <w:rsid w:val="00420C90"/>
    <w:rsid w:val="00420E23"/>
    <w:rsid w:val="0042127E"/>
    <w:rsid w:val="00421C27"/>
    <w:rsid w:val="00421FFC"/>
    <w:rsid w:val="0042224E"/>
    <w:rsid w:val="0042236F"/>
    <w:rsid w:val="0042248E"/>
    <w:rsid w:val="004226C2"/>
    <w:rsid w:val="004228B2"/>
    <w:rsid w:val="00422ACA"/>
    <w:rsid w:val="00422CB2"/>
    <w:rsid w:val="00422FC6"/>
    <w:rsid w:val="00423418"/>
    <w:rsid w:val="00423597"/>
    <w:rsid w:val="0042372C"/>
    <w:rsid w:val="004238EC"/>
    <w:rsid w:val="00423B6F"/>
    <w:rsid w:val="00423BBC"/>
    <w:rsid w:val="00423C15"/>
    <w:rsid w:val="00423C1F"/>
    <w:rsid w:val="00423D12"/>
    <w:rsid w:val="00423EFE"/>
    <w:rsid w:val="00424148"/>
    <w:rsid w:val="00424279"/>
    <w:rsid w:val="00424481"/>
    <w:rsid w:val="004246A5"/>
    <w:rsid w:val="00424C7F"/>
    <w:rsid w:val="00424E4E"/>
    <w:rsid w:val="004254CF"/>
    <w:rsid w:val="00425889"/>
    <w:rsid w:val="00425AC9"/>
    <w:rsid w:val="00425DE6"/>
    <w:rsid w:val="00425DFF"/>
    <w:rsid w:val="004265A3"/>
    <w:rsid w:val="004265DE"/>
    <w:rsid w:val="004265EF"/>
    <w:rsid w:val="00426B12"/>
    <w:rsid w:val="00426E2E"/>
    <w:rsid w:val="00426FE6"/>
    <w:rsid w:val="00427147"/>
    <w:rsid w:val="004271B6"/>
    <w:rsid w:val="00427629"/>
    <w:rsid w:val="004276F2"/>
    <w:rsid w:val="004278BF"/>
    <w:rsid w:val="00427E17"/>
    <w:rsid w:val="00427F10"/>
    <w:rsid w:val="004300E0"/>
    <w:rsid w:val="00430488"/>
    <w:rsid w:val="004305E4"/>
    <w:rsid w:val="004305E7"/>
    <w:rsid w:val="00430808"/>
    <w:rsid w:val="00430E2E"/>
    <w:rsid w:val="00430FC7"/>
    <w:rsid w:val="00430FDC"/>
    <w:rsid w:val="0043128C"/>
    <w:rsid w:val="004313A0"/>
    <w:rsid w:val="00431941"/>
    <w:rsid w:val="0043195C"/>
    <w:rsid w:val="00431B37"/>
    <w:rsid w:val="00431B3A"/>
    <w:rsid w:val="00431E0C"/>
    <w:rsid w:val="00431E16"/>
    <w:rsid w:val="00432241"/>
    <w:rsid w:val="004323F0"/>
    <w:rsid w:val="00432876"/>
    <w:rsid w:val="00432D27"/>
    <w:rsid w:val="00432F40"/>
    <w:rsid w:val="00433353"/>
    <w:rsid w:val="00433466"/>
    <w:rsid w:val="004336DA"/>
    <w:rsid w:val="00433773"/>
    <w:rsid w:val="00433D83"/>
    <w:rsid w:val="0043409C"/>
    <w:rsid w:val="00434296"/>
    <w:rsid w:val="00434622"/>
    <w:rsid w:val="00434807"/>
    <w:rsid w:val="00434F59"/>
    <w:rsid w:val="004356B0"/>
    <w:rsid w:val="0043574B"/>
    <w:rsid w:val="00435CD6"/>
    <w:rsid w:val="00435D14"/>
    <w:rsid w:val="0043653B"/>
    <w:rsid w:val="004365F9"/>
    <w:rsid w:val="00436E35"/>
    <w:rsid w:val="00436F1C"/>
    <w:rsid w:val="00436FB2"/>
    <w:rsid w:val="004371E9"/>
    <w:rsid w:val="00437374"/>
    <w:rsid w:val="00437AC9"/>
    <w:rsid w:val="00437B86"/>
    <w:rsid w:val="00440023"/>
    <w:rsid w:val="00440166"/>
    <w:rsid w:val="004401C5"/>
    <w:rsid w:val="0044093E"/>
    <w:rsid w:val="00440E86"/>
    <w:rsid w:val="0044107D"/>
    <w:rsid w:val="004411F3"/>
    <w:rsid w:val="0044143C"/>
    <w:rsid w:val="00441763"/>
    <w:rsid w:val="00441796"/>
    <w:rsid w:val="00441992"/>
    <w:rsid w:val="00442340"/>
    <w:rsid w:val="004423FC"/>
    <w:rsid w:val="0044243F"/>
    <w:rsid w:val="004425E4"/>
    <w:rsid w:val="00442712"/>
    <w:rsid w:val="00442BD2"/>
    <w:rsid w:val="00442E64"/>
    <w:rsid w:val="004431DA"/>
    <w:rsid w:val="0044349F"/>
    <w:rsid w:val="00443D11"/>
    <w:rsid w:val="00443D15"/>
    <w:rsid w:val="00443F46"/>
    <w:rsid w:val="004441E3"/>
    <w:rsid w:val="004443BA"/>
    <w:rsid w:val="004444FC"/>
    <w:rsid w:val="004448AB"/>
    <w:rsid w:val="004448D1"/>
    <w:rsid w:val="004449E5"/>
    <w:rsid w:val="00444A59"/>
    <w:rsid w:val="00444A75"/>
    <w:rsid w:val="00444ADE"/>
    <w:rsid w:val="00444DDD"/>
    <w:rsid w:val="00445397"/>
    <w:rsid w:val="00445545"/>
    <w:rsid w:val="004459C2"/>
    <w:rsid w:val="00445A6D"/>
    <w:rsid w:val="00446003"/>
    <w:rsid w:val="004463DA"/>
    <w:rsid w:val="00446709"/>
    <w:rsid w:val="00446DA4"/>
    <w:rsid w:val="0044717E"/>
    <w:rsid w:val="00447764"/>
    <w:rsid w:val="004479A4"/>
    <w:rsid w:val="00447C3B"/>
    <w:rsid w:val="00447C5B"/>
    <w:rsid w:val="00447C77"/>
    <w:rsid w:val="00447C94"/>
    <w:rsid w:val="00447E0D"/>
    <w:rsid w:val="00447E84"/>
    <w:rsid w:val="004501EE"/>
    <w:rsid w:val="00450219"/>
    <w:rsid w:val="0045022C"/>
    <w:rsid w:val="00450243"/>
    <w:rsid w:val="0045044C"/>
    <w:rsid w:val="004504C8"/>
    <w:rsid w:val="004505A6"/>
    <w:rsid w:val="004507EE"/>
    <w:rsid w:val="00450C77"/>
    <w:rsid w:val="00450CB8"/>
    <w:rsid w:val="00451922"/>
    <w:rsid w:val="00451B36"/>
    <w:rsid w:val="00451EAA"/>
    <w:rsid w:val="004523C2"/>
    <w:rsid w:val="00452725"/>
    <w:rsid w:val="00452AF6"/>
    <w:rsid w:val="0045306F"/>
    <w:rsid w:val="004534BD"/>
    <w:rsid w:val="004534FB"/>
    <w:rsid w:val="004537CE"/>
    <w:rsid w:val="00453A89"/>
    <w:rsid w:val="00453C06"/>
    <w:rsid w:val="00454158"/>
    <w:rsid w:val="0045418C"/>
    <w:rsid w:val="00454277"/>
    <w:rsid w:val="0045452E"/>
    <w:rsid w:val="004546AA"/>
    <w:rsid w:val="00454703"/>
    <w:rsid w:val="00454B3B"/>
    <w:rsid w:val="00454FDD"/>
    <w:rsid w:val="00455061"/>
    <w:rsid w:val="00455097"/>
    <w:rsid w:val="004550B7"/>
    <w:rsid w:val="004551E7"/>
    <w:rsid w:val="004551F7"/>
    <w:rsid w:val="00455238"/>
    <w:rsid w:val="00455620"/>
    <w:rsid w:val="0045593D"/>
    <w:rsid w:val="00455A4C"/>
    <w:rsid w:val="00455BED"/>
    <w:rsid w:val="00455DB9"/>
    <w:rsid w:val="00455E50"/>
    <w:rsid w:val="00455F59"/>
    <w:rsid w:val="00456921"/>
    <w:rsid w:val="00456A55"/>
    <w:rsid w:val="00456AB4"/>
    <w:rsid w:val="00456ADA"/>
    <w:rsid w:val="00456D52"/>
    <w:rsid w:val="00456E99"/>
    <w:rsid w:val="0045716B"/>
    <w:rsid w:val="004572D0"/>
    <w:rsid w:val="004574E2"/>
    <w:rsid w:val="004577B4"/>
    <w:rsid w:val="00457FEF"/>
    <w:rsid w:val="00460484"/>
    <w:rsid w:val="00460570"/>
    <w:rsid w:val="0046062D"/>
    <w:rsid w:val="0046070D"/>
    <w:rsid w:val="00461000"/>
    <w:rsid w:val="0046113E"/>
    <w:rsid w:val="004613E3"/>
    <w:rsid w:val="004614E6"/>
    <w:rsid w:val="004615DE"/>
    <w:rsid w:val="00461800"/>
    <w:rsid w:val="00461AEC"/>
    <w:rsid w:val="00461FD8"/>
    <w:rsid w:val="00462703"/>
    <w:rsid w:val="00462BAE"/>
    <w:rsid w:val="00462EA8"/>
    <w:rsid w:val="004630DD"/>
    <w:rsid w:val="004631DA"/>
    <w:rsid w:val="0046347D"/>
    <w:rsid w:val="00463614"/>
    <w:rsid w:val="0046368D"/>
    <w:rsid w:val="00463706"/>
    <w:rsid w:val="00463745"/>
    <w:rsid w:val="004638EB"/>
    <w:rsid w:val="00463BC6"/>
    <w:rsid w:val="00464368"/>
    <w:rsid w:val="00465100"/>
    <w:rsid w:val="0046525A"/>
    <w:rsid w:val="00465332"/>
    <w:rsid w:val="004656C0"/>
    <w:rsid w:val="00465DD0"/>
    <w:rsid w:val="00466050"/>
    <w:rsid w:val="0046635B"/>
    <w:rsid w:val="004664A7"/>
    <w:rsid w:val="004667EA"/>
    <w:rsid w:val="004668FB"/>
    <w:rsid w:val="00466DA0"/>
    <w:rsid w:val="00466F0E"/>
    <w:rsid w:val="004671ED"/>
    <w:rsid w:val="0046755F"/>
    <w:rsid w:val="0046756A"/>
    <w:rsid w:val="00467898"/>
    <w:rsid w:val="004678A4"/>
    <w:rsid w:val="00467C6F"/>
    <w:rsid w:val="00467DDD"/>
    <w:rsid w:val="0047008C"/>
    <w:rsid w:val="00470293"/>
    <w:rsid w:val="0047031A"/>
    <w:rsid w:val="004705C1"/>
    <w:rsid w:val="00470F18"/>
    <w:rsid w:val="0047147A"/>
    <w:rsid w:val="0047150C"/>
    <w:rsid w:val="00471621"/>
    <w:rsid w:val="00471715"/>
    <w:rsid w:val="00471870"/>
    <w:rsid w:val="00471981"/>
    <w:rsid w:val="00471D27"/>
    <w:rsid w:val="00471EE6"/>
    <w:rsid w:val="00472031"/>
    <w:rsid w:val="00472050"/>
    <w:rsid w:val="00472225"/>
    <w:rsid w:val="004723AE"/>
    <w:rsid w:val="004723D1"/>
    <w:rsid w:val="0047256E"/>
    <w:rsid w:val="00472722"/>
    <w:rsid w:val="00472999"/>
    <w:rsid w:val="00472C20"/>
    <w:rsid w:val="00473034"/>
    <w:rsid w:val="00473453"/>
    <w:rsid w:val="004734A6"/>
    <w:rsid w:val="00473755"/>
    <w:rsid w:val="00473B6F"/>
    <w:rsid w:val="00473FFC"/>
    <w:rsid w:val="00474608"/>
    <w:rsid w:val="004746A6"/>
    <w:rsid w:val="004746F9"/>
    <w:rsid w:val="004750B1"/>
    <w:rsid w:val="004753F3"/>
    <w:rsid w:val="00475463"/>
    <w:rsid w:val="004754B3"/>
    <w:rsid w:val="00475811"/>
    <w:rsid w:val="0047590E"/>
    <w:rsid w:val="00475E15"/>
    <w:rsid w:val="00475E3B"/>
    <w:rsid w:val="00475FC2"/>
    <w:rsid w:val="0047631A"/>
    <w:rsid w:val="00476346"/>
    <w:rsid w:val="004765B6"/>
    <w:rsid w:val="00476777"/>
    <w:rsid w:val="00477296"/>
    <w:rsid w:val="0047730E"/>
    <w:rsid w:val="00477465"/>
    <w:rsid w:val="0047778E"/>
    <w:rsid w:val="00477826"/>
    <w:rsid w:val="00477B2F"/>
    <w:rsid w:val="00477E8F"/>
    <w:rsid w:val="004800B9"/>
    <w:rsid w:val="00480243"/>
    <w:rsid w:val="004802CC"/>
    <w:rsid w:val="004802EC"/>
    <w:rsid w:val="004802EF"/>
    <w:rsid w:val="00480662"/>
    <w:rsid w:val="00480F6B"/>
    <w:rsid w:val="00480F9C"/>
    <w:rsid w:val="004812C3"/>
    <w:rsid w:val="0048134F"/>
    <w:rsid w:val="004813B1"/>
    <w:rsid w:val="0048182E"/>
    <w:rsid w:val="0048187F"/>
    <w:rsid w:val="0048231F"/>
    <w:rsid w:val="0048286F"/>
    <w:rsid w:val="00482A89"/>
    <w:rsid w:val="00482B94"/>
    <w:rsid w:val="00482D75"/>
    <w:rsid w:val="00482D77"/>
    <w:rsid w:val="00482E34"/>
    <w:rsid w:val="00482E9E"/>
    <w:rsid w:val="0048311E"/>
    <w:rsid w:val="00484382"/>
    <w:rsid w:val="0048467D"/>
    <w:rsid w:val="00484DE7"/>
    <w:rsid w:val="00484E03"/>
    <w:rsid w:val="00484EF1"/>
    <w:rsid w:val="0048503A"/>
    <w:rsid w:val="00485389"/>
    <w:rsid w:val="004855C6"/>
    <w:rsid w:val="0048567F"/>
    <w:rsid w:val="004856ED"/>
    <w:rsid w:val="0048605A"/>
    <w:rsid w:val="0048696F"/>
    <w:rsid w:val="00486C78"/>
    <w:rsid w:val="00486DC8"/>
    <w:rsid w:val="00486F50"/>
    <w:rsid w:val="004870A5"/>
    <w:rsid w:val="0048724E"/>
    <w:rsid w:val="00487516"/>
    <w:rsid w:val="00487AF4"/>
    <w:rsid w:val="00487C3F"/>
    <w:rsid w:val="00487DE3"/>
    <w:rsid w:val="004903F8"/>
    <w:rsid w:val="004904D8"/>
    <w:rsid w:val="004905A9"/>
    <w:rsid w:val="00490641"/>
    <w:rsid w:val="004906EA"/>
    <w:rsid w:val="00490740"/>
    <w:rsid w:val="00490C90"/>
    <w:rsid w:val="00490D2E"/>
    <w:rsid w:val="00490D32"/>
    <w:rsid w:val="00490FBA"/>
    <w:rsid w:val="0049123B"/>
    <w:rsid w:val="004913E1"/>
    <w:rsid w:val="00491609"/>
    <w:rsid w:val="00491F58"/>
    <w:rsid w:val="0049222C"/>
    <w:rsid w:val="00492708"/>
    <w:rsid w:val="0049309E"/>
    <w:rsid w:val="00493291"/>
    <w:rsid w:val="00493404"/>
    <w:rsid w:val="0049352F"/>
    <w:rsid w:val="00493668"/>
    <w:rsid w:val="00493684"/>
    <w:rsid w:val="004936BC"/>
    <w:rsid w:val="004939E7"/>
    <w:rsid w:val="00493B6C"/>
    <w:rsid w:val="00493BAC"/>
    <w:rsid w:val="004941A6"/>
    <w:rsid w:val="004942D9"/>
    <w:rsid w:val="00494377"/>
    <w:rsid w:val="00495063"/>
    <w:rsid w:val="0049514D"/>
    <w:rsid w:val="00495261"/>
    <w:rsid w:val="0049534C"/>
    <w:rsid w:val="00495376"/>
    <w:rsid w:val="0049596D"/>
    <w:rsid w:val="004959B9"/>
    <w:rsid w:val="00495A05"/>
    <w:rsid w:val="00495A37"/>
    <w:rsid w:val="00495B8B"/>
    <w:rsid w:val="00495E80"/>
    <w:rsid w:val="00496269"/>
    <w:rsid w:val="004967CE"/>
    <w:rsid w:val="004969B9"/>
    <w:rsid w:val="00496C27"/>
    <w:rsid w:val="0049707E"/>
    <w:rsid w:val="004970FE"/>
    <w:rsid w:val="004972F7"/>
    <w:rsid w:val="004976A2"/>
    <w:rsid w:val="004976FD"/>
    <w:rsid w:val="00497737"/>
    <w:rsid w:val="00497BE6"/>
    <w:rsid w:val="00497D27"/>
    <w:rsid w:val="00497D43"/>
    <w:rsid w:val="00497EF7"/>
    <w:rsid w:val="004A06CF"/>
    <w:rsid w:val="004A07A4"/>
    <w:rsid w:val="004A0906"/>
    <w:rsid w:val="004A0DC3"/>
    <w:rsid w:val="004A0E0E"/>
    <w:rsid w:val="004A11D6"/>
    <w:rsid w:val="004A1383"/>
    <w:rsid w:val="004A15C3"/>
    <w:rsid w:val="004A229F"/>
    <w:rsid w:val="004A263D"/>
    <w:rsid w:val="004A26F2"/>
    <w:rsid w:val="004A2977"/>
    <w:rsid w:val="004A2C58"/>
    <w:rsid w:val="004A31BD"/>
    <w:rsid w:val="004A329E"/>
    <w:rsid w:val="004A3325"/>
    <w:rsid w:val="004A39A1"/>
    <w:rsid w:val="004A3ADD"/>
    <w:rsid w:val="004A3B73"/>
    <w:rsid w:val="004A3BFE"/>
    <w:rsid w:val="004A4148"/>
    <w:rsid w:val="004A41DD"/>
    <w:rsid w:val="004A43C0"/>
    <w:rsid w:val="004A4519"/>
    <w:rsid w:val="004A459B"/>
    <w:rsid w:val="004A4606"/>
    <w:rsid w:val="004A4656"/>
    <w:rsid w:val="004A4A07"/>
    <w:rsid w:val="004A4CFF"/>
    <w:rsid w:val="004A4F28"/>
    <w:rsid w:val="004A536B"/>
    <w:rsid w:val="004A559E"/>
    <w:rsid w:val="004A58E7"/>
    <w:rsid w:val="004A59EF"/>
    <w:rsid w:val="004A5B70"/>
    <w:rsid w:val="004A5D4B"/>
    <w:rsid w:val="004A5F07"/>
    <w:rsid w:val="004A6936"/>
    <w:rsid w:val="004A6AEC"/>
    <w:rsid w:val="004A7019"/>
    <w:rsid w:val="004A70F4"/>
    <w:rsid w:val="004A7159"/>
    <w:rsid w:val="004A734D"/>
    <w:rsid w:val="004A7425"/>
    <w:rsid w:val="004A74CF"/>
    <w:rsid w:val="004A76E9"/>
    <w:rsid w:val="004A7A1A"/>
    <w:rsid w:val="004A7B78"/>
    <w:rsid w:val="004B0548"/>
    <w:rsid w:val="004B0E84"/>
    <w:rsid w:val="004B1BFE"/>
    <w:rsid w:val="004B1E6D"/>
    <w:rsid w:val="004B2093"/>
    <w:rsid w:val="004B21C7"/>
    <w:rsid w:val="004B23EB"/>
    <w:rsid w:val="004B247E"/>
    <w:rsid w:val="004B2627"/>
    <w:rsid w:val="004B2878"/>
    <w:rsid w:val="004B296C"/>
    <w:rsid w:val="004B2DB4"/>
    <w:rsid w:val="004B2E02"/>
    <w:rsid w:val="004B31A1"/>
    <w:rsid w:val="004B34D5"/>
    <w:rsid w:val="004B3690"/>
    <w:rsid w:val="004B38DA"/>
    <w:rsid w:val="004B39D6"/>
    <w:rsid w:val="004B3B5A"/>
    <w:rsid w:val="004B3BBF"/>
    <w:rsid w:val="004B3E58"/>
    <w:rsid w:val="004B3E60"/>
    <w:rsid w:val="004B431A"/>
    <w:rsid w:val="004B4320"/>
    <w:rsid w:val="004B44A3"/>
    <w:rsid w:val="004B4684"/>
    <w:rsid w:val="004B4752"/>
    <w:rsid w:val="004B4809"/>
    <w:rsid w:val="004B4896"/>
    <w:rsid w:val="004B4910"/>
    <w:rsid w:val="004B575B"/>
    <w:rsid w:val="004B5E1A"/>
    <w:rsid w:val="004B5F10"/>
    <w:rsid w:val="004B5F9F"/>
    <w:rsid w:val="004B634D"/>
    <w:rsid w:val="004B648C"/>
    <w:rsid w:val="004B654E"/>
    <w:rsid w:val="004B6666"/>
    <w:rsid w:val="004B67E2"/>
    <w:rsid w:val="004B68ED"/>
    <w:rsid w:val="004B696F"/>
    <w:rsid w:val="004B69AF"/>
    <w:rsid w:val="004B6A88"/>
    <w:rsid w:val="004B6B68"/>
    <w:rsid w:val="004B6E5A"/>
    <w:rsid w:val="004B71AD"/>
    <w:rsid w:val="004B74F3"/>
    <w:rsid w:val="004B7A9E"/>
    <w:rsid w:val="004B7B5D"/>
    <w:rsid w:val="004B7CA4"/>
    <w:rsid w:val="004B7E93"/>
    <w:rsid w:val="004C0729"/>
    <w:rsid w:val="004C0B2F"/>
    <w:rsid w:val="004C1078"/>
    <w:rsid w:val="004C1293"/>
    <w:rsid w:val="004C12B9"/>
    <w:rsid w:val="004C1487"/>
    <w:rsid w:val="004C1756"/>
    <w:rsid w:val="004C1C7A"/>
    <w:rsid w:val="004C20C7"/>
    <w:rsid w:val="004C2153"/>
    <w:rsid w:val="004C219F"/>
    <w:rsid w:val="004C24C2"/>
    <w:rsid w:val="004C2A3F"/>
    <w:rsid w:val="004C2AB1"/>
    <w:rsid w:val="004C2E81"/>
    <w:rsid w:val="004C3009"/>
    <w:rsid w:val="004C30B3"/>
    <w:rsid w:val="004C3855"/>
    <w:rsid w:val="004C3AAA"/>
    <w:rsid w:val="004C3B8E"/>
    <w:rsid w:val="004C4154"/>
    <w:rsid w:val="004C41E6"/>
    <w:rsid w:val="004C456F"/>
    <w:rsid w:val="004C4859"/>
    <w:rsid w:val="004C4ADC"/>
    <w:rsid w:val="004C4B73"/>
    <w:rsid w:val="004C4E8D"/>
    <w:rsid w:val="004C540A"/>
    <w:rsid w:val="004C56FC"/>
    <w:rsid w:val="004C5776"/>
    <w:rsid w:val="004C5958"/>
    <w:rsid w:val="004C5E84"/>
    <w:rsid w:val="004C5EC8"/>
    <w:rsid w:val="004C5EDE"/>
    <w:rsid w:val="004C6087"/>
    <w:rsid w:val="004C6129"/>
    <w:rsid w:val="004C62A7"/>
    <w:rsid w:val="004C62FF"/>
    <w:rsid w:val="004C64D1"/>
    <w:rsid w:val="004C67A8"/>
    <w:rsid w:val="004C69C5"/>
    <w:rsid w:val="004C6A03"/>
    <w:rsid w:val="004C6B11"/>
    <w:rsid w:val="004C6C92"/>
    <w:rsid w:val="004C6DEE"/>
    <w:rsid w:val="004C6F3F"/>
    <w:rsid w:val="004C714A"/>
    <w:rsid w:val="004C71FD"/>
    <w:rsid w:val="004C7283"/>
    <w:rsid w:val="004D015C"/>
    <w:rsid w:val="004D04C0"/>
    <w:rsid w:val="004D063C"/>
    <w:rsid w:val="004D0772"/>
    <w:rsid w:val="004D08C3"/>
    <w:rsid w:val="004D0D41"/>
    <w:rsid w:val="004D0EC2"/>
    <w:rsid w:val="004D1103"/>
    <w:rsid w:val="004D1683"/>
    <w:rsid w:val="004D1A7D"/>
    <w:rsid w:val="004D1BC6"/>
    <w:rsid w:val="004D1D42"/>
    <w:rsid w:val="004D1E35"/>
    <w:rsid w:val="004D2046"/>
    <w:rsid w:val="004D2412"/>
    <w:rsid w:val="004D24C7"/>
    <w:rsid w:val="004D2E45"/>
    <w:rsid w:val="004D3363"/>
    <w:rsid w:val="004D385C"/>
    <w:rsid w:val="004D3878"/>
    <w:rsid w:val="004D437C"/>
    <w:rsid w:val="004D47D5"/>
    <w:rsid w:val="004D4A0A"/>
    <w:rsid w:val="004D4CB1"/>
    <w:rsid w:val="004D5347"/>
    <w:rsid w:val="004D53BF"/>
    <w:rsid w:val="004D54A0"/>
    <w:rsid w:val="004D5F9A"/>
    <w:rsid w:val="004D5FF8"/>
    <w:rsid w:val="004D603B"/>
    <w:rsid w:val="004D60CE"/>
    <w:rsid w:val="004D623D"/>
    <w:rsid w:val="004D6602"/>
    <w:rsid w:val="004D66C3"/>
    <w:rsid w:val="004D6ADA"/>
    <w:rsid w:val="004D6ADD"/>
    <w:rsid w:val="004D6B6F"/>
    <w:rsid w:val="004D75FD"/>
    <w:rsid w:val="004D78F0"/>
    <w:rsid w:val="004D7CA6"/>
    <w:rsid w:val="004D7D0D"/>
    <w:rsid w:val="004E0603"/>
    <w:rsid w:val="004E0FEB"/>
    <w:rsid w:val="004E1008"/>
    <w:rsid w:val="004E1087"/>
    <w:rsid w:val="004E10D6"/>
    <w:rsid w:val="004E11F1"/>
    <w:rsid w:val="004E13CA"/>
    <w:rsid w:val="004E1532"/>
    <w:rsid w:val="004E1A29"/>
    <w:rsid w:val="004E1E45"/>
    <w:rsid w:val="004E1E67"/>
    <w:rsid w:val="004E21E6"/>
    <w:rsid w:val="004E221E"/>
    <w:rsid w:val="004E2446"/>
    <w:rsid w:val="004E2481"/>
    <w:rsid w:val="004E29A1"/>
    <w:rsid w:val="004E29A6"/>
    <w:rsid w:val="004E29BE"/>
    <w:rsid w:val="004E29CD"/>
    <w:rsid w:val="004E2A34"/>
    <w:rsid w:val="004E2B3E"/>
    <w:rsid w:val="004E2CD4"/>
    <w:rsid w:val="004E2E4D"/>
    <w:rsid w:val="004E3F50"/>
    <w:rsid w:val="004E4254"/>
    <w:rsid w:val="004E4324"/>
    <w:rsid w:val="004E4335"/>
    <w:rsid w:val="004E446C"/>
    <w:rsid w:val="004E4513"/>
    <w:rsid w:val="004E4795"/>
    <w:rsid w:val="004E4949"/>
    <w:rsid w:val="004E4A2A"/>
    <w:rsid w:val="004E4B47"/>
    <w:rsid w:val="004E4B63"/>
    <w:rsid w:val="004E4E01"/>
    <w:rsid w:val="004E5052"/>
    <w:rsid w:val="004E509D"/>
    <w:rsid w:val="004E510D"/>
    <w:rsid w:val="004E58C1"/>
    <w:rsid w:val="004E5AE3"/>
    <w:rsid w:val="004E5B29"/>
    <w:rsid w:val="004E5D0D"/>
    <w:rsid w:val="004E5D1F"/>
    <w:rsid w:val="004E62AF"/>
    <w:rsid w:val="004E62B4"/>
    <w:rsid w:val="004E6768"/>
    <w:rsid w:val="004E6C43"/>
    <w:rsid w:val="004E6C88"/>
    <w:rsid w:val="004E6D51"/>
    <w:rsid w:val="004E6F12"/>
    <w:rsid w:val="004E714F"/>
    <w:rsid w:val="004E7520"/>
    <w:rsid w:val="004E7617"/>
    <w:rsid w:val="004E76C3"/>
    <w:rsid w:val="004E77E5"/>
    <w:rsid w:val="004E7C4A"/>
    <w:rsid w:val="004E7FCF"/>
    <w:rsid w:val="004F00DB"/>
    <w:rsid w:val="004F03A3"/>
    <w:rsid w:val="004F042B"/>
    <w:rsid w:val="004F071A"/>
    <w:rsid w:val="004F0F64"/>
    <w:rsid w:val="004F1048"/>
    <w:rsid w:val="004F11F7"/>
    <w:rsid w:val="004F1235"/>
    <w:rsid w:val="004F154F"/>
    <w:rsid w:val="004F1567"/>
    <w:rsid w:val="004F18DF"/>
    <w:rsid w:val="004F1956"/>
    <w:rsid w:val="004F20A5"/>
    <w:rsid w:val="004F21EC"/>
    <w:rsid w:val="004F21FC"/>
    <w:rsid w:val="004F2558"/>
    <w:rsid w:val="004F2822"/>
    <w:rsid w:val="004F2908"/>
    <w:rsid w:val="004F2F79"/>
    <w:rsid w:val="004F3407"/>
    <w:rsid w:val="004F36C7"/>
    <w:rsid w:val="004F3886"/>
    <w:rsid w:val="004F3CFE"/>
    <w:rsid w:val="004F3E75"/>
    <w:rsid w:val="004F3F53"/>
    <w:rsid w:val="004F414F"/>
    <w:rsid w:val="004F416C"/>
    <w:rsid w:val="004F44B2"/>
    <w:rsid w:val="004F4555"/>
    <w:rsid w:val="004F4602"/>
    <w:rsid w:val="004F4609"/>
    <w:rsid w:val="004F46B9"/>
    <w:rsid w:val="004F4F7F"/>
    <w:rsid w:val="004F507E"/>
    <w:rsid w:val="004F538A"/>
    <w:rsid w:val="004F53DE"/>
    <w:rsid w:val="004F542F"/>
    <w:rsid w:val="004F56B3"/>
    <w:rsid w:val="004F574B"/>
    <w:rsid w:val="004F62C6"/>
    <w:rsid w:val="004F6368"/>
    <w:rsid w:val="004F6726"/>
    <w:rsid w:val="004F6EAD"/>
    <w:rsid w:val="004F6F1A"/>
    <w:rsid w:val="004F6F41"/>
    <w:rsid w:val="004F7106"/>
    <w:rsid w:val="004F7155"/>
    <w:rsid w:val="004F7835"/>
    <w:rsid w:val="004F7876"/>
    <w:rsid w:val="004F7C2C"/>
    <w:rsid w:val="004F7DDE"/>
    <w:rsid w:val="004F7E7B"/>
    <w:rsid w:val="004F7ECC"/>
    <w:rsid w:val="0050040F"/>
    <w:rsid w:val="0050041A"/>
    <w:rsid w:val="00500712"/>
    <w:rsid w:val="005008E1"/>
    <w:rsid w:val="00500BB3"/>
    <w:rsid w:val="00501075"/>
    <w:rsid w:val="0050166B"/>
    <w:rsid w:val="00501AEE"/>
    <w:rsid w:val="00501B6C"/>
    <w:rsid w:val="00501D0C"/>
    <w:rsid w:val="00501E39"/>
    <w:rsid w:val="00502286"/>
    <w:rsid w:val="005025B6"/>
    <w:rsid w:val="00502678"/>
    <w:rsid w:val="00502CFF"/>
    <w:rsid w:val="00503306"/>
    <w:rsid w:val="005034C5"/>
    <w:rsid w:val="0050364B"/>
    <w:rsid w:val="00503AAA"/>
    <w:rsid w:val="00503B6A"/>
    <w:rsid w:val="00503E64"/>
    <w:rsid w:val="00504641"/>
    <w:rsid w:val="005046BB"/>
    <w:rsid w:val="005047A6"/>
    <w:rsid w:val="005047DB"/>
    <w:rsid w:val="005048EC"/>
    <w:rsid w:val="00504C4D"/>
    <w:rsid w:val="005050D9"/>
    <w:rsid w:val="00505531"/>
    <w:rsid w:val="00505A48"/>
    <w:rsid w:val="005065BF"/>
    <w:rsid w:val="00506644"/>
    <w:rsid w:val="00506771"/>
    <w:rsid w:val="00506A2A"/>
    <w:rsid w:val="00506FFB"/>
    <w:rsid w:val="00507570"/>
    <w:rsid w:val="005075C5"/>
    <w:rsid w:val="00507825"/>
    <w:rsid w:val="00507C37"/>
    <w:rsid w:val="00507F90"/>
    <w:rsid w:val="00510224"/>
    <w:rsid w:val="0051058A"/>
    <w:rsid w:val="00510874"/>
    <w:rsid w:val="00510B3A"/>
    <w:rsid w:val="00511143"/>
    <w:rsid w:val="005113C1"/>
    <w:rsid w:val="005115EF"/>
    <w:rsid w:val="00511B7C"/>
    <w:rsid w:val="005122A5"/>
    <w:rsid w:val="005122AC"/>
    <w:rsid w:val="0051236F"/>
    <w:rsid w:val="00512409"/>
    <w:rsid w:val="005127F2"/>
    <w:rsid w:val="00512A8F"/>
    <w:rsid w:val="00512BCA"/>
    <w:rsid w:val="00512D63"/>
    <w:rsid w:val="00512D9C"/>
    <w:rsid w:val="00512E1A"/>
    <w:rsid w:val="00512EA6"/>
    <w:rsid w:val="005131FE"/>
    <w:rsid w:val="005138BA"/>
    <w:rsid w:val="00513B63"/>
    <w:rsid w:val="00513C09"/>
    <w:rsid w:val="005147BF"/>
    <w:rsid w:val="00514820"/>
    <w:rsid w:val="0051528B"/>
    <w:rsid w:val="00515327"/>
    <w:rsid w:val="005159B3"/>
    <w:rsid w:val="00515A0F"/>
    <w:rsid w:val="00515AEE"/>
    <w:rsid w:val="00515D49"/>
    <w:rsid w:val="00516B35"/>
    <w:rsid w:val="005176ED"/>
    <w:rsid w:val="0051788C"/>
    <w:rsid w:val="005179EB"/>
    <w:rsid w:val="00517AFE"/>
    <w:rsid w:val="00517E6C"/>
    <w:rsid w:val="00517F36"/>
    <w:rsid w:val="005208EF"/>
    <w:rsid w:val="005208F3"/>
    <w:rsid w:val="005209F1"/>
    <w:rsid w:val="00520C6F"/>
    <w:rsid w:val="00521123"/>
    <w:rsid w:val="00521213"/>
    <w:rsid w:val="0052123F"/>
    <w:rsid w:val="005212D4"/>
    <w:rsid w:val="0052138E"/>
    <w:rsid w:val="00521735"/>
    <w:rsid w:val="00521832"/>
    <w:rsid w:val="00521BA7"/>
    <w:rsid w:val="0052225B"/>
    <w:rsid w:val="00522278"/>
    <w:rsid w:val="005225EB"/>
    <w:rsid w:val="00522A2D"/>
    <w:rsid w:val="00522AB1"/>
    <w:rsid w:val="00522E06"/>
    <w:rsid w:val="00523002"/>
    <w:rsid w:val="005232B7"/>
    <w:rsid w:val="005234AC"/>
    <w:rsid w:val="00523535"/>
    <w:rsid w:val="005237A5"/>
    <w:rsid w:val="00523A07"/>
    <w:rsid w:val="00523D87"/>
    <w:rsid w:val="005243D5"/>
    <w:rsid w:val="00524A58"/>
    <w:rsid w:val="00524EC5"/>
    <w:rsid w:val="005254B9"/>
    <w:rsid w:val="005254F4"/>
    <w:rsid w:val="005255FB"/>
    <w:rsid w:val="005256AD"/>
    <w:rsid w:val="005256B0"/>
    <w:rsid w:val="00525880"/>
    <w:rsid w:val="005258C3"/>
    <w:rsid w:val="005259CB"/>
    <w:rsid w:val="00525AAE"/>
    <w:rsid w:val="00525D92"/>
    <w:rsid w:val="00525EBB"/>
    <w:rsid w:val="00525EC8"/>
    <w:rsid w:val="005262BA"/>
    <w:rsid w:val="005263D8"/>
    <w:rsid w:val="0052641B"/>
    <w:rsid w:val="005266D3"/>
    <w:rsid w:val="005267F0"/>
    <w:rsid w:val="00526802"/>
    <w:rsid w:val="00526834"/>
    <w:rsid w:val="00526AB2"/>
    <w:rsid w:val="00527091"/>
    <w:rsid w:val="0052726B"/>
    <w:rsid w:val="005276B7"/>
    <w:rsid w:val="00527885"/>
    <w:rsid w:val="00527B72"/>
    <w:rsid w:val="00527C52"/>
    <w:rsid w:val="00527D74"/>
    <w:rsid w:val="00527E37"/>
    <w:rsid w:val="0053008A"/>
    <w:rsid w:val="005302A9"/>
    <w:rsid w:val="00530655"/>
    <w:rsid w:val="00530890"/>
    <w:rsid w:val="005309B3"/>
    <w:rsid w:val="00530B14"/>
    <w:rsid w:val="00530DAF"/>
    <w:rsid w:val="0053111F"/>
    <w:rsid w:val="0053129D"/>
    <w:rsid w:val="0053188E"/>
    <w:rsid w:val="00531983"/>
    <w:rsid w:val="0053199F"/>
    <w:rsid w:val="005320AF"/>
    <w:rsid w:val="00532510"/>
    <w:rsid w:val="00532686"/>
    <w:rsid w:val="00532A91"/>
    <w:rsid w:val="0053347C"/>
    <w:rsid w:val="005334D3"/>
    <w:rsid w:val="005337B0"/>
    <w:rsid w:val="00533C26"/>
    <w:rsid w:val="0053449B"/>
    <w:rsid w:val="00534555"/>
    <w:rsid w:val="00534622"/>
    <w:rsid w:val="00534789"/>
    <w:rsid w:val="00534F0E"/>
    <w:rsid w:val="00535011"/>
    <w:rsid w:val="00535409"/>
    <w:rsid w:val="005355AE"/>
    <w:rsid w:val="005356AD"/>
    <w:rsid w:val="00535B53"/>
    <w:rsid w:val="00535E9C"/>
    <w:rsid w:val="0053609D"/>
    <w:rsid w:val="005360E4"/>
    <w:rsid w:val="00536213"/>
    <w:rsid w:val="005364AE"/>
    <w:rsid w:val="0053657D"/>
    <w:rsid w:val="005369D9"/>
    <w:rsid w:val="00536AD7"/>
    <w:rsid w:val="00536D71"/>
    <w:rsid w:val="00537478"/>
    <w:rsid w:val="00537618"/>
    <w:rsid w:val="005376BE"/>
    <w:rsid w:val="0053773D"/>
    <w:rsid w:val="005378FC"/>
    <w:rsid w:val="00537B78"/>
    <w:rsid w:val="00537B7D"/>
    <w:rsid w:val="00537C89"/>
    <w:rsid w:val="00540579"/>
    <w:rsid w:val="005409BD"/>
    <w:rsid w:val="00540C43"/>
    <w:rsid w:val="00540DF9"/>
    <w:rsid w:val="00541095"/>
    <w:rsid w:val="0054156F"/>
    <w:rsid w:val="005415D9"/>
    <w:rsid w:val="005416F9"/>
    <w:rsid w:val="0054171B"/>
    <w:rsid w:val="0054187D"/>
    <w:rsid w:val="0054188F"/>
    <w:rsid w:val="005418A6"/>
    <w:rsid w:val="005418F3"/>
    <w:rsid w:val="00541C02"/>
    <w:rsid w:val="00542C57"/>
    <w:rsid w:val="00542DB2"/>
    <w:rsid w:val="00542F32"/>
    <w:rsid w:val="00543004"/>
    <w:rsid w:val="005433EA"/>
    <w:rsid w:val="00543471"/>
    <w:rsid w:val="00543533"/>
    <w:rsid w:val="00543714"/>
    <w:rsid w:val="00543950"/>
    <w:rsid w:val="00543C2D"/>
    <w:rsid w:val="00543F5B"/>
    <w:rsid w:val="00544126"/>
    <w:rsid w:val="00544159"/>
    <w:rsid w:val="00544166"/>
    <w:rsid w:val="005441D3"/>
    <w:rsid w:val="00544A87"/>
    <w:rsid w:val="00544D52"/>
    <w:rsid w:val="00544DFC"/>
    <w:rsid w:val="00545342"/>
    <w:rsid w:val="00545AE9"/>
    <w:rsid w:val="00545C34"/>
    <w:rsid w:val="00545CCC"/>
    <w:rsid w:val="0054612C"/>
    <w:rsid w:val="005461B6"/>
    <w:rsid w:val="00546869"/>
    <w:rsid w:val="00546A3A"/>
    <w:rsid w:val="00546CF5"/>
    <w:rsid w:val="00547248"/>
    <w:rsid w:val="0054737C"/>
    <w:rsid w:val="0054752F"/>
    <w:rsid w:val="00547611"/>
    <w:rsid w:val="00547726"/>
    <w:rsid w:val="0054779D"/>
    <w:rsid w:val="005479FE"/>
    <w:rsid w:val="00547DA6"/>
    <w:rsid w:val="00547E98"/>
    <w:rsid w:val="00547EED"/>
    <w:rsid w:val="005503B3"/>
    <w:rsid w:val="00550BC8"/>
    <w:rsid w:val="00550C8C"/>
    <w:rsid w:val="00550E60"/>
    <w:rsid w:val="00550F0C"/>
    <w:rsid w:val="00550FC2"/>
    <w:rsid w:val="005512B6"/>
    <w:rsid w:val="005512D8"/>
    <w:rsid w:val="00551304"/>
    <w:rsid w:val="00551679"/>
    <w:rsid w:val="00551A58"/>
    <w:rsid w:val="00551F6F"/>
    <w:rsid w:val="005523F0"/>
    <w:rsid w:val="0055240C"/>
    <w:rsid w:val="005524AC"/>
    <w:rsid w:val="005524B4"/>
    <w:rsid w:val="005525B7"/>
    <w:rsid w:val="005526AF"/>
    <w:rsid w:val="00552940"/>
    <w:rsid w:val="00552E29"/>
    <w:rsid w:val="00552E92"/>
    <w:rsid w:val="005531ED"/>
    <w:rsid w:val="005534BD"/>
    <w:rsid w:val="0055392A"/>
    <w:rsid w:val="00553D44"/>
    <w:rsid w:val="00553DE4"/>
    <w:rsid w:val="00553E13"/>
    <w:rsid w:val="00554229"/>
    <w:rsid w:val="005542F2"/>
    <w:rsid w:val="00554412"/>
    <w:rsid w:val="005544B8"/>
    <w:rsid w:val="00554738"/>
    <w:rsid w:val="00554750"/>
    <w:rsid w:val="005548BE"/>
    <w:rsid w:val="00554B7C"/>
    <w:rsid w:val="00554C30"/>
    <w:rsid w:val="00554E3B"/>
    <w:rsid w:val="0055502A"/>
    <w:rsid w:val="005552D1"/>
    <w:rsid w:val="005553FA"/>
    <w:rsid w:val="005554F4"/>
    <w:rsid w:val="00555556"/>
    <w:rsid w:val="0055563D"/>
    <w:rsid w:val="005563D5"/>
    <w:rsid w:val="005564CD"/>
    <w:rsid w:val="005565DD"/>
    <w:rsid w:val="00556B95"/>
    <w:rsid w:val="00557016"/>
    <w:rsid w:val="005571F2"/>
    <w:rsid w:val="005571FD"/>
    <w:rsid w:val="00557486"/>
    <w:rsid w:val="005576FE"/>
    <w:rsid w:val="005605E8"/>
    <w:rsid w:val="00560A0E"/>
    <w:rsid w:val="00560D53"/>
    <w:rsid w:val="0056109D"/>
    <w:rsid w:val="0056120B"/>
    <w:rsid w:val="005615D6"/>
    <w:rsid w:val="005619F5"/>
    <w:rsid w:val="00561BD9"/>
    <w:rsid w:val="00561E5F"/>
    <w:rsid w:val="00561EBF"/>
    <w:rsid w:val="00562015"/>
    <w:rsid w:val="00562137"/>
    <w:rsid w:val="005622E5"/>
    <w:rsid w:val="0056231A"/>
    <w:rsid w:val="00562585"/>
    <w:rsid w:val="005628C4"/>
    <w:rsid w:val="00562B9F"/>
    <w:rsid w:val="00562CA5"/>
    <w:rsid w:val="00562D70"/>
    <w:rsid w:val="00563166"/>
    <w:rsid w:val="00563724"/>
    <w:rsid w:val="00563DA4"/>
    <w:rsid w:val="00563EF6"/>
    <w:rsid w:val="005642B9"/>
    <w:rsid w:val="00564772"/>
    <w:rsid w:val="005651C1"/>
    <w:rsid w:val="0056536A"/>
    <w:rsid w:val="00565672"/>
    <w:rsid w:val="00565970"/>
    <w:rsid w:val="00565AB6"/>
    <w:rsid w:val="00565B40"/>
    <w:rsid w:val="00565B83"/>
    <w:rsid w:val="00565E45"/>
    <w:rsid w:val="005663F7"/>
    <w:rsid w:val="0056645C"/>
    <w:rsid w:val="005666C4"/>
    <w:rsid w:val="005669E2"/>
    <w:rsid w:val="00566B67"/>
    <w:rsid w:val="00566D87"/>
    <w:rsid w:val="0056749B"/>
    <w:rsid w:val="00567804"/>
    <w:rsid w:val="005679A6"/>
    <w:rsid w:val="00567B6B"/>
    <w:rsid w:val="00567F7E"/>
    <w:rsid w:val="0057049E"/>
    <w:rsid w:val="00570512"/>
    <w:rsid w:val="00570794"/>
    <w:rsid w:val="005708A4"/>
    <w:rsid w:val="0057095F"/>
    <w:rsid w:val="00570BC2"/>
    <w:rsid w:val="00570DE7"/>
    <w:rsid w:val="00570F05"/>
    <w:rsid w:val="00571187"/>
    <w:rsid w:val="00571304"/>
    <w:rsid w:val="005713C1"/>
    <w:rsid w:val="0057192A"/>
    <w:rsid w:val="00571957"/>
    <w:rsid w:val="00571E41"/>
    <w:rsid w:val="00571E47"/>
    <w:rsid w:val="00571E84"/>
    <w:rsid w:val="00571EC8"/>
    <w:rsid w:val="005720C5"/>
    <w:rsid w:val="00572334"/>
    <w:rsid w:val="00572763"/>
    <w:rsid w:val="005728A7"/>
    <w:rsid w:val="005729B9"/>
    <w:rsid w:val="005729FD"/>
    <w:rsid w:val="00572FEB"/>
    <w:rsid w:val="005731D2"/>
    <w:rsid w:val="00573235"/>
    <w:rsid w:val="00573470"/>
    <w:rsid w:val="00573613"/>
    <w:rsid w:val="00573BC5"/>
    <w:rsid w:val="00573BEE"/>
    <w:rsid w:val="00573C92"/>
    <w:rsid w:val="00573D5E"/>
    <w:rsid w:val="005740D5"/>
    <w:rsid w:val="00574863"/>
    <w:rsid w:val="00574A41"/>
    <w:rsid w:val="00574AAD"/>
    <w:rsid w:val="00574BF9"/>
    <w:rsid w:val="00574D35"/>
    <w:rsid w:val="00574EC4"/>
    <w:rsid w:val="00575003"/>
    <w:rsid w:val="0057524D"/>
    <w:rsid w:val="00575577"/>
    <w:rsid w:val="005755F9"/>
    <w:rsid w:val="00575911"/>
    <w:rsid w:val="00575A52"/>
    <w:rsid w:val="00575D87"/>
    <w:rsid w:val="00575E93"/>
    <w:rsid w:val="005760BE"/>
    <w:rsid w:val="00576103"/>
    <w:rsid w:val="005763F3"/>
    <w:rsid w:val="0057643E"/>
    <w:rsid w:val="0057646F"/>
    <w:rsid w:val="0057669F"/>
    <w:rsid w:val="005767DD"/>
    <w:rsid w:val="005768B2"/>
    <w:rsid w:val="00576F99"/>
    <w:rsid w:val="005775FB"/>
    <w:rsid w:val="005776DB"/>
    <w:rsid w:val="0057779E"/>
    <w:rsid w:val="00577D72"/>
    <w:rsid w:val="00577E09"/>
    <w:rsid w:val="00577E3E"/>
    <w:rsid w:val="00580287"/>
    <w:rsid w:val="00580597"/>
    <w:rsid w:val="00580789"/>
    <w:rsid w:val="005808F4"/>
    <w:rsid w:val="005809AC"/>
    <w:rsid w:val="00580EBD"/>
    <w:rsid w:val="005811E5"/>
    <w:rsid w:val="005814E1"/>
    <w:rsid w:val="00581785"/>
    <w:rsid w:val="00582258"/>
    <w:rsid w:val="005823C6"/>
    <w:rsid w:val="005825CE"/>
    <w:rsid w:val="00582644"/>
    <w:rsid w:val="00582709"/>
    <w:rsid w:val="00582B71"/>
    <w:rsid w:val="00583005"/>
    <w:rsid w:val="005831D9"/>
    <w:rsid w:val="00583429"/>
    <w:rsid w:val="0058353C"/>
    <w:rsid w:val="005835E8"/>
    <w:rsid w:val="00583971"/>
    <w:rsid w:val="00583AD1"/>
    <w:rsid w:val="00583B52"/>
    <w:rsid w:val="00583BD3"/>
    <w:rsid w:val="00583C93"/>
    <w:rsid w:val="00583F6F"/>
    <w:rsid w:val="00584030"/>
    <w:rsid w:val="005840D0"/>
    <w:rsid w:val="0058410B"/>
    <w:rsid w:val="00584206"/>
    <w:rsid w:val="00584A9F"/>
    <w:rsid w:val="00584C3A"/>
    <w:rsid w:val="005854C6"/>
    <w:rsid w:val="0058562B"/>
    <w:rsid w:val="00585C69"/>
    <w:rsid w:val="00585D95"/>
    <w:rsid w:val="0058608C"/>
    <w:rsid w:val="00586378"/>
    <w:rsid w:val="00586596"/>
    <w:rsid w:val="00586E10"/>
    <w:rsid w:val="0058701B"/>
    <w:rsid w:val="0058715A"/>
    <w:rsid w:val="00587367"/>
    <w:rsid w:val="0058744F"/>
    <w:rsid w:val="005875C1"/>
    <w:rsid w:val="00587666"/>
    <w:rsid w:val="00587C7D"/>
    <w:rsid w:val="00587F01"/>
    <w:rsid w:val="00590368"/>
    <w:rsid w:val="005905D5"/>
    <w:rsid w:val="0059074B"/>
    <w:rsid w:val="00590CDD"/>
    <w:rsid w:val="00590FF4"/>
    <w:rsid w:val="005910A5"/>
    <w:rsid w:val="005913BD"/>
    <w:rsid w:val="00591461"/>
    <w:rsid w:val="0059209B"/>
    <w:rsid w:val="005921BB"/>
    <w:rsid w:val="005925DE"/>
    <w:rsid w:val="005925E2"/>
    <w:rsid w:val="00592933"/>
    <w:rsid w:val="00592ABE"/>
    <w:rsid w:val="00592B80"/>
    <w:rsid w:val="00592DD3"/>
    <w:rsid w:val="00592DF2"/>
    <w:rsid w:val="00592E89"/>
    <w:rsid w:val="00592F3F"/>
    <w:rsid w:val="005935FC"/>
    <w:rsid w:val="00593653"/>
    <w:rsid w:val="005939A4"/>
    <w:rsid w:val="00593CDD"/>
    <w:rsid w:val="00593F89"/>
    <w:rsid w:val="005941CF"/>
    <w:rsid w:val="005944A3"/>
    <w:rsid w:val="00594503"/>
    <w:rsid w:val="005945AE"/>
    <w:rsid w:val="00594CE3"/>
    <w:rsid w:val="0059507F"/>
    <w:rsid w:val="00595166"/>
    <w:rsid w:val="00595279"/>
    <w:rsid w:val="005954A4"/>
    <w:rsid w:val="0059591D"/>
    <w:rsid w:val="00595CA6"/>
    <w:rsid w:val="00595EE4"/>
    <w:rsid w:val="00595F4F"/>
    <w:rsid w:val="00596043"/>
    <w:rsid w:val="00596251"/>
    <w:rsid w:val="00596676"/>
    <w:rsid w:val="00596967"/>
    <w:rsid w:val="00596A2D"/>
    <w:rsid w:val="00596B34"/>
    <w:rsid w:val="00596E56"/>
    <w:rsid w:val="0059724E"/>
    <w:rsid w:val="005975A9"/>
    <w:rsid w:val="00597659"/>
    <w:rsid w:val="005976FA"/>
    <w:rsid w:val="00597CC4"/>
    <w:rsid w:val="00597D4A"/>
    <w:rsid w:val="00597F19"/>
    <w:rsid w:val="00597FF9"/>
    <w:rsid w:val="005A0152"/>
    <w:rsid w:val="005A02FE"/>
    <w:rsid w:val="005A066B"/>
    <w:rsid w:val="005A0E28"/>
    <w:rsid w:val="005A0F7F"/>
    <w:rsid w:val="005A131B"/>
    <w:rsid w:val="005A18D1"/>
    <w:rsid w:val="005A1CCC"/>
    <w:rsid w:val="005A21D0"/>
    <w:rsid w:val="005A2DDE"/>
    <w:rsid w:val="005A2E34"/>
    <w:rsid w:val="005A2F55"/>
    <w:rsid w:val="005A3097"/>
    <w:rsid w:val="005A310E"/>
    <w:rsid w:val="005A31BE"/>
    <w:rsid w:val="005A3542"/>
    <w:rsid w:val="005A368A"/>
    <w:rsid w:val="005A39DE"/>
    <w:rsid w:val="005A3C21"/>
    <w:rsid w:val="005A3EA8"/>
    <w:rsid w:val="005A3FE2"/>
    <w:rsid w:val="005A483B"/>
    <w:rsid w:val="005A4CBE"/>
    <w:rsid w:val="005A52E9"/>
    <w:rsid w:val="005A5303"/>
    <w:rsid w:val="005A59F2"/>
    <w:rsid w:val="005A5F1D"/>
    <w:rsid w:val="005A61B6"/>
    <w:rsid w:val="005A61C1"/>
    <w:rsid w:val="005A645C"/>
    <w:rsid w:val="005A67E9"/>
    <w:rsid w:val="005A6905"/>
    <w:rsid w:val="005A6910"/>
    <w:rsid w:val="005A6953"/>
    <w:rsid w:val="005A6D76"/>
    <w:rsid w:val="005A6E0A"/>
    <w:rsid w:val="005A6F8E"/>
    <w:rsid w:val="005A7235"/>
    <w:rsid w:val="005A72D0"/>
    <w:rsid w:val="005A7D5E"/>
    <w:rsid w:val="005A7F7B"/>
    <w:rsid w:val="005B0346"/>
    <w:rsid w:val="005B06E7"/>
    <w:rsid w:val="005B0786"/>
    <w:rsid w:val="005B0F78"/>
    <w:rsid w:val="005B1487"/>
    <w:rsid w:val="005B1567"/>
    <w:rsid w:val="005B18DC"/>
    <w:rsid w:val="005B1A6B"/>
    <w:rsid w:val="005B1AB9"/>
    <w:rsid w:val="005B1C36"/>
    <w:rsid w:val="005B1C63"/>
    <w:rsid w:val="005B1C92"/>
    <w:rsid w:val="005B1E4D"/>
    <w:rsid w:val="005B2251"/>
    <w:rsid w:val="005B246A"/>
    <w:rsid w:val="005B24A0"/>
    <w:rsid w:val="005B268D"/>
    <w:rsid w:val="005B2690"/>
    <w:rsid w:val="005B274E"/>
    <w:rsid w:val="005B2A7E"/>
    <w:rsid w:val="005B2F85"/>
    <w:rsid w:val="005B320E"/>
    <w:rsid w:val="005B3724"/>
    <w:rsid w:val="005B3BF4"/>
    <w:rsid w:val="005B3E1C"/>
    <w:rsid w:val="005B43FA"/>
    <w:rsid w:val="005B46E5"/>
    <w:rsid w:val="005B49D7"/>
    <w:rsid w:val="005B4A8D"/>
    <w:rsid w:val="005B4D34"/>
    <w:rsid w:val="005B5024"/>
    <w:rsid w:val="005B507F"/>
    <w:rsid w:val="005B5117"/>
    <w:rsid w:val="005B587E"/>
    <w:rsid w:val="005B5C5C"/>
    <w:rsid w:val="005B5CB4"/>
    <w:rsid w:val="005B5D9C"/>
    <w:rsid w:val="005B6506"/>
    <w:rsid w:val="005B675C"/>
    <w:rsid w:val="005B6808"/>
    <w:rsid w:val="005B6974"/>
    <w:rsid w:val="005B6983"/>
    <w:rsid w:val="005B6CB8"/>
    <w:rsid w:val="005B7216"/>
    <w:rsid w:val="005B73E4"/>
    <w:rsid w:val="005B7609"/>
    <w:rsid w:val="005B77E8"/>
    <w:rsid w:val="005B7D03"/>
    <w:rsid w:val="005B7E70"/>
    <w:rsid w:val="005B7FFA"/>
    <w:rsid w:val="005C052E"/>
    <w:rsid w:val="005C0665"/>
    <w:rsid w:val="005C0669"/>
    <w:rsid w:val="005C0AC9"/>
    <w:rsid w:val="005C12A4"/>
    <w:rsid w:val="005C12DA"/>
    <w:rsid w:val="005C1818"/>
    <w:rsid w:val="005C1963"/>
    <w:rsid w:val="005C19AC"/>
    <w:rsid w:val="005C1F20"/>
    <w:rsid w:val="005C1F94"/>
    <w:rsid w:val="005C1FAE"/>
    <w:rsid w:val="005C2D65"/>
    <w:rsid w:val="005C2E82"/>
    <w:rsid w:val="005C32F5"/>
    <w:rsid w:val="005C3837"/>
    <w:rsid w:val="005C3A99"/>
    <w:rsid w:val="005C3D20"/>
    <w:rsid w:val="005C3E65"/>
    <w:rsid w:val="005C420B"/>
    <w:rsid w:val="005C4AF8"/>
    <w:rsid w:val="005C4D07"/>
    <w:rsid w:val="005C4D2A"/>
    <w:rsid w:val="005C4E16"/>
    <w:rsid w:val="005C5938"/>
    <w:rsid w:val="005C5A66"/>
    <w:rsid w:val="005C5C3A"/>
    <w:rsid w:val="005C60F4"/>
    <w:rsid w:val="005C62E8"/>
    <w:rsid w:val="005C6B53"/>
    <w:rsid w:val="005C6B87"/>
    <w:rsid w:val="005C7168"/>
    <w:rsid w:val="005C729B"/>
    <w:rsid w:val="005C752E"/>
    <w:rsid w:val="005C7759"/>
    <w:rsid w:val="005C7834"/>
    <w:rsid w:val="005C79E4"/>
    <w:rsid w:val="005C7D2C"/>
    <w:rsid w:val="005C7FE5"/>
    <w:rsid w:val="005D06CE"/>
    <w:rsid w:val="005D093F"/>
    <w:rsid w:val="005D0B93"/>
    <w:rsid w:val="005D0DDD"/>
    <w:rsid w:val="005D0F4B"/>
    <w:rsid w:val="005D0F97"/>
    <w:rsid w:val="005D1338"/>
    <w:rsid w:val="005D16B6"/>
    <w:rsid w:val="005D1A23"/>
    <w:rsid w:val="005D1D11"/>
    <w:rsid w:val="005D1D4F"/>
    <w:rsid w:val="005D20C2"/>
    <w:rsid w:val="005D21D9"/>
    <w:rsid w:val="005D21F9"/>
    <w:rsid w:val="005D22C8"/>
    <w:rsid w:val="005D29AD"/>
    <w:rsid w:val="005D2B0B"/>
    <w:rsid w:val="005D2EAA"/>
    <w:rsid w:val="005D2EF7"/>
    <w:rsid w:val="005D34FD"/>
    <w:rsid w:val="005D3581"/>
    <w:rsid w:val="005D3729"/>
    <w:rsid w:val="005D39C5"/>
    <w:rsid w:val="005D39F2"/>
    <w:rsid w:val="005D3B35"/>
    <w:rsid w:val="005D3FB9"/>
    <w:rsid w:val="005D4239"/>
    <w:rsid w:val="005D4259"/>
    <w:rsid w:val="005D4303"/>
    <w:rsid w:val="005D477D"/>
    <w:rsid w:val="005D4F05"/>
    <w:rsid w:val="005D50F2"/>
    <w:rsid w:val="005D5325"/>
    <w:rsid w:val="005D589D"/>
    <w:rsid w:val="005D5D4A"/>
    <w:rsid w:val="005D628B"/>
    <w:rsid w:val="005D678B"/>
    <w:rsid w:val="005D703F"/>
    <w:rsid w:val="005D753D"/>
    <w:rsid w:val="005D75BF"/>
    <w:rsid w:val="005D796D"/>
    <w:rsid w:val="005D7A7A"/>
    <w:rsid w:val="005D7AA4"/>
    <w:rsid w:val="005D7CDE"/>
    <w:rsid w:val="005D7E80"/>
    <w:rsid w:val="005E00C7"/>
    <w:rsid w:val="005E05C4"/>
    <w:rsid w:val="005E0749"/>
    <w:rsid w:val="005E0836"/>
    <w:rsid w:val="005E0C0F"/>
    <w:rsid w:val="005E0EC4"/>
    <w:rsid w:val="005E13B5"/>
    <w:rsid w:val="005E13CB"/>
    <w:rsid w:val="005E2534"/>
    <w:rsid w:val="005E25AF"/>
    <w:rsid w:val="005E2E53"/>
    <w:rsid w:val="005E2EFD"/>
    <w:rsid w:val="005E3372"/>
    <w:rsid w:val="005E36F1"/>
    <w:rsid w:val="005E3BB5"/>
    <w:rsid w:val="005E3D11"/>
    <w:rsid w:val="005E3F92"/>
    <w:rsid w:val="005E4443"/>
    <w:rsid w:val="005E49F5"/>
    <w:rsid w:val="005E4B99"/>
    <w:rsid w:val="005E53BD"/>
    <w:rsid w:val="005E548E"/>
    <w:rsid w:val="005E56A6"/>
    <w:rsid w:val="005E5975"/>
    <w:rsid w:val="005E6234"/>
    <w:rsid w:val="005E6586"/>
    <w:rsid w:val="005E687A"/>
    <w:rsid w:val="005E6938"/>
    <w:rsid w:val="005E6A35"/>
    <w:rsid w:val="005E6A9A"/>
    <w:rsid w:val="005E6AF3"/>
    <w:rsid w:val="005E6CA6"/>
    <w:rsid w:val="005E716A"/>
    <w:rsid w:val="005E732A"/>
    <w:rsid w:val="005E776E"/>
    <w:rsid w:val="005E7852"/>
    <w:rsid w:val="005E7CFD"/>
    <w:rsid w:val="005F0206"/>
    <w:rsid w:val="005F02C6"/>
    <w:rsid w:val="005F0596"/>
    <w:rsid w:val="005F05C7"/>
    <w:rsid w:val="005F066B"/>
    <w:rsid w:val="005F0AF4"/>
    <w:rsid w:val="005F1064"/>
    <w:rsid w:val="005F12DF"/>
    <w:rsid w:val="005F1310"/>
    <w:rsid w:val="005F13DD"/>
    <w:rsid w:val="005F154F"/>
    <w:rsid w:val="005F16FD"/>
    <w:rsid w:val="005F17C2"/>
    <w:rsid w:val="005F18E8"/>
    <w:rsid w:val="005F19E5"/>
    <w:rsid w:val="005F1A56"/>
    <w:rsid w:val="005F1AB1"/>
    <w:rsid w:val="005F1ABE"/>
    <w:rsid w:val="005F1B63"/>
    <w:rsid w:val="005F1C72"/>
    <w:rsid w:val="005F1DD9"/>
    <w:rsid w:val="005F22B5"/>
    <w:rsid w:val="005F2422"/>
    <w:rsid w:val="005F2726"/>
    <w:rsid w:val="005F28E5"/>
    <w:rsid w:val="005F2938"/>
    <w:rsid w:val="005F2E7E"/>
    <w:rsid w:val="005F3487"/>
    <w:rsid w:val="005F36C4"/>
    <w:rsid w:val="005F39C0"/>
    <w:rsid w:val="005F3CAD"/>
    <w:rsid w:val="005F4BF8"/>
    <w:rsid w:val="005F4F36"/>
    <w:rsid w:val="005F5019"/>
    <w:rsid w:val="005F51EE"/>
    <w:rsid w:val="005F5292"/>
    <w:rsid w:val="005F5630"/>
    <w:rsid w:val="005F598B"/>
    <w:rsid w:val="005F630E"/>
    <w:rsid w:val="005F6329"/>
    <w:rsid w:val="005F66CA"/>
    <w:rsid w:val="005F6C8E"/>
    <w:rsid w:val="005F6CD3"/>
    <w:rsid w:val="005F6CE2"/>
    <w:rsid w:val="005F6FA0"/>
    <w:rsid w:val="005F736A"/>
    <w:rsid w:val="005F73AA"/>
    <w:rsid w:val="005F73DD"/>
    <w:rsid w:val="005F741B"/>
    <w:rsid w:val="005F7422"/>
    <w:rsid w:val="005F7B39"/>
    <w:rsid w:val="005F7D52"/>
    <w:rsid w:val="005F7FE2"/>
    <w:rsid w:val="006000F2"/>
    <w:rsid w:val="00600597"/>
    <w:rsid w:val="006005DE"/>
    <w:rsid w:val="00600A49"/>
    <w:rsid w:val="00600F32"/>
    <w:rsid w:val="006010FD"/>
    <w:rsid w:val="006012D5"/>
    <w:rsid w:val="006013BC"/>
    <w:rsid w:val="00601662"/>
    <w:rsid w:val="006016D6"/>
    <w:rsid w:val="00601A20"/>
    <w:rsid w:val="00601DDD"/>
    <w:rsid w:val="00601DE3"/>
    <w:rsid w:val="0060210E"/>
    <w:rsid w:val="0060217E"/>
    <w:rsid w:val="006023E3"/>
    <w:rsid w:val="00602496"/>
    <w:rsid w:val="00602837"/>
    <w:rsid w:val="00602BB2"/>
    <w:rsid w:val="00602DF2"/>
    <w:rsid w:val="006033F3"/>
    <w:rsid w:val="00603897"/>
    <w:rsid w:val="006039AE"/>
    <w:rsid w:val="00603C42"/>
    <w:rsid w:val="006042DF"/>
    <w:rsid w:val="006042EC"/>
    <w:rsid w:val="006046EA"/>
    <w:rsid w:val="00604728"/>
    <w:rsid w:val="006047AA"/>
    <w:rsid w:val="00604A24"/>
    <w:rsid w:val="00604B53"/>
    <w:rsid w:val="00604C63"/>
    <w:rsid w:val="00604D80"/>
    <w:rsid w:val="00605443"/>
    <w:rsid w:val="0060551F"/>
    <w:rsid w:val="0060559C"/>
    <w:rsid w:val="00606464"/>
    <w:rsid w:val="00606609"/>
    <w:rsid w:val="006067DA"/>
    <w:rsid w:val="0060680C"/>
    <w:rsid w:val="00606DF2"/>
    <w:rsid w:val="00606E32"/>
    <w:rsid w:val="006070B6"/>
    <w:rsid w:val="006073D6"/>
    <w:rsid w:val="00610005"/>
    <w:rsid w:val="00610261"/>
    <w:rsid w:val="00610591"/>
    <w:rsid w:val="00610888"/>
    <w:rsid w:val="00610A6F"/>
    <w:rsid w:val="00610E82"/>
    <w:rsid w:val="0061160E"/>
    <w:rsid w:val="006117A6"/>
    <w:rsid w:val="00611B5D"/>
    <w:rsid w:val="00612053"/>
    <w:rsid w:val="0061244B"/>
    <w:rsid w:val="00612716"/>
    <w:rsid w:val="0061276F"/>
    <w:rsid w:val="00612A4D"/>
    <w:rsid w:val="00612CCC"/>
    <w:rsid w:val="00612ED0"/>
    <w:rsid w:val="006132F6"/>
    <w:rsid w:val="006137E2"/>
    <w:rsid w:val="00613811"/>
    <w:rsid w:val="00613867"/>
    <w:rsid w:val="00613BA3"/>
    <w:rsid w:val="0061400F"/>
    <w:rsid w:val="00614187"/>
    <w:rsid w:val="00614612"/>
    <w:rsid w:val="00614B6B"/>
    <w:rsid w:val="00614CE0"/>
    <w:rsid w:val="00614FB1"/>
    <w:rsid w:val="00615706"/>
    <w:rsid w:val="006157E2"/>
    <w:rsid w:val="0061581C"/>
    <w:rsid w:val="006159AE"/>
    <w:rsid w:val="00615DC0"/>
    <w:rsid w:val="00616128"/>
    <w:rsid w:val="006164C5"/>
    <w:rsid w:val="006165D5"/>
    <w:rsid w:val="0061684A"/>
    <w:rsid w:val="00616A40"/>
    <w:rsid w:val="00616C93"/>
    <w:rsid w:val="00616F08"/>
    <w:rsid w:val="006173CF"/>
    <w:rsid w:val="00617654"/>
    <w:rsid w:val="006176F6"/>
    <w:rsid w:val="006177A8"/>
    <w:rsid w:val="00617B74"/>
    <w:rsid w:val="00617BEA"/>
    <w:rsid w:val="00617DC2"/>
    <w:rsid w:val="0062020D"/>
    <w:rsid w:val="006209BC"/>
    <w:rsid w:val="00620A27"/>
    <w:rsid w:val="00620A8F"/>
    <w:rsid w:val="00621196"/>
    <w:rsid w:val="006215A2"/>
    <w:rsid w:val="006217A5"/>
    <w:rsid w:val="00621E62"/>
    <w:rsid w:val="006225C4"/>
    <w:rsid w:val="006227D9"/>
    <w:rsid w:val="00622950"/>
    <w:rsid w:val="0062296B"/>
    <w:rsid w:val="00622F83"/>
    <w:rsid w:val="00622FD2"/>
    <w:rsid w:val="00623144"/>
    <w:rsid w:val="006231DE"/>
    <w:rsid w:val="0062327A"/>
    <w:rsid w:val="006234D8"/>
    <w:rsid w:val="00623712"/>
    <w:rsid w:val="0062375C"/>
    <w:rsid w:val="006238BA"/>
    <w:rsid w:val="00623953"/>
    <w:rsid w:val="00623B3D"/>
    <w:rsid w:val="00623F6C"/>
    <w:rsid w:val="0062412C"/>
    <w:rsid w:val="00624776"/>
    <w:rsid w:val="0062486B"/>
    <w:rsid w:val="006248A6"/>
    <w:rsid w:val="00624E32"/>
    <w:rsid w:val="00624F20"/>
    <w:rsid w:val="00625027"/>
    <w:rsid w:val="00625C15"/>
    <w:rsid w:val="00625CFD"/>
    <w:rsid w:val="00625E77"/>
    <w:rsid w:val="00626058"/>
    <w:rsid w:val="00626233"/>
    <w:rsid w:val="00626D28"/>
    <w:rsid w:val="00626E1B"/>
    <w:rsid w:val="006272AA"/>
    <w:rsid w:val="0062732B"/>
    <w:rsid w:val="0062771E"/>
    <w:rsid w:val="006278DF"/>
    <w:rsid w:val="00627A19"/>
    <w:rsid w:val="00627A5D"/>
    <w:rsid w:val="00627D2E"/>
    <w:rsid w:val="00627F41"/>
    <w:rsid w:val="006304BC"/>
    <w:rsid w:val="006309ED"/>
    <w:rsid w:val="00630A9B"/>
    <w:rsid w:val="00630C09"/>
    <w:rsid w:val="00630D41"/>
    <w:rsid w:val="00631247"/>
    <w:rsid w:val="00631315"/>
    <w:rsid w:val="006314AA"/>
    <w:rsid w:val="006315A9"/>
    <w:rsid w:val="006316F0"/>
    <w:rsid w:val="00631739"/>
    <w:rsid w:val="00631886"/>
    <w:rsid w:val="00631A39"/>
    <w:rsid w:val="00631ADE"/>
    <w:rsid w:val="00631BE0"/>
    <w:rsid w:val="00631D2C"/>
    <w:rsid w:val="00631D92"/>
    <w:rsid w:val="00632026"/>
    <w:rsid w:val="006324BA"/>
    <w:rsid w:val="006329E7"/>
    <w:rsid w:val="006329EE"/>
    <w:rsid w:val="006329FE"/>
    <w:rsid w:val="00632EF6"/>
    <w:rsid w:val="00632F14"/>
    <w:rsid w:val="006331C1"/>
    <w:rsid w:val="0063320F"/>
    <w:rsid w:val="0063347E"/>
    <w:rsid w:val="006334E1"/>
    <w:rsid w:val="006335C6"/>
    <w:rsid w:val="00633D6A"/>
    <w:rsid w:val="00633ED5"/>
    <w:rsid w:val="00634226"/>
    <w:rsid w:val="00634227"/>
    <w:rsid w:val="006342D4"/>
    <w:rsid w:val="00634DED"/>
    <w:rsid w:val="00635493"/>
    <w:rsid w:val="00635B37"/>
    <w:rsid w:val="00635E93"/>
    <w:rsid w:val="00636172"/>
    <w:rsid w:val="00636495"/>
    <w:rsid w:val="0063649C"/>
    <w:rsid w:val="00636562"/>
    <w:rsid w:val="0063657F"/>
    <w:rsid w:val="006366B1"/>
    <w:rsid w:val="006366EE"/>
    <w:rsid w:val="0063681E"/>
    <w:rsid w:val="00636852"/>
    <w:rsid w:val="0063688F"/>
    <w:rsid w:val="00636ED6"/>
    <w:rsid w:val="00636F70"/>
    <w:rsid w:val="00636F71"/>
    <w:rsid w:val="00636FDF"/>
    <w:rsid w:val="00637378"/>
    <w:rsid w:val="00637C8E"/>
    <w:rsid w:val="00637D1E"/>
    <w:rsid w:val="00637DAC"/>
    <w:rsid w:val="00640719"/>
    <w:rsid w:val="006407CC"/>
    <w:rsid w:val="0064085F"/>
    <w:rsid w:val="00640B7D"/>
    <w:rsid w:val="00640DA5"/>
    <w:rsid w:val="00640EFE"/>
    <w:rsid w:val="00641120"/>
    <w:rsid w:val="00641237"/>
    <w:rsid w:val="00641878"/>
    <w:rsid w:val="00641CCD"/>
    <w:rsid w:val="00642182"/>
    <w:rsid w:val="006424A4"/>
    <w:rsid w:val="00642ABA"/>
    <w:rsid w:val="00642D01"/>
    <w:rsid w:val="00642EA4"/>
    <w:rsid w:val="00643080"/>
    <w:rsid w:val="00643093"/>
    <w:rsid w:val="006430C1"/>
    <w:rsid w:val="0064314F"/>
    <w:rsid w:val="006433C8"/>
    <w:rsid w:val="00643599"/>
    <w:rsid w:val="006436C7"/>
    <w:rsid w:val="006439D0"/>
    <w:rsid w:val="00643AE7"/>
    <w:rsid w:val="00643B53"/>
    <w:rsid w:val="00643D6D"/>
    <w:rsid w:val="00643E25"/>
    <w:rsid w:val="00643E87"/>
    <w:rsid w:val="00644262"/>
    <w:rsid w:val="00644450"/>
    <w:rsid w:val="00644562"/>
    <w:rsid w:val="00644588"/>
    <w:rsid w:val="0064462B"/>
    <w:rsid w:val="006449B9"/>
    <w:rsid w:val="00644D7A"/>
    <w:rsid w:val="00644E7F"/>
    <w:rsid w:val="006452F3"/>
    <w:rsid w:val="00645727"/>
    <w:rsid w:val="0064580A"/>
    <w:rsid w:val="00645AA3"/>
    <w:rsid w:val="00645EA8"/>
    <w:rsid w:val="00645EDD"/>
    <w:rsid w:val="00645F4A"/>
    <w:rsid w:val="00646009"/>
    <w:rsid w:val="00646197"/>
    <w:rsid w:val="006461E9"/>
    <w:rsid w:val="006462FE"/>
    <w:rsid w:val="006463F2"/>
    <w:rsid w:val="0064646D"/>
    <w:rsid w:val="00646730"/>
    <w:rsid w:val="00646765"/>
    <w:rsid w:val="00646C2E"/>
    <w:rsid w:val="00646CE6"/>
    <w:rsid w:val="00646F8E"/>
    <w:rsid w:val="00647051"/>
    <w:rsid w:val="00647148"/>
    <w:rsid w:val="0064770A"/>
    <w:rsid w:val="00647894"/>
    <w:rsid w:val="006500AF"/>
    <w:rsid w:val="006500C6"/>
    <w:rsid w:val="006508CD"/>
    <w:rsid w:val="00650AB8"/>
    <w:rsid w:val="00650BBA"/>
    <w:rsid w:val="00650E18"/>
    <w:rsid w:val="00650E60"/>
    <w:rsid w:val="00651097"/>
    <w:rsid w:val="006510CF"/>
    <w:rsid w:val="006511EF"/>
    <w:rsid w:val="0065126C"/>
    <w:rsid w:val="00651291"/>
    <w:rsid w:val="006516F5"/>
    <w:rsid w:val="00651E11"/>
    <w:rsid w:val="00651F8D"/>
    <w:rsid w:val="0065216D"/>
    <w:rsid w:val="0065217B"/>
    <w:rsid w:val="006521C7"/>
    <w:rsid w:val="00652222"/>
    <w:rsid w:val="006527C2"/>
    <w:rsid w:val="006527D4"/>
    <w:rsid w:val="0065295D"/>
    <w:rsid w:val="00652D46"/>
    <w:rsid w:val="00653108"/>
    <w:rsid w:val="00653200"/>
    <w:rsid w:val="006537AE"/>
    <w:rsid w:val="00653857"/>
    <w:rsid w:val="006538F6"/>
    <w:rsid w:val="00653A3E"/>
    <w:rsid w:val="00653BBB"/>
    <w:rsid w:val="00654067"/>
    <w:rsid w:val="00654C24"/>
    <w:rsid w:val="00654CEB"/>
    <w:rsid w:val="00654CF3"/>
    <w:rsid w:val="00654D55"/>
    <w:rsid w:val="00654F72"/>
    <w:rsid w:val="006550BE"/>
    <w:rsid w:val="00655192"/>
    <w:rsid w:val="006554C4"/>
    <w:rsid w:val="006555E1"/>
    <w:rsid w:val="00655E13"/>
    <w:rsid w:val="00656065"/>
    <w:rsid w:val="0065630C"/>
    <w:rsid w:val="00656337"/>
    <w:rsid w:val="00656722"/>
    <w:rsid w:val="0065682D"/>
    <w:rsid w:val="00656D57"/>
    <w:rsid w:val="00656ED1"/>
    <w:rsid w:val="006572F7"/>
    <w:rsid w:val="006574F9"/>
    <w:rsid w:val="00657630"/>
    <w:rsid w:val="00657832"/>
    <w:rsid w:val="00657925"/>
    <w:rsid w:val="0065796A"/>
    <w:rsid w:val="00657AB5"/>
    <w:rsid w:val="00657EDA"/>
    <w:rsid w:val="006600BB"/>
    <w:rsid w:val="006600CD"/>
    <w:rsid w:val="006603E1"/>
    <w:rsid w:val="00660497"/>
    <w:rsid w:val="006606E8"/>
    <w:rsid w:val="006606F6"/>
    <w:rsid w:val="00660865"/>
    <w:rsid w:val="00660BC6"/>
    <w:rsid w:val="00660C3A"/>
    <w:rsid w:val="006612C4"/>
    <w:rsid w:val="00661369"/>
    <w:rsid w:val="00661472"/>
    <w:rsid w:val="00661475"/>
    <w:rsid w:val="006615FC"/>
    <w:rsid w:val="00661972"/>
    <w:rsid w:val="00661BE5"/>
    <w:rsid w:val="00661C62"/>
    <w:rsid w:val="00662085"/>
    <w:rsid w:val="006620E1"/>
    <w:rsid w:val="00662465"/>
    <w:rsid w:val="00662575"/>
    <w:rsid w:val="00662903"/>
    <w:rsid w:val="006629C1"/>
    <w:rsid w:val="00662F98"/>
    <w:rsid w:val="00662FDC"/>
    <w:rsid w:val="00663193"/>
    <w:rsid w:val="00663295"/>
    <w:rsid w:val="006633CF"/>
    <w:rsid w:val="00663691"/>
    <w:rsid w:val="0066379D"/>
    <w:rsid w:val="00664172"/>
    <w:rsid w:val="0066477F"/>
    <w:rsid w:val="006647B7"/>
    <w:rsid w:val="00664C46"/>
    <w:rsid w:val="00664F4F"/>
    <w:rsid w:val="006650A6"/>
    <w:rsid w:val="00665C37"/>
    <w:rsid w:val="00665D20"/>
    <w:rsid w:val="00666128"/>
    <w:rsid w:val="006661FB"/>
    <w:rsid w:val="00666731"/>
    <w:rsid w:val="00666EBC"/>
    <w:rsid w:val="00667107"/>
    <w:rsid w:val="006677D9"/>
    <w:rsid w:val="00667E8E"/>
    <w:rsid w:val="00667F45"/>
    <w:rsid w:val="0067085E"/>
    <w:rsid w:val="006708BA"/>
    <w:rsid w:val="006708D3"/>
    <w:rsid w:val="006709E0"/>
    <w:rsid w:val="00670D88"/>
    <w:rsid w:val="00670DD6"/>
    <w:rsid w:val="00670FBF"/>
    <w:rsid w:val="00671017"/>
    <w:rsid w:val="0067132A"/>
    <w:rsid w:val="0067181D"/>
    <w:rsid w:val="006719A0"/>
    <w:rsid w:val="00671AD2"/>
    <w:rsid w:val="00672663"/>
    <w:rsid w:val="0067271E"/>
    <w:rsid w:val="006728BD"/>
    <w:rsid w:val="006729B4"/>
    <w:rsid w:val="00672B4E"/>
    <w:rsid w:val="00672CD2"/>
    <w:rsid w:val="00672D05"/>
    <w:rsid w:val="00672D2D"/>
    <w:rsid w:val="0067323C"/>
    <w:rsid w:val="0067351E"/>
    <w:rsid w:val="00673596"/>
    <w:rsid w:val="006735EE"/>
    <w:rsid w:val="00673718"/>
    <w:rsid w:val="00673841"/>
    <w:rsid w:val="00673AFA"/>
    <w:rsid w:val="00673DEC"/>
    <w:rsid w:val="00674248"/>
    <w:rsid w:val="00674530"/>
    <w:rsid w:val="006749D0"/>
    <w:rsid w:val="00674EB0"/>
    <w:rsid w:val="00674F71"/>
    <w:rsid w:val="00674FB6"/>
    <w:rsid w:val="00674FEF"/>
    <w:rsid w:val="006750EF"/>
    <w:rsid w:val="00675135"/>
    <w:rsid w:val="0067533A"/>
    <w:rsid w:val="006753F5"/>
    <w:rsid w:val="00675DC7"/>
    <w:rsid w:val="00675EBD"/>
    <w:rsid w:val="00676170"/>
    <w:rsid w:val="0067620C"/>
    <w:rsid w:val="006766A1"/>
    <w:rsid w:val="00676A2E"/>
    <w:rsid w:val="00676A74"/>
    <w:rsid w:val="00676F70"/>
    <w:rsid w:val="00677528"/>
    <w:rsid w:val="006778BB"/>
    <w:rsid w:val="00680101"/>
    <w:rsid w:val="006804BD"/>
    <w:rsid w:val="00680FB7"/>
    <w:rsid w:val="006814EE"/>
    <w:rsid w:val="00681502"/>
    <w:rsid w:val="0068160D"/>
    <w:rsid w:val="006816A2"/>
    <w:rsid w:val="006816C4"/>
    <w:rsid w:val="0068171E"/>
    <w:rsid w:val="006819B8"/>
    <w:rsid w:val="00682054"/>
    <w:rsid w:val="0068226F"/>
    <w:rsid w:val="0068230F"/>
    <w:rsid w:val="00682697"/>
    <w:rsid w:val="00682CD7"/>
    <w:rsid w:val="00682F67"/>
    <w:rsid w:val="00683188"/>
    <w:rsid w:val="0068344A"/>
    <w:rsid w:val="00683FBE"/>
    <w:rsid w:val="00684060"/>
    <w:rsid w:val="00684282"/>
    <w:rsid w:val="00684801"/>
    <w:rsid w:val="00684FEA"/>
    <w:rsid w:val="0068500D"/>
    <w:rsid w:val="006851D0"/>
    <w:rsid w:val="00685225"/>
    <w:rsid w:val="006852C1"/>
    <w:rsid w:val="006853D0"/>
    <w:rsid w:val="006854A2"/>
    <w:rsid w:val="00685656"/>
    <w:rsid w:val="0068582C"/>
    <w:rsid w:val="00685B86"/>
    <w:rsid w:val="00685F96"/>
    <w:rsid w:val="00685FEF"/>
    <w:rsid w:val="00686023"/>
    <w:rsid w:val="0068636E"/>
    <w:rsid w:val="0068639A"/>
    <w:rsid w:val="006864EA"/>
    <w:rsid w:val="00686BFB"/>
    <w:rsid w:val="00686D95"/>
    <w:rsid w:val="00686DA8"/>
    <w:rsid w:val="00686F4F"/>
    <w:rsid w:val="00686FAA"/>
    <w:rsid w:val="0068799C"/>
    <w:rsid w:val="00687EE7"/>
    <w:rsid w:val="006900EC"/>
    <w:rsid w:val="00690128"/>
    <w:rsid w:val="00690282"/>
    <w:rsid w:val="006905F2"/>
    <w:rsid w:val="00690721"/>
    <w:rsid w:val="00690A84"/>
    <w:rsid w:val="00690A93"/>
    <w:rsid w:val="00690BB9"/>
    <w:rsid w:val="00690C8C"/>
    <w:rsid w:val="0069192D"/>
    <w:rsid w:val="00691BD5"/>
    <w:rsid w:val="00691C6F"/>
    <w:rsid w:val="00691DCF"/>
    <w:rsid w:val="006922E1"/>
    <w:rsid w:val="006922F2"/>
    <w:rsid w:val="006926F3"/>
    <w:rsid w:val="0069270A"/>
    <w:rsid w:val="00692931"/>
    <w:rsid w:val="006929AA"/>
    <w:rsid w:val="00692D21"/>
    <w:rsid w:val="00692ECD"/>
    <w:rsid w:val="006930A4"/>
    <w:rsid w:val="0069375E"/>
    <w:rsid w:val="0069378A"/>
    <w:rsid w:val="0069397A"/>
    <w:rsid w:val="00693C52"/>
    <w:rsid w:val="0069435B"/>
    <w:rsid w:val="0069439D"/>
    <w:rsid w:val="00694436"/>
    <w:rsid w:val="006945E2"/>
    <w:rsid w:val="0069463E"/>
    <w:rsid w:val="006949F3"/>
    <w:rsid w:val="00694B7B"/>
    <w:rsid w:val="00694B8E"/>
    <w:rsid w:val="00694CB1"/>
    <w:rsid w:val="00694CCF"/>
    <w:rsid w:val="00694CF0"/>
    <w:rsid w:val="00694F0E"/>
    <w:rsid w:val="00694F96"/>
    <w:rsid w:val="0069510C"/>
    <w:rsid w:val="00695217"/>
    <w:rsid w:val="00695581"/>
    <w:rsid w:val="006955E7"/>
    <w:rsid w:val="006956E2"/>
    <w:rsid w:val="006958E2"/>
    <w:rsid w:val="00695947"/>
    <w:rsid w:val="00695DB4"/>
    <w:rsid w:val="00696C79"/>
    <w:rsid w:val="0069718E"/>
    <w:rsid w:val="006971F8"/>
    <w:rsid w:val="006973EF"/>
    <w:rsid w:val="0069759B"/>
    <w:rsid w:val="00697B83"/>
    <w:rsid w:val="00697BDF"/>
    <w:rsid w:val="006A000F"/>
    <w:rsid w:val="006A0182"/>
    <w:rsid w:val="006A01AA"/>
    <w:rsid w:val="006A0400"/>
    <w:rsid w:val="006A06D7"/>
    <w:rsid w:val="006A09D8"/>
    <w:rsid w:val="006A1194"/>
    <w:rsid w:val="006A11BD"/>
    <w:rsid w:val="006A131C"/>
    <w:rsid w:val="006A14A2"/>
    <w:rsid w:val="006A18A9"/>
    <w:rsid w:val="006A1A35"/>
    <w:rsid w:val="006A1B8D"/>
    <w:rsid w:val="006A1C88"/>
    <w:rsid w:val="006A1CCB"/>
    <w:rsid w:val="006A1EF3"/>
    <w:rsid w:val="006A20F6"/>
    <w:rsid w:val="006A229E"/>
    <w:rsid w:val="006A2588"/>
    <w:rsid w:val="006A27E4"/>
    <w:rsid w:val="006A2C83"/>
    <w:rsid w:val="006A2E60"/>
    <w:rsid w:val="006A2FEA"/>
    <w:rsid w:val="006A3040"/>
    <w:rsid w:val="006A31F4"/>
    <w:rsid w:val="006A324B"/>
    <w:rsid w:val="006A347F"/>
    <w:rsid w:val="006A350A"/>
    <w:rsid w:val="006A366B"/>
    <w:rsid w:val="006A3714"/>
    <w:rsid w:val="006A3A4D"/>
    <w:rsid w:val="006A3F2E"/>
    <w:rsid w:val="006A4126"/>
    <w:rsid w:val="006A4310"/>
    <w:rsid w:val="006A473F"/>
    <w:rsid w:val="006A4A21"/>
    <w:rsid w:val="006A4BF3"/>
    <w:rsid w:val="006A4D66"/>
    <w:rsid w:val="006A576F"/>
    <w:rsid w:val="006A60DA"/>
    <w:rsid w:val="006A617D"/>
    <w:rsid w:val="006A6393"/>
    <w:rsid w:val="006A6434"/>
    <w:rsid w:val="006A6672"/>
    <w:rsid w:val="006A67C3"/>
    <w:rsid w:val="006A6928"/>
    <w:rsid w:val="006A69AE"/>
    <w:rsid w:val="006A6BB0"/>
    <w:rsid w:val="006A7742"/>
    <w:rsid w:val="006A7B85"/>
    <w:rsid w:val="006A7D1A"/>
    <w:rsid w:val="006B004B"/>
    <w:rsid w:val="006B057C"/>
    <w:rsid w:val="006B07AB"/>
    <w:rsid w:val="006B07B8"/>
    <w:rsid w:val="006B0BCD"/>
    <w:rsid w:val="006B0D55"/>
    <w:rsid w:val="006B0E1A"/>
    <w:rsid w:val="006B101F"/>
    <w:rsid w:val="006B114D"/>
    <w:rsid w:val="006B12BC"/>
    <w:rsid w:val="006B13B4"/>
    <w:rsid w:val="006B16C6"/>
    <w:rsid w:val="006B1B88"/>
    <w:rsid w:val="006B259A"/>
    <w:rsid w:val="006B267E"/>
    <w:rsid w:val="006B26F2"/>
    <w:rsid w:val="006B2820"/>
    <w:rsid w:val="006B2B34"/>
    <w:rsid w:val="006B2BA6"/>
    <w:rsid w:val="006B2DAC"/>
    <w:rsid w:val="006B2FED"/>
    <w:rsid w:val="006B322A"/>
    <w:rsid w:val="006B3334"/>
    <w:rsid w:val="006B3418"/>
    <w:rsid w:val="006B3709"/>
    <w:rsid w:val="006B3769"/>
    <w:rsid w:val="006B3989"/>
    <w:rsid w:val="006B3B2E"/>
    <w:rsid w:val="006B3BE4"/>
    <w:rsid w:val="006B3D54"/>
    <w:rsid w:val="006B4514"/>
    <w:rsid w:val="006B452F"/>
    <w:rsid w:val="006B494F"/>
    <w:rsid w:val="006B498C"/>
    <w:rsid w:val="006B49FD"/>
    <w:rsid w:val="006B4C71"/>
    <w:rsid w:val="006B4D24"/>
    <w:rsid w:val="006B4F2B"/>
    <w:rsid w:val="006B515C"/>
    <w:rsid w:val="006B5207"/>
    <w:rsid w:val="006B5986"/>
    <w:rsid w:val="006B5A68"/>
    <w:rsid w:val="006B5C57"/>
    <w:rsid w:val="006B60FB"/>
    <w:rsid w:val="006B6122"/>
    <w:rsid w:val="006B61E0"/>
    <w:rsid w:val="006B637F"/>
    <w:rsid w:val="006B6925"/>
    <w:rsid w:val="006B7537"/>
    <w:rsid w:val="006B75CF"/>
    <w:rsid w:val="006B76DC"/>
    <w:rsid w:val="006C033E"/>
    <w:rsid w:val="006C04E7"/>
    <w:rsid w:val="006C0A26"/>
    <w:rsid w:val="006C0E05"/>
    <w:rsid w:val="006C0FFF"/>
    <w:rsid w:val="006C126D"/>
    <w:rsid w:val="006C1312"/>
    <w:rsid w:val="006C141D"/>
    <w:rsid w:val="006C1BCC"/>
    <w:rsid w:val="006C1C88"/>
    <w:rsid w:val="006C1E09"/>
    <w:rsid w:val="006C267F"/>
    <w:rsid w:val="006C2966"/>
    <w:rsid w:val="006C2D11"/>
    <w:rsid w:val="006C2EAE"/>
    <w:rsid w:val="006C2FB2"/>
    <w:rsid w:val="006C31B7"/>
    <w:rsid w:val="006C3BAF"/>
    <w:rsid w:val="006C3EC2"/>
    <w:rsid w:val="006C446D"/>
    <w:rsid w:val="006C44E4"/>
    <w:rsid w:val="006C4D42"/>
    <w:rsid w:val="006C4F0E"/>
    <w:rsid w:val="006C5450"/>
    <w:rsid w:val="006C54F0"/>
    <w:rsid w:val="006C563F"/>
    <w:rsid w:val="006C5726"/>
    <w:rsid w:val="006C5916"/>
    <w:rsid w:val="006C591F"/>
    <w:rsid w:val="006C681C"/>
    <w:rsid w:val="006C6A1F"/>
    <w:rsid w:val="006C6B7C"/>
    <w:rsid w:val="006C6B8C"/>
    <w:rsid w:val="006C6C00"/>
    <w:rsid w:val="006C6C1A"/>
    <w:rsid w:val="006C6DD8"/>
    <w:rsid w:val="006C71E0"/>
    <w:rsid w:val="006C7430"/>
    <w:rsid w:val="006C7B9E"/>
    <w:rsid w:val="006C7BC4"/>
    <w:rsid w:val="006D00F8"/>
    <w:rsid w:val="006D073E"/>
    <w:rsid w:val="006D081C"/>
    <w:rsid w:val="006D0EF4"/>
    <w:rsid w:val="006D1238"/>
    <w:rsid w:val="006D143A"/>
    <w:rsid w:val="006D14FF"/>
    <w:rsid w:val="006D165D"/>
    <w:rsid w:val="006D1792"/>
    <w:rsid w:val="006D1C19"/>
    <w:rsid w:val="006D1C96"/>
    <w:rsid w:val="006D2180"/>
    <w:rsid w:val="006D24AC"/>
    <w:rsid w:val="006D2A5F"/>
    <w:rsid w:val="006D2F18"/>
    <w:rsid w:val="006D31A1"/>
    <w:rsid w:val="006D38F7"/>
    <w:rsid w:val="006D3D9B"/>
    <w:rsid w:val="006D3E71"/>
    <w:rsid w:val="006D40AD"/>
    <w:rsid w:val="006D4211"/>
    <w:rsid w:val="006D4493"/>
    <w:rsid w:val="006D44C6"/>
    <w:rsid w:val="006D48E8"/>
    <w:rsid w:val="006D4950"/>
    <w:rsid w:val="006D5445"/>
    <w:rsid w:val="006D5470"/>
    <w:rsid w:val="006D5731"/>
    <w:rsid w:val="006D595B"/>
    <w:rsid w:val="006D59BE"/>
    <w:rsid w:val="006D5D37"/>
    <w:rsid w:val="006D5EFE"/>
    <w:rsid w:val="006D5F46"/>
    <w:rsid w:val="006D6262"/>
    <w:rsid w:val="006D63FD"/>
    <w:rsid w:val="006D6535"/>
    <w:rsid w:val="006D6BFD"/>
    <w:rsid w:val="006D6D02"/>
    <w:rsid w:val="006D701E"/>
    <w:rsid w:val="006D7127"/>
    <w:rsid w:val="006D73F8"/>
    <w:rsid w:val="006D7561"/>
    <w:rsid w:val="006D7D54"/>
    <w:rsid w:val="006D7E35"/>
    <w:rsid w:val="006E0095"/>
    <w:rsid w:val="006E0129"/>
    <w:rsid w:val="006E041E"/>
    <w:rsid w:val="006E043E"/>
    <w:rsid w:val="006E0479"/>
    <w:rsid w:val="006E0C42"/>
    <w:rsid w:val="006E0E12"/>
    <w:rsid w:val="006E15B0"/>
    <w:rsid w:val="006E1669"/>
    <w:rsid w:val="006E1679"/>
    <w:rsid w:val="006E1D0F"/>
    <w:rsid w:val="006E1E4D"/>
    <w:rsid w:val="006E2039"/>
    <w:rsid w:val="006E213D"/>
    <w:rsid w:val="006E2921"/>
    <w:rsid w:val="006E297E"/>
    <w:rsid w:val="006E2A4E"/>
    <w:rsid w:val="006E2AC2"/>
    <w:rsid w:val="006E2B0C"/>
    <w:rsid w:val="006E3210"/>
    <w:rsid w:val="006E32C8"/>
    <w:rsid w:val="006E37DA"/>
    <w:rsid w:val="006E3914"/>
    <w:rsid w:val="006E3D07"/>
    <w:rsid w:val="006E3EF7"/>
    <w:rsid w:val="006E4153"/>
    <w:rsid w:val="006E41CE"/>
    <w:rsid w:val="006E42BB"/>
    <w:rsid w:val="006E46D4"/>
    <w:rsid w:val="006E4B35"/>
    <w:rsid w:val="006E52BD"/>
    <w:rsid w:val="006E52BF"/>
    <w:rsid w:val="006E54CA"/>
    <w:rsid w:val="006E54D9"/>
    <w:rsid w:val="006E5A24"/>
    <w:rsid w:val="006E5E60"/>
    <w:rsid w:val="006E60E6"/>
    <w:rsid w:val="006E65EE"/>
    <w:rsid w:val="006E6A3F"/>
    <w:rsid w:val="006E6C52"/>
    <w:rsid w:val="006E7554"/>
    <w:rsid w:val="006E7A21"/>
    <w:rsid w:val="006E7B4B"/>
    <w:rsid w:val="006E7B74"/>
    <w:rsid w:val="006E7CC2"/>
    <w:rsid w:val="006E7EAE"/>
    <w:rsid w:val="006E7F20"/>
    <w:rsid w:val="006F02FF"/>
    <w:rsid w:val="006F0AFF"/>
    <w:rsid w:val="006F0EF7"/>
    <w:rsid w:val="006F15BF"/>
    <w:rsid w:val="006F195D"/>
    <w:rsid w:val="006F1B6B"/>
    <w:rsid w:val="006F1C60"/>
    <w:rsid w:val="006F1C93"/>
    <w:rsid w:val="006F1DA6"/>
    <w:rsid w:val="006F254B"/>
    <w:rsid w:val="006F2688"/>
    <w:rsid w:val="006F276E"/>
    <w:rsid w:val="006F283D"/>
    <w:rsid w:val="006F2E6D"/>
    <w:rsid w:val="006F2E99"/>
    <w:rsid w:val="006F2FA0"/>
    <w:rsid w:val="006F2FD2"/>
    <w:rsid w:val="006F396F"/>
    <w:rsid w:val="006F3EDD"/>
    <w:rsid w:val="006F41C2"/>
    <w:rsid w:val="006F43E3"/>
    <w:rsid w:val="006F4466"/>
    <w:rsid w:val="006F4521"/>
    <w:rsid w:val="006F4915"/>
    <w:rsid w:val="006F4AB1"/>
    <w:rsid w:val="006F4B73"/>
    <w:rsid w:val="006F502C"/>
    <w:rsid w:val="006F52F4"/>
    <w:rsid w:val="006F5374"/>
    <w:rsid w:val="006F563D"/>
    <w:rsid w:val="006F5695"/>
    <w:rsid w:val="006F58A5"/>
    <w:rsid w:val="006F59EC"/>
    <w:rsid w:val="006F5B28"/>
    <w:rsid w:val="006F5D00"/>
    <w:rsid w:val="006F5EB5"/>
    <w:rsid w:val="006F5EEC"/>
    <w:rsid w:val="006F634A"/>
    <w:rsid w:val="006F6A7D"/>
    <w:rsid w:val="006F6AC1"/>
    <w:rsid w:val="006F6EB7"/>
    <w:rsid w:val="006F70B6"/>
    <w:rsid w:val="006F7272"/>
    <w:rsid w:val="006F74A1"/>
    <w:rsid w:val="006F770A"/>
    <w:rsid w:val="006F7978"/>
    <w:rsid w:val="006F7AC2"/>
    <w:rsid w:val="006F7C70"/>
    <w:rsid w:val="006F7D47"/>
    <w:rsid w:val="006F7E69"/>
    <w:rsid w:val="006F7F0E"/>
    <w:rsid w:val="0070017F"/>
    <w:rsid w:val="00700186"/>
    <w:rsid w:val="007001B4"/>
    <w:rsid w:val="00700819"/>
    <w:rsid w:val="00700A91"/>
    <w:rsid w:val="0070148A"/>
    <w:rsid w:val="007017D6"/>
    <w:rsid w:val="00701891"/>
    <w:rsid w:val="007018C2"/>
    <w:rsid w:val="0070199D"/>
    <w:rsid w:val="007019F3"/>
    <w:rsid w:val="00702057"/>
    <w:rsid w:val="00702070"/>
    <w:rsid w:val="007021B1"/>
    <w:rsid w:val="0070222C"/>
    <w:rsid w:val="00702749"/>
    <w:rsid w:val="00702CCE"/>
    <w:rsid w:val="00702D65"/>
    <w:rsid w:val="00702E85"/>
    <w:rsid w:val="00702F1C"/>
    <w:rsid w:val="00702FE8"/>
    <w:rsid w:val="007039A4"/>
    <w:rsid w:val="00703B28"/>
    <w:rsid w:val="00703EC4"/>
    <w:rsid w:val="00703ECC"/>
    <w:rsid w:val="00703EF4"/>
    <w:rsid w:val="00703FCA"/>
    <w:rsid w:val="00704429"/>
    <w:rsid w:val="00704453"/>
    <w:rsid w:val="007046DC"/>
    <w:rsid w:val="0070496F"/>
    <w:rsid w:val="00704D8F"/>
    <w:rsid w:val="00704F20"/>
    <w:rsid w:val="00704F27"/>
    <w:rsid w:val="00705DE1"/>
    <w:rsid w:val="00705E0D"/>
    <w:rsid w:val="00705EF9"/>
    <w:rsid w:val="007062E6"/>
    <w:rsid w:val="007067BD"/>
    <w:rsid w:val="0070696B"/>
    <w:rsid w:val="00706C27"/>
    <w:rsid w:val="00706E5B"/>
    <w:rsid w:val="00706E68"/>
    <w:rsid w:val="00706EC2"/>
    <w:rsid w:val="00706F59"/>
    <w:rsid w:val="00707010"/>
    <w:rsid w:val="0070701A"/>
    <w:rsid w:val="0070739B"/>
    <w:rsid w:val="00707531"/>
    <w:rsid w:val="00707A27"/>
    <w:rsid w:val="00707AC6"/>
    <w:rsid w:val="00707B19"/>
    <w:rsid w:val="00707BE4"/>
    <w:rsid w:val="00707D1A"/>
    <w:rsid w:val="00707FE3"/>
    <w:rsid w:val="00707FFB"/>
    <w:rsid w:val="00710220"/>
    <w:rsid w:val="007102F1"/>
    <w:rsid w:val="0071048B"/>
    <w:rsid w:val="007105AC"/>
    <w:rsid w:val="00710AD9"/>
    <w:rsid w:val="00710C6E"/>
    <w:rsid w:val="007110D4"/>
    <w:rsid w:val="007110FC"/>
    <w:rsid w:val="00711184"/>
    <w:rsid w:val="007112D0"/>
    <w:rsid w:val="007112FD"/>
    <w:rsid w:val="007113B1"/>
    <w:rsid w:val="00711480"/>
    <w:rsid w:val="00711936"/>
    <w:rsid w:val="00711BBE"/>
    <w:rsid w:val="00711E4B"/>
    <w:rsid w:val="00711F3C"/>
    <w:rsid w:val="0071220B"/>
    <w:rsid w:val="00712401"/>
    <w:rsid w:val="00712730"/>
    <w:rsid w:val="00712851"/>
    <w:rsid w:val="00712917"/>
    <w:rsid w:val="00712B54"/>
    <w:rsid w:val="00712BD9"/>
    <w:rsid w:val="00712E74"/>
    <w:rsid w:val="00712EED"/>
    <w:rsid w:val="007132C8"/>
    <w:rsid w:val="0071345B"/>
    <w:rsid w:val="007137C1"/>
    <w:rsid w:val="007138A3"/>
    <w:rsid w:val="00713915"/>
    <w:rsid w:val="00713DED"/>
    <w:rsid w:val="007140C0"/>
    <w:rsid w:val="00714321"/>
    <w:rsid w:val="0071472D"/>
    <w:rsid w:val="0071472E"/>
    <w:rsid w:val="0071478E"/>
    <w:rsid w:val="0071497F"/>
    <w:rsid w:val="00714A8E"/>
    <w:rsid w:val="00714E1F"/>
    <w:rsid w:val="00715157"/>
    <w:rsid w:val="007152BC"/>
    <w:rsid w:val="00715653"/>
    <w:rsid w:val="007158E5"/>
    <w:rsid w:val="00715A2E"/>
    <w:rsid w:val="00715A4E"/>
    <w:rsid w:val="00715EE9"/>
    <w:rsid w:val="0071604D"/>
    <w:rsid w:val="00716194"/>
    <w:rsid w:val="0071628E"/>
    <w:rsid w:val="007163B4"/>
    <w:rsid w:val="00716967"/>
    <w:rsid w:val="00716EDD"/>
    <w:rsid w:val="0071731C"/>
    <w:rsid w:val="00717712"/>
    <w:rsid w:val="00717B1B"/>
    <w:rsid w:val="00717C93"/>
    <w:rsid w:val="00720208"/>
    <w:rsid w:val="007203AC"/>
    <w:rsid w:val="007207D1"/>
    <w:rsid w:val="00720B37"/>
    <w:rsid w:val="00720EB3"/>
    <w:rsid w:val="00720F71"/>
    <w:rsid w:val="00720F83"/>
    <w:rsid w:val="00720FAA"/>
    <w:rsid w:val="00721222"/>
    <w:rsid w:val="00721AA7"/>
    <w:rsid w:val="00721C1F"/>
    <w:rsid w:val="00721CD3"/>
    <w:rsid w:val="00721E35"/>
    <w:rsid w:val="00721F3B"/>
    <w:rsid w:val="00721F9C"/>
    <w:rsid w:val="00722293"/>
    <w:rsid w:val="007222F2"/>
    <w:rsid w:val="0072235C"/>
    <w:rsid w:val="00722B62"/>
    <w:rsid w:val="00722C5C"/>
    <w:rsid w:val="00722C71"/>
    <w:rsid w:val="00722FD2"/>
    <w:rsid w:val="007233C5"/>
    <w:rsid w:val="00723505"/>
    <w:rsid w:val="00723718"/>
    <w:rsid w:val="00723895"/>
    <w:rsid w:val="00723A05"/>
    <w:rsid w:val="00723A46"/>
    <w:rsid w:val="00723B95"/>
    <w:rsid w:val="00723C56"/>
    <w:rsid w:val="00723E16"/>
    <w:rsid w:val="00723E6F"/>
    <w:rsid w:val="00723E9D"/>
    <w:rsid w:val="00723F3C"/>
    <w:rsid w:val="007240C6"/>
    <w:rsid w:val="00724509"/>
    <w:rsid w:val="00724568"/>
    <w:rsid w:val="007245AA"/>
    <w:rsid w:val="0072468F"/>
    <w:rsid w:val="007246B2"/>
    <w:rsid w:val="00724DAB"/>
    <w:rsid w:val="00724FF1"/>
    <w:rsid w:val="00725056"/>
    <w:rsid w:val="0072518F"/>
    <w:rsid w:val="007256B9"/>
    <w:rsid w:val="00725870"/>
    <w:rsid w:val="0072598F"/>
    <w:rsid w:val="00725E2A"/>
    <w:rsid w:val="00725F90"/>
    <w:rsid w:val="00726032"/>
    <w:rsid w:val="00726069"/>
    <w:rsid w:val="00726237"/>
    <w:rsid w:val="00726312"/>
    <w:rsid w:val="00726323"/>
    <w:rsid w:val="007264DF"/>
    <w:rsid w:val="00726545"/>
    <w:rsid w:val="007265BC"/>
    <w:rsid w:val="0072678B"/>
    <w:rsid w:val="00726865"/>
    <w:rsid w:val="00726922"/>
    <w:rsid w:val="00726D0F"/>
    <w:rsid w:val="007273FA"/>
    <w:rsid w:val="007278F8"/>
    <w:rsid w:val="00727950"/>
    <w:rsid w:val="00727A76"/>
    <w:rsid w:val="00727B91"/>
    <w:rsid w:val="00727C6D"/>
    <w:rsid w:val="00727C72"/>
    <w:rsid w:val="0073006D"/>
    <w:rsid w:val="00730C93"/>
    <w:rsid w:val="0073174F"/>
    <w:rsid w:val="00731878"/>
    <w:rsid w:val="007322F6"/>
    <w:rsid w:val="0073250D"/>
    <w:rsid w:val="00732AC7"/>
    <w:rsid w:val="00732D6D"/>
    <w:rsid w:val="00733154"/>
    <w:rsid w:val="00733212"/>
    <w:rsid w:val="00733237"/>
    <w:rsid w:val="0073344E"/>
    <w:rsid w:val="007334B0"/>
    <w:rsid w:val="007337BE"/>
    <w:rsid w:val="00733D7A"/>
    <w:rsid w:val="00734142"/>
    <w:rsid w:val="007341D6"/>
    <w:rsid w:val="00734336"/>
    <w:rsid w:val="007346EF"/>
    <w:rsid w:val="00734E15"/>
    <w:rsid w:val="00734F31"/>
    <w:rsid w:val="00735607"/>
    <w:rsid w:val="007356D2"/>
    <w:rsid w:val="00735D2C"/>
    <w:rsid w:val="00735D5E"/>
    <w:rsid w:val="00735D8A"/>
    <w:rsid w:val="007360D7"/>
    <w:rsid w:val="0073697D"/>
    <w:rsid w:val="00736ACC"/>
    <w:rsid w:val="00736C73"/>
    <w:rsid w:val="00736E99"/>
    <w:rsid w:val="0073731A"/>
    <w:rsid w:val="007375BE"/>
    <w:rsid w:val="007376A8"/>
    <w:rsid w:val="00737D1E"/>
    <w:rsid w:val="007404B1"/>
    <w:rsid w:val="007404D1"/>
    <w:rsid w:val="007405A0"/>
    <w:rsid w:val="00740B7D"/>
    <w:rsid w:val="00740B9E"/>
    <w:rsid w:val="00740C49"/>
    <w:rsid w:val="00740D7B"/>
    <w:rsid w:val="00740EC2"/>
    <w:rsid w:val="00740FE5"/>
    <w:rsid w:val="0074194D"/>
    <w:rsid w:val="007419C6"/>
    <w:rsid w:val="00741D2F"/>
    <w:rsid w:val="00741FCC"/>
    <w:rsid w:val="007420E1"/>
    <w:rsid w:val="007426E9"/>
    <w:rsid w:val="007428B6"/>
    <w:rsid w:val="007430A8"/>
    <w:rsid w:val="0074325F"/>
    <w:rsid w:val="00743268"/>
    <w:rsid w:val="007432FB"/>
    <w:rsid w:val="00743832"/>
    <w:rsid w:val="00743A27"/>
    <w:rsid w:val="00743D39"/>
    <w:rsid w:val="00743FCA"/>
    <w:rsid w:val="0074404B"/>
    <w:rsid w:val="00744192"/>
    <w:rsid w:val="007442D5"/>
    <w:rsid w:val="0074442F"/>
    <w:rsid w:val="007445EF"/>
    <w:rsid w:val="00744BB9"/>
    <w:rsid w:val="00744D5D"/>
    <w:rsid w:val="007451E9"/>
    <w:rsid w:val="007453D3"/>
    <w:rsid w:val="007454E7"/>
    <w:rsid w:val="0074551E"/>
    <w:rsid w:val="00745F77"/>
    <w:rsid w:val="00746095"/>
    <w:rsid w:val="0074635A"/>
    <w:rsid w:val="007463F3"/>
    <w:rsid w:val="00746648"/>
    <w:rsid w:val="00746790"/>
    <w:rsid w:val="00746929"/>
    <w:rsid w:val="00746969"/>
    <w:rsid w:val="007470BA"/>
    <w:rsid w:val="007470DB"/>
    <w:rsid w:val="007470EE"/>
    <w:rsid w:val="00747519"/>
    <w:rsid w:val="0074761B"/>
    <w:rsid w:val="007478AF"/>
    <w:rsid w:val="00747CA2"/>
    <w:rsid w:val="00747D21"/>
    <w:rsid w:val="0075013C"/>
    <w:rsid w:val="00750140"/>
    <w:rsid w:val="00750155"/>
    <w:rsid w:val="0075065F"/>
    <w:rsid w:val="00750C54"/>
    <w:rsid w:val="00750D60"/>
    <w:rsid w:val="00750EE4"/>
    <w:rsid w:val="00750EF7"/>
    <w:rsid w:val="0075132F"/>
    <w:rsid w:val="00751731"/>
    <w:rsid w:val="007517F2"/>
    <w:rsid w:val="00751E17"/>
    <w:rsid w:val="00751E63"/>
    <w:rsid w:val="00752079"/>
    <w:rsid w:val="00752350"/>
    <w:rsid w:val="00752718"/>
    <w:rsid w:val="007529A0"/>
    <w:rsid w:val="00752CAF"/>
    <w:rsid w:val="00752CE3"/>
    <w:rsid w:val="0075303B"/>
    <w:rsid w:val="007536E5"/>
    <w:rsid w:val="00753CB8"/>
    <w:rsid w:val="00753F7E"/>
    <w:rsid w:val="0075476C"/>
    <w:rsid w:val="007549C6"/>
    <w:rsid w:val="0075530E"/>
    <w:rsid w:val="00755448"/>
    <w:rsid w:val="007554B5"/>
    <w:rsid w:val="00755F2F"/>
    <w:rsid w:val="007561BB"/>
    <w:rsid w:val="007561C3"/>
    <w:rsid w:val="00756323"/>
    <w:rsid w:val="007564C5"/>
    <w:rsid w:val="007565AB"/>
    <w:rsid w:val="00756C0B"/>
    <w:rsid w:val="00756D80"/>
    <w:rsid w:val="007571E1"/>
    <w:rsid w:val="0075743E"/>
    <w:rsid w:val="007574A7"/>
    <w:rsid w:val="00757585"/>
    <w:rsid w:val="00757728"/>
    <w:rsid w:val="007577AE"/>
    <w:rsid w:val="00757BF2"/>
    <w:rsid w:val="00757C58"/>
    <w:rsid w:val="00757DF6"/>
    <w:rsid w:val="00757EAD"/>
    <w:rsid w:val="00757FF2"/>
    <w:rsid w:val="00760227"/>
    <w:rsid w:val="0076026D"/>
    <w:rsid w:val="007603C0"/>
    <w:rsid w:val="007606C4"/>
    <w:rsid w:val="007606CC"/>
    <w:rsid w:val="007606DF"/>
    <w:rsid w:val="0076093A"/>
    <w:rsid w:val="007609A3"/>
    <w:rsid w:val="00760D90"/>
    <w:rsid w:val="00760F21"/>
    <w:rsid w:val="0076135B"/>
    <w:rsid w:val="00761893"/>
    <w:rsid w:val="007618CA"/>
    <w:rsid w:val="00761A14"/>
    <w:rsid w:val="00761BA2"/>
    <w:rsid w:val="00761C11"/>
    <w:rsid w:val="00761C76"/>
    <w:rsid w:val="00762156"/>
    <w:rsid w:val="00762572"/>
    <w:rsid w:val="0076261B"/>
    <w:rsid w:val="0076277B"/>
    <w:rsid w:val="00762C25"/>
    <w:rsid w:val="00763046"/>
    <w:rsid w:val="0076363C"/>
    <w:rsid w:val="007642D9"/>
    <w:rsid w:val="007643A3"/>
    <w:rsid w:val="0076458D"/>
    <w:rsid w:val="007648C4"/>
    <w:rsid w:val="0076493A"/>
    <w:rsid w:val="007649C6"/>
    <w:rsid w:val="00764A35"/>
    <w:rsid w:val="00764BB4"/>
    <w:rsid w:val="0076544B"/>
    <w:rsid w:val="007659AC"/>
    <w:rsid w:val="00765B4E"/>
    <w:rsid w:val="00765E9C"/>
    <w:rsid w:val="007661EA"/>
    <w:rsid w:val="00766597"/>
    <w:rsid w:val="00766619"/>
    <w:rsid w:val="007666A8"/>
    <w:rsid w:val="007668D4"/>
    <w:rsid w:val="00766966"/>
    <w:rsid w:val="00766EE0"/>
    <w:rsid w:val="0076708B"/>
    <w:rsid w:val="00767478"/>
    <w:rsid w:val="00767E57"/>
    <w:rsid w:val="00767E84"/>
    <w:rsid w:val="007701AD"/>
    <w:rsid w:val="00770988"/>
    <w:rsid w:val="0077098E"/>
    <w:rsid w:val="00770A09"/>
    <w:rsid w:val="00770C0A"/>
    <w:rsid w:val="00770CC7"/>
    <w:rsid w:val="00771127"/>
    <w:rsid w:val="007713F8"/>
    <w:rsid w:val="00771843"/>
    <w:rsid w:val="00771985"/>
    <w:rsid w:val="007719FF"/>
    <w:rsid w:val="00771B0D"/>
    <w:rsid w:val="00772560"/>
    <w:rsid w:val="0077313C"/>
    <w:rsid w:val="0077332B"/>
    <w:rsid w:val="0077379D"/>
    <w:rsid w:val="007737A1"/>
    <w:rsid w:val="00773995"/>
    <w:rsid w:val="00773C78"/>
    <w:rsid w:val="007743EA"/>
    <w:rsid w:val="0077440A"/>
    <w:rsid w:val="007744D7"/>
    <w:rsid w:val="00774610"/>
    <w:rsid w:val="007748B3"/>
    <w:rsid w:val="00774906"/>
    <w:rsid w:val="00774A6A"/>
    <w:rsid w:val="00774B5E"/>
    <w:rsid w:val="00774CF2"/>
    <w:rsid w:val="00775A22"/>
    <w:rsid w:val="00775E4A"/>
    <w:rsid w:val="0077622E"/>
    <w:rsid w:val="00776236"/>
    <w:rsid w:val="007762F2"/>
    <w:rsid w:val="007765C8"/>
    <w:rsid w:val="0077671C"/>
    <w:rsid w:val="007769D0"/>
    <w:rsid w:val="00776A36"/>
    <w:rsid w:val="00776D8C"/>
    <w:rsid w:val="00776E63"/>
    <w:rsid w:val="00776F7D"/>
    <w:rsid w:val="00777123"/>
    <w:rsid w:val="0077714B"/>
    <w:rsid w:val="00777AF6"/>
    <w:rsid w:val="00777E8A"/>
    <w:rsid w:val="007802A4"/>
    <w:rsid w:val="0078052C"/>
    <w:rsid w:val="00780607"/>
    <w:rsid w:val="007806EA"/>
    <w:rsid w:val="0078075B"/>
    <w:rsid w:val="007808DD"/>
    <w:rsid w:val="00780B08"/>
    <w:rsid w:val="00780F98"/>
    <w:rsid w:val="0078121E"/>
    <w:rsid w:val="00781231"/>
    <w:rsid w:val="00781A3C"/>
    <w:rsid w:val="00781AB4"/>
    <w:rsid w:val="00781B88"/>
    <w:rsid w:val="00781FFF"/>
    <w:rsid w:val="00782050"/>
    <w:rsid w:val="007823EB"/>
    <w:rsid w:val="00782508"/>
    <w:rsid w:val="0078251B"/>
    <w:rsid w:val="007827D9"/>
    <w:rsid w:val="00782DC7"/>
    <w:rsid w:val="00782F11"/>
    <w:rsid w:val="00782F8A"/>
    <w:rsid w:val="0078304F"/>
    <w:rsid w:val="007836D2"/>
    <w:rsid w:val="007843F8"/>
    <w:rsid w:val="00784527"/>
    <w:rsid w:val="007848C3"/>
    <w:rsid w:val="00784AAA"/>
    <w:rsid w:val="00784D6D"/>
    <w:rsid w:val="00784F82"/>
    <w:rsid w:val="00785723"/>
    <w:rsid w:val="00785CCD"/>
    <w:rsid w:val="00785DC5"/>
    <w:rsid w:val="00785E17"/>
    <w:rsid w:val="0078622E"/>
    <w:rsid w:val="007867E2"/>
    <w:rsid w:val="007867F9"/>
    <w:rsid w:val="0078687E"/>
    <w:rsid w:val="007869FD"/>
    <w:rsid w:val="00786AB4"/>
    <w:rsid w:val="00786AEF"/>
    <w:rsid w:val="00786F3F"/>
    <w:rsid w:val="0078709F"/>
    <w:rsid w:val="00787391"/>
    <w:rsid w:val="007875A3"/>
    <w:rsid w:val="00790993"/>
    <w:rsid w:val="007909AB"/>
    <w:rsid w:val="00790BFA"/>
    <w:rsid w:val="00790C3B"/>
    <w:rsid w:val="00791128"/>
    <w:rsid w:val="00791254"/>
    <w:rsid w:val="0079167A"/>
    <w:rsid w:val="00791834"/>
    <w:rsid w:val="0079186C"/>
    <w:rsid w:val="00791B9F"/>
    <w:rsid w:val="0079218F"/>
    <w:rsid w:val="00792533"/>
    <w:rsid w:val="00792646"/>
    <w:rsid w:val="00792E94"/>
    <w:rsid w:val="00793688"/>
    <w:rsid w:val="007938B8"/>
    <w:rsid w:val="0079397C"/>
    <w:rsid w:val="00793B46"/>
    <w:rsid w:val="00793DA1"/>
    <w:rsid w:val="007942AB"/>
    <w:rsid w:val="0079436E"/>
    <w:rsid w:val="00794832"/>
    <w:rsid w:val="00794847"/>
    <w:rsid w:val="00794ACF"/>
    <w:rsid w:val="00794EA7"/>
    <w:rsid w:val="00795466"/>
    <w:rsid w:val="007954CB"/>
    <w:rsid w:val="00795874"/>
    <w:rsid w:val="00795A41"/>
    <w:rsid w:val="00796646"/>
    <w:rsid w:val="007967CA"/>
    <w:rsid w:val="00796BB8"/>
    <w:rsid w:val="007974C8"/>
    <w:rsid w:val="00797788"/>
    <w:rsid w:val="00797820"/>
    <w:rsid w:val="007978A6"/>
    <w:rsid w:val="00797A20"/>
    <w:rsid w:val="00797CA3"/>
    <w:rsid w:val="007A06BD"/>
    <w:rsid w:val="007A0779"/>
    <w:rsid w:val="007A0D4F"/>
    <w:rsid w:val="007A0E8A"/>
    <w:rsid w:val="007A0F89"/>
    <w:rsid w:val="007A111F"/>
    <w:rsid w:val="007A14E9"/>
    <w:rsid w:val="007A1669"/>
    <w:rsid w:val="007A1C2C"/>
    <w:rsid w:val="007A22A1"/>
    <w:rsid w:val="007A22C5"/>
    <w:rsid w:val="007A2814"/>
    <w:rsid w:val="007A2D7A"/>
    <w:rsid w:val="007A2E0E"/>
    <w:rsid w:val="007A2E24"/>
    <w:rsid w:val="007A2F2E"/>
    <w:rsid w:val="007A3167"/>
    <w:rsid w:val="007A32AE"/>
    <w:rsid w:val="007A3BDC"/>
    <w:rsid w:val="007A3C1D"/>
    <w:rsid w:val="007A41C5"/>
    <w:rsid w:val="007A44D2"/>
    <w:rsid w:val="007A44FC"/>
    <w:rsid w:val="007A4711"/>
    <w:rsid w:val="007A487A"/>
    <w:rsid w:val="007A48F8"/>
    <w:rsid w:val="007A5265"/>
    <w:rsid w:val="007A5514"/>
    <w:rsid w:val="007A57F4"/>
    <w:rsid w:val="007A5D6E"/>
    <w:rsid w:val="007A5D7A"/>
    <w:rsid w:val="007A5E0B"/>
    <w:rsid w:val="007A61AF"/>
    <w:rsid w:val="007A67B9"/>
    <w:rsid w:val="007A686C"/>
    <w:rsid w:val="007A6A8F"/>
    <w:rsid w:val="007A6F10"/>
    <w:rsid w:val="007A6FA8"/>
    <w:rsid w:val="007A7464"/>
    <w:rsid w:val="007A795F"/>
    <w:rsid w:val="007A7B23"/>
    <w:rsid w:val="007A7EAD"/>
    <w:rsid w:val="007B011E"/>
    <w:rsid w:val="007B039D"/>
    <w:rsid w:val="007B1243"/>
    <w:rsid w:val="007B1501"/>
    <w:rsid w:val="007B1EA9"/>
    <w:rsid w:val="007B1EF8"/>
    <w:rsid w:val="007B2023"/>
    <w:rsid w:val="007B2507"/>
    <w:rsid w:val="007B26AD"/>
    <w:rsid w:val="007B27BF"/>
    <w:rsid w:val="007B281F"/>
    <w:rsid w:val="007B2C79"/>
    <w:rsid w:val="007B3408"/>
    <w:rsid w:val="007B36BC"/>
    <w:rsid w:val="007B43E3"/>
    <w:rsid w:val="007B4776"/>
    <w:rsid w:val="007B488D"/>
    <w:rsid w:val="007B48D3"/>
    <w:rsid w:val="007B4BB7"/>
    <w:rsid w:val="007B4D0D"/>
    <w:rsid w:val="007B4FDB"/>
    <w:rsid w:val="007B5178"/>
    <w:rsid w:val="007B529B"/>
    <w:rsid w:val="007B55C6"/>
    <w:rsid w:val="007B57DA"/>
    <w:rsid w:val="007B5829"/>
    <w:rsid w:val="007B5991"/>
    <w:rsid w:val="007B5B17"/>
    <w:rsid w:val="007B6901"/>
    <w:rsid w:val="007B7170"/>
    <w:rsid w:val="007B723E"/>
    <w:rsid w:val="007B7341"/>
    <w:rsid w:val="007B75D6"/>
    <w:rsid w:val="007C03FC"/>
    <w:rsid w:val="007C04AD"/>
    <w:rsid w:val="007C0891"/>
    <w:rsid w:val="007C0CE8"/>
    <w:rsid w:val="007C1454"/>
    <w:rsid w:val="007C1504"/>
    <w:rsid w:val="007C1932"/>
    <w:rsid w:val="007C1A73"/>
    <w:rsid w:val="007C1FE6"/>
    <w:rsid w:val="007C21CB"/>
    <w:rsid w:val="007C239E"/>
    <w:rsid w:val="007C23AA"/>
    <w:rsid w:val="007C249E"/>
    <w:rsid w:val="007C24E2"/>
    <w:rsid w:val="007C24F0"/>
    <w:rsid w:val="007C287C"/>
    <w:rsid w:val="007C29B5"/>
    <w:rsid w:val="007C2A68"/>
    <w:rsid w:val="007C2AD3"/>
    <w:rsid w:val="007C2D18"/>
    <w:rsid w:val="007C30A0"/>
    <w:rsid w:val="007C32EA"/>
    <w:rsid w:val="007C3371"/>
    <w:rsid w:val="007C359E"/>
    <w:rsid w:val="007C3843"/>
    <w:rsid w:val="007C38BD"/>
    <w:rsid w:val="007C3A2C"/>
    <w:rsid w:val="007C3D2F"/>
    <w:rsid w:val="007C3D71"/>
    <w:rsid w:val="007C3E1A"/>
    <w:rsid w:val="007C3F7A"/>
    <w:rsid w:val="007C4373"/>
    <w:rsid w:val="007C45EB"/>
    <w:rsid w:val="007C4603"/>
    <w:rsid w:val="007C4871"/>
    <w:rsid w:val="007C493A"/>
    <w:rsid w:val="007C4ACC"/>
    <w:rsid w:val="007C4D7A"/>
    <w:rsid w:val="007C4E2A"/>
    <w:rsid w:val="007C4FA6"/>
    <w:rsid w:val="007C5573"/>
    <w:rsid w:val="007C56D0"/>
    <w:rsid w:val="007C5896"/>
    <w:rsid w:val="007C6256"/>
    <w:rsid w:val="007C65AB"/>
    <w:rsid w:val="007C66D7"/>
    <w:rsid w:val="007C6AF3"/>
    <w:rsid w:val="007C6C11"/>
    <w:rsid w:val="007C71D5"/>
    <w:rsid w:val="007C7474"/>
    <w:rsid w:val="007C75F4"/>
    <w:rsid w:val="007C77A9"/>
    <w:rsid w:val="007C7ADF"/>
    <w:rsid w:val="007C7D4E"/>
    <w:rsid w:val="007D05E3"/>
    <w:rsid w:val="007D05EF"/>
    <w:rsid w:val="007D06D7"/>
    <w:rsid w:val="007D08E9"/>
    <w:rsid w:val="007D0A91"/>
    <w:rsid w:val="007D0B87"/>
    <w:rsid w:val="007D0CBB"/>
    <w:rsid w:val="007D0D75"/>
    <w:rsid w:val="007D0E05"/>
    <w:rsid w:val="007D0FEE"/>
    <w:rsid w:val="007D10F6"/>
    <w:rsid w:val="007D1278"/>
    <w:rsid w:val="007D169C"/>
    <w:rsid w:val="007D1B93"/>
    <w:rsid w:val="007D1BC1"/>
    <w:rsid w:val="007D1C2B"/>
    <w:rsid w:val="007D1C82"/>
    <w:rsid w:val="007D20E2"/>
    <w:rsid w:val="007D26EC"/>
    <w:rsid w:val="007D27F8"/>
    <w:rsid w:val="007D2807"/>
    <w:rsid w:val="007D299D"/>
    <w:rsid w:val="007D29D9"/>
    <w:rsid w:val="007D2AA5"/>
    <w:rsid w:val="007D301A"/>
    <w:rsid w:val="007D31AB"/>
    <w:rsid w:val="007D33A5"/>
    <w:rsid w:val="007D3851"/>
    <w:rsid w:val="007D3DF5"/>
    <w:rsid w:val="007D421A"/>
    <w:rsid w:val="007D43A5"/>
    <w:rsid w:val="007D462B"/>
    <w:rsid w:val="007D4D4A"/>
    <w:rsid w:val="007D508D"/>
    <w:rsid w:val="007D51D2"/>
    <w:rsid w:val="007D5416"/>
    <w:rsid w:val="007D5443"/>
    <w:rsid w:val="007D5553"/>
    <w:rsid w:val="007D5792"/>
    <w:rsid w:val="007D590C"/>
    <w:rsid w:val="007D5943"/>
    <w:rsid w:val="007D5C83"/>
    <w:rsid w:val="007D5D07"/>
    <w:rsid w:val="007D6257"/>
    <w:rsid w:val="007D6699"/>
    <w:rsid w:val="007D6A31"/>
    <w:rsid w:val="007D6BF4"/>
    <w:rsid w:val="007D6C8C"/>
    <w:rsid w:val="007D6DF3"/>
    <w:rsid w:val="007D6E22"/>
    <w:rsid w:val="007D6F70"/>
    <w:rsid w:val="007D6FFB"/>
    <w:rsid w:val="007D72E6"/>
    <w:rsid w:val="007D76B5"/>
    <w:rsid w:val="007D77DD"/>
    <w:rsid w:val="007E009F"/>
    <w:rsid w:val="007E03A3"/>
    <w:rsid w:val="007E0726"/>
    <w:rsid w:val="007E0986"/>
    <w:rsid w:val="007E0D10"/>
    <w:rsid w:val="007E0E5E"/>
    <w:rsid w:val="007E1717"/>
    <w:rsid w:val="007E18D9"/>
    <w:rsid w:val="007E19F9"/>
    <w:rsid w:val="007E1E61"/>
    <w:rsid w:val="007E1F20"/>
    <w:rsid w:val="007E211D"/>
    <w:rsid w:val="007E2136"/>
    <w:rsid w:val="007E24D1"/>
    <w:rsid w:val="007E254A"/>
    <w:rsid w:val="007E269F"/>
    <w:rsid w:val="007E2AC2"/>
    <w:rsid w:val="007E3113"/>
    <w:rsid w:val="007E32B9"/>
    <w:rsid w:val="007E32BC"/>
    <w:rsid w:val="007E32D3"/>
    <w:rsid w:val="007E332E"/>
    <w:rsid w:val="007E3779"/>
    <w:rsid w:val="007E37C9"/>
    <w:rsid w:val="007E3846"/>
    <w:rsid w:val="007E39ED"/>
    <w:rsid w:val="007E3C7A"/>
    <w:rsid w:val="007E42FF"/>
    <w:rsid w:val="007E4A02"/>
    <w:rsid w:val="007E4A24"/>
    <w:rsid w:val="007E4A74"/>
    <w:rsid w:val="007E4B04"/>
    <w:rsid w:val="007E52AE"/>
    <w:rsid w:val="007E530D"/>
    <w:rsid w:val="007E539F"/>
    <w:rsid w:val="007E5720"/>
    <w:rsid w:val="007E58D2"/>
    <w:rsid w:val="007E58E8"/>
    <w:rsid w:val="007E5B36"/>
    <w:rsid w:val="007E5C9A"/>
    <w:rsid w:val="007E5D52"/>
    <w:rsid w:val="007E61CD"/>
    <w:rsid w:val="007E6340"/>
    <w:rsid w:val="007E65FF"/>
    <w:rsid w:val="007E6A1D"/>
    <w:rsid w:val="007E6AD4"/>
    <w:rsid w:val="007E7073"/>
    <w:rsid w:val="007E7105"/>
    <w:rsid w:val="007E764B"/>
    <w:rsid w:val="007E795B"/>
    <w:rsid w:val="007E7C1C"/>
    <w:rsid w:val="007E7FE5"/>
    <w:rsid w:val="007F0174"/>
    <w:rsid w:val="007F01A7"/>
    <w:rsid w:val="007F02D8"/>
    <w:rsid w:val="007F08F0"/>
    <w:rsid w:val="007F0952"/>
    <w:rsid w:val="007F0978"/>
    <w:rsid w:val="007F10A4"/>
    <w:rsid w:val="007F10C7"/>
    <w:rsid w:val="007F1154"/>
    <w:rsid w:val="007F1720"/>
    <w:rsid w:val="007F1811"/>
    <w:rsid w:val="007F1910"/>
    <w:rsid w:val="007F199C"/>
    <w:rsid w:val="007F1D56"/>
    <w:rsid w:val="007F1DE7"/>
    <w:rsid w:val="007F21D3"/>
    <w:rsid w:val="007F243E"/>
    <w:rsid w:val="007F2532"/>
    <w:rsid w:val="007F25D4"/>
    <w:rsid w:val="007F2814"/>
    <w:rsid w:val="007F2BBB"/>
    <w:rsid w:val="007F2C61"/>
    <w:rsid w:val="007F3384"/>
    <w:rsid w:val="007F355D"/>
    <w:rsid w:val="007F35F5"/>
    <w:rsid w:val="007F3673"/>
    <w:rsid w:val="007F3701"/>
    <w:rsid w:val="007F3797"/>
    <w:rsid w:val="007F3864"/>
    <w:rsid w:val="007F3980"/>
    <w:rsid w:val="007F3E48"/>
    <w:rsid w:val="007F3E74"/>
    <w:rsid w:val="007F3F6A"/>
    <w:rsid w:val="007F461F"/>
    <w:rsid w:val="007F47DE"/>
    <w:rsid w:val="007F4A77"/>
    <w:rsid w:val="007F514A"/>
    <w:rsid w:val="007F522B"/>
    <w:rsid w:val="007F5485"/>
    <w:rsid w:val="007F5DB1"/>
    <w:rsid w:val="007F5E51"/>
    <w:rsid w:val="007F5F2E"/>
    <w:rsid w:val="007F6011"/>
    <w:rsid w:val="007F68F4"/>
    <w:rsid w:val="007F6902"/>
    <w:rsid w:val="007F6AE7"/>
    <w:rsid w:val="007F6E32"/>
    <w:rsid w:val="007F6F72"/>
    <w:rsid w:val="007F7145"/>
    <w:rsid w:val="007F71D7"/>
    <w:rsid w:val="007F71E4"/>
    <w:rsid w:val="007F78B2"/>
    <w:rsid w:val="007F7D34"/>
    <w:rsid w:val="007F7E3D"/>
    <w:rsid w:val="007F7FA4"/>
    <w:rsid w:val="00800487"/>
    <w:rsid w:val="0080096E"/>
    <w:rsid w:val="00800A1B"/>
    <w:rsid w:val="00800D1C"/>
    <w:rsid w:val="008014DF"/>
    <w:rsid w:val="0080164C"/>
    <w:rsid w:val="00801FF0"/>
    <w:rsid w:val="008021CB"/>
    <w:rsid w:val="008024A8"/>
    <w:rsid w:val="008029B5"/>
    <w:rsid w:val="00802A53"/>
    <w:rsid w:val="00802A73"/>
    <w:rsid w:val="00802BA9"/>
    <w:rsid w:val="00802D58"/>
    <w:rsid w:val="00802E25"/>
    <w:rsid w:val="0080323A"/>
    <w:rsid w:val="0080330C"/>
    <w:rsid w:val="0080364F"/>
    <w:rsid w:val="0080371A"/>
    <w:rsid w:val="008037CB"/>
    <w:rsid w:val="00803B5F"/>
    <w:rsid w:val="00803FAE"/>
    <w:rsid w:val="00804119"/>
    <w:rsid w:val="00804185"/>
    <w:rsid w:val="00804211"/>
    <w:rsid w:val="008047A1"/>
    <w:rsid w:val="00804947"/>
    <w:rsid w:val="00804A35"/>
    <w:rsid w:val="00804BE3"/>
    <w:rsid w:val="00804C9F"/>
    <w:rsid w:val="00805359"/>
    <w:rsid w:val="008054E8"/>
    <w:rsid w:val="00805595"/>
    <w:rsid w:val="0080574A"/>
    <w:rsid w:val="008057BD"/>
    <w:rsid w:val="008057CB"/>
    <w:rsid w:val="008057D4"/>
    <w:rsid w:val="00806186"/>
    <w:rsid w:val="00806426"/>
    <w:rsid w:val="00806489"/>
    <w:rsid w:val="00806B79"/>
    <w:rsid w:val="008070A3"/>
    <w:rsid w:val="008075F2"/>
    <w:rsid w:val="008076C4"/>
    <w:rsid w:val="00807862"/>
    <w:rsid w:val="00807953"/>
    <w:rsid w:val="00807DD4"/>
    <w:rsid w:val="00810081"/>
    <w:rsid w:val="00810283"/>
    <w:rsid w:val="00810696"/>
    <w:rsid w:val="0081095E"/>
    <w:rsid w:val="00810A58"/>
    <w:rsid w:val="00810A7A"/>
    <w:rsid w:val="00810CDB"/>
    <w:rsid w:val="00810F74"/>
    <w:rsid w:val="008110E9"/>
    <w:rsid w:val="00811299"/>
    <w:rsid w:val="008112A6"/>
    <w:rsid w:val="008114A4"/>
    <w:rsid w:val="008114E9"/>
    <w:rsid w:val="008115FF"/>
    <w:rsid w:val="008119C1"/>
    <w:rsid w:val="00811D5C"/>
    <w:rsid w:val="00812624"/>
    <w:rsid w:val="008128C6"/>
    <w:rsid w:val="0081298D"/>
    <w:rsid w:val="00812B66"/>
    <w:rsid w:val="00812EE0"/>
    <w:rsid w:val="00812F93"/>
    <w:rsid w:val="00813025"/>
    <w:rsid w:val="008130A1"/>
    <w:rsid w:val="008137C8"/>
    <w:rsid w:val="00813AD5"/>
    <w:rsid w:val="00813ADC"/>
    <w:rsid w:val="008140FE"/>
    <w:rsid w:val="00814314"/>
    <w:rsid w:val="008143D0"/>
    <w:rsid w:val="008144F0"/>
    <w:rsid w:val="0081476F"/>
    <w:rsid w:val="008148B1"/>
    <w:rsid w:val="00814BC3"/>
    <w:rsid w:val="00814CBA"/>
    <w:rsid w:val="00814F07"/>
    <w:rsid w:val="00815245"/>
    <w:rsid w:val="00815320"/>
    <w:rsid w:val="008153FF"/>
    <w:rsid w:val="008155A9"/>
    <w:rsid w:val="0081588A"/>
    <w:rsid w:val="00815ADF"/>
    <w:rsid w:val="0081609B"/>
    <w:rsid w:val="00816152"/>
    <w:rsid w:val="0081630F"/>
    <w:rsid w:val="008165B2"/>
    <w:rsid w:val="00817621"/>
    <w:rsid w:val="00817771"/>
    <w:rsid w:val="00817A7C"/>
    <w:rsid w:val="00817F25"/>
    <w:rsid w:val="00820049"/>
    <w:rsid w:val="00820094"/>
    <w:rsid w:val="008207EE"/>
    <w:rsid w:val="00820F10"/>
    <w:rsid w:val="008217F1"/>
    <w:rsid w:val="0082184A"/>
    <w:rsid w:val="00821873"/>
    <w:rsid w:val="00821C67"/>
    <w:rsid w:val="008223C0"/>
    <w:rsid w:val="00822700"/>
    <w:rsid w:val="00822768"/>
    <w:rsid w:val="008228DF"/>
    <w:rsid w:val="00822B04"/>
    <w:rsid w:val="00822B4E"/>
    <w:rsid w:val="00822D28"/>
    <w:rsid w:val="008231BC"/>
    <w:rsid w:val="008235E4"/>
    <w:rsid w:val="00823C5F"/>
    <w:rsid w:val="008249AB"/>
    <w:rsid w:val="00824E60"/>
    <w:rsid w:val="00824F2F"/>
    <w:rsid w:val="00825B05"/>
    <w:rsid w:val="00825D2B"/>
    <w:rsid w:val="008260C0"/>
    <w:rsid w:val="00826164"/>
    <w:rsid w:val="008261E4"/>
    <w:rsid w:val="008264EE"/>
    <w:rsid w:val="00826B3F"/>
    <w:rsid w:val="00826C55"/>
    <w:rsid w:val="00826E8F"/>
    <w:rsid w:val="00826EA2"/>
    <w:rsid w:val="008272B9"/>
    <w:rsid w:val="00827551"/>
    <w:rsid w:val="00827B35"/>
    <w:rsid w:val="00827C09"/>
    <w:rsid w:val="00827C0C"/>
    <w:rsid w:val="00827DE9"/>
    <w:rsid w:val="0083022B"/>
    <w:rsid w:val="00830DA3"/>
    <w:rsid w:val="008315B4"/>
    <w:rsid w:val="00831AEB"/>
    <w:rsid w:val="00832233"/>
    <w:rsid w:val="00832648"/>
    <w:rsid w:val="00832942"/>
    <w:rsid w:val="00832EB4"/>
    <w:rsid w:val="00833201"/>
    <w:rsid w:val="0083341C"/>
    <w:rsid w:val="008334D8"/>
    <w:rsid w:val="0083398B"/>
    <w:rsid w:val="00833D2B"/>
    <w:rsid w:val="00833DE4"/>
    <w:rsid w:val="008345E4"/>
    <w:rsid w:val="008347A5"/>
    <w:rsid w:val="008352C3"/>
    <w:rsid w:val="008355AA"/>
    <w:rsid w:val="00835707"/>
    <w:rsid w:val="00835CE7"/>
    <w:rsid w:val="00835ECA"/>
    <w:rsid w:val="00836134"/>
    <w:rsid w:val="008361BB"/>
    <w:rsid w:val="00836872"/>
    <w:rsid w:val="00836FF8"/>
    <w:rsid w:val="0083722F"/>
    <w:rsid w:val="0083738B"/>
    <w:rsid w:val="0083765E"/>
    <w:rsid w:val="00837BFC"/>
    <w:rsid w:val="00837CED"/>
    <w:rsid w:val="008406F0"/>
    <w:rsid w:val="0084075B"/>
    <w:rsid w:val="00840A65"/>
    <w:rsid w:val="00840E5B"/>
    <w:rsid w:val="00841361"/>
    <w:rsid w:val="0084195A"/>
    <w:rsid w:val="00841A75"/>
    <w:rsid w:val="00841C00"/>
    <w:rsid w:val="0084207F"/>
    <w:rsid w:val="00842087"/>
    <w:rsid w:val="00842284"/>
    <w:rsid w:val="008422F8"/>
    <w:rsid w:val="008425DD"/>
    <w:rsid w:val="00842B7F"/>
    <w:rsid w:val="00842DF0"/>
    <w:rsid w:val="0084309B"/>
    <w:rsid w:val="008430B7"/>
    <w:rsid w:val="008430E5"/>
    <w:rsid w:val="00843205"/>
    <w:rsid w:val="00843C06"/>
    <w:rsid w:val="00843CB6"/>
    <w:rsid w:val="00843CF6"/>
    <w:rsid w:val="00844218"/>
    <w:rsid w:val="008442E4"/>
    <w:rsid w:val="008445D0"/>
    <w:rsid w:val="008448DE"/>
    <w:rsid w:val="0084491F"/>
    <w:rsid w:val="00844DF4"/>
    <w:rsid w:val="00844FF3"/>
    <w:rsid w:val="008450FB"/>
    <w:rsid w:val="008451BC"/>
    <w:rsid w:val="00845833"/>
    <w:rsid w:val="008458AB"/>
    <w:rsid w:val="00845D3F"/>
    <w:rsid w:val="0084607A"/>
    <w:rsid w:val="00846E72"/>
    <w:rsid w:val="00847050"/>
    <w:rsid w:val="00847070"/>
    <w:rsid w:val="0084749A"/>
    <w:rsid w:val="00847763"/>
    <w:rsid w:val="00847979"/>
    <w:rsid w:val="00847A12"/>
    <w:rsid w:val="00847C39"/>
    <w:rsid w:val="00847D7E"/>
    <w:rsid w:val="008501AE"/>
    <w:rsid w:val="00850994"/>
    <w:rsid w:val="00850A55"/>
    <w:rsid w:val="00850D5A"/>
    <w:rsid w:val="00850F07"/>
    <w:rsid w:val="00851163"/>
    <w:rsid w:val="00851186"/>
    <w:rsid w:val="00851264"/>
    <w:rsid w:val="008512E2"/>
    <w:rsid w:val="008513DA"/>
    <w:rsid w:val="008514BE"/>
    <w:rsid w:val="0085190A"/>
    <w:rsid w:val="00851F1E"/>
    <w:rsid w:val="00851FCA"/>
    <w:rsid w:val="00852734"/>
    <w:rsid w:val="00852DDE"/>
    <w:rsid w:val="0085303E"/>
    <w:rsid w:val="008530EB"/>
    <w:rsid w:val="00853155"/>
    <w:rsid w:val="00853573"/>
    <w:rsid w:val="0085361B"/>
    <w:rsid w:val="008536FC"/>
    <w:rsid w:val="00853A8F"/>
    <w:rsid w:val="00853D6E"/>
    <w:rsid w:val="00853DD4"/>
    <w:rsid w:val="00853E64"/>
    <w:rsid w:val="008542FD"/>
    <w:rsid w:val="008547C7"/>
    <w:rsid w:val="00854AFD"/>
    <w:rsid w:val="00854C0E"/>
    <w:rsid w:val="00854E02"/>
    <w:rsid w:val="00855366"/>
    <w:rsid w:val="008553E2"/>
    <w:rsid w:val="008554A6"/>
    <w:rsid w:val="0085581C"/>
    <w:rsid w:val="00855B9C"/>
    <w:rsid w:val="00855F9A"/>
    <w:rsid w:val="008568AD"/>
    <w:rsid w:val="00856B54"/>
    <w:rsid w:val="00856D82"/>
    <w:rsid w:val="0085728B"/>
    <w:rsid w:val="008575CD"/>
    <w:rsid w:val="00857722"/>
    <w:rsid w:val="008578ED"/>
    <w:rsid w:val="00857BF8"/>
    <w:rsid w:val="00857D07"/>
    <w:rsid w:val="00857E67"/>
    <w:rsid w:val="0086081F"/>
    <w:rsid w:val="00860822"/>
    <w:rsid w:val="00860D0B"/>
    <w:rsid w:val="00860E80"/>
    <w:rsid w:val="00860FD2"/>
    <w:rsid w:val="0086130C"/>
    <w:rsid w:val="0086147F"/>
    <w:rsid w:val="00861A54"/>
    <w:rsid w:val="00861B29"/>
    <w:rsid w:val="008621E1"/>
    <w:rsid w:val="008623A9"/>
    <w:rsid w:val="0086266A"/>
    <w:rsid w:val="00862696"/>
    <w:rsid w:val="0086280A"/>
    <w:rsid w:val="0086286E"/>
    <w:rsid w:val="008628EF"/>
    <w:rsid w:val="00862FA8"/>
    <w:rsid w:val="008632EC"/>
    <w:rsid w:val="0086335A"/>
    <w:rsid w:val="00863862"/>
    <w:rsid w:val="00863D64"/>
    <w:rsid w:val="00864233"/>
    <w:rsid w:val="008645DE"/>
    <w:rsid w:val="00864724"/>
    <w:rsid w:val="00864732"/>
    <w:rsid w:val="00864987"/>
    <w:rsid w:val="00864AB5"/>
    <w:rsid w:val="00864BCF"/>
    <w:rsid w:val="00864D71"/>
    <w:rsid w:val="00865071"/>
    <w:rsid w:val="008651F6"/>
    <w:rsid w:val="008652B4"/>
    <w:rsid w:val="008652F9"/>
    <w:rsid w:val="00865A58"/>
    <w:rsid w:val="00865CC0"/>
    <w:rsid w:val="00865F86"/>
    <w:rsid w:val="00865FCD"/>
    <w:rsid w:val="00865FF6"/>
    <w:rsid w:val="00866519"/>
    <w:rsid w:val="008674E4"/>
    <w:rsid w:val="00867511"/>
    <w:rsid w:val="00867599"/>
    <w:rsid w:val="008677C6"/>
    <w:rsid w:val="008677E3"/>
    <w:rsid w:val="00867A9E"/>
    <w:rsid w:val="00867B06"/>
    <w:rsid w:val="00867E16"/>
    <w:rsid w:val="00867E1D"/>
    <w:rsid w:val="00867F12"/>
    <w:rsid w:val="00870045"/>
    <w:rsid w:val="008703E7"/>
    <w:rsid w:val="0087045C"/>
    <w:rsid w:val="008708A3"/>
    <w:rsid w:val="00870B52"/>
    <w:rsid w:val="00870B8E"/>
    <w:rsid w:val="00870CD6"/>
    <w:rsid w:val="00870E7F"/>
    <w:rsid w:val="00871250"/>
    <w:rsid w:val="00871388"/>
    <w:rsid w:val="008716B1"/>
    <w:rsid w:val="00871E18"/>
    <w:rsid w:val="00871E78"/>
    <w:rsid w:val="00871EB8"/>
    <w:rsid w:val="0087226D"/>
    <w:rsid w:val="00872304"/>
    <w:rsid w:val="0087230F"/>
    <w:rsid w:val="00872816"/>
    <w:rsid w:val="008728EB"/>
    <w:rsid w:val="00872B85"/>
    <w:rsid w:val="00872BED"/>
    <w:rsid w:val="00872CF3"/>
    <w:rsid w:val="0087310B"/>
    <w:rsid w:val="00873270"/>
    <w:rsid w:val="008735EA"/>
    <w:rsid w:val="00873803"/>
    <w:rsid w:val="00873B59"/>
    <w:rsid w:val="00873BE5"/>
    <w:rsid w:val="00874085"/>
    <w:rsid w:val="00874095"/>
    <w:rsid w:val="0087430C"/>
    <w:rsid w:val="0087439C"/>
    <w:rsid w:val="0087460C"/>
    <w:rsid w:val="00874A18"/>
    <w:rsid w:val="00874A65"/>
    <w:rsid w:val="00874BDF"/>
    <w:rsid w:val="00874E82"/>
    <w:rsid w:val="00874F02"/>
    <w:rsid w:val="008752DC"/>
    <w:rsid w:val="00875548"/>
    <w:rsid w:val="008758FC"/>
    <w:rsid w:val="00875B23"/>
    <w:rsid w:val="008764F5"/>
    <w:rsid w:val="008765B7"/>
    <w:rsid w:val="008769D0"/>
    <w:rsid w:val="00876A31"/>
    <w:rsid w:val="00876E43"/>
    <w:rsid w:val="00876EA7"/>
    <w:rsid w:val="00877004"/>
    <w:rsid w:val="00877073"/>
    <w:rsid w:val="00877139"/>
    <w:rsid w:val="00877223"/>
    <w:rsid w:val="008775EA"/>
    <w:rsid w:val="00877D10"/>
    <w:rsid w:val="00877D32"/>
    <w:rsid w:val="00880174"/>
    <w:rsid w:val="008805A4"/>
    <w:rsid w:val="00880793"/>
    <w:rsid w:val="008808E6"/>
    <w:rsid w:val="00880904"/>
    <w:rsid w:val="00880A75"/>
    <w:rsid w:val="00880B13"/>
    <w:rsid w:val="00880D4B"/>
    <w:rsid w:val="00881343"/>
    <w:rsid w:val="00881359"/>
    <w:rsid w:val="008814A3"/>
    <w:rsid w:val="008814E2"/>
    <w:rsid w:val="00881743"/>
    <w:rsid w:val="00881AE0"/>
    <w:rsid w:val="00881D25"/>
    <w:rsid w:val="00881E3B"/>
    <w:rsid w:val="00882663"/>
    <w:rsid w:val="00882827"/>
    <w:rsid w:val="00882904"/>
    <w:rsid w:val="00882E3E"/>
    <w:rsid w:val="00882ED4"/>
    <w:rsid w:val="008830A9"/>
    <w:rsid w:val="00883149"/>
    <w:rsid w:val="008833FE"/>
    <w:rsid w:val="00883508"/>
    <w:rsid w:val="00883687"/>
    <w:rsid w:val="0088429E"/>
    <w:rsid w:val="008848BA"/>
    <w:rsid w:val="00884BEB"/>
    <w:rsid w:val="00884C1F"/>
    <w:rsid w:val="00884D05"/>
    <w:rsid w:val="00884D98"/>
    <w:rsid w:val="00884E7A"/>
    <w:rsid w:val="00884F41"/>
    <w:rsid w:val="008850CD"/>
    <w:rsid w:val="0088517B"/>
    <w:rsid w:val="00885315"/>
    <w:rsid w:val="00885437"/>
    <w:rsid w:val="00885462"/>
    <w:rsid w:val="00885617"/>
    <w:rsid w:val="00885768"/>
    <w:rsid w:val="00885906"/>
    <w:rsid w:val="00885B88"/>
    <w:rsid w:val="00886AE4"/>
    <w:rsid w:val="00886E73"/>
    <w:rsid w:val="00886FC0"/>
    <w:rsid w:val="008871C2"/>
    <w:rsid w:val="00887356"/>
    <w:rsid w:val="0088752A"/>
    <w:rsid w:val="008902AA"/>
    <w:rsid w:val="00890534"/>
    <w:rsid w:val="008905C8"/>
    <w:rsid w:val="008908EB"/>
    <w:rsid w:val="00890D30"/>
    <w:rsid w:val="00890DBB"/>
    <w:rsid w:val="00890DF4"/>
    <w:rsid w:val="008916E7"/>
    <w:rsid w:val="00891820"/>
    <w:rsid w:val="00891E8E"/>
    <w:rsid w:val="00891FD4"/>
    <w:rsid w:val="0089210D"/>
    <w:rsid w:val="00892308"/>
    <w:rsid w:val="00892404"/>
    <w:rsid w:val="00892463"/>
    <w:rsid w:val="00892466"/>
    <w:rsid w:val="00892A54"/>
    <w:rsid w:val="008932DD"/>
    <w:rsid w:val="00893355"/>
    <w:rsid w:val="00893371"/>
    <w:rsid w:val="0089348F"/>
    <w:rsid w:val="008936D1"/>
    <w:rsid w:val="008937DF"/>
    <w:rsid w:val="00893AB9"/>
    <w:rsid w:val="00893AC4"/>
    <w:rsid w:val="00893BEA"/>
    <w:rsid w:val="0089495F"/>
    <w:rsid w:val="008949E1"/>
    <w:rsid w:val="00894AD5"/>
    <w:rsid w:val="00894E50"/>
    <w:rsid w:val="008953B7"/>
    <w:rsid w:val="008956AC"/>
    <w:rsid w:val="008958B9"/>
    <w:rsid w:val="00896780"/>
    <w:rsid w:val="00896E27"/>
    <w:rsid w:val="00896F88"/>
    <w:rsid w:val="00897036"/>
    <w:rsid w:val="008971A0"/>
    <w:rsid w:val="00897684"/>
    <w:rsid w:val="00897A31"/>
    <w:rsid w:val="00897A92"/>
    <w:rsid w:val="00897BAA"/>
    <w:rsid w:val="00897BEF"/>
    <w:rsid w:val="00897FBA"/>
    <w:rsid w:val="008A0197"/>
    <w:rsid w:val="008A0216"/>
    <w:rsid w:val="008A036D"/>
    <w:rsid w:val="008A03D5"/>
    <w:rsid w:val="008A063E"/>
    <w:rsid w:val="008A069A"/>
    <w:rsid w:val="008A083A"/>
    <w:rsid w:val="008A08AC"/>
    <w:rsid w:val="008A0D83"/>
    <w:rsid w:val="008A1103"/>
    <w:rsid w:val="008A1634"/>
    <w:rsid w:val="008A17E0"/>
    <w:rsid w:val="008A18EF"/>
    <w:rsid w:val="008A1D59"/>
    <w:rsid w:val="008A2CAE"/>
    <w:rsid w:val="008A312C"/>
    <w:rsid w:val="008A31A3"/>
    <w:rsid w:val="008A3208"/>
    <w:rsid w:val="008A3292"/>
    <w:rsid w:val="008A32EA"/>
    <w:rsid w:val="008A3368"/>
    <w:rsid w:val="008A35FC"/>
    <w:rsid w:val="008A3FB5"/>
    <w:rsid w:val="008A46F2"/>
    <w:rsid w:val="008A49CF"/>
    <w:rsid w:val="008A4B90"/>
    <w:rsid w:val="008A4BEC"/>
    <w:rsid w:val="008A4D49"/>
    <w:rsid w:val="008A4F74"/>
    <w:rsid w:val="008A5056"/>
    <w:rsid w:val="008A50B8"/>
    <w:rsid w:val="008A512B"/>
    <w:rsid w:val="008A52B4"/>
    <w:rsid w:val="008A5544"/>
    <w:rsid w:val="008A5BD0"/>
    <w:rsid w:val="008A5F0F"/>
    <w:rsid w:val="008A62B0"/>
    <w:rsid w:val="008A644F"/>
    <w:rsid w:val="008A69EC"/>
    <w:rsid w:val="008A6ABB"/>
    <w:rsid w:val="008A704D"/>
    <w:rsid w:val="008A7117"/>
    <w:rsid w:val="008A71C4"/>
    <w:rsid w:val="008A747E"/>
    <w:rsid w:val="008A7497"/>
    <w:rsid w:val="008A7499"/>
    <w:rsid w:val="008A759E"/>
    <w:rsid w:val="008A79BF"/>
    <w:rsid w:val="008A7A36"/>
    <w:rsid w:val="008A7C42"/>
    <w:rsid w:val="008A7D31"/>
    <w:rsid w:val="008A7EA7"/>
    <w:rsid w:val="008B0166"/>
    <w:rsid w:val="008B03B4"/>
    <w:rsid w:val="008B09A1"/>
    <w:rsid w:val="008B09A4"/>
    <w:rsid w:val="008B0A86"/>
    <w:rsid w:val="008B0CD2"/>
    <w:rsid w:val="008B0D0A"/>
    <w:rsid w:val="008B12B5"/>
    <w:rsid w:val="008B1321"/>
    <w:rsid w:val="008B15FF"/>
    <w:rsid w:val="008B1727"/>
    <w:rsid w:val="008B18FF"/>
    <w:rsid w:val="008B1B69"/>
    <w:rsid w:val="008B1C59"/>
    <w:rsid w:val="008B1CF8"/>
    <w:rsid w:val="008B2480"/>
    <w:rsid w:val="008B26BD"/>
    <w:rsid w:val="008B295E"/>
    <w:rsid w:val="008B2C8C"/>
    <w:rsid w:val="008B324A"/>
    <w:rsid w:val="008B3ABC"/>
    <w:rsid w:val="008B3B9F"/>
    <w:rsid w:val="008B3C94"/>
    <w:rsid w:val="008B3D02"/>
    <w:rsid w:val="008B41FD"/>
    <w:rsid w:val="008B4201"/>
    <w:rsid w:val="008B4321"/>
    <w:rsid w:val="008B45A1"/>
    <w:rsid w:val="008B4A87"/>
    <w:rsid w:val="008B4AFD"/>
    <w:rsid w:val="008B55F2"/>
    <w:rsid w:val="008B580D"/>
    <w:rsid w:val="008B5975"/>
    <w:rsid w:val="008B5988"/>
    <w:rsid w:val="008B5B44"/>
    <w:rsid w:val="008B5C33"/>
    <w:rsid w:val="008B5C4E"/>
    <w:rsid w:val="008B5C9C"/>
    <w:rsid w:val="008B5CB5"/>
    <w:rsid w:val="008B5DCF"/>
    <w:rsid w:val="008B5E32"/>
    <w:rsid w:val="008B5ECC"/>
    <w:rsid w:val="008B608F"/>
    <w:rsid w:val="008B6294"/>
    <w:rsid w:val="008B6546"/>
    <w:rsid w:val="008B6565"/>
    <w:rsid w:val="008B6C49"/>
    <w:rsid w:val="008B6D42"/>
    <w:rsid w:val="008B7216"/>
    <w:rsid w:val="008B7408"/>
    <w:rsid w:val="008B7476"/>
    <w:rsid w:val="008B7817"/>
    <w:rsid w:val="008B7C9D"/>
    <w:rsid w:val="008B7CEF"/>
    <w:rsid w:val="008B7DBF"/>
    <w:rsid w:val="008C006F"/>
    <w:rsid w:val="008C0099"/>
    <w:rsid w:val="008C011D"/>
    <w:rsid w:val="008C056A"/>
    <w:rsid w:val="008C05B6"/>
    <w:rsid w:val="008C081E"/>
    <w:rsid w:val="008C0A9D"/>
    <w:rsid w:val="008C0CC5"/>
    <w:rsid w:val="008C0DE6"/>
    <w:rsid w:val="008C12D0"/>
    <w:rsid w:val="008C12F4"/>
    <w:rsid w:val="008C1349"/>
    <w:rsid w:val="008C16AF"/>
    <w:rsid w:val="008C1787"/>
    <w:rsid w:val="008C182A"/>
    <w:rsid w:val="008C1C62"/>
    <w:rsid w:val="008C207B"/>
    <w:rsid w:val="008C234E"/>
    <w:rsid w:val="008C264A"/>
    <w:rsid w:val="008C26E2"/>
    <w:rsid w:val="008C275A"/>
    <w:rsid w:val="008C2871"/>
    <w:rsid w:val="008C2BBE"/>
    <w:rsid w:val="008C3013"/>
    <w:rsid w:val="008C30EB"/>
    <w:rsid w:val="008C341D"/>
    <w:rsid w:val="008C3685"/>
    <w:rsid w:val="008C3A33"/>
    <w:rsid w:val="008C3A77"/>
    <w:rsid w:val="008C3E09"/>
    <w:rsid w:val="008C404B"/>
    <w:rsid w:val="008C40F3"/>
    <w:rsid w:val="008C410B"/>
    <w:rsid w:val="008C427A"/>
    <w:rsid w:val="008C4443"/>
    <w:rsid w:val="008C4459"/>
    <w:rsid w:val="008C466C"/>
    <w:rsid w:val="008C495A"/>
    <w:rsid w:val="008C49C4"/>
    <w:rsid w:val="008C4AAA"/>
    <w:rsid w:val="008C502D"/>
    <w:rsid w:val="008C512A"/>
    <w:rsid w:val="008C5323"/>
    <w:rsid w:val="008C54CB"/>
    <w:rsid w:val="008C59DC"/>
    <w:rsid w:val="008C64B8"/>
    <w:rsid w:val="008C6ACF"/>
    <w:rsid w:val="008C6E5F"/>
    <w:rsid w:val="008C6E9C"/>
    <w:rsid w:val="008C7C8E"/>
    <w:rsid w:val="008C7EEB"/>
    <w:rsid w:val="008D02C3"/>
    <w:rsid w:val="008D039A"/>
    <w:rsid w:val="008D05D1"/>
    <w:rsid w:val="008D1FA4"/>
    <w:rsid w:val="008D22A6"/>
    <w:rsid w:val="008D2C8F"/>
    <w:rsid w:val="008D2CF1"/>
    <w:rsid w:val="008D2DD1"/>
    <w:rsid w:val="008D363A"/>
    <w:rsid w:val="008D3664"/>
    <w:rsid w:val="008D383F"/>
    <w:rsid w:val="008D3D30"/>
    <w:rsid w:val="008D3E87"/>
    <w:rsid w:val="008D427D"/>
    <w:rsid w:val="008D43F0"/>
    <w:rsid w:val="008D4563"/>
    <w:rsid w:val="008D468F"/>
    <w:rsid w:val="008D48A7"/>
    <w:rsid w:val="008D4902"/>
    <w:rsid w:val="008D4DFA"/>
    <w:rsid w:val="008D5226"/>
    <w:rsid w:val="008D5437"/>
    <w:rsid w:val="008D587D"/>
    <w:rsid w:val="008D5953"/>
    <w:rsid w:val="008D5E9D"/>
    <w:rsid w:val="008D5EC1"/>
    <w:rsid w:val="008D6025"/>
    <w:rsid w:val="008D65D3"/>
    <w:rsid w:val="008D6A9A"/>
    <w:rsid w:val="008D6E0C"/>
    <w:rsid w:val="008D7491"/>
    <w:rsid w:val="008D74EC"/>
    <w:rsid w:val="008D771D"/>
    <w:rsid w:val="008D772E"/>
    <w:rsid w:val="008D7915"/>
    <w:rsid w:val="008D7F3F"/>
    <w:rsid w:val="008D7F63"/>
    <w:rsid w:val="008E027C"/>
    <w:rsid w:val="008E02A8"/>
    <w:rsid w:val="008E041A"/>
    <w:rsid w:val="008E057B"/>
    <w:rsid w:val="008E05ED"/>
    <w:rsid w:val="008E0CCC"/>
    <w:rsid w:val="008E0FDF"/>
    <w:rsid w:val="008E117F"/>
    <w:rsid w:val="008E11CF"/>
    <w:rsid w:val="008E1453"/>
    <w:rsid w:val="008E1592"/>
    <w:rsid w:val="008E18C4"/>
    <w:rsid w:val="008E1C3C"/>
    <w:rsid w:val="008E220D"/>
    <w:rsid w:val="008E2391"/>
    <w:rsid w:val="008E25B5"/>
    <w:rsid w:val="008E27B4"/>
    <w:rsid w:val="008E28A5"/>
    <w:rsid w:val="008E2B18"/>
    <w:rsid w:val="008E2C3C"/>
    <w:rsid w:val="008E2ED1"/>
    <w:rsid w:val="008E2F02"/>
    <w:rsid w:val="008E3782"/>
    <w:rsid w:val="008E3C95"/>
    <w:rsid w:val="008E4089"/>
    <w:rsid w:val="008E4DEE"/>
    <w:rsid w:val="008E4E94"/>
    <w:rsid w:val="008E4FAE"/>
    <w:rsid w:val="008E50A4"/>
    <w:rsid w:val="008E52A5"/>
    <w:rsid w:val="008E5927"/>
    <w:rsid w:val="008E5CE1"/>
    <w:rsid w:val="008E61F9"/>
    <w:rsid w:val="008E653E"/>
    <w:rsid w:val="008E6A76"/>
    <w:rsid w:val="008E6B6A"/>
    <w:rsid w:val="008E6BBC"/>
    <w:rsid w:val="008E6DE0"/>
    <w:rsid w:val="008E6E98"/>
    <w:rsid w:val="008E7054"/>
    <w:rsid w:val="008E76D2"/>
    <w:rsid w:val="008E7994"/>
    <w:rsid w:val="008E79C6"/>
    <w:rsid w:val="008E7A6C"/>
    <w:rsid w:val="008E7C1B"/>
    <w:rsid w:val="008E7C71"/>
    <w:rsid w:val="008E7C7C"/>
    <w:rsid w:val="008E7D91"/>
    <w:rsid w:val="008F01B8"/>
    <w:rsid w:val="008F06A1"/>
    <w:rsid w:val="008F07F0"/>
    <w:rsid w:val="008F09AA"/>
    <w:rsid w:val="008F0D8D"/>
    <w:rsid w:val="008F100B"/>
    <w:rsid w:val="008F1127"/>
    <w:rsid w:val="008F148C"/>
    <w:rsid w:val="008F1924"/>
    <w:rsid w:val="008F1AAC"/>
    <w:rsid w:val="008F1B73"/>
    <w:rsid w:val="008F1B98"/>
    <w:rsid w:val="008F219A"/>
    <w:rsid w:val="008F23CC"/>
    <w:rsid w:val="008F27CC"/>
    <w:rsid w:val="008F2896"/>
    <w:rsid w:val="008F2965"/>
    <w:rsid w:val="008F2FEF"/>
    <w:rsid w:val="008F337F"/>
    <w:rsid w:val="008F3407"/>
    <w:rsid w:val="008F38C7"/>
    <w:rsid w:val="008F39C9"/>
    <w:rsid w:val="008F39D2"/>
    <w:rsid w:val="008F3A21"/>
    <w:rsid w:val="008F41EF"/>
    <w:rsid w:val="008F43DB"/>
    <w:rsid w:val="008F4FAF"/>
    <w:rsid w:val="008F5156"/>
    <w:rsid w:val="008F5202"/>
    <w:rsid w:val="008F5205"/>
    <w:rsid w:val="008F5341"/>
    <w:rsid w:val="008F54A0"/>
    <w:rsid w:val="008F5893"/>
    <w:rsid w:val="008F5A8B"/>
    <w:rsid w:val="008F5F1E"/>
    <w:rsid w:val="008F5FA4"/>
    <w:rsid w:val="008F617D"/>
    <w:rsid w:val="008F652F"/>
    <w:rsid w:val="008F6B01"/>
    <w:rsid w:val="008F6BBD"/>
    <w:rsid w:val="008F6C99"/>
    <w:rsid w:val="008F6E79"/>
    <w:rsid w:val="008F6E7A"/>
    <w:rsid w:val="008F7789"/>
    <w:rsid w:val="008F79F8"/>
    <w:rsid w:val="008F7A26"/>
    <w:rsid w:val="008F7A28"/>
    <w:rsid w:val="008F7F56"/>
    <w:rsid w:val="00900074"/>
    <w:rsid w:val="00900369"/>
    <w:rsid w:val="009004D5"/>
    <w:rsid w:val="00900A9C"/>
    <w:rsid w:val="0090127B"/>
    <w:rsid w:val="00901400"/>
    <w:rsid w:val="00901750"/>
    <w:rsid w:val="00901A99"/>
    <w:rsid w:val="00901E4A"/>
    <w:rsid w:val="009025FE"/>
    <w:rsid w:val="00902D94"/>
    <w:rsid w:val="00902F9E"/>
    <w:rsid w:val="00902FED"/>
    <w:rsid w:val="00903004"/>
    <w:rsid w:val="00903036"/>
    <w:rsid w:val="009039A0"/>
    <w:rsid w:val="00903B10"/>
    <w:rsid w:val="00903E4F"/>
    <w:rsid w:val="00903FDD"/>
    <w:rsid w:val="009041CD"/>
    <w:rsid w:val="009043CD"/>
    <w:rsid w:val="009045AC"/>
    <w:rsid w:val="00904645"/>
    <w:rsid w:val="00904670"/>
    <w:rsid w:val="00904BBB"/>
    <w:rsid w:val="00904D66"/>
    <w:rsid w:val="00904DDC"/>
    <w:rsid w:val="00904F9B"/>
    <w:rsid w:val="00905352"/>
    <w:rsid w:val="0090561F"/>
    <w:rsid w:val="009057B9"/>
    <w:rsid w:val="00905AE8"/>
    <w:rsid w:val="00905B08"/>
    <w:rsid w:val="00905B3D"/>
    <w:rsid w:val="00905C87"/>
    <w:rsid w:val="00905FD4"/>
    <w:rsid w:val="00906458"/>
    <w:rsid w:val="009064A0"/>
    <w:rsid w:val="0090666C"/>
    <w:rsid w:val="00906A1E"/>
    <w:rsid w:val="00906CE6"/>
    <w:rsid w:val="0090728D"/>
    <w:rsid w:val="009076BA"/>
    <w:rsid w:val="00907904"/>
    <w:rsid w:val="00907968"/>
    <w:rsid w:val="009079F4"/>
    <w:rsid w:val="00910406"/>
    <w:rsid w:val="009105EF"/>
    <w:rsid w:val="0091082C"/>
    <w:rsid w:val="00910907"/>
    <w:rsid w:val="00910B88"/>
    <w:rsid w:val="00910C33"/>
    <w:rsid w:val="00910C87"/>
    <w:rsid w:val="00911145"/>
    <w:rsid w:val="0091120C"/>
    <w:rsid w:val="00911399"/>
    <w:rsid w:val="0091175E"/>
    <w:rsid w:val="00911818"/>
    <w:rsid w:val="00911C7F"/>
    <w:rsid w:val="00911E21"/>
    <w:rsid w:val="009120DE"/>
    <w:rsid w:val="009122A1"/>
    <w:rsid w:val="00912825"/>
    <w:rsid w:val="009131E7"/>
    <w:rsid w:val="0091335E"/>
    <w:rsid w:val="009134E4"/>
    <w:rsid w:val="00913553"/>
    <w:rsid w:val="0091373A"/>
    <w:rsid w:val="00913743"/>
    <w:rsid w:val="00913A1F"/>
    <w:rsid w:val="00913B32"/>
    <w:rsid w:val="00913B81"/>
    <w:rsid w:val="00913D98"/>
    <w:rsid w:val="00913E80"/>
    <w:rsid w:val="00914254"/>
    <w:rsid w:val="00914794"/>
    <w:rsid w:val="0091488E"/>
    <w:rsid w:val="0091494C"/>
    <w:rsid w:val="00914BA9"/>
    <w:rsid w:val="00914BBD"/>
    <w:rsid w:val="00914BC5"/>
    <w:rsid w:val="00914C6C"/>
    <w:rsid w:val="009150E8"/>
    <w:rsid w:val="0091559F"/>
    <w:rsid w:val="009156E6"/>
    <w:rsid w:val="00915C03"/>
    <w:rsid w:val="00915E7E"/>
    <w:rsid w:val="00915EA2"/>
    <w:rsid w:val="0091602B"/>
    <w:rsid w:val="009160B5"/>
    <w:rsid w:val="00916731"/>
    <w:rsid w:val="00916D63"/>
    <w:rsid w:val="00916E0B"/>
    <w:rsid w:val="0091780B"/>
    <w:rsid w:val="00917940"/>
    <w:rsid w:val="00917A2B"/>
    <w:rsid w:val="00917B51"/>
    <w:rsid w:val="00917B86"/>
    <w:rsid w:val="00917C44"/>
    <w:rsid w:val="00917E18"/>
    <w:rsid w:val="00917ECD"/>
    <w:rsid w:val="00920278"/>
    <w:rsid w:val="00920316"/>
    <w:rsid w:val="00920349"/>
    <w:rsid w:val="009204B0"/>
    <w:rsid w:val="0092062D"/>
    <w:rsid w:val="00920CE1"/>
    <w:rsid w:val="00920DB2"/>
    <w:rsid w:val="00920FEC"/>
    <w:rsid w:val="009216B6"/>
    <w:rsid w:val="00921CBB"/>
    <w:rsid w:val="00921D4E"/>
    <w:rsid w:val="009221D2"/>
    <w:rsid w:val="00922582"/>
    <w:rsid w:val="009225CE"/>
    <w:rsid w:val="009225CF"/>
    <w:rsid w:val="009226CB"/>
    <w:rsid w:val="00922819"/>
    <w:rsid w:val="009228DE"/>
    <w:rsid w:val="00922968"/>
    <w:rsid w:val="009230FC"/>
    <w:rsid w:val="009234AA"/>
    <w:rsid w:val="0092370F"/>
    <w:rsid w:val="009237EA"/>
    <w:rsid w:val="00923928"/>
    <w:rsid w:val="00923C43"/>
    <w:rsid w:val="00923C62"/>
    <w:rsid w:val="0092421D"/>
    <w:rsid w:val="009245F1"/>
    <w:rsid w:val="0092461D"/>
    <w:rsid w:val="00924B0B"/>
    <w:rsid w:val="00924E1C"/>
    <w:rsid w:val="00925061"/>
    <w:rsid w:val="009257B1"/>
    <w:rsid w:val="00925950"/>
    <w:rsid w:val="00925B2E"/>
    <w:rsid w:val="00925C6C"/>
    <w:rsid w:val="00925D58"/>
    <w:rsid w:val="00925E1A"/>
    <w:rsid w:val="00926181"/>
    <w:rsid w:val="009264FC"/>
    <w:rsid w:val="0092658B"/>
    <w:rsid w:val="009266C1"/>
    <w:rsid w:val="009267FA"/>
    <w:rsid w:val="00926CE1"/>
    <w:rsid w:val="00926EE9"/>
    <w:rsid w:val="009270FF"/>
    <w:rsid w:val="00927529"/>
    <w:rsid w:val="009275B0"/>
    <w:rsid w:val="00927618"/>
    <w:rsid w:val="0092775B"/>
    <w:rsid w:val="0093009A"/>
    <w:rsid w:val="009306ED"/>
    <w:rsid w:val="009307EC"/>
    <w:rsid w:val="00930D6B"/>
    <w:rsid w:val="009311F9"/>
    <w:rsid w:val="00931351"/>
    <w:rsid w:val="009316FB"/>
    <w:rsid w:val="009318CB"/>
    <w:rsid w:val="00931B2A"/>
    <w:rsid w:val="00931BC7"/>
    <w:rsid w:val="00931BF2"/>
    <w:rsid w:val="00931DE6"/>
    <w:rsid w:val="00931F6E"/>
    <w:rsid w:val="009322F2"/>
    <w:rsid w:val="0093258F"/>
    <w:rsid w:val="009329BA"/>
    <w:rsid w:val="00932A09"/>
    <w:rsid w:val="00932AA6"/>
    <w:rsid w:val="00932CAD"/>
    <w:rsid w:val="009331B6"/>
    <w:rsid w:val="00933214"/>
    <w:rsid w:val="0093326F"/>
    <w:rsid w:val="009332B1"/>
    <w:rsid w:val="0093330B"/>
    <w:rsid w:val="00933328"/>
    <w:rsid w:val="00933CD5"/>
    <w:rsid w:val="00933D79"/>
    <w:rsid w:val="0093416E"/>
    <w:rsid w:val="009347D2"/>
    <w:rsid w:val="00934A22"/>
    <w:rsid w:val="00934BCF"/>
    <w:rsid w:val="00934ECC"/>
    <w:rsid w:val="009353AB"/>
    <w:rsid w:val="00935554"/>
    <w:rsid w:val="00935D3D"/>
    <w:rsid w:val="0093632E"/>
    <w:rsid w:val="009363EF"/>
    <w:rsid w:val="009363F2"/>
    <w:rsid w:val="009364CE"/>
    <w:rsid w:val="00936713"/>
    <w:rsid w:val="0093690D"/>
    <w:rsid w:val="00936D02"/>
    <w:rsid w:val="00936D19"/>
    <w:rsid w:val="00936D44"/>
    <w:rsid w:val="00936EB5"/>
    <w:rsid w:val="009370E3"/>
    <w:rsid w:val="009372AD"/>
    <w:rsid w:val="009373E6"/>
    <w:rsid w:val="00937409"/>
    <w:rsid w:val="0093761D"/>
    <w:rsid w:val="009379A2"/>
    <w:rsid w:val="0094023C"/>
    <w:rsid w:val="00940400"/>
    <w:rsid w:val="009408E6"/>
    <w:rsid w:val="00940B7E"/>
    <w:rsid w:val="00940C5A"/>
    <w:rsid w:val="009417E7"/>
    <w:rsid w:val="009418BB"/>
    <w:rsid w:val="00941B46"/>
    <w:rsid w:val="009421D9"/>
    <w:rsid w:val="0094226C"/>
    <w:rsid w:val="0094265F"/>
    <w:rsid w:val="00942B8E"/>
    <w:rsid w:val="00942C1F"/>
    <w:rsid w:val="00943201"/>
    <w:rsid w:val="0094327F"/>
    <w:rsid w:val="009434D8"/>
    <w:rsid w:val="00943D11"/>
    <w:rsid w:val="00943D2A"/>
    <w:rsid w:val="0094432B"/>
    <w:rsid w:val="0094446D"/>
    <w:rsid w:val="009445D4"/>
    <w:rsid w:val="00944781"/>
    <w:rsid w:val="009449AE"/>
    <w:rsid w:val="00944CC9"/>
    <w:rsid w:val="00944E33"/>
    <w:rsid w:val="00945150"/>
    <w:rsid w:val="009451C5"/>
    <w:rsid w:val="00945354"/>
    <w:rsid w:val="00945AA0"/>
    <w:rsid w:val="00945B4C"/>
    <w:rsid w:val="00945E17"/>
    <w:rsid w:val="00946519"/>
    <w:rsid w:val="00946590"/>
    <w:rsid w:val="00946932"/>
    <w:rsid w:val="00946AE0"/>
    <w:rsid w:val="00946CB4"/>
    <w:rsid w:val="00946F80"/>
    <w:rsid w:val="00947258"/>
    <w:rsid w:val="00947441"/>
    <w:rsid w:val="0094759B"/>
    <w:rsid w:val="00947B36"/>
    <w:rsid w:val="00947E36"/>
    <w:rsid w:val="009500EC"/>
    <w:rsid w:val="00950BE9"/>
    <w:rsid w:val="00950DEB"/>
    <w:rsid w:val="00950FAD"/>
    <w:rsid w:val="00951132"/>
    <w:rsid w:val="00951189"/>
    <w:rsid w:val="00951406"/>
    <w:rsid w:val="009514BF"/>
    <w:rsid w:val="0095174C"/>
    <w:rsid w:val="00951F72"/>
    <w:rsid w:val="00951FB5"/>
    <w:rsid w:val="009523D7"/>
    <w:rsid w:val="009527AD"/>
    <w:rsid w:val="00952885"/>
    <w:rsid w:val="00953057"/>
    <w:rsid w:val="0095310B"/>
    <w:rsid w:val="00953B68"/>
    <w:rsid w:val="00953FBA"/>
    <w:rsid w:val="009541C9"/>
    <w:rsid w:val="00954920"/>
    <w:rsid w:val="00955239"/>
    <w:rsid w:val="009554DE"/>
    <w:rsid w:val="00955ACD"/>
    <w:rsid w:val="00956390"/>
    <w:rsid w:val="00956653"/>
    <w:rsid w:val="009569A0"/>
    <w:rsid w:val="00956C0B"/>
    <w:rsid w:val="00956D11"/>
    <w:rsid w:val="00957169"/>
    <w:rsid w:val="009571EC"/>
    <w:rsid w:val="00957356"/>
    <w:rsid w:val="00957444"/>
    <w:rsid w:val="00957680"/>
    <w:rsid w:val="009579B0"/>
    <w:rsid w:val="00957C3F"/>
    <w:rsid w:val="00960038"/>
    <w:rsid w:val="009604ED"/>
    <w:rsid w:val="009606F8"/>
    <w:rsid w:val="00960A1A"/>
    <w:rsid w:val="009610A8"/>
    <w:rsid w:val="00961373"/>
    <w:rsid w:val="00961839"/>
    <w:rsid w:val="00961A5C"/>
    <w:rsid w:val="00961A9E"/>
    <w:rsid w:val="00961B94"/>
    <w:rsid w:val="00961CEC"/>
    <w:rsid w:val="00961F37"/>
    <w:rsid w:val="00961FCB"/>
    <w:rsid w:val="0096210C"/>
    <w:rsid w:val="0096270F"/>
    <w:rsid w:val="00962832"/>
    <w:rsid w:val="00962961"/>
    <w:rsid w:val="00962995"/>
    <w:rsid w:val="00962A5B"/>
    <w:rsid w:val="00962C37"/>
    <w:rsid w:val="00962C5F"/>
    <w:rsid w:val="00962ED3"/>
    <w:rsid w:val="00962F5F"/>
    <w:rsid w:val="00963173"/>
    <w:rsid w:val="00963495"/>
    <w:rsid w:val="009636C2"/>
    <w:rsid w:val="00963923"/>
    <w:rsid w:val="00963BB5"/>
    <w:rsid w:val="00963D8D"/>
    <w:rsid w:val="00964089"/>
    <w:rsid w:val="00964234"/>
    <w:rsid w:val="00964594"/>
    <w:rsid w:val="009645DA"/>
    <w:rsid w:val="00964833"/>
    <w:rsid w:val="009648CA"/>
    <w:rsid w:val="009648D6"/>
    <w:rsid w:val="00964DEE"/>
    <w:rsid w:val="00964EA5"/>
    <w:rsid w:val="009650C5"/>
    <w:rsid w:val="009651AE"/>
    <w:rsid w:val="009651F7"/>
    <w:rsid w:val="00965A33"/>
    <w:rsid w:val="00965B06"/>
    <w:rsid w:val="00966254"/>
    <w:rsid w:val="0096653F"/>
    <w:rsid w:val="009667CF"/>
    <w:rsid w:val="009667EA"/>
    <w:rsid w:val="009669E5"/>
    <w:rsid w:val="00966EDA"/>
    <w:rsid w:val="009675C3"/>
    <w:rsid w:val="009675F6"/>
    <w:rsid w:val="00967716"/>
    <w:rsid w:val="00967886"/>
    <w:rsid w:val="00970002"/>
    <w:rsid w:val="009701EF"/>
    <w:rsid w:val="0097021B"/>
    <w:rsid w:val="0097029A"/>
    <w:rsid w:val="00970972"/>
    <w:rsid w:val="0097133A"/>
    <w:rsid w:val="00971390"/>
    <w:rsid w:val="00971A62"/>
    <w:rsid w:val="00971B25"/>
    <w:rsid w:val="00971CF8"/>
    <w:rsid w:val="00971F1E"/>
    <w:rsid w:val="00972218"/>
    <w:rsid w:val="009722A5"/>
    <w:rsid w:val="0097245A"/>
    <w:rsid w:val="00972472"/>
    <w:rsid w:val="009727D0"/>
    <w:rsid w:val="00972916"/>
    <w:rsid w:val="00972960"/>
    <w:rsid w:val="00972D2F"/>
    <w:rsid w:val="00972E72"/>
    <w:rsid w:val="00972F4E"/>
    <w:rsid w:val="00973499"/>
    <w:rsid w:val="009735E3"/>
    <w:rsid w:val="00974035"/>
    <w:rsid w:val="009740C1"/>
    <w:rsid w:val="00974A99"/>
    <w:rsid w:val="00975051"/>
    <w:rsid w:val="00975428"/>
    <w:rsid w:val="00975C1B"/>
    <w:rsid w:val="00975D19"/>
    <w:rsid w:val="00975DEB"/>
    <w:rsid w:val="00975EA5"/>
    <w:rsid w:val="00976158"/>
    <w:rsid w:val="00976386"/>
    <w:rsid w:val="0097640D"/>
    <w:rsid w:val="00976BB1"/>
    <w:rsid w:val="00976C5D"/>
    <w:rsid w:val="009773CE"/>
    <w:rsid w:val="0097782C"/>
    <w:rsid w:val="0097785D"/>
    <w:rsid w:val="00977C2C"/>
    <w:rsid w:val="00977E4D"/>
    <w:rsid w:val="00977EBA"/>
    <w:rsid w:val="0098016C"/>
    <w:rsid w:val="009802AB"/>
    <w:rsid w:val="00980311"/>
    <w:rsid w:val="00980446"/>
    <w:rsid w:val="009804B2"/>
    <w:rsid w:val="0098089F"/>
    <w:rsid w:val="009808F4"/>
    <w:rsid w:val="00980A30"/>
    <w:rsid w:val="00980AA7"/>
    <w:rsid w:val="00980E2A"/>
    <w:rsid w:val="00980E53"/>
    <w:rsid w:val="00981005"/>
    <w:rsid w:val="0098133A"/>
    <w:rsid w:val="009816B8"/>
    <w:rsid w:val="0098173F"/>
    <w:rsid w:val="0098196B"/>
    <w:rsid w:val="00981B28"/>
    <w:rsid w:val="00981B73"/>
    <w:rsid w:val="00981BEB"/>
    <w:rsid w:val="00981F80"/>
    <w:rsid w:val="009820F9"/>
    <w:rsid w:val="0098216B"/>
    <w:rsid w:val="0098253D"/>
    <w:rsid w:val="00982AA6"/>
    <w:rsid w:val="00982B69"/>
    <w:rsid w:val="00982C6B"/>
    <w:rsid w:val="00982C8F"/>
    <w:rsid w:val="009830A1"/>
    <w:rsid w:val="00983430"/>
    <w:rsid w:val="009834D4"/>
    <w:rsid w:val="00983801"/>
    <w:rsid w:val="00983A6E"/>
    <w:rsid w:val="00983A73"/>
    <w:rsid w:val="00983AD8"/>
    <w:rsid w:val="00983B50"/>
    <w:rsid w:val="009841F1"/>
    <w:rsid w:val="009842BB"/>
    <w:rsid w:val="00984552"/>
    <w:rsid w:val="00984555"/>
    <w:rsid w:val="009845EA"/>
    <w:rsid w:val="0098484C"/>
    <w:rsid w:val="009848D9"/>
    <w:rsid w:val="00984947"/>
    <w:rsid w:val="00984B6B"/>
    <w:rsid w:val="00984BFD"/>
    <w:rsid w:val="00984D1A"/>
    <w:rsid w:val="00984D5B"/>
    <w:rsid w:val="00984DB9"/>
    <w:rsid w:val="0098503B"/>
    <w:rsid w:val="009852D9"/>
    <w:rsid w:val="00985478"/>
    <w:rsid w:val="00985589"/>
    <w:rsid w:val="00985641"/>
    <w:rsid w:val="00985744"/>
    <w:rsid w:val="00985D9C"/>
    <w:rsid w:val="00985F45"/>
    <w:rsid w:val="009860CD"/>
    <w:rsid w:val="0098616E"/>
    <w:rsid w:val="00986449"/>
    <w:rsid w:val="009867FF"/>
    <w:rsid w:val="00986906"/>
    <w:rsid w:val="00986B87"/>
    <w:rsid w:val="00986BA2"/>
    <w:rsid w:val="00986DAE"/>
    <w:rsid w:val="00987193"/>
    <w:rsid w:val="00987466"/>
    <w:rsid w:val="009878D7"/>
    <w:rsid w:val="00987AB9"/>
    <w:rsid w:val="00987C96"/>
    <w:rsid w:val="00987DAF"/>
    <w:rsid w:val="009901A0"/>
    <w:rsid w:val="00990347"/>
    <w:rsid w:val="0099060A"/>
    <w:rsid w:val="00990663"/>
    <w:rsid w:val="009906EE"/>
    <w:rsid w:val="0099073A"/>
    <w:rsid w:val="009907B6"/>
    <w:rsid w:val="00990901"/>
    <w:rsid w:val="00990DD1"/>
    <w:rsid w:val="0099149F"/>
    <w:rsid w:val="0099159E"/>
    <w:rsid w:val="00991775"/>
    <w:rsid w:val="00991ABB"/>
    <w:rsid w:val="00991B6B"/>
    <w:rsid w:val="00991B73"/>
    <w:rsid w:val="00991E35"/>
    <w:rsid w:val="00991E64"/>
    <w:rsid w:val="00991F97"/>
    <w:rsid w:val="0099210B"/>
    <w:rsid w:val="009921FB"/>
    <w:rsid w:val="009922FF"/>
    <w:rsid w:val="009923FF"/>
    <w:rsid w:val="00992704"/>
    <w:rsid w:val="00992B3E"/>
    <w:rsid w:val="00992DD5"/>
    <w:rsid w:val="00992E88"/>
    <w:rsid w:val="009930B1"/>
    <w:rsid w:val="00993115"/>
    <w:rsid w:val="009931DD"/>
    <w:rsid w:val="009933A6"/>
    <w:rsid w:val="009939AC"/>
    <w:rsid w:val="00993C75"/>
    <w:rsid w:val="00993FE6"/>
    <w:rsid w:val="009942F6"/>
    <w:rsid w:val="009943F4"/>
    <w:rsid w:val="009944F7"/>
    <w:rsid w:val="00994922"/>
    <w:rsid w:val="00994BD4"/>
    <w:rsid w:val="00994FFD"/>
    <w:rsid w:val="00995589"/>
    <w:rsid w:val="00995813"/>
    <w:rsid w:val="00995BEA"/>
    <w:rsid w:val="00995C3B"/>
    <w:rsid w:val="00995C41"/>
    <w:rsid w:val="00995D62"/>
    <w:rsid w:val="00995FD9"/>
    <w:rsid w:val="0099611A"/>
    <w:rsid w:val="0099617D"/>
    <w:rsid w:val="0099621C"/>
    <w:rsid w:val="009964B4"/>
    <w:rsid w:val="009964CD"/>
    <w:rsid w:val="00996866"/>
    <w:rsid w:val="00996FD2"/>
    <w:rsid w:val="0099722B"/>
    <w:rsid w:val="00997632"/>
    <w:rsid w:val="0099766E"/>
    <w:rsid w:val="0099778A"/>
    <w:rsid w:val="009977B0"/>
    <w:rsid w:val="00997983"/>
    <w:rsid w:val="00997D57"/>
    <w:rsid w:val="009A0179"/>
    <w:rsid w:val="009A0F1B"/>
    <w:rsid w:val="009A0FE6"/>
    <w:rsid w:val="009A1013"/>
    <w:rsid w:val="009A168F"/>
    <w:rsid w:val="009A17C3"/>
    <w:rsid w:val="009A18D2"/>
    <w:rsid w:val="009A1ACF"/>
    <w:rsid w:val="009A1D06"/>
    <w:rsid w:val="009A1D73"/>
    <w:rsid w:val="009A2642"/>
    <w:rsid w:val="009A26A3"/>
    <w:rsid w:val="009A28B1"/>
    <w:rsid w:val="009A2C8D"/>
    <w:rsid w:val="009A3280"/>
    <w:rsid w:val="009A351F"/>
    <w:rsid w:val="009A3786"/>
    <w:rsid w:val="009A37AA"/>
    <w:rsid w:val="009A3898"/>
    <w:rsid w:val="009A3BA0"/>
    <w:rsid w:val="009A3C31"/>
    <w:rsid w:val="009A4348"/>
    <w:rsid w:val="009A485A"/>
    <w:rsid w:val="009A4A14"/>
    <w:rsid w:val="009A4CE5"/>
    <w:rsid w:val="009A507C"/>
    <w:rsid w:val="009A537B"/>
    <w:rsid w:val="009A5453"/>
    <w:rsid w:val="009A5A46"/>
    <w:rsid w:val="009A5A49"/>
    <w:rsid w:val="009A630F"/>
    <w:rsid w:val="009A6312"/>
    <w:rsid w:val="009A638B"/>
    <w:rsid w:val="009A6527"/>
    <w:rsid w:val="009A6C53"/>
    <w:rsid w:val="009A6CBD"/>
    <w:rsid w:val="009A6FDE"/>
    <w:rsid w:val="009A7161"/>
    <w:rsid w:val="009A7818"/>
    <w:rsid w:val="009A795D"/>
    <w:rsid w:val="009A7A0E"/>
    <w:rsid w:val="009A7A7D"/>
    <w:rsid w:val="009B01D2"/>
    <w:rsid w:val="009B0269"/>
    <w:rsid w:val="009B0403"/>
    <w:rsid w:val="009B0664"/>
    <w:rsid w:val="009B0948"/>
    <w:rsid w:val="009B0DC9"/>
    <w:rsid w:val="009B10A7"/>
    <w:rsid w:val="009B12B3"/>
    <w:rsid w:val="009B1404"/>
    <w:rsid w:val="009B1746"/>
    <w:rsid w:val="009B17A1"/>
    <w:rsid w:val="009B1919"/>
    <w:rsid w:val="009B1C6F"/>
    <w:rsid w:val="009B20F4"/>
    <w:rsid w:val="009B236B"/>
    <w:rsid w:val="009B25E5"/>
    <w:rsid w:val="009B293A"/>
    <w:rsid w:val="009B29D2"/>
    <w:rsid w:val="009B29D6"/>
    <w:rsid w:val="009B2B8D"/>
    <w:rsid w:val="009B2FFD"/>
    <w:rsid w:val="009B3157"/>
    <w:rsid w:val="009B33DB"/>
    <w:rsid w:val="009B3648"/>
    <w:rsid w:val="009B385E"/>
    <w:rsid w:val="009B3E78"/>
    <w:rsid w:val="009B4021"/>
    <w:rsid w:val="009B4027"/>
    <w:rsid w:val="009B4243"/>
    <w:rsid w:val="009B4325"/>
    <w:rsid w:val="009B43C0"/>
    <w:rsid w:val="009B44EE"/>
    <w:rsid w:val="009B4545"/>
    <w:rsid w:val="009B48E3"/>
    <w:rsid w:val="009B4C9C"/>
    <w:rsid w:val="009B4E5C"/>
    <w:rsid w:val="009B52DE"/>
    <w:rsid w:val="009B55BD"/>
    <w:rsid w:val="009B5CD4"/>
    <w:rsid w:val="009B609D"/>
    <w:rsid w:val="009B678A"/>
    <w:rsid w:val="009B6969"/>
    <w:rsid w:val="009B6DC2"/>
    <w:rsid w:val="009B6E71"/>
    <w:rsid w:val="009B6FE8"/>
    <w:rsid w:val="009B7049"/>
    <w:rsid w:val="009B70D1"/>
    <w:rsid w:val="009B7491"/>
    <w:rsid w:val="009B78E2"/>
    <w:rsid w:val="009B7CE8"/>
    <w:rsid w:val="009C0149"/>
    <w:rsid w:val="009C0324"/>
    <w:rsid w:val="009C0336"/>
    <w:rsid w:val="009C0365"/>
    <w:rsid w:val="009C03F9"/>
    <w:rsid w:val="009C04A6"/>
    <w:rsid w:val="009C0524"/>
    <w:rsid w:val="009C08DB"/>
    <w:rsid w:val="009C0A04"/>
    <w:rsid w:val="009C1012"/>
    <w:rsid w:val="009C12D1"/>
    <w:rsid w:val="009C134F"/>
    <w:rsid w:val="009C19BA"/>
    <w:rsid w:val="009C1B2B"/>
    <w:rsid w:val="009C1F0B"/>
    <w:rsid w:val="009C2D15"/>
    <w:rsid w:val="009C2EB1"/>
    <w:rsid w:val="009C314B"/>
    <w:rsid w:val="009C31F2"/>
    <w:rsid w:val="009C3419"/>
    <w:rsid w:val="009C3DE3"/>
    <w:rsid w:val="009C441F"/>
    <w:rsid w:val="009C4461"/>
    <w:rsid w:val="009C457B"/>
    <w:rsid w:val="009C4605"/>
    <w:rsid w:val="009C497D"/>
    <w:rsid w:val="009C4CF5"/>
    <w:rsid w:val="009C5066"/>
    <w:rsid w:val="009C509E"/>
    <w:rsid w:val="009C50DE"/>
    <w:rsid w:val="009C53DF"/>
    <w:rsid w:val="009C554A"/>
    <w:rsid w:val="009C55DC"/>
    <w:rsid w:val="009C564B"/>
    <w:rsid w:val="009C598F"/>
    <w:rsid w:val="009C623A"/>
    <w:rsid w:val="009C64DD"/>
    <w:rsid w:val="009C6878"/>
    <w:rsid w:val="009C7026"/>
    <w:rsid w:val="009C70E9"/>
    <w:rsid w:val="009C7288"/>
    <w:rsid w:val="009C753E"/>
    <w:rsid w:val="009C7597"/>
    <w:rsid w:val="009C76F0"/>
    <w:rsid w:val="009C789B"/>
    <w:rsid w:val="009C79D7"/>
    <w:rsid w:val="009C7C1D"/>
    <w:rsid w:val="009D0300"/>
    <w:rsid w:val="009D0EA1"/>
    <w:rsid w:val="009D10EF"/>
    <w:rsid w:val="009D112C"/>
    <w:rsid w:val="009D1494"/>
    <w:rsid w:val="009D1972"/>
    <w:rsid w:val="009D1B15"/>
    <w:rsid w:val="009D1BE0"/>
    <w:rsid w:val="009D1C3B"/>
    <w:rsid w:val="009D2262"/>
    <w:rsid w:val="009D2281"/>
    <w:rsid w:val="009D2B10"/>
    <w:rsid w:val="009D2DD2"/>
    <w:rsid w:val="009D2EFF"/>
    <w:rsid w:val="009D3040"/>
    <w:rsid w:val="009D3122"/>
    <w:rsid w:val="009D3541"/>
    <w:rsid w:val="009D367E"/>
    <w:rsid w:val="009D3726"/>
    <w:rsid w:val="009D37FA"/>
    <w:rsid w:val="009D4203"/>
    <w:rsid w:val="009D4456"/>
    <w:rsid w:val="009D497C"/>
    <w:rsid w:val="009D4DBA"/>
    <w:rsid w:val="009D4E70"/>
    <w:rsid w:val="009D4FA0"/>
    <w:rsid w:val="009D51A8"/>
    <w:rsid w:val="009D5400"/>
    <w:rsid w:val="009D5737"/>
    <w:rsid w:val="009D5747"/>
    <w:rsid w:val="009D5ACA"/>
    <w:rsid w:val="009D5EAB"/>
    <w:rsid w:val="009D5FB9"/>
    <w:rsid w:val="009D627C"/>
    <w:rsid w:val="009D660A"/>
    <w:rsid w:val="009D6902"/>
    <w:rsid w:val="009D69EA"/>
    <w:rsid w:val="009D6AE4"/>
    <w:rsid w:val="009D7278"/>
    <w:rsid w:val="009D764A"/>
    <w:rsid w:val="009E0248"/>
    <w:rsid w:val="009E027B"/>
    <w:rsid w:val="009E027C"/>
    <w:rsid w:val="009E039D"/>
    <w:rsid w:val="009E0791"/>
    <w:rsid w:val="009E08C1"/>
    <w:rsid w:val="009E11FA"/>
    <w:rsid w:val="009E242E"/>
    <w:rsid w:val="009E2A97"/>
    <w:rsid w:val="009E2F54"/>
    <w:rsid w:val="009E3375"/>
    <w:rsid w:val="009E3551"/>
    <w:rsid w:val="009E35BE"/>
    <w:rsid w:val="009E3613"/>
    <w:rsid w:val="009E3699"/>
    <w:rsid w:val="009E38E0"/>
    <w:rsid w:val="009E397B"/>
    <w:rsid w:val="009E3C68"/>
    <w:rsid w:val="009E3CAB"/>
    <w:rsid w:val="009E40D8"/>
    <w:rsid w:val="009E4BFF"/>
    <w:rsid w:val="009E5122"/>
    <w:rsid w:val="009E51CB"/>
    <w:rsid w:val="009E5228"/>
    <w:rsid w:val="009E53F4"/>
    <w:rsid w:val="009E559E"/>
    <w:rsid w:val="009E5818"/>
    <w:rsid w:val="009E59D3"/>
    <w:rsid w:val="009E5B85"/>
    <w:rsid w:val="009E6105"/>
    <w:rsid w:val="009E615D"/>
    <w:rsid w:val="009E620F"/>
    <w:rsid w:val="009E63A0"/>
    <w:rsid w:val="009E63E6"/>
    <w:rsid w:val="009E63F4"/>
    <w:rsid w:val="009E688A"/>
    <w:rsid w:val="009E6B34"/>
    <w:rsid w:val="009E6D1A"/>
    <w:rsid w:val="009E6D3B"/>
    <w:rsid w:val="009E6F85"/>
    <w:rsid w:val="009E7126"/>
    <w:rsid w:val="009E7339"/>
    <w:rsid w:val="009E7591"/>
    <w:rsid w:val="009E7829"/>
    <w:rsid w:val="009E7A67"/>
    <w:rsid w:val="009E7C4A"/>
    <w:rsid w:val="009F0188"/>
    <w:rsid w:val="009F01E6"/>
    <w:rsid w:val="009F03EA"/>
    <w:rsid w:val="009F06BD"/>
    <w:rsid w:val="009F074E"/>
    <w:rsid w:val="009F07C7"/>
    <w:rsid w:val="009F0984"/>
    <w:rsid w:val="009F0ABB"/>
    <w:rsid w:val="009F0CC5"/>
    <w:rsid w:val="009F1350"/>
    <w:rsid w:val="009F152A"/>
    <w:rsid w:val="009F1569"/>
    <w:rsid w:val="009F1660"/>
    <w:rsid w:val="009F1991"/>
    <w:rsid w:val="009F1C65"/>
    <w:rsid w:val="009F1CC7"/>
    <w:rsid w:val="009F1DCF"/>
    <w:rsid w:val="009F2189"/>
    <w:rsid w:val="009F226A"/>
    <w:rsid w:val="009F24AB"/>
    <w:rsid w:val="009F24F9"/>
    <w:rsid w:val="009F280F"/>
    <w:rsid w:val="009F2BEE"/>
    <w:rsid w:val="009F2C43"/>
    <w:rsid w:val="009F2DF4"/>
    <w:rsid w:val="009F31A9"/>
    <w:rsid w:val="009F32C1"/>
    <w:rsid w:val="009F3533"/>
    <w:rsid w:val="009F39CD"/>
    <w:rsid w:val="009F3D9A"/>
    <w:rsid w:val="009F3E81"/>
    <w:rsid w:val="009F3F7E"/>
    <w:rsid w:val="009F45BA"/>
    <w:rsid w:val="009F4658"/>
    <w:rsid w:val="009F4958"/>
    <w:rsid w:val="009F4FB4"/>
    <w:rsid w:val="009F51E3"/>
    <w:rsid w:val="009F528F"/>
    <w:rsid w:val="009F53AB"/>
    <w:rsid w:val="009F545C"/>
    <w:rsid w:val="009F576E"/>
    <w:rsid w:val="009F586F"/>
    <w:rsid w:val="009F5B17"/>
    <w:rsid w:val="009F5D33"/>
    <w:rsid w:val="009F678F"/>
    <w:rsid w:val="009F6C0F"/>
    <w:rsid w:val="009F71E8"/>
    <w:rsid w:val="009F7338"/>
    <w:rsid w:val="009F75D7"/>
    <w:rsid w:val="009F7734"/>
    <w:rsid w:val="009F7A56"/>
    <w:rsid w:val="009F7BB6"/>
    <w:rsid w:val="009F7C45"/>
    <w:rsid w:val="00A001DB"/>
    <w:rsid w:val="00A002FF"/>
    <w:rsid w:val="00A0047D"/>
    <w:rsid w:val="00A009C5"/>
    <w:rsid w:val="00A009C8"/>
    <w:rsid w:val="00A009F0"/>
    <w:rsid w:val="00A00CBD"/>
    <w:rsid w:val="00A00E33"/>
    <w:rsid w:val="00A0125D"/>
    <w:rsid w:val="00A0161C"/>
    <w:rsid w:val="00A01767"/>
    <w:rsid w:val="00A0187F"/>
    <w:rsid w:val="00A019DB"/>
    <w:rsid w:val="00A01C54"/>
    <w:rsid w:val="00A02087"/>
    <w:rsid w:val="00A02544"/>
    <w:rsid w:val="00A0275B"/>
    <w:rsid w:val="00A02781"/>
    <w:rsid w:val="00A027C3"/>
    <w:rsid w:val="00A02BF4"/>
    <w:rsid w:val="00A02E13"/>
    <w:rsid w:val="00A03498"/>
    <w:rsid w:val="00A0390A"/>
    <w:rsid w:val="00A03CBB"/>
    <w:rsid w:val="00A03D74"/>
    <w:rsid w:val="00A03EBF"/>
    <w:rsid w:val="00A04289"/>
    <w:rsid w:val="00A04572"/>
    <w:rsid w:val="00A0489E"/>
    <w:rsid w:val="00A04DA9"/>
    <w:rsid w:val="00A04E03"/>
    <w:rsid w:val="00A05029"/>
    <w:rsid w:val="00A05252"/>
    <w:rsid w:val="00A053E1"/>
    <w:rsid w:val="00A0542A"/>
    <w:rsid w:val="00A055CD"/>
    <w:rsid w:val="00A05618"/>
    <w:rsid w:val="00A056BD"/>
    <w:rsid w:val="00A06154"/>
    <w:rsid w:val="00A063D2"/>
    <w:rsid w:val="00A0679D"/>
    <w:rsid w:val="00A0698E"/>
    <w:rsid w:val="00A06FF1"/>
    <w:rsid w:val="00A07319"/>
    <w:rsid w:val="00A07DBC"/>
    <w:rsid w:val="00A1020E"/>
    <w:rsid w:val="00A106CC"/>
    <w:rsid w:val="00A10767"/>
    <w:rsid w:val="00A10B3B"/>
    <w:rsid w:val="00A10B59"/>
    <w:rsid w:val="00A10B86"/>
    <w:rsid w:val="00A10C32"/>
    <w:rsid w:val="00A110B0"/>
    <w:rsid w:val="00A11427"/>
    <w:rsid w:val="00A1158A"/>
    <w:rsid w:val="00A118BE"/>
    <w:rsid w:val="00A11D0E"/>
    <w:rsid w:val="00A12265"/>
    <w:rsid w:val="00A1270B"/>
    <w:rsid w:val="00A12930"/>
    <w:rsid w:val="00A12EC8"/>
    <w:rsid w:val="00A1306E"/>
    <w:rsid w:val="00A13483"/>
    <w:rsid w:val="00A13848"/>
    <w:rsid w:val="00A13A5A"/>
    <w:rsid w:val="00A13B4C"/>
    <w:rsid w:val="00A13B6E"/>
    <w:rsid w:val="00A14235"/>
    <w:rsid w:val="00A14790"/>
    <w:rsid w:val="00A1489E"/>
    <w:rsid w:val="00A15052"/>
    <w:rsid w:val="00A15132"/>
    <w:rsid w:val="00A1536A"/>
    <w:rsid w:val="00A15643"/>
    <w:rsid w:val="00A158BD"/>
    <w:rsid w:val="00A15969"/>
    <w:rsid w:val="00A15DFE"/>
    <w:rsid w:val="00A15E8A"/>
    <w:rsid w:val="00A160BF"/>
    <w:rsid w:val="00A16117"/>
    <w:rsid w:val="00A1634E"/>
    <w:rsid w:val="00A168B6"/>
    <w:rsid w:val="00A16954"/>
    <w:rsid w:val="00A16CE4"/>
    <w:rsid w:val="00A16D53"/>
    <w:rsid w:val="00A17097"/>
    <w:rsid w:val="00A17D77"/>
    <w:rsid w:val="00A205DE"/>
    <w:rsid w:val="00A20854"/>
    <w:rsid w:val="00A20875"/>
    <w:rsid w:val="00A2089F"/>
    <w:rsid w:val="00A20AAF"/>
    <w:rsid w:val="00A20C7A"/>
    <w:rsid w:val="00A20D65"/>
    <w:rsid w:val="00A20FC0"/>
    <w:rsid w:val="00A2124C"/>
    <w:rsid w:val="00A21263"/>
    <w:rsid w:val="00A214B2"/>
    <w:rsid w:val="00A2151D"/>
    <w:rsid w:val="00A21594"/>
    <w:rsid w:val="00A21D1A"/>
    <w:rsid w:val="00A21EC8"/>
    <w:rsid w:val="00A22665"/>
    <w:rsid w:val="00A22690"/>
    <w:rsid w:val="00A227E4"/>
    <w:rsid w:val="00A22B3E"/>
    <w:rsid w:val="00A231C2"/>
    <w:rsid w:val="00A23711"/>
    <w:rsid w:val="00A23950"/>
    <w:rsid w:val="00A23FDD"/>
    <w:rsid w:val="00A2474D"/>
    <w:rsid w:val="00A2475B"/>
    <w:rsid w:val="00A247B7"/>
    <w:rsid w:val="00A24859"/>
    <w:rsid w:val="00A24C3A"/>
    <w:rsid w:val="00A24D1A"/>
    <w:rsid w:val="00A24D8E"/>
    <w:rsid w:val="00A24EB1"/>
    <w:rsid w:val="00A24F6D"/>
    <w:rsid w:val="00A2500C"/>
    <w:rsid w:val="00A2509F"/>
    <w:rsid w:val="00A2510B"/>
    <w:rsid w:val="00A252AA"/>
    <w:rsid w:val="00A25A63"/>
    <w:rsid w:val="00A2615D"/>
    <w:rsid w:val="00A261AB"/>
    <w:rsid w:val="00A26743"/>
    <w:rsid w:val="00A26813"/>
    <w:rsid w:val="00A26878"/>
    <w:rsid w:val="00A26B42"/>
    <w:rsid w:val="00A26D43"/>
    <w:rsid w:val="00A26E2F"/>
    <w:rsid w:val="00A26E91"/>
    <w:rsid w:val="00A274E7"/>
    <w:rsid w:val="00A27621"/>
    <w:rsid w:val="00A27B78"/>
    <w:rsid w:val="00A27D81"/>
    <w:rsid w:val="00A27D95"/>
    <w:rsid w:val="00A27DC9"/>
    <w:rsid w:val="00A27DEC"/>
    <w:rsid w:val="00A27FCC"/>
    <w:rsid w:val="00A30036"/>
    <w:rsid w:val="00A30589"/>
    <w:rsid w:val="00A30C69"/>
    <w:rsid w:val="00A30FDE"/>
    <w:rsid w:val="00A3164C"/>
    <w:rsid w:val="00A319C1"/>
    <w:rsid w:val="00A31A46"/>
    <w:rsid w:val="00A31A9E"/>
    <w:rsid w:val="00A31BF8"/>
    <w:rsid w:val="00A31E5D"/>
    <w:rsid w:val="00A31FD1"/>
    <w:rsid w:val="00A320C1"/>
    <w:rsid w:val="00A32679"/>
    <w:rsid w:val="00A32B22"/>
    <w:rsid w:val="00A32E70"/>
    <w:rsid w:val="00A33031"/>
    <w:rsid w:val="00A33A99"/>
    <w:rsid w:val="00A3402F"/>
    <w:rsid w:val="00A34072"/>
    <w:rsid w:val="00A3421A"/>
    <w:rsid w:val="00A34226"/>
    <w:rsid w:val="00A34481"/>
    <w:rsid w:val="00A34855"/>
    <w:rsid w:val="00A34C82"/>
    <w:rsid w:val="00A351E8"/>
    <w:rsid w:val="00A35423"/>
    <w:rsid w:val="00A35786"/>
    <w:rsid w:val="00A358DB"/>
    <w:rsid w:val="00A35B72"/>
    <w:rsid w:val="00A35C1E"/>
    <w:rsid w:val="00A35E8D"/>
    <w:rsid w:val="00A35F84"/>
    <w:rsid w:val="00A3620B"/>
    <w:rsid w:val="00A36672"/>
    <w:rsid w:val="00A369EC"/>
    <w:rsid w:val="00A36BB9"/>
    <w:rsid w:val="00A37133"/>
    <w:rsid w:val="00A37A7B"/>
    <w:rsid w:val="00A37BAC"/>
    <w:rsid w:val="00A37C57"/>
    <w:rsid w:val="00A37D44"/>
    <w:rsid w:val="00A37D79"/>
    <w:rsid w:val="00A37EBD"/>
    <w:rsid w:val="00A4016F"/>
    <w:rsid w:val="00A40354"/>
    <w:rsid w:val="00A40643"/>
    <w:rsid w:val="00A408B3"/>
    <w:rsid w:val="00A40A92"/>
    <w:rsid w:val="00A40B61"/>
    <w:rsid w:val="00A40DB1"/>
    <w:rsid w:val="00A40DC9"/>
    <w:rsid w:val="00A41000"/>
    <w:rsid w:val="00A412DB"/>
    <w:rsid w:val="00A419A5"/>
    <w:rsid w:val="00A41E30"/>
    <w:rsid w:val="00A41E49"/>
    <w:rsid w:val="00A42126"/>
    <w:rsid w:val="00A4224D"/>
    <w:rsid w:val="00A4236E"/>
    <w:rsid w:val="00A4265D"/>
    <w:rsid w:val="00A42998"/>
    <w:rsid w:val="00A42AEB"/>
    <w:rsid w:val="00A42BAC"/>
    <w:rsid w:val="00A42D69"/>
    <w:rsid w:val="00A431E5"/>
    <w:rsid w:val="00A4326D"/>
    <w:rsid w:val="00A435BA"/>
    <w:rsid w:val="00A43699"/>
    <w:rsid w:val="00A43768"/>
    <w:rsid w:val="00A43F31"/>
    <w:rsid w:val="00A447E3"/>
    <w:rsid w:val="00A449D0"/>
    <w:rsid w:val="00A44B4D"/>
    <w:rsid w:val="00A44C96"/>
    <w:rsid w:val="00A451B8"/>
    <w:rsid w:val="00A454C1"/>
    <w:rsid w:val="00A454C6"/>
    <w:rsid w:val="00A45717"/>
    <w:rsid w:val="00A459A8"/>
    <w:rsid w:val="00A45F1E"/>
    <w:rsid w:val="00A45F72"/>
    <w:rsid w:val="00A4658D"/>
    <w:rsid w:val="00A46AAB"/>
    <w:rsid w:val="00A46C35"/>
    <w:rsid w:val="00A46C6E"/>
    <w:rsid w:val="00A47020"/>
    <w:rsid w:val="00A471BC"/>
    <w:rsid w:val="00A472A0"/>
    <w:rsid w:val="00A4758E"/>
    <w:rsid w:val="00A47705"/>
    <w:rsid w:val="00A47A40"/>
    <w:rsid w:val="00A47B10"/>
    <w:rsid w:val="00A501DD"/>
    <w:rsid w:val="00A50237"/>
    <w:rsid w:val="00A5096C"/>
    <w:rsid w:val="00A50D5C"/>
    <w:rsid w:val="00A50D72"/>
    <w:rsid w:val="00A51006"/>
    <w:rsid w:val="00A517E5"/>
    <w:rsid w:val="00A51DA6"/>
    <w:rsid w:val="00A51F0F"/>
    <w:rsid w:val="00A521A6"/>
    <w:rsid w:val="00A52254"/>
    <w:rsid w:val="00A5263F"/>
    <w:rsid w:val="00A526A3"/>
    <w:rsid w:val="00A52723"/>
    <w:rsid w:val="00A52842"/>
    <w:rsid w:val="00A53122"/>
    <w:rsid w:val="00A531C7"/>
    <w:rsid w:val="00A532B4"/>
    <w:rsid w:val="00A535C2"/>
    <w:rsid w:val="00A5367E"/>
    <w:rsid w:val="00A53898"/>
    <w:rsid w:val="00A53A86"/>
    <w:rsid w:val="00A53C20"/>
    <w:rsid w:val="00A53C72"/>
    <w:rsid w:val="00A53F23"/>
    <w:rsid w:val="00A54178"/>
    <w:rsid w:val="00A5419D"/>
    <w:rsid w:val="00A541D7"/>
    <w:rsid w:val="00A5444F"/>
    <w:rsid w:val="00A54492"/>
    <w:rsid w:val="00A54568"/>
    <w:rsid w:val="00A54C8D"/>
    <w:rsid w:val="00A55066"/>
    <w:rsid w:val="00A55182"/>
    <w:rsid w:val="00A55479"/>
    <w:rsid w:val="00A5561E"/>
    <w:rsid w:val="00A55888"/>
    <w:rsid w:val="00A558F0"/>
    <w:rsid w:val="00A55DA3"/>
    <w:rsid w:val="00A55ECF"/>
    <w:rsid w:val="00A55FDC"/>
    <w:rsid w:val="00A5673D"/>
    <w:rsid w:val="00A56B13"/>
    <w:rsid w:val="00A56C5E"/>
    <w:rsid w:val="00A56D6C"/>
    <w:rsid w:val="00A56F84"/>
    <w:rsid w:val="00A56FB1"/>
    <w:rsid w:val="00A57023"/>
    <w:rsid w:val="00A576F7"/>
    <w:rsid w:val="00A57B9B"/>
    <w:rsid w:val="00A57BBE"/>
    <w:rsid w:val="00A57C66"/>
    <w:rsid w:val="00A57DA5"/>
    <w:rsid w:val="00A60108"/>
    <w:rsid w:val="00A606FE"/>
    <w:rsid w:val="00A608BB"/>
    <w:rsid w:val="00A608F2"/>
    <w:rsid w:val="00A60983"/>
    <w:rsid w:val="00A609B4"/>
    <w:rsid w:val="00A60CAE"/>
    <w:rsid w:val="00A60D7E"/>
    <w:rsid w:val="00A60F33"/>
    <w:rsid w:val="00A610F1"/>
    <w:rsid w:val="00A61166"/>
    <w:rsid w:val="00A61299"/>
    <w:rsid w:val="00A61820"/>
    <w:rsid w:val="00A61A15"/>
    <w:rsid w:val="00A61F58"/>
    <w:rsid w:val="00A62019"/>
    <w:rsid w:val="00A6205C"/>
    <w:rsid w:val="00A620F4"/>
    <w:rsid w:val="00A6270D"/>
    <w:rsid w:val="00A62A18"/>
    <w:rsid w:val="00A62A46"/>
    <w:rsid w:val="00A62C67"/>
    <w:rsid w:val="00A62C96"/>
    <w:rsid w:val="00A62E0C"/>
    <w:rsid w:val="00A62F1F"/>
    <w:rsid w:val="00A62FC9"/>
    <w:rsid w:val="00A63320"/>
    <w:rsid w:val="00A633C8"/>
    <w:rsid w:val="00A635E5"/>
    <w:rsid w:val="00A63CC4"/>
    <w:rsid w:val="00A63D04"/>
    <w:rsid w:val="00A64194"/>
    <w:rsid w:val="00A644E1"/>
    <w:rsid w:val="00A645EA"/>
    <w:rsid w:val="00A64897"/>
    <w:rsid w:val="00A648D1"/>
    <w:rsid w:val="00A64B2B"/>
    <w:rsid w:val="00A64C06"/>
    <w:rsid w:val="00A64C21"/>
    <w:rsid w:val="00A6550C"/>
    <w:rsid w:val="00A65689"/>
    <w:rsid w:val="00A65789"/>
    <w:rsid w:val="00A657D4"/>
    <w:rsid w:val="00A65A77"/>
    <w:rsid w:val="00A66292"/>
    <w:rsid w:val="00A6653D"/>
    <w:rsid w:val="00A66817"/>
    <w:rsid w:val="00A66939"/>
    <w:rsid w:val="00A66A1E"/>
    <w:rsid w:val="00A66B7D"/>
    <w:rsid w:val="00A66C68"/>
    <w:rsid w:val="00A6711A"/>
    <w:rsid w:val="00A671A7"/>
    <w:rsid w:val="00A672C9"/>
    <w:rsid w:val="00A677BD"/>
    <w:rsid w:val="00A67D71"/>
    <w:rsid w:val="00A70214"/>
    <w:rsid w:val="00A70302"/>
    <w:rsid w:val="00A7093D"/>
    <w:rsid w:val="00A70EFC"/>
    <w:rsid w:val="00A71210"/>
    <w:rsid w:val="00A71590"/>
    <w:rsid w:val="00A71633"/>
    <w:rsid w:val="00A7167B"/>
    <w:rsid w:val="00A7197C"/>
    <w:rsid w:val="00A71BAD"/>
    <w:rsid w:val="00A72043"/>
    <w:rsid w:val="00A725BF"/>
    <w:rsid w:val="00A726FC"/>
    <w:rsid w:val="00A7282C"/>
    <w:rsid w:val="00A72D70"/>
    <w:rsid w:val="00A72FD0"/>
    <w:rsid w:val="00A7316A"/>
    <w:rsid w:val="00A7323B"/>
    <w:rsid w:val="00A7368E"/>
    <w:rsid w:val="00A73864"/>
    <w:rsid w:val="00A7392D"/>
    <w:rsid w:val="00A73A72"/>
    <w:rsid w:val="00A73A8D"/>
    <w:rsid w:val="00A73DEE"/>
    <w:rsid w:val="00A74129"/>
    <w:rsid w:val="00A74854"/>
    <w:rsid w:val="00A74A80"/>
    <w:rsid w:val="00A74A8A"/>
    <w:rsid w:val="00A74CE1"/>
    <w:rsid w:val="00A75101"/>
    <w:rsid w:val="00A755CA"/>
    <w:rsid w:val="00A7583E"/>
    <w:rsid w:val="00A759FD"/>
    <w:rsid w:val="00A75C48"/>
    <w:rsid w:val="00A75F75"/>
    <w:rsid w:val="00A75FC2"/>
    <w:rsid w:val="00A76042"/>
    <w:rsid w:val="00A76044"/>
    <w:rsid w:val="00A7610D"/>
    <w:rsid w:val="00A7650F"/>
    <w:rsid w:val="00A76AA9"/>
    <w:rsid w:val="00A76DCB"/>
    <w:rsid w:val="00A76DFD"/>
    <w:rsid w:val="00A77356"/>
    <w:rsid w:val="00A77609"/>
    <w:rsid w:val="00A77889"/>
    <w:rsid w:val="00A7789D"/>
    <w:rsid w:val="00A77976"/>
    <w:rsid w:val="00A77BC2"/>
    <w:rsid w:val="00A77BD0"/>
    <w:rsid w:val="00A77CBE"/>
    <w:rsid w:val="00A77DB2"/>
    <w:rsid w:val="00A77E61"/>
    <w:rsid w:val="00A77F74"/>
    <w:rsid w:val="00A80238"/>
    <w:rsid w:val="00A80294"/>
    <w:rsid w:val="00A8044B"/>
    <w:rsid w:val="00A804DB"/>
    <w:rsid w:val="00A808E4"/>
    <w:rsid w:val="00A809AA"/>
    <w:rsid w:val="00A80F35"/>
    <w:rsid w:val="00A810B9"/>
    <w:rsid w:val="00A81793"/>
    <w:rsid w:val="00A81B23"/>
    <w:rsid w:val="00A81D9B"/>
    <w:rsid w:val="00A826A2"/>
    <w:rsid w:val="00A82846"/>
    <w:rsid w:val="00A8285D"/>
    <w:rsid w:val="00A82898"/>
    <w:rsid w:val="00A82D4B"/>
    <w:rsid w:val="00A82E72"/>
    <w:rsid w:val="00A83010"/>
    <w:rsid w:val="00A83B90"/>
    <w:rsid w:val="00A83CB8"/>
    <w:rsid w:val="00A83F70"/>
    <w:rsid w:val="00A84004"/>
    <w:rsid w:val="00A842E0"/>
    <w:rsid w:val="00A84632"/>
    <w:rsid w:val="00A84897"/>
    <w:rsid w:val="00A84B84"/>
    <w:rsid w:val="00A84CD6"/>
    <w:rsid w:val="00A8503D"/>
    <w:rsid w:val="00A85282"/>
    <w:rsid w:val="00A85498"/>
    <w:rsid w:val="00A854F0"/>
    <w:rsid w:val="00A85546"/>
    <w:rsid w:val="00A85615"/>
    <w:rsid w:val="00A8580A"/>
    <w:rsid w:val="00A85A84"/>
    <w:rsid w:val="00A85D9A"/>
    <w:rsid w:val="00A860AD"/>
    <w:rsid w:val="00A861F1"/>
    <w:rsid w:val="00A863ED"/>
    <w:rsid w:val="00A86436"/>
    <w:rsid w:val="00A86510"/>
    <w:rsid w:val="00A8655F"/>
    <w:rsid w:val="00A8694C"/>
    <w:rsid w:val="00A86EE5"/>
    <w:rsid w:val="00A8713C"/>
    <w:rsid w:val="00A87666"/>
    <w:rsid w:val="00A87D78"/>
    <w:rsid w:val="00A87E6C"/>
    <w:rsid w:val="00A901B7"/>
    <w:rsid w:val="00A908BD"/>
    <w:rsid w:val="00A90A30"/>
    <w:rsid w:val="00A90A70"/>
    <w:rsid w:val="00A90B8C"/>
    <w:rsid w:val="00A91077"/>
    <w:rsid w:val="00A913DC"/>
    <w:rsid w:val="00A91765"/>
    <w:rsid w:val="00A91838"/>
    <w:rsid w:val="00A91B48"/>
    <w:rsid w:val="00A91EDF"/>
    <w:rsid w:val="00A92279"/>
    <w:rsid w:val="00A92632"/>
    <w:rsid w:val="00A9289B"/>
    <w:rsid w:val="00A929D1"/>
    <w:rsid w:val="00A92C06"/>
    <w:rsid w:val="00A93026"/>
    <w:rsid w:val="00A9310C"/>
    <w:rsid w:val="00A93284"/>
    <w:rsid w:val="00A933AE"/>
    <w:rsid w:val="00A93504"/>
    <w:rsid w:val="00A93698"/>
    <w:rsid w:val="00A9374F"/>
    <w:rsid w:val="00A93EC7"/>
    <w:rsid w:val="00A93FD1"/>
    <w:rsid w:val="00A94111"/>
    <w:rsid w:val="00A9478C"/>
    <w:rsid w:val="00A949A4"/>
    <w:rsid w:val="00A949D2"/>
    <w:rsid w:val="00A94EAE"/>
    <w:rsid w:val="00A94EF3"/>
    <w:rsid w:val="00A95092"/>
    <w:rsid w:val="00A95132"/>
    <w:rsid w:val="00A955F4"/>
    <w:rsid w:val="00A960CA"/>
    <w:rsid w:val="00A96150"/>
    <w:rsid w:val="00A96276"/>
    <w:rsid w:val="00A96427"/>
    <w:rsid w:val="00A964DC"/>
    <w:rsid w:val="00A96515"/>
    <w:rsid w:val="00A96581"/>
    <w:rsid w:val="00A9674D"/>
    <w:rsid w:val="00A96EA9"/>
    <w:rsid w:val="00A96EF5"/>
    <w:rsid w:val="00A972E5"/>
    <w:rsid w:val="00A9744D"/>
    <w:rsid w:val="00A97555"/>
    <w:rsid w:val="00A9773E"/>
    <w:rsid w:val="00A97A59"/>
    <w:rsid w:val="00A97C15"/>
    <w:rsid w:val="00A97F44"/>
    <w:rsid w:val="00AA04FB"/>
    <w:rsid w:val="00AA0791"/>
    <w:rsid w:val="00AA0AED"/>
    <w:rsid w:val="00AA0B43"/>
    <w:rsid w:val="00AA0B70"/>
    <w:rsid w:val="00AA0FEB"/>
    <w:rsid w:val="00AA10A4"/>
    <w:rsid w:val="00AA1134"/>
    <w:rsid w:val="00AA183F"/>
    <w:rsid w:val="00AA1DC2"/>
    <w:rsid w:val="00AA2105"/>
    <w:rsid w:val="00AA2264"/>
    <w:rsid w:val="00AA237E"/>
    <w:rsid w:val="00AA2668"/>
    <w:rsid w:val="00AA2670"/>
    <w:rsid w:val="00AA2967"/>
    <w:rsid w:val="00AA2A5F"/>
    <w:rsid w:val="00AA2BB7"/>
    <w:rsid w:val="00AA2BEA"/>
    <w:rsid w:val="00AA2D7B"/>
    <w:rsid w:val="00AA2FC4"/>
    <w:rsid w:val="00AA30E6"/>
    <w:rsid w:val="00AA31DA"/>
    <w:rsid w:val="00AA3441"/>
    <w:rsid w:val="00AA3491"/>
    <w:rsid w:val="00AA38AA"/>
    <w:rsid w:val="00AA3A9B"/>
    <w:rsid w:val="00AA44C4"/>
    <w:rsid w:val="00AA4635"/>
    <w:rsid w:val="00AA4C68"/>
    <w:rsid w:val="00AA504A"/>
    <w:rsid w:val="00AA51B8"/>
    <w:rsid w:val="00AA540F"/>
    <w:rsid w:val="00AA541A"/>
    <w:rsid w:val="00AA5653"/>
    <w:rsid w:val="00AA594E"/>
    <w:rsid w:val="00AA5B96"/>
    <w:rsid w:val="00AA5C4A"/>
    <w:rsid w:val="00AA5F39"/>
    <w:rsid w:val="00AA605B"/>
    <w:rsid w:val="00AA6A29"/>
    <w:rsid w:val="00AA6A77"/>
    <w:rsid w:val="00AA6AF8"/>
    <w:rsid w:val="00AA6C79"/>
    <w:rsid w:val="00AA7045"/>
    <w:rsid w:val="00AA7091"/>
    <w:rsid w:val="00AA7282"/>
    <w:rsid w:val="00AA7310"/>
    <w:rsid w:val="00AA77A1"/>
    <w:rsid w:val="00AA78C0"/>
    <w:rsid w:val="00AB01FE"/>
    <w:rsid w:val="00AB0766"/>
    <w:rsid w:val="00AB0ABF"/>
    <w:rsid w:val="00AB0F5B"/>
    <w:rsid w:val="00AB131C"/>
    <w:rsid w:val="00AB16A4"/>
    <w:rsid w:val="00AB195B"/>
    <w:rsid w:val="00AB1974"/>
    <w:rsid w:val="00AB1C71"/>
    <w:rsid w:val="00AB1CC0"/>
    <w:rsid w:val="00AB1EC6"/>
    <w:rsid w:val="00AB1F69"/>
    <w:rsid w:val="00AB2662"/>
    <w:rsid w:val="00AB2711"/>
    <w:rsid w:val="00AB28A2"/>
    <w:rsid w:val="00AB28A3"/>
    <w:rsid w:val="00AB295C"/>
    <w:rsid w:val="00AB2C72"/>
    <w:rsid w:val="00AB31E5"/>
    <w:rsid w:val="00AB3235"/>
    <w:rsid w:val="00AB3326"/>
    <w:rsid w:val="00AB356B"/>
    <w:rsid w:val="00AB39A7"/>
    <w:rsid w:val="00AB39AD"/>
    <w:rsid w:val="00AB3D12"/>
    <w:rsid w:val="00AB3E8C"/>
    <w:rsid w:val="00AB3EA7"/>
    <w:rsid w:val="00AB4010"/>
    <w:rsid w:val="00AB4453"/>
    <w:rsid w:val="00AB485B"/>
    <w:rsid w:val="00AB4A99"/>
    <w:rsid w:val="00AB4E53"/>
    <w:rsid w:val="00AB53CA"/>
    <w:rsid w:val="00AB554B"/>
    <w:rsid w:val="00AB5583"/>
    <w:rsid w:val="00AB575D"/>
    <w:rsid w:val="00AB5AE3"/>
    <w:rsid w:val="00AB5E25"/>
    <w:rsid w:val="00AB60D4"/>
    <w:rsid w:val="00AB6343"/>
    <w:rsid w:val="00AB64BA"/>
    <w:rsid w:val="00AB65F4"/>
    <w:rsid w:val="00AB694C"/>
    <w:rsid w:val="00AB6CF0"/>
    <w:rsid w:val="00AB72E7"/>
    <w:rsid w:val="00AB7C25"/>
    <w:rsid w:val="00AB7D98"/>
    <w:rsid w:val="00AB7EA5"/>
    <w:rsid w:val="00AC025E"/>
    <w:rsid w:val="00AC075A"/>
    <w:rsid w:val="00AC09E3"/>
    <w:rsid w:val="00AC0B1D"/>
    <w:rsid w:val="00AC0E8A"/>
    <w:rsid w:val="00AC11A6"/>
    <w:rsid w:val="00AC1913"/>
    <w:rsid w:val="00AC1BFC"/>
    <w:rsid w:val="00AC1DDE"/>
    <w:rsid w:val="00AC2361"/>
    <w:rsid w:val="00AC23F5"/>
    <w:rsid w:val="00AC2B91"/>
    <w:rsid w:val="00AC2CCD"/>
    <w:rsid w:val="00AC2F4C"/>
    <w:rsid w:val="00AC3186"/>
    <w:rsid w:val="00AC35DC"/>
    <w:rsid w:val="00AC387D"/>
    <w:rsid w:val="00AC3A02"/>
    <w:rsid w:val="00AC3B79"/>
    <w:rsid w:val="00AC3EB5"/>
    <w:rsid w:val="00AC412C"/>
    <w:rsid w:val="00AC420A"/>
    <w:rsid w:val="00AC43BD"/>
    <w:rsid w:val="00AC4481"/>
    <w:rsid w:val="00AC4DCF"/>
    <w:rsid w:val="00AC55FF"/>
    <w:rsid w:val="00AC5697"/>
    <w:rsid w:val="00AC5FBB"/>
    <w:rsid w:val="00AC617D"/>
    <w:rsid w:val="00AC6328"/>
    <w:rsid w:val="00AC6D98"/>
    <w:rsid w:val="00AC70F1"/>
    <w:rsid w:val="00AC79B9"/>
    <w:rsid w:val="00AC7C6C"/>
    <w:rsid w:val="00AD017B"/>
    <w:rsid w:val="00AD032D"/>
    <w:rsid w:val="00AD0651"/>
    <w:rsid w:val="00AD0903"/>
    <w:rsid w:val="00AD0A1E"/>
    <w:rsid w:val="00AD0F89"/>
    <w:rsid w:val="00AD12DB"/>
    <w:rsid w:val="00AD2577"/>
    <w:rsid w:val="00AD25C2"/>
    <w:rsid w:val="00AD25CC"/>
    <w:rsid w:val="00AD2674"/>
    <w:rsid w:val="00AD26CB"/>
    <w:rsid w:val="00AD26DC"/>
    <w:rsid w:val="00AD275E"/>
    <w:rsid w:val="00AD2774"/>
    <w:rsid w:val="00AD2864"/>
    <w:rsid w:val="00AD2A5D"/>
    <w:rsid w:val="00AD2DD5"/>
    <w:rsid w:val="00AD3003"/>
    <w:rsid w:val="00AD3134"/>
    <w:rsid w:val="00AD3402"/>
    <w:rsid w:val="00AD3C08"/>
    <w:rsid w:val="00AD41AD"/>
    <w:rsid w:val="00AD4285"/>
    <w:rsid w:val="00AD4417"/>
    <w:rsid w:val="00AD462B"/>
    <w:rsid w:val="00AD47D1"/>
    <w:rsid w:val="00AD4FD3"/>
    <w:rsid w:val="00AD506B"/>
    <w:rsid w:val="00AD5238"/>
    <w:rsid w:val="00AD551E"/>
    <w:rsid w:val="00AD58C2"/>
    <w:rsid w:val="00AD5E1D"/>
    <w:rsid w:val="00AD64C5"/>
    <w:rsid w:val="00AD67D4"/>
    <w:rsid w:val="00AD703B"/>
    <w:rsid w:val="00AD72B1"/>
    <w:rsid w:val="00AD76A8"/>
    <w:rsid w:val="00AD78F6"/>
    <w:rsid w:val="00AD7C67"/>
    <w:rsid w:val="00AD7C73"/>
    <w:rsid w:val="00AD7E88"/>
    <w:rsid w:val="00AE0064"/>
    <w:rsid w:val="00AE01E2"/>
    <w:rsid w:val="00AE032D"/>
    <w:rsid w:val="00AE047D"/>
    <w:rsid w:val="00AE0A9E"/>
    <w:rsid w:val="00AE0B3F"/>
    <w:rsid w:val="00AE1254"/>
    <w:rsid w:val="00AE12DB"/>
    <w:rsid w:val="00AE133F"/>
    <w:rsid w:val="00AE13D1"/>
    <w:rsid w:val="00AE167F"/>
    <w:rsid w:val="00AE18FA"/>
    <w:rsid w:val="00AE19FB"/>
    <w:rsid w:val="00AE1D43"/>
    <w:rsid w:val="00AE224C"/>
    <w:rsid w:val="00AE2257"/>
    <w:rsid w:val="00AE2430"/>
    <w:rsid w:val="00AE244A"/>
    <w:rsid w:val="00AE2A5A"/>
    <w:rsid w:val="00AE2C81"/>
    <w:rsid w:val="00AE2DF0"/>
    <w:rsid w:val="00AE3335"/>
    <w:rsid w:val="00AE34DA"/>
    <w:rsid w:val="00AE36A7"/>
    <w:rsid w:val="00AE3B34"/>
    <w:rsid w:val="00AE3C7D"/>
    <w:rsid w:val="00AE3D52"/>
    <w:rsid w:val="00AE4130"/>
    <w:rsid w:val="00AE477B"/>
    <w:rsid w:val="00AE47AD"/>
    <w:rsid w:val="00AE52A3"/>
    <w:rsid w:val="00AE5573"/>
    <w:rsid w:val="00AE55A8"/>
    <w:rsid w:val="00AE5641"/>
    <w:rsid w:val="00AE5864"/>
    <w:rsid w:val="00AE5A42"/>
    <w:rsid w:val="00AE5A4C"/>
    <w:rsid w:val="00AE5D4A"/>
    <w:rsid w:val="00AE5D73"/>
    <w:rsid w:val="00AE5E26"/>
    <w:rsid w:val="00AE5F41"/>
    <w:rsid w:val="00AE6098"/>
    <w:rsid w:val="00AE615A"/>
    <w:rsid w:val="00AE622C"/>
    <w:rsid w:val="00AE63D0"/>
    <w:rsid w:val="00AE6559"/>
    <w:rsid w:val="00AE65C2"/>
    <w:rsid w:val="00AE6694"/>
    <w:rsid w:val="00AE6739"/>
    <w:rsid w:val="00AE680B"/>
    <w:rsid w:val="00AE6918"/>
    <w:rsid w:val="00AE69AA"/>
    <w:rsid w:val="00AE6C15"/>
    <w:rsid w:val="00AE7009"/>
    <w:rsid w:val="00AE7041"/>
    <w:rsid w:val="00AE74FB"/>
    <w:rsid w:val="00AE7592"/>
    <w:rsid w:val="00AE77CF"/>
    <w:rsid w:val="00AE77FD"/>
    <w:rsid w:val="00AE7A03"/>
    <w:rsid w:val="00AE7A6A"/>
    <w:rsid w:val="00AE7E81"/>
    <w:rsid w:val="00AE7F30"/>
    <w:rsid w:val="00AF00DA"/>
    <w:rsid w:val="00AF0116"/>
    <w:rsid w:val="00AF019C"/>
    <w:rsid w:val="00AF043B"/>
    <w:rsid w:val="00AF07B8"/>
    <w:rsid w:val="00AF0819"/>
    <w:rsid w:val="00AF0CFF"/>
    <w:rsid w:val="00AF0DBB"/>
    <w:rsid w:val="00AF0F2C"/>
    <w:rsid w:val="00AF1027"/>
    <w:rsid w:val="00AF1678"/>
    <w:rsid w:val="00AF180C"/>
    <w:rsid w:val="00AF1871"/>
    <w:rsid w:val="00AF1BE4"/>
    <w:rsid w:val="00AF1EC9"/>
    <w:rsid w:val="00AF1F0C"/>
    <w:rsid w:val="00AF212E"/>
    <w:rsid w:val="00AF248D"/>
    <w:rsid w:val="00AF2C3B"/>
    <w:rsid w:val="00AF3160"/>
    <w:rsid w:val="00AF31F7"/>
    <w:rsid w:val="00AF344C"/>
    <w:rsid w:val="00AF35E1"/>
    <w:rsid w:val="00AF3BD1"/>
    <w:rsid w:val="00AF3CDE"/>
    <w:rsid w:val="00AF3DBA"/>
    <w:rsid w:val="00AF4290"/>
    <w:rsid w:val="00AF48F7"/>
    <w:rsid w:val="00AF4B52"/>
    <w:rsid w:val="00AF5228"/>
    <w:rsid w:val="00AF5282"/>
    <w:rsid w:val="00AF5551"/>
    <w:rsid w:val="00AF56A3"/>
    <w:rsid w:val="00AF5B24"/>
    <w:rsid w:val="00AF5B4F"/>
    <w:rsid w:val="00AF5C2D"/>
    <w:rsid w:val="00AF5D0D"/>
    <w:rsid w:val="00AF5D36"/>
    <w:rsid w:val="00AF6686"/>
    <w:rsid w:val="00AF6AB2"/>
    <w:rsid w:val="00AF6D0C"/>
    <w:rsid w:val="00AF6E47"/>
    <w:rsid w:val="00AF7067"/>
    <w:rsid w:val="00AF70AC"/>
    <w:rsid w:val="00AF7375"/>
    <w:rsid w:val="00AF73D5"/>
    <w:rsid w:val="00AF7576"/>
    <w:rsid w:val="00AF768E"/>
    <w:rsid w:val="00AF7892"/>
    <w:rsid w:val="00AF7C0B"/>
    <w:rsid w:val="00AF7C34"/>
    <w:rsid w:val="00AF7FD8"/>
    <w:rsid w:val="00B000D9"/>
    <w:rsid w:val="00B004DD"/>
    <w:rsid w:val="00B00623"/>
    <w:rsid w:val="00B008F8"/>
    <w:rsid w:val="00B009BF"/>
    <w:rsid w:val="00B00A3E"/>
    <w:rsid w:val="00B00B90"/>
    <w:rsid w:val="00B00BC1"/>
    <w:rsid w:val="00B00F33"/>
    <w:rsid w:val="00B01159"/>
    <w:rsid w:val="00B01518"/>
    <w:rsid w:val="00B0164B"/>
    <w:rsid w:val="00B0175F"/>
    <w:rsid w:val="00B01903"/>
    <w:rsid w:val="00B01963"/>
    <w:rsid w:val="00B01AC6"/>
    <w:rsid w:val="00B01CFD"/>
    <w:rsid w:val="00B0236E"/>
    <w:rsid w:val="00B02417"/>
    <w:rsid w:val="00B028F4"/>
    <w:rsid w:val="00B02904"/>
    <w:rsid w:val="00B02A0E"/>
    <w:rsid w:val="00B02BD9"/>
    <w:rsid w:val="00B02C64"/>
    <w:rsid w:val="00B02EB3"/>
    <w:rsid w:val="00B034D2"/>
    <w:rsid w:val="00B036B8"/>
    <w:rsid w:val="00B03B4A"/>
    <w:rsid w:val="00B04482"/>
    <w:rsid w:val="00B046D5"/>
    <w:rsid w:val="00B05018"/>
    <w:rsid w:val="00B050F1"/>
    <w:rsid w:val="00B05181"/>
    <w:rsid w:val="00B05393"/>
    <w:rsid w:val="00B0551C"/>
    <w:rsid w:val="00B0557F"/>
    <w:rsid w:val="00B05700"/>
    <w:rsid w:val="00B05A22"/>
    <w:rsid w:val="00B05AB6"/>
    <w:rsid w:val="00B05C30"/>
    <w:rsid w:val="00B05E84"/>
    <w:rsid w:val="00B061CF"/>
    <w:rsid w:val="00B063D4"/>
    <w:rsid w:val="00B067B5"/>
    <w:rsid w:val="00B06C7F"/>
    <w:rsid w:val="00B06CC1"/>
    <w:rsid w:val="00B06E8C"/>
    <w:rsid w:val="00B0753D"/>
    <w:rsid w:val="00B0767A"/>
    <w:rsid w:val="00B07D07"/>
    <w:rsid w:val="00B07DC1"/>
    <w:rsid w:val="00B07F60"/>
    <w:rsid w:val="00B10016"/>
    <w:rsid w:val="00B100C9"/>
    <w:rsid w:val="00B10188"/>
    <w:rsid w:val="00B10686"/>
    <w:rsid w:val="00B109B0"/>
    <w:rsid w:val="00B10B66"/>
    <w:rsid w:val="00B10E07"/>
    <w:rsid w:val="00B10F6C"/>
    <w:rsid w:val="00B110FA"/>
    <w:rsid w:val="00B11187"/>
    <w:rsid w:val="00B111A0"/>
    <w:rsid w:val="00B112F2"/>
    <w:rsid w:val="00B115CD"/>
    <w:rsid w:val="00B11620"/>
    <w:rsid w:val="00B11768"/>
    <w:rsid w:val="00B11799"/>
    <w:rsid w:val="00B1188A"/>
    <w:rsid w:val="00B11D11"/>
    <w:rsid w:val="00B11E4B"/>
    <w:rsid w:val="00B11FF8"/>
    <w:rsid w:val="00B1202B"/>
    <w:rsid w:val="00B12036"/>
    <w:rsid w:val="00B1217E"/>
    <w:rsid w:val="00B12291"/>
    <w:rsid w:val="00B12A1D"/>
    <w:rsid w:val="00B12DA8"/>
    <w:rsid w:val="00B133B6"/>
    <w:rsid w:val="00B136BE"/>
    <w:rsid w:val="00B136CF"/>
    <w:rsid w:val="00B13932"/>
    <w:rsid w:val="00B13CDE"/>
    <w:rsid w:val="00B14058"/>
    <w:rsid w:val="00B1410D"/>
    <w:rsid w:val="00B14173"/>
    <w:rsid w:val="00B142A6"/>
    <w:rsid w:val="00B14634"/>
    <w:rsid w:val="00B1480E"/>
    <w:rsid w:val="00B14AC7"/>
    <w:rsid w:val="00B14DA5"/>
    <w:rsid w:val="00B15099"/>
    <w:rsid w:val="00B15252"/>
    <w:rsid w:val="00B15268"/>
    <w:rsid w:val="00B15436"/>
    <w:rsid w:val="00B15770"/>
    <w:rsid w:val="00B15887"/>
    <w:rsid w:val="00B158F1"/>
    <w:rsid w:val="00B15A39"/>
    <w:rsid w:val="00B15B77"/>
    <w:rsid w:val="00B15DF7"/>
    <w:rsid w:val="00B15E3B"/>
    <w:rsid w:val="00B15F62"/>
    <w:rsid w:val="00B1616D"/>
    <w:rsid w:val="00B16286"/>
    <w:rsid w:val="00B1632F"/>
    <w:rsid w:val="00B16394"/>
    <w:rsid w:val="00B1641D"/>
    <w:rsid w:val="00B16956"/>
    <w:rsid w:val="00B16AEF"/>
    <w:rsid w:val="00B16B53"/>
    <w:rsid w:val="00B16E54"/>
    <w:rsid w:val="00B16F19"/>
    <w:rsid w:val="00B1707B"/>
    <w:rsid w:val="00B170D6"/>
    <w:rsid w:val="00B1717C"/>
    <w:rsid w:val="00B17502"/>
    <w:rsid w:val="00B1753C"/>
    <w:rsid w:val="00B17D5C"/>
    <w:rsid w:val="00B17DF6"/>
    <w:rsid w:val="00B17F59"/>
    <w:rsid w:val="00B20034"/>
    <w:rsid w:val="00B2021B"/>
    <w:rsid w:val="00B20566"/>
    <w:rsid w:val="00B206CC"/>
    <w:rsid w:val="00B20FA2"/>
    <w:rsid w:val="00B2100E"/>
    <w:rsid w:val="00B2128E"/>
    <w:rsid w:val="00B21681"/>
    <w:rsid w:val="00B2171A"/>
    <w:rsid w:val="00B21B2A"/>
    <w:rsid w:val="00B21B82"/>
    <w:rsid w:val="00B21F3B"/>
    <w:rsid w:val="00B22067"/>
    <w:rsid w:val="00B220B4"/>
    <w:rsid w:val="00B22310"/>
    <w:rsid w:val="00B22481"/>
    <w:rsid w:val="00B22657"/>
    <w:rsid w:val="00B226AF"/>
    <w:rsid w:val="00B22849"/>
    <w:rsid w:val="00B22A1C"/>
    <w:rsid w:val="00B22AEC"/>
    <w:rsid w:val="00B22DFB"/>
    <w:rsid w:val="00B231D4"/>
    <w:rsid w:val="00B23447"/>
    <w:rsid w:val="00B235E2"/>
    <w:rsid w:val="00B237A3"/>
    <w:rsid w:val="00B2383D"/>
    <w:rsid w:val="00B2392A"/>
    <w:rsid w:val="00B23A60"/>
    <w:rsid w:val="00B23ABC"/>
    <w:rsid w:val="00B23EDA"/>
    <w:rsid w:val="00B24147"/>
    <w:rsid w:val="00B2453D"/>
    <w:rsid w:val="00B24CF6"/>
    <w:rsid w:val="00B24F99"/>
    <w:rsid w:val="00B25342"/>
    <w:rsid w:val="00B25512"/>
    <w:rsid w:val="00B2572B"/>
    <w:rsid w:val="00B258BB"/>
    <w:rsid w:val="00B259EE"/>
    <w:rsid w:val="00B25A27"/>
    <w:rsid w:val="00B25A9E"/>
    <w:rsid w:val="00B25C6A"/>
    <w:rsid w:val="00B25FFB"/>
    <w:rsid w:val="00B26170"/>
    <w:rsid w:val="00B26462"/>
    <w:rsid w:val="00B26681"/>
    <w:rsid w:val="00B26738"/>
    <w:rsid w:val="00B26789"/>
    <w:rsid w:val="00B26AEA"/>
    <w:rsid w:val="00B26DA2"/>
    <w:rsid w:val="00B2745D"/>
    <w:rsid w:val="00B27606"/>
    <w:rsid w:val="00B27863"/>
    <w:rsid w:val="00B27A03"/>
    <w:rsid w:val="00B27CC3"/>
    <w:rsid w:val="00B3039F"/>
    <w:rsid w:val="00B305B6"/>
    <w:rsid w:val="00B30681"/>
    <w:rsid w:val="00B306A0"/>
    <w:rsid w:val="00B30794"/>
    <w:rsid w:val="00B30E4C"/>
    <w:rsid w:val="00B30FC9"/>
    <w:rsid w:val="00B31152"/>
    <w:rsid w:val="00B3143A"/>
    <w:rsid w:val="00B317DF"/>
    <w:rsid w:val="00B319E2"/>
    <w:rsid w:val="00B31D41"/>
    <w:rsid w:val="00B31FAA"/>
    <w:rsid w:val="00B32484"/>
    <w:rsid w:val="00B325CC"/>
    <w:rsid w:val="00B3272D"/>
    <w:rsid w:val="00B32C6C"/>
    <w:rsid w:val="00B331C9"/>
    <w:rsid w:val="00B332E9"/>
    <w:rsid w:val="00B33586"/>
    <w:rsid w:val="00B33A6F"/>
    <w:rsid w:val="00B33A81"/>
    <w:rsid w:val="00B34073"/>
    <w:rsid w:val="00B34224"/>
    <w:rsid w:val="00B34389"/>
    <w:rsid w:val="00B34740"/>
    <w:rsid w:val="00B34B55"/>
    <w:rsid w:val="00B34C1D"/>
    <w:rsid w:val="00B34D6F"/>
    <w:rsid w:val="00B350B0"/>
    <w:rsid w:val="00B35179"/>
    <w:rsid w:val="00B3540D"/>
    <w:rsid w:val="00B355F8"/>
    <w:rsid w:val="00B35749"/>
    <w:rsid w:val="00B35E68"/>
    <w:rsid w:val="00B36110"/>
    <w:rsid w:val="00B36355"/>
    <w:rsid w:val="00B36525"/>
    <w:rsid w:val="00B36F40"/>
    <w:rsid w:val="00B370A4"/>
    <w:rsid w:val="00B37249"/>
    <w:rsid w:val="00B374D0"/>
    <w:rsid w:val="00B37594"/>
    <w:rsid w:val="00B37D06"/>
    <w:rsid w:val="00B37F21"/>
    <w:rsid w:val="00B37F6B"/>
    <w:rsid w:val="00B404E8"/>
    <w:rsid w:val="00B4063C"/>
    <w:rsid w:val="00B408FA"/>
    <w:rsid w:val="00B409F5"/>
    <w:rsid w:val="00B40A17"/>
    <w:rsid w:val="00B40AA0"/>
    <w:rsid w:val="00B40DEB"/>
    <w:rsid w:val="00B410F8"/>
    <w:rsid w:val="00B4168D"/>
    <w:rsid w:val="00B4178A"/>
    <w:rsid w:val="00B41796"/>
    <w:rsid w:val="00B4181A"/>
    <w:rsid w:val="00B41A52"/>
    <w:rsid w:val="00B41AF6"/>
    <w:rsid w:val="00B41BE3"/>
    <w:rsid w:val="00B4200A"/>
    <w:rsid w:val="00B42108"/>
    <w:rsid w:val="00B42239"/>
    <w:rsid w:val="00B4233A"/>
    <w:rsid w:val="00B4258B"/>
    <w:rsid w:val="00B4280C"/>
    <w:rsid w:val="00B428A2"/>
    <w:rsid w:val="00B43072"/>
    <w:rsid w:val="00B430E8"/>
    <w:rsid w:val="00B43223"/>
    <w:rsid w:val="00B4329D"/>
    <w:rsid w:val="00B436AB"/>
    <w:rsid w:val="00B4378E"/>
    <w:rsid w:val="00B43889"/>
    <w:rsid w:val="00B43C23"/>
    <w:rsid w:val="00B43E43"/>
    <w:rsid w:val="00B43E5E"/>
    <w:rsid w:val="00B4400E"/>
    <w:rsid w:val="00B44061"/>
    <w:rsid w:val="00B4409B"/>
    <w:rsid w:val="00B444D7"/>
    <w:rsid w:val="00B4476E"/>
    <w:rsid w:val="00B447D4"/>
    <w:rsid w:val="00B4491D"/>
    <w:rsid w:val="00B4493F"/>
    <w:rsid w:val="00B44F15"/>
    <w:rsid w:val="00B44F26"/>
    <w:rsid w:val="00B4581D"/>
    <w:rsid w:val="00B458A8"/>
    <w:rsid w:val="00B45FE5"/>
    <w:rsid w:val="00B46178"/>
    <w:rsid w:val="00B46443"/>
    <w:rsid w:val="00B464F8"/>
    <w:rsid w:val="00B46A42"/>
    <w:rsid w:val="00B46D12"/>
    <w:rsid w:val="00B46DD0"/>
    <w:rsid w:val="00B46FEF"/>
    <w:rsid w:val="00B47480"/>
    <w:rsid w:val="00B4780A"/>
    <w:rsid w:val="00B4795D"/>
    <w:rsid w:val="00B47D6C"/>
    <w:rsid w:val="00B5015C"/>
    <w:rsid w:val="00B50171"/>
    <w:rsid w:val="00B504EE"/>
    <w:rsid w:val="00B50E72"/>
    <w:rsid w:val="00B5122F"/>
    <w:rsid w:val="00B5125D"/>
    <w:rsid w:val="00B51B85"/>
    <w:rsid w:val="00B5220A"/>
    <w:rsid w:val="00B5229F"/>
    <w:rsid w:val="00B5247A"/>
    <w:rsid w:val="00B52517"/>
    <w:rsid w:val="00B525CB"/>
    <w:rsid w:val="00B525DD"/>
    <w:rsid w:val="00B527C1"/>
    <w:rsid w:val="00B528AF"/>
    <w:rsid w:val="00B52AEE"/>
    <w:rsid w:val="00B52B38"/>
    <w:rsid w:val="00B52FAA"/>
    <w:rsid w:val="00B52FEB"/>
    <w:rsid w:val="00B5315B"/>
    <w:rsid w:val="00B531FA"/>
    <w:rsid w:val="00B53847"/>
    <w:rsid w:val="00B538BC"/>
    <w:rsid w:val="00B53D24"/>
    <w:rsid w:val="00B53FA2"/>
    <w:rsid w:val="00B54486"/>
    <w:rsid w:val="00B547A9"/>
    <w:rsid w:val="00B54818"/>
    <w:rsid w:val="00B54A36"/>
    <w:rsid w:val="00B54BA2"/>
    <w:rsid w:val="00B55246"/>
    <w:rsid w:val="00B55787"/>
    <w:rsid w:val="00B55834"/>
    <w:rsid w:val="00B55889"/>
    <w:rsid w:val="00B55A86"/>
    <w:rsid w:val="00B55B78"/>
    <w:rsid w:val="00B55C02"/>
    <w:rsid w:val="00B55E46"/>
    <w:rsid w:val="00B56604"/>
    <w:rsid w:val="00B56896"/>
    <w:rsid w:val="00B56926"/>
    <w:rsid w:val="00B56E93"/>
    <w:rsid w:val="00B57076"/>
    <w:rsid w:val="00B571F1"/>
    <w:rsid w:val="00B57365"/>
    <w:rsid w:val="00B575B7"/>
    <w:rsid w:val="00B57C25"/>
    <w:rsid w:val="00B609BD"/>
    <w:rsid w:val="00B60AE0"/>
    <w:rsid w:val="00B60E2F"/>
    <w:rsid w:val="00B60E95"/>
    <w:rsid w:val="00B60F3F"/>
    <w:rsid w:val="00B6156B"/>
    <w:rsid w:val="00B615C3"/>
    <w:rsid w:val="00B617FD"/>
    <w:rsid w:val="00B62014"/>
    <w:rsid w:val="00B621A8"/>
    <w:rsid w:val="00B621C2"/>
    <w:rsid w:val="00B621CD"/>
    <w:rsid w:val="00B6222A"/>
    <w:rsid w:val="00B622DF"/>
    <w:rsid w:val="00B62347"/>
    <w:rsid w:val="00B62AA9"/>
    <w:rsid w:val="00B62D17"/>
    <w:rsid w:val="00B62FD6"/>
    <w:rsid w:val="00B633A6"/>
    <w:rsid w:val="00B633F5"/>
    <w:rsid w:val="00B637AD"/>
    <w:rsid w:val="00B638CC"/>
    <w:rsid w:val="00B639C0"/>
    <w:rsid w:val="00B63ED6"/>
    <w:rsid w:val="00B63F38"/>
    <w:rsid w:val="00B64281"/>
    <w:rsid w:val="00B64469"/>
    <w:rsid w:val="00B64593"/>
    <w:rsid w:val="00B64DA4"/>
    <w:rsid w:val="00B64E6F"/>
    <w:rsid w:val="00B652DB"/>
    <w:rsid w:val="00B653BE"/>
    <w:rsid w:val="00B65643"/>
    <w:rsid w:val="00B65A77"/>
    <w:rsid w:val="00B65ADC"/>
    <w:rsid w:val="00B6627E"/>
    <w:rsid w:val="00B6666B"/>
    <w:rsid w:val="00B6688F"/>
    <w:rsid w:val="00B66B2E"/>
    <w:rsid w:val="00B66D21"/>
    <w:rsid w:val="00B66D6D"/>
    <w:rsid w:val="00B66F99"/>
    <w:rsid w:val="00B670C1"/>
    <w:rsid w:val="00B672DE"/>
    <w:rsid w:val="00B6739F"/>
    <w:rsid w:val="00B67B7E"/>
    <w:rsid w:val="00B67CF9"/>
    <w:rsid w:val="00B704AB"/>
    <w:rsid w:val="00B70D6C"/>
    <w:rsid w:val="00B70ECE"/>
    <w:rsid w:val="00B712C0"/>
    <w:rsid w:val="00B7190A"/>
    <w:rsid w:val="00B71DEC"/>
    <w:rsid w:val="00B71F6E"/>
    <w:rsid w:val="00B721B0"/>
    <w:rsid w:val="00B72375"/>
    <w:rsid w:val="00B723C3"/>
    <w:rsid w:val="00B7247A"/>
    <w:rsid w:val="00B72493"/>
    <w:rsid w:val="00B728E1"/>
    <w:rsid w:val="00B72C45"/>
    <w:rsid w:val="00B7312F"/>
    <w:rsid w:val="00B73197"/>
    <w:rsid w:val="00B73473"/>
    <w:rsid w:val="00B7370E"/>
    <w:rsid w:val="00B737D9"/>
    <w:rsid w:val="00B741CC"/>
    <w:rsid w:val="00B7433B"/>
    <w:rsid w:val="00B74400"/>
    <w:rsid w:val="00B74578"/>
    <w:rsid w:val="00B746E1"/>
    <w:rsid w:val="00B74952"/>
    <w:rsid w:val="00B74B90"/>
    <w:rsid w:val="00B74CBC"/>
    <w:rsid w:val="00B7507D"/>
    <w:rsid w:val="00B75382"/>
    <w:rsid w:val="00B75486"/>
    <w:rsid w:val="00B756A5"/>
    <w:rsid w:val="00B76820"/>
    <w:rsid w:val="00B769EE"/>
    <w:rsid w:val="00B76C5E"/>
    <w:rsid w:val="00B76D60"/>
    <w:rsid w:val="00B7720F"/>
    <w:rsid w:val="00B7753B"/>
    <w:rsid w:val="00B7775F"/>
    <w:rsid w:val="00B77C59"/>
    <w:rsid w:val="00B77F1D"/>
    <w:rsid w:val="00B77FDE"/>
    <w:rsid w:val="00B800A9"/>
    <w:rsid w:val="00B80261"/>
    <w:rsid w:val="00B803E2"/>
    <w:rsid w:val="00B80831"/>
    <w:rsid w:val="00B80BEA"/>
    <w:rsid w:val="00B80CB7"/>
    <w:rsid w:val="00B80F23"/>
    <w:rsid w:val="00B8114A"/>
    <w:rsid w:val="00B81B9D"/>
    <w:rsid w:val="00B81E08"/>
    <w:rsid w:val="00B81E23"/>
    <w:rsid w:val="00B8294B"/>
    <w:rsid w:val="00B82B28"/>
    <w:rsid w:val="00B834D9"/>
    <w:rsid w:val="00B8364B"/>
    <w:rsid w:val="00B83686"/>
    <w:rsid w:val="00B838AC"/>
    <w:rsid w:val="00B83961"/>
    <w:rsid w:val="00B83B5D"/>
    <w:rsid w:val="00B83BB5"/>
    <w:rsid w:val="00B843B7"/>
    <w:rsid w:val="00B84438"/>
    <w:rsid w:val="00B84639"/>
    <w:rsid w:val="00B848C8"/>
    <w:rsid w:val="00B84D61"/>
    <w:rsid w:val="00B854C2"/>
    <w:rsid w:val="00B858CD"/>
    <w:rsid w:val="00B859DB"/>
    <w:rsid w:val="00B85B5F"/>
    <w:rsid w:val="00B85D1E"/>
    <w:rsid w:val="00B85E9F"/>
    <w:rsid w:val="00B86278"/>
    <w:rsid w:val="00B863AD"/>
    <w:rsid w:val="00B8658E"/>
    <w:rsid w:val="00B866EF"/>
    <w:rsid w:val="00B86799"/>
    <w:rsid w:val="00B869C0"/>
    <w:rsid w:val="00B86BA1"/>
    <w:rsid w:val="00B86FE3"/>
    <w:rsid w:val="00B870D5"/>
    <w:rsid w:val="00B8727B"/>
    <w:rsid w:val="00B873EA"/>
    <w:rsid w:val="00B87889"/>
    <w:rsid w:val="00B878DE"/>
    <w:rsid w:val="00B87D10"/>
    <w:rsid w:val="00B901A2"/>
    <w:rsid w:val="00B90210"/>
    <w:rsid w:val="00B9038D"/>
    <w:rsid w:val="00B903B2"/>
    <w:rsid w:val="00B9088E"/>
    <w:rsid w:val="00B90ABB"/>
    <w:rsid w:val="00B90E04"/>
    <w:rsid w:val="00B9154C"/>
    <w:rsid w:val="00B91C98"/>
    <w:rsid w:val="00B91CA8"/>
    <w:rsid w:val="00B92152"/>
    <w:rsid w:val="00B9268F"/>
    <w:rsid w:val="00B926D1"/>
    <w:rsid w:val="00B9288D"/>
    <w:rsid w:val="00B92D19"/>
    <w:rsid w:val="00B92D33"/>
    <w:rsid w:val="00B93813"/>
    <w:rsid w:val="00B938B3"/>
    <w:rsid w:val="00B938C9"/>
    <w:rsid w:val="00B93CAD"/>
    <w:rsid w:val="00B945CC"/>
    <w:rsid w:val="00B948C9"/>
    <w:rsid w:val="00B95144"/>
    <w:rsid w:val="00B953D7"/>
    <w:rsid w:val="00B95623"/>
    <w:rsid w:val="00B95B39"/>
    <w:rsid w:val="00B95BE2"/>
    <w:rsid w:val="00B95C18"/>
    <w:rsid w:val="00B95D1B"/>
    <w:rsid w:val="00B961C8"/>
    <w:rsid w:val="00B961DF"/>
    <w:rsid w:val="00B96204"/>
    <w:rsid w:val="00B962B2"/>
    <w:rsid w:val="00B962FD"/>
    <w:rsid w:val="00B966A3"/>
    <w:rsid w:val="00B967DB"/>
    <w:rsid w:val="00B96806"/>
    <w:rsid w:val="00B96F0A"/>
    <w:rsid w:val="00B97B50"/>
    <w:rsid w:val="00B97B6B"/>
    <w:rsid w:val="00B97D2C"/>
    <w:rsid w:val="00B97D43"/>
    <w:rsid w:val="00B97D53"/>
    <w:rsid w:val="00BA008A"/>
    <w:rsid w:val="00BA0164"/>
    <w:rsid w:val="00BA01CB"/>
    <w:rsid w:val="00BA01E8"/>
    <w:rsid w:val="00BA036F"/>
    <w:rsid w:val="00BA0499"/>
    <w:rsid w:val="00BA051A"/>
    <w:rsid w:val="00BA08A8"/>
    <w:rsid w:val="00BA0F63"/>
    <w:rsid w:val="00BA1119"/>
    <w:rsid w:val="00BA11DE"/>
    <w:rsid w:val="00BA13C5"/>
    <w:rsid w:val="00BA1A30"/>
    <w:rsid w:val="00BA1C4E"/>
    <w:rsid w:val="00BA22AB"/>
    <w:rsid w:val="00BA2348"/>
    <w:rsid w:val="00BA25CC"/>
    <w:rsid w:val="00BA2847"/>
    <w:rsid w:val="00BA2C35"/>
    <w:rsid w:val="00BA2D8D"/>
    <w:rsid w:val="00BA2E17"/>
    <w:rsid w:val="00BA346A"/>
    <w:rsid w:val="00BA36B7"/>
    <w:rsid w:val="00BA36F7"/>
    <w:rsid w:val="00BA3889"/>
    <w:rsid w:val="00BA3C45"/>
    <w:rsid w:val="00BA3E06"/>
    <w:rsid w:val="00BA3E60"/>
    <w:rsid w:val="00BA488D"/>
    <w:rsid w:val="00BA4BAA"/>
    <w:rsid w:val="00BA4C6C"/>
    <w:rsid w:val="00BA4F3F"/>
    <w:rsid w:val="00BA5297"/>
    <w:rsid w:val="00BA5556"/>
    <w:rsid w:val="00BA55FE"/>
    <w:rsid w:val="00BA570A"/>
    <w:rsid w:val="00BA58BB"/>
    <w:rsid w:val="00BA6041"/>
    <w:rsid w:val="00BA63AC"/>
    <w:rsid w:val="00BA6EBD"/>
    <w:rsid w:val="00BA7142"/>
    <w:rsid w:val="00BA7472"/>
    <w:rsid w:val="00BA784B"/>
    <w:rsid w:val="00BA793F"/>
    <w:rsid w:val="00BA7A51"/>
    <w:rsid w:val="00BA7CE0"/>
    <w:rsid w:val="00BB0112"/>
    <w:rsid w:val="00BB0131"/>
    <w:rsid w:val="00BB01BB"/>
    <w:rsid w:val="00BB06B4"/>
    <w:rsid w:val="00BB07C5"/>
    <w:rsid w:val="00BB0E5E"/>
    <w:rsid w:val="00BB0F0A"/>
    <w:rsid w:val="00BB0F76"/>
    <w:rsid w:val="00BB10E3"/>
    <w:rsid w:val="00BB11C5"/>
    <w:rsid w:val="00BB11D4"/>
    <w:rsid w:val="00BB120D"/>
    <w:rsid w:val="00BB17B0"/>
    <w:rsid w:val="00BB1B90"/>
    <w:rsid w:val="00BB1C6C"/>
    <w:rsid w:val="00BB1FFB"/>
    <w:rsid w:val="00BB20B3"/>
    <w:rsid w:val="00BB2251"/>
    <w:rsid w:val="00BB25B6"/>
    <w:rsid w:val="00BB2753"/>
    <w:rsid w:val="00BB2B5A"/>
    <w:rsid w:val="00BB2BEA"/>
    <w:rsid w:val="00BB2FE6"/>
    <w:rsid w:val="00BB3430"/>
    <w:rsid w:val="00BB346B"/>
    <w:rsid w:val="00BB3F6C"/>
    <w:rsid w:val="00BB43D3"/>
    <w:rsid w:val="00BB5053"/>
    <w:rsid w:val="00BB537A"/>
    <w:rsid w:val="00BB5A07"/>
    <w:rsid w:val="00BB5BAF"/>
    <w:rsid w:val="00BB5BDD"/>
    <w:rsid w:val="00BB5C19"/>
    <w:rsid w:val="00BB604F"/>
    <w:rsid w:val="00BB6241"/>
    <w:rsid w:val="00BB6557"/>
    <w:rsid w:val="00BB66A0"/>
    <w:rsid w:val="00BB6814"/>
    <w:rsid w:val="00BB6B71"/>
    <w:rsid w:val="00BB6C28"/>
    <w:rsid w:val="00BB6C97"/>
    <w:rsid w:val="00BB6FB5"/>
    <w:rsid w:val="00BB7001"/>
    <w:rsid w:val="00BB72F9"/>
    <w:rsid w:val="00BB79DA"/>
    <w:rsid w:val="00BB7A60"/>
    <w:rsid w:val="00BC019C"/>
    <w:rsid w:val="00BC0523"/>
    <w:rsid w:val="00BC054C"/>
    <w:rsid w:val="00BC0726"/>
    <w:rsid w:val="00BC09D9"/>
    <w:rsid w:val="00BC0B89"/>
    <w:rsid w:val="00BC1746"/>
    <w:rsid w:val="00BC17F5"/>
    <w:rsid w:val="00BC19B8"/>
    <w:rsid w:val="00BC204B"/>
    <w:rsid w:val="00BC22A0"/>
    <w:rsid w:val="00BC2465"/>
    <w:rsid w:val="00BC24A0"/>
    <w:rsid w:val="00BC24BA"/>
    <w:rsid w:val="00BC2803"/>
    <w:rsid w:val="00BC296C"/>
    <w:rsid w:val="00BC2D42"/>
    <w:rsid w:val="00BC2DDC"/>
    <w:rsid w:val="00BC2FCE"/>
    <w:rsid w:val="00BC30F7"/>
    <w:rsid w:val="00BC32F6"/>
    <w:rsid w:val="00BC33EC"/>
    <w:rsid w:val="00BC3555"/>
    <w:rsid w:val="00BC3959"/>
    <w:rsid w:val="00BC3968"/>
    <w:rsid w:val="00BC3F2F"/>
    <w:rsid w:val="00BC4044"/>
    <w:rsid w:val="00BC40EB"/>
    <w:rsid w:val="00BC40F3"/>
    <w:rsid w:val="00BC438C"/>
    <w:rsid w:val="00BC43FE"/>
    <w:rsid w:val="00BC4920"/>
    <w:rsid w:val="00BC495E"/>
    <w:rsid w:val="00BC4B48"/>
    <w:rsid w:val="00BC4B78"/>
    <w:rsid w:val="00BC4B8E"/>
    <w:rsid w:val="00BC4C6C"/>
    <w:rsid w:val="00BC4CCD"/>
    <w:rsid w:val="00BC4F77"/>
    <w:rsid w:val="00BC52AA"/>
    <w:rsid w:val="00BC55F6"/>
    <w:rsid w:val="00BC5793"/>
    <w:rsid w:val="00BC5BD9"/>
    <w:rsid w:val="00BC5E11"/>
    <w:rsid w:val="00BC6084"/>
    <w:rsid w:val="00BC6491"/>
    <w:rsid w:val="00BC657F"/>
    <w:rsid w:val="00BC6FC1"/>
    <w:rsid w:val="00BC71BE"/>
    <w:rsid w:val="00BC71EF"/>
    <w:rsid w:val="00BC71F9"/>
    <w:rsid w:val="00BC72CD"/>
    <w:rsid w:val="00BC7448"/>
    <w:rsid w:val="00BC786E"/>
    <w:rsid w:val="00BC7952"/>
    <w:rsid w:val="00BC7A0E"/>
    <w:rsid w:val="00BC7A20"/>
    <w:rsid w:val="00BC7BD6"/>
    <w:rsid w:val="00BD01D1"/>
    <w:rsid w:val="00BD027E"/>
    <w:rsid w:val="00BD04A0"/>
    <w:rsid w:val="00BD0500"/>
    <w:rsid w:val="00BD0584"/>
    <w:rsid w:val="00BD05CC"/>
    <w:rsid w:val="00BD05F7"/>
    <w:rsid w:val="00BD07FC"/>
    <w:rsid w:val="00BD0877"/>
    <w:rsid w:val="00BD08D9"/>
    <w:rsid w:val="00BD0C4D"/>
    <w:rsid w:val="00BD0C6B"/>
    <w:rsid w:val="00BD11FE"/>
    <w:rsid w:val="00BD13AA"/>
    <w:rsid w:val="00BD148E"/>
    <w:rsid w:val="00BD16CE"/>
    <w:rsid w:val="00BD1B58"/>
    <w:rsid w:val="00BD1C20"/>
    <w:rsid w:val="00BD1E7D"/>
    <w:rsid w:val="00BD208F"/>
    <w:rsid w:val="00BD2404"/>
    <w:rsid w:val="00BD2B6E"/>
    <w:rsid w:val="00BD2BB5"/>
    <w:rsid w:val="00BD2C14"/>
    <w:rsid w:val="00BD2E6E"/>
    <w:rsid w:val="00BD2EBA"/>
    <w:rsid w:val="00BD3095"/>
    <w:rsid w:val="00BD32BD"/>
    <w:rsid w:val="00BD373B"/>
    <w:rsid w:val="00BD38B1"/>
    <w:rsid w:val="00BD3B53"/>
    <w:rsid w:val="00BD3E1A"/>
    <w:rsid w:val="00BD3EF1"/>
    <w:rsid w:val="00BD3FFF"/>
    <w:rsid w:val="00BD4105"/>
    <w:rsid w:val="00BD4161"/>
    <w:rsid w:val="00BD4379"/>
    <w:rsid w:val="00BD4C3A"/>
    <w:rsid w:val="00BD4F8D"/>
    <w:rsid w:val="00BD5529"/>
    <w:rsid w:val="00BD5694"/>
    <w:rsid w:val="00BD595A"/>
    <w:rsid w:val="00BD5A58"/>
    <w:rsid w:val="00BD5B40"/>
    <w:rsid w:val="00BD5BF8"/>
    <w:rsid w:val="00BD5CDB"/>
    <w:rsid w:val="00BD5D79"/>
    <w:rsid w:val="00BD5F1F"/>
    <w:rsid w:val="00BD673C"/>
    <w:rsid w:val="00BD6C32"/>
    <w:rsid w:val="00BD6F1E"/>
    <w:rsid w:val="00BD6FC5"/>
    <w:rsid w:val="00BD71AF"/>
    <w:rsid w:val="00BD7208"/>
    <w:rsid w:val="00BD7602"/>
    <w:rsid w:val="00BD779B"/>
    <w:rsid w:val="00BD7832"/>
    <w:rsid w:val="00BD7840"/>
    <w:rsid w:val="00BD7A52"/>
    <w:rsid w:val="00BE0043"/>
    <w:rsid w:val="00BE004E"/>
    <w:rsid w:val="00BE048C"/>
    <w:rsid w:val="00BE04C0"/>
    <w:rsid w:val="00BE0527"/>
    <w:rsid w:val="00BE0862"/>
    <w:rsid w:val="00BE09D6"/>
    <w:rsid w:val="00BE0BDC"/>
    <w:rsid w:val="00BE12E0"/>
    <w:rsid w:val="00BE13AB"/>
    <w:rsid w:val="00BE1477"/>
    <w:rsid w:val="00BE1C38"/>
    <w:rsid w:val="00BE207E"/>
    <w:rsid w:val="00BE2366"/>
    <w:rsid w:val="00BE2435"/>
    <w:rsid w:val="00BE2594"/>
    <w:rsid w:val="00BE26AE"/>
    <w:rsid w:val="00BE26FC"/>
    <w:rsid w:val="00BE27E6"/>
    <w:rsid w:val="00BE299F"/>
    <w:rsid w:val="00BE29F0"/>
    <w:rsid w:val="00BE2B48"/>
    <w:rsid w:val="00BE331E"/>
    <w:rsid w:val="00BE33E9"/>
    <w:rsid w:val="00BE3825"/>
    <w:rsid w:val="00BE3940"/>
    <w:rsid w:val="00BE3C56"/>
    <w:rsid w:val="00BE3C7A"/>
    <w:rsid w:val="00BE4143"/>
    <w:rsid w:val="00BE4191"/>
    <w:rsid w:val="00BE46C0"/>
    <w:rsid w:val="00BE476D"/>
    <w:rsid w:val="00BE4804"/>
    <w:rsid w:val="00BE4B11"/>
    <w:rsid w:val="00BE4F2E"/>
    <w:rsid w:val="00BE50EA"/>
    <w:rsid w:val="00BE512D"/>
    <w:rsid w:val="00BE5A65"/>
    <w:rsid w:val="00BE5A8B"/>
    <w:rsid w:val="00BE5B32"/>
    <w:rsid w:val="00BE5BA0"/>
    <w:rsid w:val="00BE5E60"/>
    <w:rsid w:val="00BE5F2B"/>
    <w:rsid w:val="00BE6056"/>
    <w:rsid w:val="00BE6B13"/>
    <w:rsid w:val="00BE7026"/>
    <w:rsid w:val="00BE708C"/>
    <w:rsid w:val="00BE70A8"/>
    <w:rsid w:val="00BE7235"/>
    <w:rsid w:val="00BE7488"/>
    <w:rsid w:val="00BE75DE"/>
    <w:rsid w:val="00BE7A32"/>
    <w:rsid w:val="00BF01A5"/>
    <w:rsid w:val="00BF036D"/>
    <w:rsid w:val="00BF06E7"/>
    <w:rsid w:val="00BF07C7"/>
    <w:rsid w:val="00BF0AD0"/>
    <w:rsid w:val="00BF1212"/>
    <w:rsid w:val="00BF12EC"/>
    <w:rsid w:val="00BF1404"/>
    <w:rsid w:val="00BF143B"/>
    <w:rsid w:val="00BF1A4B"/>
    <w:rsid w:val="00BF1CC9"/>
    <w:rsid w:val="00BF1E89"/>
    <w:rsid w:val="00BF1F13"/>
    <w:rsid w:val="00BF2382"/>
    <w:rsid w:val="00BF2496"/>
    <w:rsid w:val="00BF24CF"/>
    <w:rsid w:val="00BF2542"/>
    <w:rsid w:val="00BF2979"/>
    <w:rsid w:val="00BF2B25"/>
    <w:rsid w:val="00BF2BBD"/>
    <w:rsid w:val="00BF2C0E"/>
    <w:rsid w:val="00BF2F71"/>
    <w:rsid w:val="00BF3118"/>
    <w:rsid w:val="00BF314A"/>
    <w:rsid w:val="00BF325F"/>
    <w:rsid w:val="00BF349D"/>
    <w:rsid w:val="00BF3561"/>
    <w:rsid w:val="00BF3855"/>
    <w:rsid w:val="00BF3966"/>
    <w:rsid w:val="00BF3BAF"/>
    <w:rsid w:val="00BF433F"/>
    <w:rsid w:val="00BF43FB"/>
    <w:rsid w:val="00BF43FF"/>
    <w:rsid w:val="00BF4418"/>
    <w:rsid w:val="00BF44EE"/>
    <w:rsid w:val="00BF476A"/>
    <w:rsid w:val="00BF4C96"/>
    <w:rsid w:val="00BF4D35"/>
    <w:rsid w:val="00BF52E9"/>
    <w:rsid w:val="00BF552C"/>
    <w:rsid w:val="00BF5601"/>
    <w:rsid w:val="00BF572F"/>
    <w:rsid w:val="00BF5763"/>
    <w:rsid w:val="00BF5D22"/>
    <w:rsid w:val="00BF613D"/>
    <w:rsid w:val="00BF621E"/>
    <w:rsid w:val="00BF6D08"/>
    <w:rsid w:val="00BF6E56"/>
    <w:rsid w:val="00BF6EA3"/>
    <w:rsid w:val="00BF6FD0"/>
    <w:rsid w:val="00BF70C7"/>
    <w:rsid w:val="00BF7969"/>
    <w:rsid w:val="00BF7B37"/>
    <w:rsid w:val="00BF7DD4"/>
    <w:rsid w:val="00C0011A"/>
    <w:rsid w:val="00C00138"/>
    <w:rsid w:val="00C00BB9"/>
    <w:rsid w:val="00C00C65"/>
    <w:rsid w:val="00C00D50"/>
    <w:rsid w:val="00C00D5D"/>
    <w:rsid w:val="00C01275"/>
    <w:rsid w:val="00C0192A"/>
    <w:rsid w:val="00C01A0A"/>
    <w:rsid w:val="00C01ACC"/>
    <w:rsid w:val="00C01FE1"/>
    <w:rsid w:val="00C020DC"/>
    <w:rsid w:val="00C0247D"/>
    <w:rsid w:val="00C028EA"/>
    <w:rsid w:val="00C02CA4"/>
    <w:rsid w:val="00C035DD"/>
    <w:rsid w:val="00C03961"/>
    <w:rsid w:val="00C03E90"/>
    <w:rsid w:val="00C03FE9"/>
    <w:rsid w:val="00C0401F"/>
    <w:rsid w:val="00C041B1"/>
    <w:rsid w:val="00C04664"/>
    <w:rsid w:val="00C04811"/>
    <w:rsid w:val="00C04F8F"/>
    <w:rsid w:val="00C05004"/>
    <w:rsid w:val="00C0524A"/>
    <w:rsid w:val="00C0539D"/>
    <w:rsid w:val="00C053D1"/>
    <w:rsid w:val="00C0545A"/>
    <w:rsid w:val="00C05AF8"/>
    <w:rsid w:val="00C05E02"/>
    <w:rsid w:val="00C0612F"/>
    <w:rsid w:val="00C06230"/>
    <w:rsid w:val="00C06255"/>
    <w:rsid w:val="00C0639E"/>
    <w:rsid w:val="00C06514"/>
    <w:rsid w:val="00C06846"/>
    <w:rsid w:val="00C0694F"/>
    <w:rsid w:val="00C0699F"/>
    <w:rsid w:val="00C06D4C"/>
    <w:rsid w:val="00C0722D"/>
    <w:rsid w:val="00C0762A"/>
    <w:rsid w:val="00C076FD"/>
    <w:rsid w:val="00C079A3"/>
    <w:rsid w:val="00C07C29"/>
    <w:rsid w:val="00C07CAA"/>
    <w:rsid w:val="00C07D36"/>
    <w:rsid w:val="00C07DAB"/>
    <w:rsid w:val="00C100E7"/>
    <w:rsid w:val="00C103ED"/>
    <w:rsid w:val="00C104F0"/>
    <w:rsid w:val="00C105AD"/>
    <w:rsid w:val="00C107DA"/>
    <w:rsid w:val="00C10BCA"/>
    <w:rsid w:val="00C10D80"/>
    <w:rsid w:val="00C11002"/>
    <w:rsid w:val="00C1141F"/>
    <w:rsid w:val="00C114F7"/>
    <w:rsid w:val="00C1169D"/>
    <w:rsid w:val="00C1176E"/>
    <w:rsid w:val="00C11A86"/>
    <w:rsid w:val="00C123B2"/>
    <w:rsid w:val="00C12415"/>
    <w:rsid w:val="00C12433"/>
    <w:rsid w:val="00C1268A"/>
    <w:rsid w:val="00C1271D"/>
    <w:rsid w:val="00C12977"/>
    <w:rsid w:val="00C12A0D"/>
    <w:rsid w:val="00C12A80"/>
    <w:rsid w:val="00C12B3B"/>
    <w:rsid w:val="00C12C84"/>
    <w:rsid w:val="00C12EC0"/>
    <w:rsid w:val="00C12F4D"/>
    <w:rsid w:val="00C13598"/>
    <w:rsid w:val="00C1390C"/>
    <w:rsid w:val="00C13C8C"/>
    <w:rsid w:val="00C13CB0"/>
    <w:rsid w:val="00C13CEE"/>
    <w:rsid w:val="00C1438A"/>
    <w:rsid w:val="00C143A5"/>
    <w:rsid w:val="00C143E8"/>
    <w:rsid w:val="00C1451F"/>
    <w:rsid w:val="00C14667"/>
    <w:rsid w:val="00C14849"/>
    <w:rsid w:val="00C14A0E"/>
    <w:rsid w:val="00C14D0A"/>
    <w:rsid w:val="00C14EA2"/>
    <w:rsid w:val="00C15385"/>
    <w:rsid w:val="00C1563B"/>
    <w:rsid w:val="00C15A56"/>
    <w:rsid w:val="00C15AB7"/>
    <w:rsid w:val="00C15CBB"/>
    <w:rsid w:val="00C15CE1"/>
    <w:rsid w:val="00C15FB5"/>
    <w:rsid w:val="00C161E0"/>
    <w:rsid w:val="00C164D7"/>
    <w:rsid w:val="00C16587"/>
    <w:rsid w:val="00C165F8"/>
    <w:rsid w:val="00C16611"/>
    <w:rsid w:val="00C16A44"/>
    <w:rsid w:val="00C16D8F"/>
    <w:rsid w:val="00C17224"/>
    <w:rsid w:val="00C172BA"/>
    <w:rsid w:val="00C173A5"/>
    <w:rsid w:val="00C173DA"/>
    <w:rsid w:val="00C17ABA"/>
    <w:rsid w:val="00C17C15"/>
    <w:rsid w:val="00C17C23"/>
    <w:rsid w:val="00C17DA8"/>
    <w:rsid w:val="00C20099"/>
    <w:rsid w:val="00C20178"/>
    <w:rsid w:val="00C204A4"/>
    <w:rsid w:val="00C20521"/>
    <w:rsid w:val="00C20566"/>
    <w:rsid w:val="00C205B9"/>
    <w:rsid w:val="00C205FD"/>
    <w:rsid w:val="00C2087E"/>
    <w:rsid w:val="00C208F6"/>
    <w:rsid w:val="00C20ACD"/>
    <w:rsid w:val="00C214B5"/>
    <w:rsid w:val="00C216A1"/>
    <w:rsid w:val="00C2187F"/>
    <w:rsid w:val="00C21B4C"/>
    <w:rsid w:val="00C21C0C"/>
    <w:rsid w:val="00C21E84"/>
    <w:rsid w:val="00C2217D"/>
    <w:rsid w:val="00C22312"/>
    <w:rsid w:val="00C22795"/>
    <w:rsid w:val="00C22F27"/>
    <w:rsid w:val="00C22FF6"/>
    <w:rsid w:val="00C2314C"/>
    <w:rsid w:val="00C233F5"/>
    <w:rsid w:val="00C23637"/>
    <w:rsid w:val="00C23B29"/>
    <w:rsid w:val="00C2444D"/>
    <w:rsid w:val="00C24802"/>
    <w:rsid w:val="00C24B76"/>
    <w:rsid w:val="00C251F4"/>
    <w:rsid w:val="00C2556C"/>
    <w:rsid w:val="00C256CF"/>
    <w:rsid w:val="00C2578E"/>
    <w:rsid w:val="00C25A71"/>
    <w:rsid w:val="00C25DF9"/>
    <w:rsid w:val="00C26331"/>
    <w:rsid w:val="00C265B6"/>
    <w:rsid w:val="00C26DDD"/>
    <w:rsid w:val="00C26F5F"/>
    <w:rsid w:val="00C271AB"/>
    <w:rsid w:val="00C2722D"/>
    <w:rsid w:val="00C2723D"/>
    <w:rsid w:val="00C276C3"/>
    <w:rsid w:val="00C27822"/>
    <w:rsid w:val="00C27A7A"/>
    <w:rsid w:val="00C27C21"/>
    <w:rsid w:val="00C27D6B"/>
    <w:rsid w:val="00C3006C"/>
    <w:rsid w:val="00C30223"/>
    <w:rsid w:val="00C3051F"/>
    <w:rsid w:val="00C309D9"/>
    <w:rsid w:val="00C30FBA"/>
    <w:rsid w:val="00C30FD8"/>
    <w:rsid w:val="00C31174"/>
    <w:rsid w:val="00C31398"/>
    <w:rsid w:val="00C31436"/>
    <w:rsid w:val="00C31943"/>
    <w:rsid w:val="00C3199B"/>
    <w:rsid w:val="00C319D4"/>
    <w:rsid w:val="00C31C5A"/>
    <w:rsid w:val="00C31D35"/>
    <w:rsid w:val="00C31DF2"/>
    <w:rsid w:val="00C3219E"/>
    <w:rsid w:val="00C322F1"/>
    <w:rsid w:val="00C32459"/>
    <w:rsid w:val="00C32AF0"/>
    <w:rsid w:val="00C32E65"/>
    <w:rsid w:val="00C331EE"/>
    <w:rsid w:val="00C33227"/>
    <w:rsid w:val="00C3345A"/>
    <w:rsid w:val="00C336D0"/>
    <w:rsid w:val="00C3385E"/>
    <w:rsid w:val="00C33B2A"/>
    <w:rsid w:val="00C33F4F"/>
    <w:rsid w:val="00C33F57"/>
    <w:rsid w:val="00C34466"/>
    <w:rsid w:val="00C3484B"/>
    <w:rsid w:val="00C349E9"/>
    <w:rsid w:val="00C3512E"/>
    <w:rsid w:val="00C35234"/>
    <w:rsid w:val="00C355E1"/>
    <w:rsid w:val="00C35A68"/>
    <w:rsid w:val="00C35AF0"/>
    <w:rsid w:val="00C35B61"/>
    <w:rsid w:val="00C35D94"/>
    <w:rsid w:val="00C36247"/>
    <w:rsid w:val="00C3670F"/>
    <w:rsid w:val="00C3679A"/>
    <w:rsid w:val="00C3686E"/>
    <w:rsid w:val="00C368C8"/>
    <w:rsid w:val="00C36C9D"/>
    <w:rsid w:val="00C36F6A"/>
    <w:rsid w:val="00C37044"/>
    <w:rsid w:val="00C371FE"/>
    <w:rsid w:val="00C3750A"/>
    <w:rsid w:val="00C3781A"/>
    <w:rsid w:val="00C37C09"/>
    <w:rsid w:val="00C37D40"/>
    <w:rsid w:val="00C37E24"/>
    <w:rsid w:val="00C37ED4"/>
    <w:rsid w:val="00C40109"/>
    <w:rsid w:val="00C403FE"/>
    <w:rsid w:val="00C406AC"/>
    <w:rsid w:val="00C40BD5"/>
    <w:rsid w:val="00C4105F"/>
    <w:rsid w:val="00C41148"/>
    <w:rsid w:val="00C41233"/>
    <w:rsid w:val="00C4138C"/>
    <w:rsid w:val="00C41491"/>
    <w:rsid w:val="00C414CC"/>
    <w:rsid w:val="00C416D9"/>
    <w:rsid w:val="00C41856"/>
    <w:rsid w:val="00C41DBE"/>
    <w:rsid w:val="00C42263"/>
    <w:rsid w:val="00C424CE"/>
    <w:rsid w:val="00C42AC0"/>
    <w:rsid w:val="00C42DC3"/>
    <w:rsid w:val="00C42DEB"/>
    <w:rsid w:val="00C43198"/>
    <w:rsid w:val="00C43647"/>
    <w:rsid w:val="00C439A0"/>
    <w:rsid w:val="00C43A8C"/>
    <w:rsid w:val="00C43C01"/>
    <w:rsid w:val="00C44046"/>
    <w:rsid w:val="00C440D1"/>
    <w:rsid w:val="00C44187"/>
    <w:rsid w:val="00C445D5"/>
    <w:rsid w:val="00C445F2"/>
    <w:rsid w:val="00C44A8E"/>
    <w:rsid w:val="00C44B5B"/>
    <w:rsid w:val="00C44E05"/>
    <w:rsid w:val="00C44E16"/>
    <w:rsid w:val="00C44F4F"/>
    <w:rsid w:val="00C44FBC"/>
    <w:rsid w:val="00C45297"/>
    <w:rsid w:val="00C455D9"/>
    <w:rsid w:val="00C45943"/>
    <w:rsid w:val="00C45949"/>
    <w:rsid w:val="00C45BC1"/>
    <w:rsid w:val="00C4639D"/>
    <w:rsid w:val="00C469B1"/>
    <w:rsid w:val="00C46C23"/>
    <w:rsid w:val="00C46D46"/>
    <w:rsid w:val="00C475F4"/>
    <w:rsid w:val="00C4790A"/>
    <w:rsid w:val="00C47C59"/>
    <w:rsid w:val="00C47E9E"/>
    <w:rsid w:val="00C5030E"/>
    <w:rsid w:val="00C504FE"/>
    <w:rsid w:val="00C507A1"/>
    <w:rsid w:val="00C5086E"/>
    <w:rsid w:val="00C50941"/>
    <w:rsid w:val="00C50E7F"/>
    <w:rsid w:val="00C50FCE"/>
    <w:rsid w:val="00C51021"/>
    <w:rsid w:val="00C510AC"/>
    <w:rsid w:val="00C5112E"/>
    <w:rsid w:val="00C5120A"/>
    <w:rsid w:val="00C51623"/>
    <w:rsid w:val="00C5163C"/>
    <w:rsid w:val="00C51A3B"/>
    <w:rsid w:val="00C51A40"/>
    <w:rsid w:val="00C51A51"/>
    <w:rsid w:val="00C51E77"/>
    <w:rsid w:val="00C52696"/>
    <w:rsid w:val="00C529A5"/>
    <w:rsid w:val="00C52A63"/>
    <w:rsid w:val="00C52AC1"/>
    <w:rsid w:val="00C52B70"/>
    <w:rsid w:val="00C52BD0"/>
    <w:rsid w:val="00C52F70"/>
    <w:rsid w:val="00C535C6"/>
    <w:rsid w:val="00C53763"/>
    <w:rsid w:val="00C53CBD"/>
    <w:rsid w:val="00C54954"/>
    <w:rsid w:val="00C550CF"/>
    <w:rsid w:val="00C5525E"/>
    <w:rsid w:val="00C559DF"/>
    <w:rsid w:val="00C55F68"/>
    <w:rsid w:val="00C5666D"/>
    <w:rsid w:val="00C56B7E"/>
    <w:rsid w:val="00C56E40"/>
    <w:rsid w:val="00C56EAD"/>
    <w:rsid w:val="00C57047"/>
    <w:rsid w:val="00C57195"/>
    <w:rsid w:val="00C571B4"/>
    <w:rsid w:val="00C57349"/>
    <w:rsid w:val="00C5734A"/>
    <w:rsid w:val="00C5746C"/>
    <w:rsid w:val="00C574A4"/>
    <w:rsid w:val="00C576DA"/>
    <w:rsid w:val="00C579F6"/>
    <w:rsid w:val="00C57C92"/>
    <w:rsid w:val="00C6076C"/>
    <w:rsid w:val="00C60F64"/>
    <w:rsid w:val="00C6118E"/>
    <w:rsid w:val="00C61210"/>
    <w:rsid w:val="00C616CC"/>
    <w:rsid w:val="00C61746"/>
    <w:rsid w:val="00C61755"/>
    <w:rsid w:val="00C61AFE"/>
    <w:rsid w:val="00C61B10"/>
    <w:rsid w:val="00C61BEC"/>
    <w:rsid w:val="00C61C33"/>
    <w:rsid w:val="00C61C49"/>
    <w:rsid w:val="00C61EB6"/>
    <w:rsid w:val="00C62246"/>
    <w:rsid w:val="00C622B9"/>
    <w:rsid w:val="00C624B5"/>
    <w:rsid w:val="00C62589"/>
    <w:rsid w:val="00C628D7"/>
    <w:rsid w:val="00C628FA"/>
    <w:rsid w:val="00C62CA3"/>
    <w:rsid w:val="00C62D47"/>
    <w:rsid w:val="00C6312F"/>
    <w:rsid w:val="00C631A6"/>
    <w:rsid w:val="00C63221"/>
    <w:rsid w:val="00C63312"/>
    <w:rsid w:val="00C634B9"/>
    <w:rsid w:val="00C63807"/>
    <w:rsid w:val="00C63A9E"/>
    <w:rsid w:val="00C63B8E"/>
    <w:rsid w:val="00C63BE2"/>
    <w:rsid w:val="00C63BFE"/>
    <w:rsid w:val="00C63F75"/>
    <w:rsid w:val="00C6464D"/>
    <w:rsid w:val="00C6466D"/>
    <w:rsid w:val="00C64B84"/>
    <w:rsid w:val="00C64D09"/>
    <w:rsid w:val="00C6531A"/>
    <w:rsid w:val="00C65785"/>
    <w:rsid w:val="00C65BA3"/>
    <w:rsid w:val="00C65C55"/>
    <w:rsid w:val="00C65D2D"/>
    <w:rsid w:val="00C660A2"/>
    <w:rsid w:val="00C661E8"/>
    <w:rsid w:val="00C661F7"/>
    <w:rsid w:val="00C6624A"/>
    <w:rsid w:val="00C6632F"/>
    <w:rsid w:val="00C66781"/>
    <w:rsid w:val="00C667C5"/>
    <w:rsid w:val="00C66819"/>
    <w:rsid w:val="00C66B6A"/>
    <w:rsid w:val="00C66B7B"/>
    <w:rsid w:val="00C67363"/>
    <w:rsid w:val="00C675F0"/>
    <w:rsid w:val="00C676A4"/>
    <w:rsid w:val="00C67751"/>
    <w:rsid w:val="00C67970"/>
    <w:rsid w:val="00C67BDE"/>
    <w:rsid w:val="00C67E9F"/>
    <w:rsid w:val="00C70060"/>
    <w:rsid w:val="00C70124"/>
    <w:rsid w:val="00C7012A"/>
    <w:rsid w:val="00C7030F"/>
    <w:rsid w:val="00C703A5"/>
    <w:rsid w:val="00C704B6"/>
    <w:rsid w:val="00C706D1"/>
    <w:rsid w:val="00C70929"/>
    <w:rsid w:val="00C71289"/>
    <w:rsid w:val="00C712E0"/>
    <w:rsid w:val="00C71327"/>
    <w:rsid w:val="00C71381"/>
    <w:rsid w:val="00C71644"/>
    <w:rsid w:val="00C71721"/>
    <w:rsid w:val="00C7189B"/>
    <w:rsid w:val="00C71A1B"/>
    <w:rsid w:val="00C71A57"/>
    <w:rsid w:val="00C71B59"/>
    <w:rsid w:val="00C71C84"/>
    <w:rsid w:val="00C721A6"/>
    <w:rsid w:val="00C72285"/>
    <w:rsid w:val="00C72288"/>
    <w:rsid w:val="00C7233D"/>
    <w:rsid w:val="00C7233E"/>
    <w:rsid w:val="00C72709"/>
    <w:rsid w:val="00C72C2A"/>
    <w:rsid w:val="00C72EA9"/>
    <w:rsid w:val="00C731E4"/>
    <w:rsid w:val="00C73506"/>
    <w:rsid w:val="00C7356F"/>
    <w:rsid w:val="00C73799"/>
    <w:rsid w:val="00C73964"/>
    <w:rsid w:val="00C73C28"/>
    <w:rsid w:val="00C73D0D"/>
    <w:rsid w:val="00C73E18"/>
    <w:rsid w:val="00C742E3"/>
    <w:rsid w:val="00C746AE"/>
    <w:rsid w:val="00C748C0"/>
    <w:rsid w:val="00C748EC"/>
    <w:rsid w:val="00C74948"/>
    <w:rsid w:val="00C74CDD"/>
    <w:rsid w:val="00C75360"/>
    <w:rsid w:val="00C75901"/>
    <w:rsid w:val="00C7596E"/>
    <w:rsid w:val="00C75D65"/>
    <w:rsid w:val="00C75F02"/>
    <w:rsid w:val="00C76029"/>
    <w:rsid w:val="00C76170"/>
    <w:rsid w:val="00C7619E"/>
    <w:rsid w:val="00C762B6"/>
    <w:rsid w:val="00C76660"/>
    <w:rsid w:val="00C766E5"/>
    <w:rsid w:val="00C7680A"/>
    <w:rsid w:val="00C76FE3"/>
    <w:rsid w:val="00C771FD"/>
    <w:rsid w:val="00C77414"/>
    <w:rsid w:val="00C775F1"/>
    <w:rsid w:val="00C779A5"/>
    <w:rsid w:val="00C80161"/>
    <w:rsid w:val="00C80247"/>
    <w:rsid w:val="00C80701"/>
    <w:rsid w:val="00C8082E"/>
    <w:rsid w:val="00C809BF"/>
    <w:rsid w:val="00C80A5A"/>
    <w:rsid w:val="00C80AB0"/>
    <w:rsid w:val="00C80C67"/>
    <w:rsid w:val="00C80FC1"/>
    <w:rsid w:val="00C81026"/>
    <w:rsid w:val="00C81074"/>
    <w:rsid w:val="00C8131A"/>
    <w:rsid w:val="00C81352"/>
    <w:rsid w:val="00C8141E"/>
    <w:rsid w:val="00C816A4"/>
    <w:rsid w:val="00C81C45"/>
    <w:rsid w:val="00C82170"/>
    <w:rsid w:val="00C82236"/>
    <w:rsid w:val="00C824D0"/>
    <w:rsid w:val="00C82905"/>
    <w:rsid w:val="00C82B04"/>
    <w:rsid w:val="00C82DA1"/>
    <w:rsid w:val="00C82DA3"/>
    <w:rsid w:val="00C82EAD"/>
    <w:rsid w:val="00C833D5"/>
    <w:rsid w:val="00C83A3D"/>
    <w:rsid w:val="00C83EDB"/>
    <w:rsid w:val="00C8429E"/>
    <w:rsid w:val="00C84568"/>
    <w:rsid w:val="00C846E1"/>
    <w:rsid w:val="00C8491F"/>
    <w:rsid w:val="00C84991"/>
    <w:rsid w:val="00C84B20"/>
    <w:rsid w:val="00C84C77"/>
    <w:rsid w:val="00C84E8E"/>
    <w:rsid w:val="00C850B2"/>
    <w:rsid w:val="00C852BF"/>
    <w:rsid w:val="00C85405"/>
    <w:rsid w:val="00C8548B"/>
    <w:rsid w:val="00C85612"/>
    <w:rsid w:val="00C85726"/>
    <w:rsid w:val="00C85C7E"/>
    <w:rsid w:val="00C86152"/>
    <w:rsid w:val="00C862DA"/>
    <w:rsid w:val="00C86316"/>
    <w:rsid w:val="00C86375"/>
    <w:rsid w:val="00C86534"/>
    <w:rsid w:val="00C86716"/>
    <w:rsid w:val="00C86834"/>
    <w:rsid w:val="00C86F88"/>
    <w:rsid w:val="00C871AC"/>
    <w:rsid w:val="00C872AB"/>
    <w:rsid w:val="00C873AA"/>
    <w:rsid w:val="00C873EC"/>
    <w:rsid w:val="00C8751F"/>
    <w:rsid w:val="00C875BF"/>
    <w:rsid w:val="00C876E2"/>
    <w:rsid w:val="00C87C8C"/>
    <w:rsid w:val="00C900FA"/>
    <w:rsid w:val="00C901F8"/>
    <w:rsid w:val="00C90402"/>
    <w:rsid w:val="00C907FB"/>
    <w:rsid w:val="00C90887"/>
    <w:rsid w:val="00C909ED"/>
    <w:rsid w:val="00C90C33"/>
    <w:rsid w:val="00C90DFA"/>
    <w:rsid w:val="00C90F4F"/>
    <w:rsid w:val="00C91031"/>
    <w:rsid w:val="00C9105F"/>
    <w:rsid w:val="00C91086"/>
    <w:rsid w:val="00C91869"/>
    <w:rsid w:val="00C9190D"/>
    <w:rsid w:val="00C91C78"/>
    <w:rsid w:val="00C91E38"/>
    <w:rsid w:val="00C91F0B"/>
    <w:rsid w:val="00C920F6"/>
    <w:rsid w:val="00C921CE"/>
    <w:rsid w:val="00C9262F"/>
    <w:rsid w:val="00C9292F"/>
    <w:rsid w:val="00C92AEE"/>
    <w:rsid w:val="00C92E83"/>
    <w:rsid w:val="00C931A0"/>
    <w:rsid w:val="00C9327A"/>
    <w:rsid w:val="00C934A7"/>
    <w:rsid w:val="00C934EF"/>
    <w:rsid w:val="00C934FC"/>
    <w:rsid w:val="00C93831"/>
    <w:rsid w:val="00C939B3"/>
    <w:rsid w:val="00C93A7D"/>
    <w:rsid w:val="00C93AA1"/>
    <w:rsid w:val="00C93FA6"/>
    <w:rsid w:val="00C94228"/>
    <w:rsid w:val="00C945CF"/>
    <w:rsid w:val="00C94689"/>
    <w:rsid w:val="00C9494C"/>
    <w:rsid w:val="00C94C7F"/>
    <w:rsid w:val="00C9549E"/>
    <w:rsid w:val="00C957A5"/>
    <w:rsid w:val="00C95B49"/>
    <w:rsid w:val="00C95BD6"/>
    <w:rsid w:val="00C9662C"/>
    <w:rsid w:val="00C96A41"/>
    <w:rsid w:val="00C96B91"/>
    <w:rsid w:val="00C96D14"/>
    <w:rsid w:val="00C97021"/>
    <w:rsid w:val="00C97432"/>
    <w:rsid w:val="00C97480"/>
    <w:rsid w:val="00C977F2"/>
    <w:rsid w:val="00C97966"/>
    <w:rsid w:val="00C979A4"/>
    <w:rsid w:val="00C97B11"/>
    <w:rsid w:val="00CA0114"/>
    <w:rsid w:val="00CA03F2"/>
    <w:rsid w:val="00CA058A"/>
    <w:rsid w:val="00CA07CF"/>
    <w:rsid w:val="00CA092B"/>
    <w:rsid w:val="00CA094D"/>
    <w:rsid w:val="00CA0B2E"/>
    <w:rsid w:val="00CA1077"/>
    <w:rsid w:val="00CA10FF"/>
    <w:rsid w:val="00CA128B"/>
    <w:rsid w:val="00CA1574"/>
    <w:rsid w:val="00CA1723"/>
    <w:rsid w:val="00CA2413"/>
    <w:rsid w:val="00CA2623"/>
    <w:rsid w:val="00CA2822"/>
    <w:rsid w:val="00CA28D8"/>
    <w:rsid w:val="00CA2AC6"/>
    <w:rsid w:val="00CA2B3D"/>
    <w:rsid w:val="00CA2CC9"/>
    <w:rsid w:val="00CA2E62"/>
    <w:rsid w:val="00CA3112"/>
    <w:rsid w:val="00CA3411"/>
    <w:rsid w:val="00CA3640"/>
    <w:rsid w:val="00CA372E"/>
    <w:rsid w:val="00CA394B"/>
    <w:rsid w:val="00CA397A"/>
    <w:rsid w:val="00CA3A00"/>
    <w:rsid w:val="00CA3D02"/>
    <w:rsid w:val="00CA43D8"/>
    <w:rsid w:val="00CA45B2"/>
    <w:rsid w:val="00CA46A4"/>
    <w:rsid w:val="00CA486C"/>
    <w:rsid w:val="00CA49CC"/>
    <w:rsid w:val="00CA4A85"/>
    <w:rsid w:val="00CA4B06"/>
    <w:rsid w:val="00CA4C41"/>
    <w:rsid w:val="00CA4E6A"/>
    <w:rsid w:val="00CA5007"/>
    <w:rsid w:val="00CA53F6"/>
    <w:rsid w:val="00CA5555"/>
    <w:rsid w:val="00CA566C"/>
    <w:rsid w:val="00CA5D12"/>
    <w:rsid w:val="00CA6237"/>
    <w:rsid w:val="00CA654A"/>
    <w:rsid w:val="00CA67E4"/>
    <w:rsid w:val="00CA7A35"/>
    <w:rsid w:val="00CA7F04"/>
    <w:rsid w:val="00CA7F51"/>
    <w:rsid w:val="00CB0DB5"/>
    <w:rsid w:val="00CB1018"/>
    <w:rsid w:val="00CB1109"/>
    <w:rsid w:val="00CB12F8"/>
    <w:rsid w:val="00CB133D"/>
    <w:rsid w:val="00CB140C"/>
    <w:rsid w:val="00CB15EA"/>
    <w:rsid w:val="00CB15EE"/>
    <w:rsid w:val="00CB1651"/>
    <w:rsid w:val="00CB1BFB"/>
    <w:rsid w:val="00CB1D61"/>
    <w:rsid w:val="00CB2082"/>
    <w:rsid w:val="00CB22CC"/>
    <w:rsid w:val="00CB2AAF"/>
    <w:rsid w:val="00CB2CCF"/>
    <w:rsid w:val="00CB2E0D"/>
    <w:rsid w:val="00CB310C"/>
    <w:rsid w:val="00CB31EB"/>
    <w:rsid w:val="00CB37D3"/>
    <w:rsid w:val="00CB3881"/>
    <w:rsid w:val="00CB396B"/>
    <w:rsid w:val="00CB39FD"/>
    <w:rsid w:val="00CB3A31"/>
    <w:rsid w:val="00CB3D15"/>
    <w:rsid w:val="00CB3E26"/>
    <w:rsid w:val="00CB3EF8"/>
    <w:rsid w:val="00CB3F11"/>
    <w:rsid w:val="00CB3F22"/>
    <w:rsid w:val="00CB3FB6"/>
    <w:rsid w:val="00CB404B"/>
    <w:rsid w:val="00CB4384"/>
    <w:rsid w:val="00CB449F"/>
    <w:rsid w:val="00CB4BBB"/>
    <w:rsid w:val="00CB4C6B"/>
    <w:rsid w:val="00CB5007"/>
    <w:rsid w:val="00CB51E5"/>
    <w:rsid w:val="00CB52DC"/>
    <w:rsid w:val="00CB52F4"/>
    <w:rsid w:val="00CB56F4"/>
    <w:rsid w:val="00CB5A31"/>
    <w:rsid w:val="00CB5A48"/>
    <w:rsid w:val="00CB5E73"/>
    <w:rsid w:val="00CB5F3E"/>
    <w:rsid w:val="00CB63B9"/>
    <w:rsid w:val="00CB65ED"/>
    <w:rsid w:val="00CB6750"/>
    <w:rsid w:val="00CB6859"/>
    <w:rsid w:val="00CB6BBF"/>
    <w:rsid w:val="00CB6F16"/>
    <w:rsid w:val="00CB70EC"/>
    <w:rsid w:val="00CB7671"/>
    <w:rsid w:val="00CB76A3"/>
    <w:rsid w:val="00CB76D8"/>
    <w:rsid w:val="00CB7DF2"/>
    <w:rsid w:val="00CB7F8D"/>
    <w:rsid w:val="00CC01DD"/>
    <w:rsid w:val="00CC02CB"/>
    <w:rsid w:val="00CC0545"/>
    <w:rsid w:val="00CC059E"/>
    <w:rsid w:val="00CC0697"/>
    <w:rsid w:val="00CC070C"/>
    <w:rsid w:val="00CC080C"/>
    <w:rsid w:val="00CC0817"/>
    <w:rsid w:val="00CC0C1A"/>
    <w:rsid w:val="00CC0C1F"/>
    <w:rsid w:val="00CC0D32"/>
    <w:rsid w:val="00CC0D64"/>
    <w:rsid w:val="00CC0E80"/>
    <w:rsid w:val="00CC1333"/>
    <w:rsid w:val="00CC189B"/>
    <w:rsid w:val="00CC1A17"/>
    <w:rsid w:val="00CC1B68"/>
    <w:rsid w:val="00CC1DDD"/>
    <w:rsid w:val="00CC204F"/>
    <w:rsid w:val="00CC20BB"/>
    <w:rsid w:val="00CC29DF"/>
    <w:rsid w:val="00CC2D2C"/>
    <w:rsid w:val="00CC2F73"/>
    <w:rsid w:val="00CC307B"/>
    <w:rsid w:val="00CC324F"/>
    <w:rsid w:val="00CC32FC"/>
    <w:rsid w:val="00CC3352"/>
    <w:rsid w:val="00CC3425"/>
    <w:rsid w:val="00CC375D"/>
    <w:rsid w:val="00CC3803"/>
    <w:rsid w:val="00CC4730"/>
    <w:rsid w:val="00CC48F4"/>
    <w:rsid w:val="00CC4B76"/>
    <w:rsid w:val="00CC4F90"/>
    <w:rsid w:val="00CC5006"/>
    <w:rsid w:val="00CC503B"/>
    <w:rsid w:val="00CC5341"/>
    <w:rsid w:val="00CC53E1"/>
    <w:rsid w:val="00CC5725"/>
    <w:rsid w:val="00CC589F"/>
    <w:rsid w:val="00CC5906"/>
    <w:rsid w:val="00CC5A82"/>
    <w:rsid w:val="00CC5B2C"/>
    <w:rsid w:val="00CC6148"/>
    <w:rsid w:val="00CC6615"/>
    <w:rsid w:val="00CC6787"/>
    <w:rsid w:val="00CC681A"/>
    <w:rsid w:val="00CC6A76"/>
    <w:rsid w:val="00CC6AC6"/>
    <w:rsid w:val="00CC6DF1"/>
    <w:rsid w:val="00CC7035"/>
    <w:rsid w:val="00CC706F"/>
    <w:rsid w:val="00CC727A"/>
    <w:rsid w:val="00CC7724"/>
    <w:rsid w:val="00CC79E3"/>
    <w:rsid w:val="00CD060F"/>
    <w:rsid w:val="00CD0645"/>
    <w:rsid w:val="00CD0AD2"/>
    <w:rsid w:val="00CD0C89"/>
    <w:rsid w:val="00CD0DE5"/>
    <w:rsid w:val="00CD0E49"/>
    <w:rsid w:val="00CD0E83"/>
    <w:rsid w:val="00CD0EFF"/>
    <w:rsid w:val="00CD10AC"/>
    <w:rsid w:val="00CD117C"/>
    <w:rsid w:val="00CD13AD"/>
    <w:rsid w:val="00CD14EB"/>
    <w:rsid w:val="00CD1530"/>
    <w:rsid w:val="00CD170A"/>
    <w:rsid w:val="00CD1A90"/>
    <w:rsid w:val="00CD1D38"/>
    <w:rsid w:val="00CD1F2A"/>
    <w:rsid w:val="00CD1FCF"/>
    <w:rsid w:val="00CD2436"/>
    <w:rsid w:val="00CD2B43"/>
    <w:rsid w:val="00CD3256"/>
    <w:rsid w:val="00CD363A"/>
    <w:rsid w:val="00CD3661"/>
    <w:rsid w:val="00CD36B2"/>
    <w:rsid w:val="00CD3960"/>
    <w:rsid w:val="00CD3B83"/>
    <w:rsid w:val="00CD3B9B"/>
    <w:rsid w:val="00CD3C1C"/>
    <w:rsid w:val="00CD3EA8"/>
    <w:rsid w:val="00CD3FE0"/>
    <w:rsid w:val="00CD40CF"/>
    <w:rsid w:val="00CD4AB7"/>
    <w:rsid w:val="00CD4D77"/>
    <w:rsid w:val="00CD5438"/>
    <w:rsid w:val="00CD59D9"/>
    <w:rsid w:val="00CD5C39"/>
    <w:rsid w:val="00CD5F69"/>
    <w:rsid w:val="00CD60A1"/>
    <w:rsid w:val="00CD6378"/>
    <w:rsid w:val="00CD6800"/>
    <w:rsid w:val="00CD6BAF"/>
    <w:rsid w:val="00CD6C1D"/>
    <w:rsid w:val="00CD7526"/>
    <w:rsid w:val="00CD76C5"/>
    <w:rsid w:val="00CD7744"/>
    <w:rsid w:val="00CD7A73"/>
    <w:rsid w:val="00CD7B57"/>
    <w:rsid w:val="00CD7B71"/>
    <w:rsid w:val="00CD7B93"/>
    <w:rsid w:val="00CD7BC1"/>
    <w:rsid w:val="00CD7CD1"/>
    <w:rsid w:val="00CD7D7E"/>
    <w:rsid w:val="00CE025E"/>
    <w:rsid w:val="00CE073C"/>
    <w:rsid w:val="00CE07B2"/>
    <w:rsid w:val="00CE088E"/>
    <w:rsid w:val="00CE0CAB"/>
    <w:rsid w:val="00CE1140"/>
    <w:rsid w:val="00CE11EC"/>
    <w:rsid w:val="00CE11F5"/>
    <w:rsid w:val="00CE145D"/>
    <w:rsid w:val="00CE1520"/>
    <w:rsid w:val="00CE162B"/>
    <w:rsid w:val="00CE1736"/>
    <w:rsid w:val="00CE1781"/>
    <w:rsid w:val="00CE1AED"/>
    <w:rsid w:val="00CE1F10"/>
    <w:rsid w:val="00CE2034"/>
    <w:rsid w:val="00CE2945"/>
    <w:rsid w:val="00CE2A35"/>
    <w:rsid w:val="00CE3AC2"/>
    <w:rsid w:val="00CE3E3E"/>
    <w:rsid w:val="00CE43FF"/>
    <w:rsid w:val="00CE49E7"/>
    <w:rsid w:val="00CE4B54"/>
    <w:rsid w:val="00CE4D4B"/>
    <w:rsid w:val="00CE5054"/>
    <w:rsid w:val="00CE508E"/>
    <w:rsid w:val="00CE50D0"/>
    <w:rsid w:val="00CE518B"/>
    <w:rsid w:val="00CE52F7"/>
    <w:rsid w:val="00CE580D"/>
    <w:rsid w:val="00CE5933"/>
    <w:rsid w:val="00CE5A5D"/>
    <w:rsid w:val="00CE5CEA"/>
    <w:rsid w:val="00CE6063"/>
    <w:rsid w:val="00CE619D"/>
    <w:rsid w:val="00CE6462"/>
    <w:rsid w:val="00CE66A5"/>
    <w:rsid w:val="00CE69E3"/>
    <w:rsid w:val="00CE6A9A"/>
    <w:rsid w:val="00CE6AE8"/>
    <w:rsid w:val="00CE6FE6"/>
    <w:rsid w:val="00CE7069"/>
    <w:rsid w:val="00CE725C"/>
    <w:rsid w:val="00CE7C05"/>
    <w:rsid w:val="00CE7D5B"/>
    <w:rsid w:val="00CE7E96"/>
    <w:rsid w:val="00CE7EB5"/>
    <w:rsid w:val="00CF01AA"/>
    <w:rsid w:val="00CF02AE"/>
    <w:rsid w:val="00CF036D"/>
    <w:rsid w:val="00CF05B7"/>
    <w:rsid w:val="00CF0605"/>
    <w:rsid w:val="00CF0725"/>
    <w:rsid w:val="00CF0730"/>
    <w:rsid w:val="00CF0863"/>
    <w:rsid w:val="00CF0A06"/>
    <w:rsid w:val="00CF0B77"/>
    <w:rsid w:val="00CF0C3B"/>
    <w:rsid w:val="00CF0F4A"/>
    <w:rsid w:val="00CF14CB"/>
    <w:rsid w:val="00CF1921"/>
    <w:rsid w:val="00CF1AE0"/>
    <w:rsid w:val="00CF1E7D"/>
    <w:rsid w:val="00CF24AB"/>
    <w:rsid w:val="00CF294C"/>
    <w:rsid w:val="00CF32B1"/>
    <w:rsid w:val="00CF3325"/>
    <w:rsid w:val="00CF377F"/>
    <w:rsid w:val="00CF3837"/>
    <w:rsid w:val="00CF389B"/>
    <w:rsid w:val="00CF3B51"/>
    <w:rsid w:val="00CF4010"/>
    <w:rsid w:val="00CF419A"/>
    <w:rsid w:val="00CF478D"/>
    <w:rsid w:val="00CF4B66"/>
    <w:rsid w:val="00CF5027"/>
    <w:rsid w:val="00CF5090"/>
    <w:rsid w:val="00CF5141"/>
    <w:rsid w:val="00CF5484"/>
    <w:rsid w:val="00CF54CE"/>
    <w:rsid w:val="00CF5974"/>
    <w:rsid w:val="00CF5A9D"/>
    <w:rsid w:val="00CF5D79"/>
    <w:rsid w:val="00CF605E"/>
    <w:rsid w:val="00CF6143"/>
    <w:rsid w:val="00CF67EA"/>
    <w:rsid w:val="00CF69C6"/>
    <w:rsid w:val="00CF6EAB"/>
    <w:rsid w:val="00CF706E"/>
    <w:rsid w:val="00CF740C"/>
    <w:rsid w:val="00CF7551"/>
    <w:rsid w:val="00CF7722"/>
    <w:rsid w:val="00CF782D"/>
    <w:rsid w:val="00CF7FF9"/>
    <w:rsid w:val="00D001AD"/>
    <w:rsid w:val="00D00257"/>
    <w:rsid w:val="00D00802"/>
    <w:rsid w:val="00D00963"/>
    <w:rsid w:val="00D00CDC"/>
    <w:rsid w:val="00D00F7F"/>
    <w:rsid w:val="00D012CC"/>
    <w:rsid w:val="00D012D7"/>
    <w:rsid w:val="00D0162A"/>
    <w:rsid w:val="00D0174A"/>
    <w:rsid w:val="00D0188B"/>
    <w:rsid w:val="00D01D22"/>
    <w:rsid w:val="00D01EA8"/>
    <w:rsid w:val="00D021DA"/>
    <w:rsid w:val="00D02271"/>
    <w:rsid w:val="00D02341"/>
    <w:rsid w:val="00D02607"/>
    <w:rsid w:val="00D027AD"/>
    <w:rsid w:val="00D0292F"/>
    <w:rsid w:val="00D02D72"/>
    <w:rsid w:val="00D02E22"/>
    <w:rsid w:val="00D0317A"/>
    <w:rsid w:val="00D033D8"/>
    <w:rsid w:val="00D035AB"/>
    <w:rsid w:val="00D036A6"/>
    <w:rsid w:val="00D03926"/>
    <w:rsid w:val="00D03CE5"/>
    <w:rsid w:val="00D03D6E"/>
    <w:rsid w:val="00D04131"/>
    <w:rsid w:val="00D0469A"/>
    <w:rsid w:val="00D049D3"/>
    <w:rsid w:val="00D04F5F"/>
    <w:rsid w:val="00D04F8C"/>
    <w:rsid w:val="00D05511"/>
    <w:rsid w:val="00D059AA"/>
    <w:rsid w:val="00D05ABD"/>
    <w:rsid w:val="00D05BE7"/>
    <w:rsid w:val="00D05C63"/>
    <w:rsid w:val="00D05C6A"/>
    <w:rsid w:val="00D05CD5"/>
    <w:rsid w:val="00D05ED0"/>
    <w:rsid w:val="00D0604D"/>
    <w:rsid w:val="00D06060"/>
    <w:rsid w:val="00D060FA"/>
    <w:rsid w:val="00D06507"/>
    <w:rsid w:val="00D0673F"/>
    <w:rsid w:val="00D069BC"/>
    <w:rsid w:val="00D06AE8"/>
    <w:rsid w:val="00D06B27"/>
    <w:rsid w:val="00D06F5F"/>
    <w:rsid w:val="00D07101"/>
    <w:rsid w:val="00D075B1"/>
    <w:rsid w:val="00D075FA"/>
    <w:rsid w:val="00D077F1"/>
    <w:rsid w:val="00D0792D"/>
    <w:rsid w:val="00D07BCD"/>
    <w:rsid w:val="00D07D6D"/>
    <w:rsid w:val="00D10069"/>
    <w:rsid w:val="00D10080"/>
    <w:rsid w:val="00D105B1"/>
    <w:rsid w:val="00D1075D"/>
    <w:rsid w:val="00D108F9"/>
    <w:rsid w:val="00D10C64"/>
    <w:rsid w:val="00D10C7F"/>
    <w:rsid w:val="00D10F39"/>
    <w:rsid w:val="00D115E8"/>
    <w:rsid w:val="00D1160D"/>
    <w:rsid w:val="00D1169F"/>
    <w:rsid w:val="00D11914"/>
    <w:rsid w:val="00D11922"/>
    <w:rsid w:val="00D11B22"/>
    <w:rsid w:val="00D11BD4"/>
    <w:rsid w:val="00D11CD5"/>
    <w:rsid w:val="00D11DE0"/>
    <w:rsid w:val="00D11DF0"/>
    <w:rsid w:val="00D12242"/>
    <w:rsid w:val="00D1248E"/>
    <w:rsid w:val="00D124D7"/>
    <w:rsid w:val="00D127C3"/>
    <w:rsid w:val="00D12B9F"/>
    <w:rsid w:val="00D12DFF"/>
    <w:rsid w:val="00D13130"/>
    <w:rsid w:val="00D1325E"/>
    <w:rsid w:val="00D133C4"/>
    <w:rsid w:val="00D141FC"/>
    <w:rsid w:val="00D14226"/>
    <w:rsid w:val="00D148AB"/>
    <w:rsid w:val="00D149DA"/>
    <w:rsid w:val="00D14B50"/>
    <w:rsid w:val="00D14D93"/>
    <w:rsid w:val="00D14E05"/>
    <w:rsid w:val="00D14F4D"/>
    <w:rsid w:val="00D1513B"/>
    <w:rsid w:val="00D1539F"/>
    <w:rsid w:val="00D15467"/>
    <w:rsid w:val="00D15BE5"/>
    <w:rsid w:val="00D15DE3"/>
    <w:rsid w:val="00D164EB"/>
    <w:rsid w:val="00D16A85"/>
    <w:rsid w:val="00D16CC4"/>
    <w:rsid w:val="00D17080"/>
    <w:rsid w:val="00D17158"/>
    <w:rsid w:val="00D1761A"/>
    <w:rsid w:val="00D1767F"/>
    <w:rsid w:val="00D17BFB"/>
    <w:rsid w:val="00D17E4D"/>
    <w:rsid w:val="00D203F7"/>
    <w:rsid w:val="00D20603"/>
    <w:rsid w:val="00D20E6B"/>
    <w:rsid w:val="00D20FC6"/>
    <w:rsid w:val="00D21082"/>
    <w:rsid w:val="00D2152B"/>
    <w:rsid w:val="00D21A24"/>
    <w:rsid w:val="00D21C9C"/>
    <w:rsid w:val="00D21D33"/>
    <w:rsid w:val="00D21D6F"/>
    <w:rsid w:val="00D22371"/>
    <w:rsid w:val="00D228DA"/>
    <w:rsid w:val="00D22A5A"/>
    <w:rsid w:val="00D22B49"/>
    <w:rsid w:val="00D22D24"/>
    <w:rsid w:val="00D22DA3"/>
    <w:rsid w:val="00D22DC9"/>
    <w:rsid w:val="00D22EF5"/>
    <w:rsid w:val="00D22F23"/>
    <w:rsid w:val="00D23001"/>
    <w:rsid w:val="00D2321B"/>
    <w:rsid w:val="00D2338A"/>
    <w:rsid w:val="00D2364A"/>
    <w:rsid w:val="00D24512"/>
    <w:rsid w:val="00D245D9"/>
    <w:rsid w:val="00D246E9"/>
    <w:rsid w:val="00D24866"/>
    <w:rsid w:val="00D24D7F"/>
    <w:rsid w:val="00D25178"/>
    <w:rsid w:val="00D25204"/>
    <w:rsid w:val="00D261A8"/>
    <w:rsid w:val="00D26587"/>
    <w:rsid w:val="00D26628"/>
    <w:rsid w:val="00D268E0"/>
    <w:rsid w:val="00D26F02"/>
    <w:rsid w:val="00D26F16"/>
    <w:rsid w:val="00D270DE"/>
    <w:rsid w:val="00D2718B"/>
    <w:rsid w:val="00D2766E"/>
    <w:rsid w:val="00D276AD"/>
    <w:rsid w:val="00D2778F"/>
    <w:rsid w:val="00D277A1"/>
    <w:rsid w:val="00D278D5"/>
    <w:rsid w:val="00D27A1A"/>
    <w:rsid w:val="00D27A6F"/>
    <w:rsid w:val="00D27F57"/>
    <w:rsid w:val="00D300ED"/>
    <w:rsid w:val="00D3040B"/>
    <w:rsid w:val="00D305F8"/>
    <w:rsid w:val="00D308EB"/>
    <w:rsid w:val="00D30F69"/>
    <w:rsid w:val="00D30F71"/>
    <w:rsid w:val="00D30F93"/>
    <w:rsid w:val="00D3134D"/>
    <w:rsid w:val="00D315AD"/>
    <w:rsid w:val="00D31631"/>
    <w:rsid w:val="00D3235C"/>
    <w:rsid w:val="00D32377"/>
    <w:rsid w:val="00D32CA8"/>
    <w:rsid w:val="00D32CBD"/>
    <w:rsid w:val="00D32E19"/>
    <w:rsid w:val="00D32EB2"/>
    <w:rsid w:val="00D330C6"/>
    <w:rsid w:val="00D33122"/>
    <w:rsid w:val="00D33341"/>
    <w:rsid w:val="00D3348E"/>
    <w:rsid w:val="00D334D5"/>
    <w:rsid w:val="00D336B3"/>
    <w:rsid w:val="00D33949"/>
    <w:rsid w:val="00D339DB"/>
    <w:rsid w:val="00D33A5A"/>
    <w:rsid w:val="00D33B85"/>
    <w:rsid w:val="00D33C94"/>
    <w:rsid w:val="00D347A0"/>
    <w:rsid w:val="00D3480B"/>
    <w:rsid w:val="00D34D32"/>
    <w:rsid w:val="00D34E7F"/>
    <w:rsid w:val="00D34EF5"/>
    <w:rsid w:val="00D34F55"/>
    <w:rsid w:val="00D350A7"/>
    <w:rsid w:val="00D35928"/>
    <w:rsid w:val="00D359E7"/>
    <w:rsid w:val="00D36382"/>
    <w:rsid w:val="00D363B2"/>
    <w:rsid w:val="00D36985"/>
    <w:rsid w:val="00D36D63"/>
    <w:rsid w:val="00D37585"/>
    <w:rsid w:val="00D375DC"/>
    <w:rsid w:val="00D37DA8"/>
    <w:rsid w:val="00D37DAC"/>
    <w:rsid w:val="00D37DDD"/>
    <w:rsid w:val="00D37F38"/>
    <w:rsid w:val="00D37F97"/>
    <w:rsid w:val="00D37FD1"/>
    <w:rsid w:val="00D402D1"/>
    <w:rsid w:val="00D40575"/>
    <w:rsid w:val="00D4065E"/>
    <w:rsid w:val="00D406F6"/>
    <w:rsid w:val="00D40C8A"/>
    <w:rsid w:val="00D40DB4"/>
    <w:rsid w:val="00D4198D"/>
    <w:rsid w:val="00D41EDF"/>
    <w:rsid w:val="00D41EEC"/>
    <w:rsid w:val="00D421CC"/>
    <w:rsid w:val="00D42280"/>
    <w:rsid w:val="00D42425"/>
    <w:rsid w:val="00D4258F"/>
    <w:rsid w:val="00D42B79"/>
    <w:rsid w:val="00D42E22"/>
    <w:rsid w:val="00D43343"/>
    <w:rsid w:val="00D434A2"/>
    <w:rsid w:val="00D43564"/>
    <w:rsid w:val="00D4357A"/>
    <w:rsid w:val="00D4374A"/>
    <w:rsid w:val="00D43859"/>
    <w:rsid w:val="00D43BB6"/>
    <w:rsid w:val="00D43D9A"/>
    <w:rsid w:val="00D43DF5"/>
    <w:rsid w:val="00D441FE"/>
    <w:rsid w:val="00D44400"/>
    <w:rsid w:val="00D44473"/>
    <w:rsid w:val="00D444DB"/>
    <w:rsid w:val="00D44A1E"/>
    <w:rsid w:val="00D44B3A"/>
    <w:rsid w:val="00D44B7D"/>
    <w:rsid w:val="00D44E08"/>
    <w:rsid w:val="00D4532C"/>
    <w:rsid w:val="00D45336"/>
    <w:rsid w:val="00D454B8"/>
    <w:rsid w:val="00D455BA"/>
    <w:rsid w:val="00D458E5"/>
    <w:rsid w:val="00D45A53"/>
    <w:rsid w:val="00D45BF8"/>
    <w:rsid w:val="00D45C0B"/>
    <w:rsid w:val="00D4616D"/>
    <w:rsid w:val="00D4619E"/>
    <w:rsid w:val="00D46518"/>
    <w:rsid w:val="00D4653F"/>
    <w:rsid w:val="00D466BB"/>
    <w:rsid w:val="00D4672A"/>
    <w:rsid w:val="00D46ABE"/>
    <w:rsid w:val="00D46E6B"/>
    <w:rsid w:val="00D46FD5"/>
    <w:rsid w:val="00D4716D"/>
    <w:rsid w:val="00D47225"/>
    <w:rsid w:val="00D473D3"/>
    <w:rsid w:val="00D47BE2"/>
    <w:rsid w:val="00D47BFC"/>
    <w:rsid w:val="00D506A1"/>
    <w:rsid w:val="00D50766"/>
    <w:rsid w:val="00D50D37"/>
    <w:rsid w:val="00D50D41"/>
    <w:rsid w:val="00D51323"/>
    <w:rsid w:val="00D51615"/>
    <w:rsid w:val="00D517C9"/>
    <w:rsid w:val="00D51962"/>
    <w:rsid w:val="00D51C0F"/>
    <w:rsid w:val="00D520C1"/>
    <w:rsid w:val="00D53151"/>
    <w:rsid w:val="00D53254"/>
    <w:rsid w:val="00D532A9"/>
    <w:rsid w:val="00D53494"/>
    <w:rsid w:val="00D5390C"/>
    <w:rsid w:val="00D53C54"/>
    <w:rsid w:val="00D53CA9"/>
    <w:rsid w:val="00D53DBB"/>
    <w:rsid w:val="00D54222"/>
    <w:rsid w:val="00D542BA"/>
    <w:rsid w:val="00D54409"/>
    <w:rsid w:val="00D5463B"/>
    <w:rsid w:val="00D54640"/>
    <w:rsid w:val="00D5478C"/>
    <w:rsid w:val="00D54966"/>
    <w:rsid w:val="00D55200"/>
    <w:rsid w:val="00D552DD"/>
    <w:rsid w:val="00D55433"/>
    <w:rsid w:val="00D55457"/>
    <w:rsid w:val="00D555AA"/>
    <w:rsid w:val="00D557FE"/>
    <w:rsid w:val="00D55CCF"/>
    <w:rsid w:val="00D55EF3"/>
    <w:rsid w:val="00D55F48"/>
    <w:rsid w:val="00D5632E"/>
    <w:rsid w:val="00D563AC"/>
    <w:rsid w:val="00D568CA"/>
    <w:rsid w:val="00D569B8"/>
    <w:rsid w:val="00D56C63"/>
    <w:rsid w:val="00D56C96"/>
    <w:rsid w:val="00D56D6E"/>
    <w:rsid w:val="00D5718A"/>
    <w:rsid w:val="00D575D2"/>
    <w:rsid w:val="00D57833"/>
    <w:rsid w:val="00D579AB"/>
    <w:rsid w:val="00D579E4"/>
    <w:rsid w:val="00D57EA7"/>
    <w:rsid w:val="00D602C0"/>
    <w:rsid w:val="00D6052D"/>
    <w:rsid w:val="00D609CE"/>
    <w:rsid w:val="00D609FF"/>
    <w:rsid w:val="00D60CD1"/>
    <w:rsid w:val="00D60E91"/>
    <w:rsid w:val="00D6106E"/>
    <w:rsid w:val="00D61443"/>
    <w:rsid w:val="00D6157C"/>
    <w:rsid w:val="00D61748"/>
    <w:rsid w:val="00D618D0"/>
    <w:rsid w:val="00D61A6B"/>
    <w:rsid w:val="00D61BC5"/>
    <w:rsid w:val="00D6243D"/>
    <w:rsid w:val="00D62484"/>
    <w:rsid w:val="00D62CA4"/>
    <w:rsid w:val="00D6319F"/>
    <w:rsid w:val="00D6336A"/>
    <w:rsid w:val="00D6347A"/>
    <w:rsid w:val="00D63719"/>
    <w:rsid w:val="00D637BA"/>
    <w:rsid w:val="00D6384C"/>
    <w:rsid w:val="00D63DE0"/>
    <w:rsid w:val="00D63E6D"/>
    <w:rsid w:val="00D63F25"/>
    <w:rsid w:val="00D63F6D"/>
    <w:rsid w:val="00D63F72"/>
    <w:rsid w:val="00D6448F"/>
    <w:rsid w:val="00D647CA"/>
    <w:rsid w:val="00D64A7B"/>
    <w:rsid w:val="00D64E3E"/>
    <w:rsid w:val="00D651C4"/>
    <w:rsid w:val="00D65381"/>
    <w:rsid w:val="00D653EB"/>
    <w:rsid w:val="00D653F6"/>
    <w:rsid w:val="00D654CF"/>
    <w:rsid w:val="00D65865"/>
    <w:rsid w:val="00D65BC7"/>
    <w:rsid w:val="00D65E79"/>
    <w:rsid w:val="00D65F5B"/>
    <w:rsid w:val="00D66203"/>
    <w:rsid w:val="00D66395"/>
    <w:rsid w:val="00D66C5E"/>
    <w:rsid w:val="00D6707F"/>
    <w:rsid w:val="00D670A9"/>
    <w:rsid w:val="00D673F6"/>
    <w:rsid w:val="00D67C03"/>
    <w:rsid w:val="00D67D23"/>
    <w:rsid w:val="00D67D5E"/>
    <w:rsid w:val="00D67E3E"/>
    <w:rsid w:val="00D67FB6"/>
    <w:rsid w:val="00D70150"/>
    <w:rsid w:val="00D7016E"/>
    <w:rsid w:val="00D702C5"/>
    <w:rsid w:val="00D70355"/>
    <w:rsid w:val="00D704B2"/>
    <w:rsid w:val="00D7052F"/>
    <w:rsid w:val="00D70933"/>
    <w:rsid w:val="00D70AE5"/>
    <w:rsid w:val="00D70E50"/>
    <w:rsid w:val="00D70ED3"/>
    <w:rsid w:val="00D7103B"/>
    <w:rsid w:val="00D71077"/>
    <w:rsid w:val="00D71228"/>
    <w:rsid w:val="00D712E4"/>
    <w:rsid w:val="00D715BF"/>
    <w:rsid w:val="00D71A09"/>
    <w:rsid w:val="00D71AF1"/>
    <w:rsid w:val="00D71D6F"/>
    <w:rsid w:val="00D724AE"/>
    <w:rsid w:val="00D72888"/>
    <w:rsid w:val="00D728FE"/>
    <w:rsid w:val="00D72BA7"/>
    <w:rsid w:val="00D72C7D"/>
    <w:rsid w:val="00D72DE2"/>
    <w:rsid w:val="00D72FA0"/>
    <w:rsid w:val="00D73058"/>
    <w:rsid w:val="00D7309F"/>
    <w:rsid w:val="00D732DE"/>
    <w:rsid w:val="00D73868"/>
    <w:rsid w:val="00D744D7"/>
    <w:rsid w:val="00D746D4"/>
    <w:rsid w:val="00D74787"/>
    <w:rsid w:val="00D74996"/>
    <w:rsid w:val="00D74A23"/>
    <w:rsid w:val="00D74AB0"/>
    <w:rsid w:val="00D74B29"/>
    <w:rsid w:val="00D74EF7"/>
    <w:rsid w:val="00D74F77"/>
    <w:rsid w:val="00D75220"/>
    <w:rsid w:val="00D75982"/>
    <w:rsid w:val="00D75A2B"/>
    <w:rsid w:val="00D75AD9"/>
    <w:rsid w:val="00D75B52"/>
    <w:rsid w:val="00D75EE4"/>
    <w:rsid w:val="00D7613E"/>
    <w:rsid w:val="00D76243"/>
    <w:rsid w:val="00D765E3"/>
    <w:rsid w:val="00D7686D"/>
    <w:rsid w:val="00D76874"/>
    <w:rsid w:val="00D769F1"/>
    <w:rsid w:val="00D76E8A"/>
    <w:rsid w:val="00D76FD3"/>
    <w:rsid w:val="00D771D0"/>
    <w:rsid w:val="00D773B2"/>
    <w:rsid w:val="00D7742B"/>
    <w:rsid w:val="00D779A2"/>
    <w:rsid w:val="00D80255"/>
    <w:rsid w:val="00D804BD"/>
    <w:rsid w:val="00D806CB"/>
    <w:rsid w:val="00D8077E"/>
    <w:rsid w:val="00D811FD"/>
    <w:rsid w:val="00D8145F"/>
    <w:rsid w:val="00D81666"/>
    <w:rsid w:val="00D81868"/>
    <w:rsid w:val="00D82285"/>
    <w:rsid w:val="00D8253E"/>
    <w:rsid w:val="00D82C77"/>
    <w:rsid w:val="00D82EAF"/>
    <w:rsid w:val="00D832C1"/>
    <w:rsid w:val="00D83512"/>
    <w:rsid w:val="00D8370F"/>
    <w:rsid w:val="00D8383F"/>
    <w:rsid w:val="00D83953"/>
    <w:rsid w:val="00D83BA3"/>
    <w:rsid w:val="00D83C0E"/>
    <w:rsid w:val="00D83CD8"/>
    <w:rsid w:val="00D84056"/>
    <w:rsid w:val="00D84516"/>
    <w:rsid w:val="00D84796"/>
    <w:rsid w:val="00D847E3"/>
    <w:rsid w:val="00D84A03"/>
    <w:rsid w:val="00D853CE"/>
    <w:rsid w:val="00D85A14"/>
    <w:rsid w:val="00D85A3C"/>
    <w:rsid w:val="00D85C51"/>
    <w:rsid w:val="00D85E01"/>
    <w:rsid w:val="00D863F1"/>
    <w:rsid w:val="00D8647A"/>
    <w:rsid w:val="00D867DC"/>
    <w:rsid w:val="00D86859"/>
    <w:rsid w:val="00D868A8"/>
    <w:rsid w:val="00D87361"/>
    <w:rsid w:val="00D874A6"/>
    <w:rsid w:val="00D874E8"/>
    <w:rsid w:val="00D90098"/>
    <w:rsid w:val="00D9017E"/>
    <w:rsid w:val="00D90A3E"/>
    <w:rsid w:val="00D90FFB"/>
    <w:rsid w:val="00D9102D"/>
    <w:rsid w:val="00D91473"/>
    <w:rsid w:val="00D91C18"/>
    <w:rsid w:val="00D92820"/>
    <w:rsid w:val="00D928B1"/>
    <w:rsid w:val="00D929D3"/>
    <w:rsid w:val="00D92AF4"/>
    <w:rsid w:val="00D92F39"/>
    <w:rsid w:val="00D93150"/>
    <w:rsid w:val="00D93176"/>
    <w:rsid w:val="00D931F6"/>
    <w:rsid w:val="00D93226"/>
    <w:rsid w:val="00D93694"/>
    <w:rsid w:val="00D936C5"/>
    <w:rsid w:val="00D948F0"/>
    <w:rsid w:val="00D94A5C"/>
    <w:rsid w:val="00D94AD9"/>
    <w:rsid w:val="00D9574B"/>
    <w:rsid w:val="00D95AB3"/>
    <w:rsid w:val="00D95BF4"/>
    <w:rsid w:val="00D95D2F"/>
    <w:rsid w:val="00D962DB"/>
    <w:rsid w:val="00D966F9"/>
    <w:rsid w:val="00D967E5"/>
    <w:rsid w:val="00D97487"/>
    <w:rsid w:val="00D97500"/>
    <w:rsid w:val="00D97678"/>
    <w:rsid w:val="00D97A35"/>
    <w:rsid w:val="00D97BEE"/>
    <w:rsid w:val="00D97C9C"/>
    <w:rsid w:val="00DA01B2"/>
    <w:rsid w:val="00DA032E"/>
    <w:rsid w:val="00DA071F"/>
    <w:rsid w:val="00DA08B3"/>
    <w:rsid w:val="00DA092C"/>
    <w:rsid w:val="00DA0A84"/>
    <w:rsid w:val="00DA0CDA"/>
    <w:rsid w:val="00DA10D6"/>
    <w:rsid w:val="00DA145D"/>
    <w:rsid w:val="00DA146E"/>
    <w:rsid w:val="00DA1CAB"/>
    <w:rsid w:val="00DA2300"/>
    <w:rsid w:val="00DA2455"/>
    <w:rsid w:val="00DA264E"/>
    <w:rsid w:val="00DA2A4B"/>
    <w:rsid w:val="00DA2BDB"/>
    <w:rsid w:val="00DA2C37"/>
    <w:rsid w:val="00DA2EAC"/>
    <w:rsid w:val="00DA3231"/>
    <w:rsid w:val="00DA3342"/>
    <w:rsid w:val="00DA3613"/>
    <w:rsid w:val="00DA3954"/>
    <w:rsid w:val="00DA3B1E"/>
    <w:rsid w:val="00DA417C"/>
    <w:rsid w:val="00DA44A3"/>
    <w:rsid w:val="00DA4B24"/>
    <w:rsid w:val="00DA4DA8"/>
    <w:rsid w:val="00DA53AF"/>
    <w:rsid w:val="00DA559C"/>
    <w:rsid w:val="00DA5C67"/>
    <w:rsid w:val="00DA5FD4"/>
    <w:rsid w:val="00DA60FE"/>
    <w:rsid w:val="00DA6208"/>
    <w:rsid w:val="00DA65FF"/>
    <w:rsid w:val="00DA6942"/>
    <w:rsid w:val="00DA6EEE"/>
    <w:rsid w:val="00DA6F52"/>
    <w:rsid w:val="00DA700B"/>
    <w:rsid w:val="00DA7222"/>
    <w:rsid w:val="00DA72BB"/>
    <w:rsid w:val="00DA7362"/>
    <w:rsid w:val="00DA7375"/>
    <w:rsid w:val="00DA7434"/>
    <w:rsid w:val="00DA7838"/>
    <w:rsid w:val="00DA7915"/>
    <w:rsid w:val="00DB0018"/>
    <w:rsid w:val="00DB0993"/>
    <w:rsid w:val="00DB0B62"/>
    <w:rsid w:val="00DB0C42"/>
    <w:rsid w:val="00DB0E6D"/>
    <w:rsid w:val="00DB1596"/>
    <w:rsid w:val="00DB15FB"/>
    <w:rsid w:val="00DB16B0"/>
    <w:rsid w:val="00DB17D5"/>
    <w:rsid w:val="00DB18CC"/>
    <w:rsid w:val="00DB1D54"/>
    <w:rsid w:val="00DB249B"/>
    <w:rsid w:val="00DB25DE"/>
    <w:rsid w:val="00DB2820"/>
    <w:rsid w:val="00DB2B98"/>
    <w:rsid w:val="00DB2BB6"/>
    <w:rsid w:val="00DB2CD7"/>
    <w:rsid w:val="00DB2D3D"/>
    <w:rsid w:val="00DB3025"/>
    <w:rsid w:val="00DB3121"/>
    <w:rsid w:val="00DB32FF"/>
    <w:rsid w:val="00DB349C"/>
    <w:rsid w:val="00DB35B4"/>
    <w:rsid w:val="00DB3AAD"/>
    <w:rsid w:val="00DB3C33"/>
    <w:rsid w:val="00DB3F3B"/>
    <w:rsid w:val="00DB3FBF"/>
    <w:rsid w:val="00DB44FB"/>
    <w:rsid w:val="00DB4572"/>
    <w:rsid w:val="00DB4E26"/>
    <w:rsid w:val="00DB4F23"/>
    <w:rsid w:val="00DB4FE1"/>
    <w:rsid w:val="00DB5233"/>
    <w:rsid w:val="00DB55E0"/>
    <w:rsid w:val="00DB58C6"/>
    <w:rsid w:val="00DB604C"/>
    <w:rsid w:val="00DB61D6"/>
    <w:rsid w:val="00DB6697"/>
    <w:rsid w:val="00DB67DA"/>
    <w:rsid w:val="00DB6A12"/>
    <w:rsid w:val="00DB6DC4"/>
    <w:rsid w:val="00DB6F18"/>
    <w:rsid w:val="00DB7325"/>
    <w:rsid w:val="00DB79E6"/>
    <w:rsid w:val="00DB7A8D"/>
    <w:rsid w:val="00DB7B42"/>
    <w:rsid w:val="00DB7B5D"/>
    <w:rsid w:val="00DB7E5B"/>
    <w:rsid w:val="00DB7E5D"/>
    <w:rsid w:val="00DB7ED9"/>
    <w:rsid w:val="00DB7F68"/>
    <w:rsid w:val="00DB7FFA"/>
    <w:rsid w:val="00DC02A9"/>
    <w:rsid w:val="00DC03FC"/>
    <w:rsid w:val="00DC0747"/>
    <w:rsid w:val="00DC0A4B"/>
    <w:rsid w:val="00DC0A9F"/>
    <w:rsid w:val="00DC0B6C"/>
    <w:rsid w:val="00DC10BF"/>
    <w:rsid w:val="00DC14B0"/>
    <w:rsid w:val="00DC1DDC"/>
    <w:rsid w:val="00DC1EF7"/>
    <w:rsid w:val="00DC21F0"/>
    <w:rsid w:val="00DC224A"/>
    <w:rsid w:val="00DC2685"/>
    <w:rsid w:val="00DC282E"/>
    <w:rsid w:val="00DC2BC7"/>
    <w:rsid w:val="00DC3199"/>
    <w:rsid w:val="00DC33CA"/>
    <w:rsid w:val="00DC35D9"/>
    <w:rsid w:val="00DC398D"/>
    <w:rsid w:val="00DC39F7"/>
    <w:rsid w:val="00DC3C1B"/>
    <w:rsid w:val="00DC3E3C"/>
    <w:rsid w:val="00DC4219"/>
    <w:rsid w:val="00DC42DA"/>
    <w:rsid w:val="00DC4529"/>
    <w:rsid w:val="00DC457C"/>
    <w:rsid w:val="00DC469B"/>
    <w:rsid w:val="00DC4714"/>
    <w:rsid w:val="00DC4DFE"/>
    <w:rsid w:val="00DC5182"/>
    <w:rsid w:val="00DC5563"/>
    <w:rsid w:val="00DC57F7"/>
    <w:rsid w:val="00DC5A20"/>
    <w:rsid w:val="00DC5AED"/>
    <w:rsid w:val="00DC5BB1"/>
    <w:rsid w:val="00DC5EC7"/>
    <w:rsid w:val="00DC6002"/>
    <w:rsid w:val="00DC61EA"/>
    <w:rsid w:val="00DC634A"/>
    <w:rsid w:val="00DC66A8"/>
    <w:rsid w:val="00DC69C0"/>
    <w:rsid w:val="00DC6AF5"/>
    <w:rsid w:val="00DC6D2D"/>
    <w:rsid w:val="00DC70E7"/>
    <w:rsid w:val="00DC742D"/>
    <w:rsid w:val="00DC7632"/>
    <w:rsid w:val="00DC76E4"/>
    <w:rsid w:val="00DC7CF7"/>
    <w:rsid w:val="00DC7F0F"/>
    <w:rsid w:val="00DD05AF"/>
    <w:rsid w:val="00DD09BB"/>
    <w:rsid w:val="00DD0E49"/>
    <w:rsid w:val="00DD100A"/>
    <w:rsid w:val="00DD1026"/>
    <w:rsid w:val="00DD11F8"/>
    <w:rsid w:val="00DD1295"/>
    <w:rsid w:val="00DD15E0"/>
    <w:rsid w:val="00DD161B"/>
    <w:rsid w:val="00DD18E1"/>
    <w:rsid w:val="00DD1D53"/>
    <w:rsid w:val="00DD1EDE"/>
    <w:rsid w:val="00DD2147"/>
    <w:rsid w:val="00DD2799"/>
    <w:rsid w:val="00DD2C53"/>
    <w:rsid w:val="00DD2D8D"/>
    <w:rsid w:val="00DD2E48"/>
    <w:rsid w:val="00DD2EA9"/>
    <w:rsid w:val="00DD310B"/>
    <w:rsid w:val="00DD3239"/>
    <w:rsid w:val="00DD3689"/>
    <w:rsid w:val="00DD36A9"/>
    <w:rsid w:val="00DD371A"/>
    <w:rsid w:val="00DD3931"/>
    <w:rsid w:val="00DD3EAE"/>
    <w:rsid w:val="00DD441E"/>
    <w:rsid w:val="00DD4478"/>
    <w:rsid w:val="00DD475D"/>
    <w:rsid w:val="00DD4821"/>
    <w:rsid w:val="00DD484A"/>
    <w:rsid w:val="00DD490B"/>
    <w:rsid w:val="00DD4915"/>
    <w:rsid w:val="00DD5241"/>
    <w:rsid w:val="00DD5679"/>
    <w:rsid w:val="00DD5951"/>
    <w:rsid w:val="00DD5A27"/>
    <w:rsid w:val="00DD6187"/>
    <w:rsid w:val="00DD635F"/>
    <w:rsid w:val="00DD64FD"/>
    <w:rsid w:val="00DD6912"/>
    <w:rsid w:val="00DD6BDB"/>
    <w:rsid w:val="00DD6C4C"/>
    <w:rsid w:val="00DD6D25"/>
    <w:rsid w:val="00DD6EDA"/>
    <w:rsid w:val="00DD71DF"/>
    <w:rsid w:val="00DD751F"/>
    <w:rsid w:val="00DD7849"/>
    <w:rsid w:val="00DD7AE9"/>
    <w:rsid w:val="00DD7FEF"/>
    <w:rsid w:val="00DE0A64"/>
    <w:rsid w:val="00DE0F21"/>
    <w:rsid w:val="00DE1321"/>
    <w:rsid w:val="00DE14B7"/>
    <w:rsid w:val="00DE14CA"/>
    <w:rsid w:val="00DE1EDC"/>
    <w:rsid w:val="00DE2280"/>
    <w:rsid w:val="00DE2388"/>
    <w:rsid w:val="00DE24D5"/>
    <w:rsid w:val="00DE2DF1"/>
    <w:rsid w:val="00DE2E8C"/>
    <w:rsid w:val="00DE2F85"/>
    <w:rsid w:val="00DE3090"/>
    <w:rsid w:val="00DE34A4"/>
    <w:rsid w:val="00DE36C6"/>
    <w:rsid w:val="00DE3A68"/>
    <w:rsid w:val="00DE3BD2"/>
    <w:rsid w:val="00DE3F63"/>
    <w:rsid w:val="00DE41FD"/>
    <w:rsid w:val="00DE432E"/>
    <w:rsid w:val="00DE45BE"/>
    <w:rsid w:val="00DE46DD"/>
    <w:rsid w:val="00DE4736"/>
    <w:rsid w:val="00DE482B"/>
    <w:rsid w:val="00DE4B2E"/>
    <w:rsid w:val="00DE4C38"/>
    <w:rsid w:val="00DE4C8C"/>
    <w:rsid w:val="00DE4C91"/>
    <w:rsid w:val="00DE4E9C"/>
    <w:rsid w:val="00DE529E"/>
    <w:rsid w:val="00DE538F"/>
    <w:rsid w:val="00DE53A3"/>
    <w:rsid w:val="00DE5427"/>
    <w:rsid w:val="00DE561C"/>
    <w:rsid w:val="00DE56DC"/>
    <w:rsid w:val="00DE5852"/>
    <w:rsid w:val="00DE5A2C"/>
    <w:rsid w:val="00DE6092"/>
    <w:rsid w:val="00DE60E1"/>
    <w:rsid w:val="00DE63FF"/>
    <w:rsid w:val="00DE6473"/>
    <w:rsid w:val="00DE67F6"/>
    <w:rsid w:val="00DE6A2F"/>
    <w:rsid w:val="00DE7411"/>
    <w:rsid w:val="00DE749C"/>
    <w:rsid w:val="00DE7971"/>
    <w:rsid w:val="00DE7AB2"/>
    <w:rsid w:val="00DE7B77"/>
    <w:rsid w:val="00DF07B2"/>
    <w:rsid w:val="00DF07F3"/>
    <w:rsid w:val="00DF0AFF"/>
    <w:rsid w:val="00DF1279"/>
    <w:rsid w:val="00DF130D"/>
    <w:rsid w:val="00DF1501"/>
    <w:rsid w:val="00DF1C66"/>
    <w:rsid w:val="00DF2065"/>
    <w:rsid w:val="00DF2136"/>
    <w:rsid w:val="00DF26ED"/>
    <w:rsid w:val="00DF2775"/>
    <w:rsid w:val="00DF2A2B"/>
    <w:rsid w:val="00DF2A8A"/>
    <w:rsid w:val="00DF2AC3"/>
    <w:rsid w:val="00DF30F6"/>
    <w:rsid w:val="00DF329E"/>
    <w:rsid w:val="00DF336C"/>
    <w:rsid w:val="00DF367E"/>
    <w:rsid w:val="00DF3913"/>
    <w:rsid w:val="00DF39AA"/>
    <w:rsid w:val="00DF3B0B"/>
    <w:rsid w:val="00DF3C92"/>
    <w:rsid w:val="00DF3E69"/>
    <w:rsid w:val="00DF3F5D"/>
    <w:rsid w:val="00DF3F6B"/>
    <w:rsid w:val="00DF4284"/>
    <w:rsid w:val="00DF46FE"/>
    <w:rsid w:val="00DF4B00"/>
    <w:rsid w:val="00DF4B97"/>
    <w:rsid w:val="00DF4E34"/>
    <w:rsid w:val="00DF5109"/>
    <w:rsid w:val="00DF55B0"/>
    <w:rsid w:val="00DF5AD4"/>
    <w:rsid w:val="00DF5C32"/>
    <w:rsid w:val="00DF6160"/>
    <w:rsid w:val="00DF61B0"/>
    <w:rsid w:val="00DF622E"/>
    <w:rsid w:val="00DF6480"/>
    <w:rsid w:val="00DF6960"/>
    <w:rsid w:val="00DF69AD"/>
    <w:rsid w:val="00DF6B3C"/>
    <w:rsid w:val="00DF6BA0"/>
    <w:rsid w:val="00DF6DAF"/>
    <w:rsid w:val="00DF6DC0"/>
    <w:rsid w:val="00DF6F84"/>
    <w:rsid w:val="00DF7019"/>
    <w:rsid w:val="00DF708F"/>
    <w:rsid w:val="00DF70F7"/>
    <w:rsid w:val="00DF7737"/>
    <w:rsid w:val="00DF7842"/>
    <w:rsid w:val="00DF7862"/>
    <w:rsid w:val="00DF787A"/>
    <w:rsid w:val="00DF78EE"/>
    <w:rsid w:val="00E002C1"/>
    <w:rsid w:val="00E0032F"/>
    <w:rsid w:val="00E0052F"/>
    <w:rsid w:val="00E00649"/>
    <w:rsid w:val="00E006D4"/>
    <w:rsid w:val="00E00925"/>
    <w:rsid w:val="00E00C14"/>
    <w:rsid w:val="00E00DC3"/>
    <w:rsid w:val="00E00ECB"/>
    <w:rsid w:val="00E010EC"/>
    <w:rsid w:val="00E01123"/>
    <w:rsid w:val="00E018CC"/>
    <w:rsid w:val="00E01A4D"/>
    <w:rsid w:val="00E01AAF"/>
    <w:rsid w:val="00E01C8A"/>
    <w:rsid w:val="00E01D9F"/>
    <w:rsid w:val="00E020EE"/>
    <w:rsid w:val="00E0213A"/>
    <w:rsid w:val="00E02277"/>
    <w:rsid w:val="00E0281F"/>
    <w:rsid w:val="00E02D1A"/>
    <w:rsid w:val="00E02D3F"/>
    <w:rsid w:val="00E02E10"/>
    <w:rsid w:val="00E0308B"/>
    <w:rsid w:val="00E0319A"/>
    <w:rsid w:val="00E03363"/>
    <w:rsid w:val="00E03843"/>
    <w:rsid w:val="00E03C64"/>
    <w:rsid w:val="00E040F4"/>
    <w:rsid w:val="00E04645"/>
    <w:rsid w:val="00E0486C"/>
    <w:rsid w:val="00E048E7"/>
    <w:rsid w:val="00E04941"/>
    <w:rsid w:val="00E04943"/>
    <w:rsid w:val="00E04DC2"/>
    <w:rsid w:val="00E05CE8"/>
    <w:rsid w:val="00E06007"/>
    <w:rsid w:val="00E0617B"/>
    <w:rsid w:val="00E061F2"/>
    <w:rsid w:val="00E063DD"/>
    <w:rsid w:val="00E06D5E"/>
    <w:rsid w:val="00E06FBA"/>
    <w:rsid w:val="00E0709F"/>
    <w:rsid w:val="00E07537"/>
    <w:rsid w:val="00E0764B"/>
    <w:rsid w:val="00E07AF8"/>
    <w:rsid w:val="00E07B65"/>
    <w:rsid w:val="00E07C54"/>
    <w:rsid w:val="00E07DE3"/>
    <w:rsid w:val="00E10239"/>
    <w:rsid w:val="00E10363"/>
    <w:rsid w:val="00E109A2"/>
    <w:rsid w:val="00E10BDE"/>
    <w:rsid w:val="00E10E11"/>
    <w:rsid w:val="00E10F5B"/>
    <w:rsid w:val="00E1104F"/>
    <w:rsid w:val="00E11081"/>
    <w:rsid w:val="00E1127F"/>
    <w:rsid w:val="00E1136D"/>
    <w:rsid w:val="00E116C2"/>
    <w:rsid w:val="00E117DF"/>
    <w:rsid w:val="00E11825"/>
    <w:rsid w:val="00E11A26"/>
    <w:rsid w:val="00E11D09"/>
    <w:rsid w:val="00E11D5E"/>
    <w:rsid w:val="00E11EDC"/>
    <w:rsid w:val="00E120ED"/>
    <w:rsid w:val="00E123C0"/>
    <w:rsid w:val="00E12C29"/>
    <w:rsid w:val="00E12F77"/>
    <w:rsid w:val="00E136A4"/>
    <w:rsid w:val="00E1389A"/>
    <w:rsid w:val="00E13AA9"/>
    <w:rsid w:val="00E13EDA"/>
    <w:rsid w:val="00E143C9"/>
    <w:rsid w:val="00E14554"/>
    <w:rsid w:val="00E148DC"/>
    <w:rsid w:val="00E14C1A"/>
    <w:rsid w:val="00E14CD0"/>
    <w:rsid w:val="00E14E3F"/>
    <w:rsid w:val="00E14E51"/>
    <w:rsid w:val="00E15095"/>
    <w:rsid w:val="00E15148"/>
    <w:rsid w:val="00E15199"/>
    <w:rsid w:val="00E1527A"/>
    <w:rsid w:val="00E153CD"/>
    <w:rsid w:val="00E1546E"/>
    <w:rsid w:val="00E15879"/>
    <w:rsid w:val="00E15B42"/>
    <w:rsid w:val="00E15C0F"/>
    <w:rsid w:val="00E15DF2"/>
    <w:rsid w:val="00E15FC3"/>
    <w:rsid w:val="00E16325"/>
    <w:rsid w:val="00E163CB"/>
    <w:rsid w:val="00E165A4"/>
    <w:rsid w:val="00E16608"/>
    <w:rsid w:val="00E16BCB"/>
    <w:rsid w:val="00E16CE9"/>
    <w:rsid w:val="00E17022"/>
    <w:rsid w:val="00E1721B"/>
    <w:rsid w:val="00E1767A"/>
    <w:rsid w:val="00E17D31"/>
    <w:rsid w:val="00E20016"/>
    <w:rsid w:val="00E200DC"/>
    <w:rsid w:val="00E20178"/>
    <w:rsid w:val="00E20250"/>
    <w:rsid w:val="00E2046A"/>
    <w:rsid w:val="00E20A71"/>
    <w:rsid w:val="00E20AEB"/>
    <w:rsid w:val="00E20D91"/>
    <w:rsid w:val="00E20FBA"/>
    <w:rsid w:val="00E21139"/>
    <w:rsid w:val="00E21334"/>
    <w:rsid w:val="00E2157B"/>
    <w:rsid w:val="00E216B3"/>
    <w:rsid w:val="00E217DE"/>
    <w:rsid w:val="00E2185F"/>
    <w:rsid w:val="00E21AA3"/>
    <w:rsid w:val="00E21D16"/>
    <w:rsid w:val="00E21D92"/>
    <w:rsid w:val="00E21EC7"/>
    <w:rsid w:val="00E222B6"/>
    <w:rsid w:val="00E226E9"/>
    <w:rsid w:val="00E227B7"/>
    <w:rsid w:val="00E22C9E"/>
    <w:rsid w:val="00E22E49"/>
    <w:rsid w:val="00E22F06"/>
    <w:rsid w:val="00E22F80"/>
    <w:rsid w:val="00E22F9F"/>
    <w:rsid w:val="00E231CF"/>
    <w:rsid w:val="00E2320F"/>
    <w:rsid w:val="00E2353E"/>
    <w:rsid w:val="00E23768"/>
    <w:rsid w:val="00E237B5"/>
    <w:rsid w:val="00E23C20"/>
    <w:rsid w:val="00E2410C"/>
    <w:rsid w:val="00E24274"/>
    <w:rsid w:val="00E2469A"/>
    <w:rsid w:val="00E248C8"/>
    <w:rsid w:val="00E25092"/>
    <w:rsid w:val="00E2526C"/>
    <w:rsid w:val="00E253FD"/>
    <w:rsid w:val="00E25A96"/>
    <w:rsid w:val="00E26124"/>
    <w:rsid w:val="00E26408"/>
    <w:rsid w:val="00E266A3"/>
    <w:rsid w:val="00E268FE"/>
    <w:rsid w:val="00E26AAA"/>
    <w:rsid w:val="00E2707D"/>
    <w:rsid w:val="00E270D3"/>
    <w:rsid w:val="00E27100"/>
    <w:rsid w:val="00E27136"/>
    <w:rsid w:val="00E271D1"/>
    <w:rsid w:val="00E2765D"/>
    <w:rsid w:val="00E27779"/>
    <w:rsid w:val="00E27B65"/>
    <w:rsid w:val="00E27E38"/>
    <w:rsid w:val="00E27E5E"/>
    <w:rsid w:val="00E27EB9"/>
    <w:rsid w:val="00E27F4D"/>
    <w:rsid w:val="00E3004B"/>
    <w:rsid w:val="00E300A0"/>
    <w:rsid w:val="00E30140"/>
    <w:rsid w:val="00E30563"/>
    <w:rsid w:val="00E30940"/>
    <w:rsid w:val="00E30A46"/>
    <w:rsid w:val="00E30DF8"/>
    <w:rsid w:val="00E30F91"/>
    <w:rsid w:val="00E312F0"/>
    <w:rsid w:val="00E315CF"/>
    <w:rsid w:val="00E31843"/>
    <w:rsid w:val="00E31896"/>
    <w:rsid w:val="00E319FD"/>
    <w:rsid w:val="00E31A6E"/>
    <w:rsid w:val="00E31AAB"/>
    <w:rsid w:val="00E31B64"/>
    <w:rsid w:val="00E31DE5"/>
    <w:rsid w:val="00E31EAD"/>
    <w:rsid w:val="00E31EE0"/>
    <w:rsid w:val="00E320AB"/>
    <w:rsid w:val="00E320B5"/>
    <w:rsid w:val="00E3294A"/>
    <w:rsid w:val="00E32AED"/>
    <w:rsid w:val="00E3328B"/>
    <w:rsid w:val="00E3331D"/>
    <w:rsid w:val="00E3379A"/>
    <w:rsid w:val="00E33D0E"/>
    <w:rsid w:val="00E341DE"/>
    <w:rsid w:val="00E344F9"/>
    <w:rsid w:val="00E3474B"/>
    <w:rsid w:val="00E347FB"/>
    <w:rsid w:val="00E349CA"/>
    <w:rsid w:val="00E34B3F"/>
    <w:rsid w:val="00E34D37"/>
    <w:rsid w:val="00E34EB6"/>
    <w:rsid w:val="00E35039"/>
    <w:rsid w:val="00E350A9"/>
    <w:rsid w:val="00E3539C"/>
    <w:rsid w:val="00E3559E"/>
    <w:rsid w:val="00E356C2"/>
    <w:rsid w:val="00E35ADD"/>
    <w:rsid w:val="00E35B0A"/>
    <w:rsid w:val="00E35B50"/>
    <w:rsid w:val="00E35C70"/>
    <w:rsid w:val="00E35D24"/>
    <w:rsid w:val="00E35D71"/>
    <w:rsid w:val="00E35E6A"/>
    <w:rsid w:val="00E3623D"/>
    <w:rsid w:val="00E36243"/>
    <w:rsid w:val="00E362CC"/>
    <w:rsid w:val="00E36389"/>
    <w:rsid w:val="00E363AF"/>
    <w:rsid w:val="00E3694E"/>
    <w:rsid w:val="00E36B2A"/>
    <w:rsid w:val="00E36D9D"/>
    <w:rsid w:val="00E36F2A"/>
    <w:rsid w:val="00E37098"/>
    <w:rsid w:val="00E374BD"/>
    <w:rsid w:val="00E37562"/>
    <w:rsid w:val="00E375FE"/>
    <w:rsid w:val="00E37692"/>
    <w:rsid w:val="00E37BF9"/>
    <w:rsid w:val="00E4014A"/>
    <w:rsid w:val="00E40253"/>
    <w:rsid w:val="00E4036D"/>
    <w:rsid w:val="00E405F3"/>
    <w:rsid w:val="00E40764"/>
    <w:rsid w:val="00E40B75"/>
    <w:rsid w:val="00E40BC1"/>
    <w:rsid w:val="00E40D6E"/>
    <w:rsid w:val="00E41121"/>
    <w:rsid w:val="00E411CB"/>
    <w:rsid w:val="00E415DA"/>
    <w:rsid w:val="00E418AF"/>
    <w:rsid w:val="00E41B85"/>
    <w:rsid w:val="00E41C6E"/>
    <w:rsid w:val="00E41CE4"/>
    <w:rsid w:val="00E41D75"/>
    <w:rsid w:val="00E42118"/>
    <w:rsid w:val="00E4212A"/>
    <w:rsid w:val="00E42457"/>
    <w:rsid w:val="00E42590"/>
    <w:rsid w:val="00E4292C"/>
    <w:rsid w:val="00E42B1F"/>
    <w:rsid w:val="00E42B57"/>
    <w:rsid w:val="00E42B66"/>
    <w:rsid w:val="00E42BCB"/>
    <w:rsid w:val="00E43195"/>
    <w:rsid w:val="00E43205"/>
    <w:rsid w:val="00E434E6"/>
    <w:rsid w:val="00E43B86"/>
    <w:rsid w:val="00E43C49"/>
    <w:rsid w:val="00E448D4"/>
    <w:rsid w:val="00E44F9E"/>
    <w:rsid w:val="00E45000"/>
    <w:rsid w:val="00E453BE"/>
    <w:rsid w:val="00E454A8"/>
    <w:rsid w:val="00E45BD9"/>
    <w:rsid w:val="00E45FD7"/>
    <w:rsid w:val="00E461C9"/>
    <w:rsid w:val="00E4668C"/>
    <w:rsid w:val="00E46BB6"/>
    <w:rsid w:val="00E46D8C"/>
    <w:rsid w:val="00E46EEC"/>
    <w:rsid w:val="00E46FFE"/>
    <w:rsid w:val="00E47151"/>
    <w:rsid w:val="00E4716A"/>
    <w:rsid w:val="00E4768F"/>
    <w:rsid w:val="00E47AD0"/>
    <w:rsid w:val="00E47F6D"/>
    <w:rsid w:val="00E507C1"/>
    <w:rsid w:val="00E50901"/>
    <w:rsid w:val="00E5091F"/>
    <w:rsid w:val="00E511ED"/>
    <w:rsid w:val="00E5172B"/>
    <w:rsid w:val="00E51903"/>
    <w:rsid w:val="00E51A45"/>
    <w:rsid w:val="00E525CA"/>
    <w:rsid w:val="00E52A31"/>
    <w:rsid w:val="00E52A6C"/>
    <w:rsid w:val="00E52F2C"/>
    <w:rsid w:val="00E533DE"/>
    <w:rsid w:val="00E534CF"/>
    <w:rsid w:val="00E5361B"/>
    <w:rsid w:val="00E53806"/>
    <w:rsid w:val="00E53A47"/>
    <w:rsid w:val="00E53D7E"/>
    <w:rsid w:val="00E53ECB"/>
    <w:rsid w:val="00E53FE5"/>
    <w:rsid w:val="00E5419A"/>
    <w:rsid w:val="00E5508C"/>
    <w:rsid w:val="00E5532A"/>
    <w:rsid w:val="00E557B4"/>
    <w:rsid w:val="00E558A1"/>
    <w:rsid w:val="00E55B1C"/>
    <w:rsid w:val="00E5614F"/>
    <w:rsid w:val="00E56292"/>
    <w:rsid w:val="00E564A8"/>
    <w:rsid w:val="00E564D6"/>
    <w:rsid w:val="00E568B6"/>
    <w:rsid w:val="00E56AA1"/>
    <w:rsid w:val="00E56B67"/>
    <w:rsid w:val="00E56FA5"/>
    <w:rsid w:val="00E57061"/>
    <w:rsid w:val="00E57090"/>
    <w:rsid w:val="00E5724B"/>
    <w:rsid w:val="00E572FB"/>
    <w:rsid w:val="00E575CA"/>
    <w:rsid w:val="00E5777F"/>
    <w:rsid w:val="00E57787"/>
    <w:rsid w:val="00E57D8F"/>
    <w:rsid w:val="00E6025F"/>
    <w:rsid w:val="00E606A9"/>
    <w:rsid w:val="00E60D73"/>
    <w:rsid w:val="00E61485"/>
    <w:rsid w:val="00E61712"/>
    <w:rsid w:val="00E61850"/>
    <w:rsid w:val="00E6192E"/>
    <w:rsid w:val="00E61D3B"/>
    <w:rsid w:val="00E61E6C"/>
    <w:rsid w:val="00E61F26"/>
    <w:rsid w:val="00E620D0"/>
    <w:rsid w:val="00E621DB"/>
    <w:rsid w:val="00E6246E"/>
    <w:rsid w:val="00E6262A"/>
    <w:rsid w:val="00E62690"/>
    <w:rsid w:val="00E62AF2"/>
    <w:rsid w:val="00E62BA7"/>
    <w:rsid w:val="00E62F61"/>
    <w:rsid w:val="00E62FC3"/>
    <w:rsid w:val="00E63180"/>
    <w:rsid w:val="00E63523"/>
    <w:rsid w:val="00E635BD"/>
    <w:rsid w:val="00E63B86"/>
    <w:rsid w:val="00E63BDC"/>
    <w:rsid w:val="00E63E70"/>
    <w:rsid w:val="00E640BB"/>
    <w:rsid w:val="00E640F5"/>
    <w:rsid w:val="00E642FE"/>
    <w:rsid w:val="00E64AAC"/>
    <w:rsid w:val="00E64AAF"/>
    <w:rsid w:val="00E6528A"/>
    <w:rsid w:val="00E65710"/>
    <w:rsid w:val="00E658C4"/>
    <w:rsid w:val="00E65A11"/>
    <w:rsid w:val="00E66000"/>
    <w:rsid w:val="00E66020"/>
    <w:rsid w:val="00E6618D"/>
    <w:rsid w:val="00E661BF"/>
    <w:rsid w:val="00E664EF"/>
    <w:rsid w:val="00E665B4"/>
    <w:rsid w:val="00E665D7"/>
    <w:rsid w:val="00E66601"/>
    <w:rsid w:val="00E6691C"/>
    <w:rsid w:val="00E669E3"/>
    <w:rsid w:val="00E66C7A"/>
    <w:rsid w:val="00E673F0"/>
    <w:rsid w:val="00E67CA5"/>
    <w:rsid w:val="00E67E35"/>
    <w:rsid w:val="00E70309"/>
    <w:rsid w:val="00E70AEC"/>
    <w:rsid w:val="00E70DF8"/>
    <w:rsid w:val="00E7133C"/>
    <w:rsid w:val="00E715C2"/>
    <w:rsid w:val="00E71F55"/>
    <w:rsid w:val="00E72390"/>
    <w:rsid w:val="00E72AB9"/>
    <w:rsid w:val="00E72BA8"/>
    <w:rsid w:val="00E72DD8"/>
    <w:rsid w:val="00E73F00"/>
    <w:rsid w:val="00E73F16"/>
    <w:rsid w:val="00E742A7"/>
    <w:rsid w:val="00E745A1"/>
    <w:rsid w:val="00E7472B"/>
    <w:rsid w:val="00E74C9B"/>
    <w:rsid w:val="00E74CED"/>
    <w:rsid w:val="00E754A4"/>
    <w:rsid w:val="00E754A9"/>
    <w:rsid w:val="00E76238"/>
    <w:rsid w:val="00E76572"/>
    <w:rsid w:val="00E7666C"/>
    <w:rsid w:val="00E76725"/>
    <w:rsid w:val="00E7700A"/>
    <w:rsid w:val="00E77ABE"/>
    <w:rsid w:val="00E77B82"/>
    <w:rsid w:val="00E77BE6"/>
    <w:rsid w:val="00E77C47"/>
    <w:rsid w:val="00E77DAD"/>
    <w:rsid w:val="00E77DE2"/>
    <w:rsid w:val="00E806A4"/>
    <w:rsid w:val="00E811F0"/>
    <w:rsid w:val="00E81420"/>
    <w:rsid w:val="00E81581"/>
    <w:rsid w:val="00E8162D"/>
    <w:rsid w:val="00E818F8"/>
    <w:rsid w:val="00E81F72"/>
    <w:rsid w:val="00E81FAD"/>
    <w:rsid w:val="00E828B8"/>
    <w:rsid w:val="00E82E47"/>
    <w:rsid w:val="00E83503"/>
    <w:rsid w:val="00E836DB"/>
    <w:rsid w:val="00E83A29"/>
    <w:rsid w:val="00E83B7A"/>
    <w:rsid w:val="00E84312"/>
    <w:rsid w:val="00E84536"/>
    <w:rsid w:val="00E84877"/>
    <w:rsid w:val="00E848E9"/>
    <w:rsid w:val="00E84A28"/>
    <w:rsid w:val="00E84ADD"/>
    <w:rsid w:val="00E84F98"/>
    <w:rsid w:val="00E84FA3"/>
    <w:rsid w:val="00E84FB8"/>
    <w:rsid w:val="00E853B4"/>
    <w:rsid w:val="00E85B69"/>
    <w:rsid w:val="00E861E0"/>
    <w:rsid w:val="00E86247"/>
    <w:rsid w:val="00E8624C"/>
    <w:rsid w:val="00E86284"/>
    <w:rsid w:val="00E864C8"/>
    <w:rsid w:val="00E8659F"/>
    <w:rsid w:val="00E8785E"/>
    <w:rsid w:val="00E87941"/>
    <w:rsid w:val="00E87C00"/>
    <w:rsid w:val="00E87F6C"/>
    <w:rsid w:val="00E901FD"/>
    <w:rsid w:val="00E90235"/>
    <w:rsid w:val="00E9097C"/>
    <w:rsid w:val="00E90C82"/>
    <w:rsid w:val="00E90CF1"/>
    <w:rsid w:val="00E90F84"/>
    <w:rsid w:val="00E91038"/>
    <w:rsid w:val="00E91479"/>
    <w:rsid w:val="00E91670"/>
    <w:rsid w:val="00E9170E"/>
    <w:rsid w:val="00E91AAA"/>
    <w:rsid w:val="00E91BB2"/>
    <w:rsid w:val="00E91BBD"/>
    <w:rsid w:val="00E92103"/>
    <w:rsid w:val="00E92B4E"/>
    <w:rsid w:val="00E92CA3"/>
    <w:rsid w:val="00E92CEF"/>
    <w:rsid w:val="00E92F3A"/>
    <w:rsid w:val="00E9300A"/>
    <w:rsid w:val="00E930F2"/>
    <w:rsid w:val="00E9356B"/>
    <w:rsid w:val="00E93772"/>
    <w:rsid w:val="00E93866"/>
    <w:rsid w:val="00E93A56"/>
    <w:rsid w:val="00E93F9B"/>
    <w:rsid w:val="00E94563"/>
    <w:rsid w:val="00E9464F"/>
    <w:rsid w:val="00E946B4"/>
    <w:rsid w:val="00E9484D"/>
    <w:rsid w:val="00E9499F"/>
    <w:rsid w:val="00E94D69"/>
    <w:rsid w:val="00E96100"/>
    <w:rsid w:val="00E964AF"/>
    <w:rsid w:val="00E969F6"/>
    <w:rsid w:val="00E96B39"/>
    <w:rsid w:val="00E96C08"/>
    <w:rsid w:val="00E96C11"/>
    <w:rsid w:val="00E97853"/>
    <w:rsid w:val="00E97859"/>
    <w:rsid w:val="00E97B51"/>
    <w:rsid w:val="00E97C1B"/>
    <w:rsid w:val="00E97C83"/>
    <w:rsid w:val="00E97EE6"/>
    <w:rsid w:val="00EA0772"/>
    <w:rsid w:val="00EA0823"/>
    <w:rsid w:val="00EA08FA"/>
    <w:rsid w:val="00EA0975"/>
    <w:rsid w:val="00EA0D7D"/>
    <w:rsid w:val="00EA144F"/>
    <w:rsid w:val="00EA1671"/>
    <w:rsid w:val="00EA19AB"/>
    <w:rsid w:val="00EA1A1D"/>
    <w:rsid w:val="00EA1B51"/>
    <w:rsid w:val="00EA1B7F"/>
    <w:rsid w:val="00EA1D67"/>
    <w:rsid w:val="00EA20BE"/>
    <w:rsid w:val="00EA20EE"/>
    <w:rsid w:val="00EA25C2"/>
    <w:rsid w:val="00EA275A"/>
    <w:rsid w:val="00EA2775"/>
    <w:rsid w:val="00EA28E5"/>
    <w:rsid w:val="00EA29F3"/>
    <w:rsid w:val="00EA2B49"/>
    <w:rsid w:val="00EA2D63"/>
    <w:rsid w:val="00EA2E64"/>
    <w:rsid w:val="00EA32B8"/>
    <w:rsid w:val="00EA355B"/>
    <w:rsid w:val="00EA3956"/>
    <w:rsid w:val="00EA3C18"/>
    <w:rsid w:val="00EA4222"/>
    <w:rsid w:val="00EA465B"/>
    <w:rsid w:val="00EA4725"/>
    <w:rsid w:val="00EA49BB"/>
    <w:rsid w:val="00EA4C91"/>
    <w:rsid w:val="00EA4D9C"/>
    <w:rsid w:val="00EA4FED"/>
    <w:rsid w:val="00EA52A5"/>
    <w:rsid w:val="00EA5574"/>
    <w:rsid w:val="00EA5719"/>
    <w:rsid w:val="00EA599C"/>
    <w:rsid w:val="00EA59EB"/>
    <w:rsid w:val="00EA645F"/>
    <w:rsid w:val="00EA66AC"/>
    <w:rsid w:val="00EA68F2"/>
    <w:rsid w:val="00EA6A60"/>
    <w:rsid w:val="00EA6B46"/>
    <w:rsid w:val="00EA6C4E"/>
    <w:rsid w:val="00EA6D78"/>
    <w:rsid w:val="00EA72AF"/>
    <w:rsid w:val="00EA765D"/>
    <w:rsid w:val="00EA78C2"/>
    <w:rsid w:val="00EA7BBA"/>
    <w:rsid w:val="00EA7C47"/>
    <w:rsid w:val="00EA7FA4"/>
    <w:rsid w:val="00EB00E8"/>
    <w:rsid w:val="00EB031A"/>
    <w:rsid w:val="00EB0545"/>
    <w:rsid w:val="00EB0FA8"/>
    <w:rsid w:val="00EB1018"/>
    <w:rsid w:val="00EB10BA"/>
    <w:rsid w:val="00EB1159"/>
    <w:rsid w:val="00EB128F"/>
    <w:rsid w:val="00EB1BA1"/>
    <w:rsid w:val="00EB1DDA"/>
    <w:rsid w:val="00EB25B6"/>
    <w:rsid w:val="00EB2A15"/>
    <w:rsid w:val="00EB2E86"/>
    <w:rsid w:val="00EB2EEA"/>
    <w:rsid w:val="00EB2FEE"/>
    <w:rsid w:val="00EB326A"/>
    <w:rsid w:val="00EB3272"/>
    <w:rsid w:val="00EB33A4"/>
    <w:rsid w:val="00EB35D4"/>
    <w:rsid w:val="00EB36E7"/>
    <w:rsid w:val="00EB3AA3"/>
    <w:rsid w:val="00EB3DAA"/>
    <w:rsid w:val="00EB3E40"/>
    <w:rsid w:val="00EB3F2F"/>
    <w:rsid w:val="00EB458A"/>
    <w:rsid w:val="00EB45DF"/>
    <w:rsid w:val="00EB4688"/>
    <w:rsid w:val="00EB473A"/>
    <w:rsid w:val="00EB487C"/>
    <w:rsid w:val="00EB4B87"/>
    <w:rsid w:val="00EB4EC6"/>
    <w:rsid w:val="00EB5148"/>
    <w:rsid w:val="00EB56B2"/>
    <w:rsid w:val="00EB61C4"/>
    <w:rsid w:val="00EB67D2"/>
    <w:rsid w:val="00EB684F"/>
    <w:rsid w:val="00EB6AE9"/>
    <w:rsid w:val="00EB74CB"/>
    <w:rsid w:val="00EB74FB"/>
    <w:rsid w:val="00EB7767"/>
    <w:rsid w:val="00EB7F8E"/>
    <w:rsid w:val="00EC0045"/>
    <w:rsid w:val="00EC0291"/>
    <w:rsid w:val="00EC03DE"/>
    <w:rsid w:val="00EC0BB9"/>
    <w:rsid w:val="00EC0CAF"/>
    <w:rsid w:val="00EC11FF"/>
    <w:rsid w:val="00EC16C0"/>
    <w:rsid w:val="00EC1AC3"/>
    <w:rsid w:val="00EC1AE1"/>
    <w:rsid w:val="00EC1B2E"/>
    <w:rsid w:val="00EC1B80"/>
    <w:rsid w:val="00EC1BEA"/>
    <w:rsid w:val="00EC2037"/>
    <w:rsid w:val="00EC2088"/>
    <w:rsid w:val="00EC2249"/>
    <w:rsid w:val="00EC29C7"/>
    <w:rsid w:val="00EC2AB3"/>
    <w:rsid w:val="00EC2C42"/>
    <w:rsid w:val="00EC3073"/>
    <w:rsid w:val="00EC3726"/>
    <w:rsid w:val="00EC387F"/>
    <w:rsid w:val="00EC3BED"/>
    <w:rsid w:val="00EC3D21"/>
    <w:rsid w:val="00EC3D6B"/>
    <w:rsid w:val="00EC3D81"/>
    <w:rsid w:val="00EC448F"/>
    <w:rsid w:val="00EC462A"/>
    <w:rsid w:val="00EC46B1"/>
    <w:rsid w:val="00EC46D7"/>
    <w:rsid w:val="00EC4847"/>
    <w:rsid w:val="00EC48FD"/>
    <w:rsid w:val="00EC4C57"/>
    <w:rsid w:val="00EC4C6E"/>
    <w:rsid w:val="00EC4F13"/>
    <w:rsid w:val="00EC4F25"/>
    <w:rsid w:val="00EC4FA8"/>
    <w:rsid w:val="00EC50F5"/>
    <w:rsid w:val="00EC57CB"/>
    <w:rsid w:val="00EC6002"/>
    <w:rsid w:val="00EC61B8"/>
    <w:rsid w:val="00EC6317"/>
    <w:rsid w:val="00EC6325"/>
    <w:rsid w:val="00EC672A"/>
    <w:rsid w:val="00EC6AF5"/>
    <w:rsid w:val="00EC6BC0"/>
    <w:rsid w:val="00EC6C7C"/>
    <w:rsid w:val="00EC7504"/>
    <w:rsid w:val="00EC7DCD"/>
    <w:rsid w:val="00EC7F7F"/>
    <w:rsid w:val="00ED047C"/>
    <w:rsid w:val="00ED0636"/>
    <w:rsid w:val="00ED08CB"/>
    <w:rsid w:val="00ED0960"/>
    <w:rsid w:val="00ED09D0"/>
    <w:rsid w:val="00ED0A1E"/>
    <w:rsid w:val="00ED0F18"/>
    <w:rsid w:val="00ED133C"/>
    <w:rsid w:val="00ED17A2"/>
    <w:rsid w:val="00ED1A20"/>
    <w:rsid w:val="00ED1DD6"/>
    <w:rsid w:val="00ED1DF8"/>
    <w:rsid w:val="00ED2116"/>
    <w:rsid w:val="00ED2348"/>
    <w:rsid w:val="00ED26CF"/>
    <w:rsid w:val="00ED28C2"/>
    <w:rsid w:val="00ED2927"/>
    <w:rsid w:val="00ED29D2"/>
    <w:rsid w:val="00ED2B46"/>
    <w:rsid w:val="00ED2C11"/>
    <w:rsid w:val="00ED30A5"/>
    <w:rsid w:val="00ED3306"/>
    <w:rsid w:val="00ED3312"/>
    <w:rsid w:val="00ED37B1"/>
    <w:rsid w:val="00ED396E"/>
    <w:rsid w:val="00ED3A21"/>
    <w:rsid w:val="00ED4045"/>
    <w:rsid w:val="00ED42CA"/>
    <w:rsid w:val="00ED44F9"/>
    <w:rsid w:val="00ED4889"/>
    <w:rsid w:val="00ED4D0B"/>
    <w:rsid w:val="00ED542D"/>
    <w:rsid w:val="00ED55CE"/>
    <w:rsid w:val="00ED59B2"/>
    <w:rsid w:val="00ED5C59"/>
    <w:rsid w:val="00ED5D97"/>
    <w:rsid w:val="00ED5E01"/>
    <w:rsid w:val="00ED5EBF"/>
    <w:rsid w:val="00ED6110"/>
    <w:rsid w:val="00ED6159"/>
    <w:rsid w:val="00ED63C9"/>
    <w:rsid w:val="00ED6486"/>
    <w:rsid w:val="00ED67E9"/>
    <w:rsid w:val="00ED6B74"/>
    <w:rsid w:val="00ED6BDD"/>
    <w:rsid w:val="00ED6D6B"/>
    <w:rsid w:val="00ED6DEB"/>
    <w:rsid w:val="00ED6E49"/>
    <w:rsid w:val="00ED6FA7"/>
    <w:rsid w:val="00ED7265"/>
    <w:rsid w:val="00ED7549"/>
    <w:rsid w:val="00ED7561"/>
    <w:rsid w:val="00ED758E"/>
    <w:rsid w:val="00ED75ED"/>
    <w:rsid w:val="00ED78B2"/>
    <w:rsid w:val="00ED7A7E"/>
    <w:rsid w:val="00ED7A99"/>
    <w:rsid w:val="00ED7EE0"/>
    <w:rsid w:val="00EE025A"/>
    <w:rsid w:val="00EE02B3"/>
    <w:rsid w:val="00EE06A7"/>
    <w:rsid w:val="00EE0770"/>
    <w:rsid w:val="00EE0902"/>
    <w:rsid w:val="00EE0D5F"/>
    <w:rsid w:val="00EE10C8"/>
    <w:rsid w:val="00EE1525"/>
    <w:rsid w:val="00EE155A"/>
    <w:rsid w:val="00EE18CD"/>
    <w:rsid w:val="00EE1A97"/>
    <w:rsid w:val="00EE1FAD"/>
    <w:rsid w:val="00EE22DD"/>
    <w:rsid w:val="00EE23A3"/>
    <w:rsid w:val="00EE2A60"/>
    <w:rsid w:val="00EE2EE2"/>
    <w:rsid w:val="00EE2FB8"/>
    <w:rsid w:val="00EE30D2"/>
    <w:rsid w:val="00EE3118"/>
    <w:rsid w:val="00EE31E2"/>
    <w:rsid w:val="00EE320A"/>
    <w:rsid w:val="00EE33A5"/>
    <w:rsid w:val="00EE3946"/>
    <w:rsid w:val="00EE3A20"/>
    <w:rsid w:val="00EE3B00"/>
    <w:rsid w:val="00EE4128"/>
    <w:rsid w:val="00EE4536"/>
    <w:rsid w:val="00EE4D1C"/>
    <w:rsid w:val="00EE4DFA"/>
    <w:rsid w:val="00EE4E52"/>
    <w:rsid w:val="00EE4F15"/>
    <w:rsid w:val="00EE506D"/>
    <w:rsid w:val="00EE54AB"/>
    <w:rsid w:val="00EE5A87"/>
    <w:rsid w:val="00EE5BD7"/>
    <w:rsid w:val="00EE5D30"/>
    <w:rsid w:val="00EE6295"/>
    <w:rsid w:val="00EE6613"/>
    <w:rsid w:val="00EE6769"/>
    <w:rsid w:val="00EE678C"/>
    <w:rsid w:val="00EE6A49"/>
    <w:rsid w:val="00EE6AF1"/>
    <w:rsid w:val="00EE6CCB"/>
    <w:rsid w:val="00EE6D2A"/>
    <w:rsid w:val="00EE6FD6"/>
    <w:rsid w:val="00EE7260"/>
    <w:rsid w:val="00EE7323"/>
    <w:rsid w:val="00EE7828"/>
    <w:rsid w:val="00EE78B1"/>
    <w:rsid w:val="00EE7AE2"/>
    <w:rsid w:val="00EE7CA8"/>
    <w:rsid w:val="00EE7E7C"/>
    <w:rsid w:val="00EF038D"/>
    <w:rsid w:val="00EF0444"/>
    <w:rsid w:val="00EF0472"/>
    <w:rsid w:val="00EF0BDA"/>
    <w:rsid w:val="00EF0DC3"/>
    <w:rsid w:val="00EF1005"/>
    <w:rsid w:val="00EF12F3"/>
    <w:rsid w:val="00EF13C9"/>
    <w:rsid w:val="00EF199B"/>
    <w:rsid w:val="00EF19D4"/>
    <w:rsid w:val="00EF22C8"/>
    <w:rsid w:val="00EF2826"/>
    <w:rsid w:val="00EF2C07"/>
    <w:rsid w:val="00EF2E54"/>
    <w:rsid w:val="00EF32C7"/>
    <w:rsid w:val="00EF32CE"/>
    <w:rsid w:val="00EF3542"/>
    <w:rsid w:val="00EF3836"/>
    <w:rsid w:val="00EF3B92"/>
    <w:rsid w:val="00EF3D8F"/>
    <w:rsid w:val="00EF3D9D"/>
    <w:rsid w:val="00EF3DCF"/>
    <w:rsid w:val="00EF3F06"/>
    <w:rsid w:val="00EF428F"/>
    <w:rsid w:val="00EF4F20"/>
    <w:rsid w:val="00EF5074"/>
    <w:rsid w:val="00EF5425"/>
    <w:rsid w:val="00EF557D"/>
    <w:rsid w:val="00EF590D"/>
    <w:rsid w:val="00EF59D4"/>
    <w:rsid w:val="00EF5CAF"/>
    <w:rsid w:val="00EF5D96"/>
    <w:rsid w:val="00EF62C0"/>
    <w:rsid w:val="00EF65C7"/>
    <w:rsid w:val="00EF6A07"/>
    <w:rsid w:val="00EF6C5C"/>
    <w:rsid w:val="00EF6F45"/>
    <w:rsid w:val="00EF7135"/>
    <w:rsid w:val="00EF7298"/>
    <w:rsid w:val="00F00151"/>
    <w:rsid w:val="00F00465"/>
    <w:rsid w:val="00F006C9"/>
    <w:rsid w:val="00F00867"/>
    <w:rsid w:val="00F00D4B"/>
    <w:rsid w:val="00F00E6A"/>
    <w:rsid w:val="00F011D6"/>
    <w:rsid w:val="00F011FD"/>
    <w:rsid w:val="00F014B1"/>
    <w:rsid w:val="00F014DB"/>
    <w:rsid w:val="00F018F1"/>
    <w:rsid w:val="00F01CA2"/>
    <w:rsid w:val="00F02260"/>
    <w:rsid w:val="00F02B8F"/>
    <w:rsid w:val="00F02DBB"/>
    <w:rsid w:val="00F02E38"/>
    <w:rsid w:val="00F03440"/>
    <w:rsid w:val="00F034F9"/>
    <w:rsid w:val="00F03769"/>
    <w:rsid w:val="00F03CED"/>
    <w:rsid w:val="00F04191"/>
    <w:rsid w:val="00F04342"/>
    <w:rsid w:val="00F045BB"/>
    <w:rsid w:val="00F0477A"/>
    <w:rsid w:val="00F04B07"/>
    <w:rsid w:val="00F04BA3"/>
    <w:rsid w:val="00F04C66"/>
    <w:rsid w:val="00F04C81"/>
    <w:rsid w:val="00F05365"/>
    <w:rsid w:val="00F054AD"/>
    <w:rsid w:val="00F054B0"/>
    <w:rsid w:val="00F05734"/>
    <w:rsid w:val="00F058A6"/>
    <w:rsid w:val="00F06081"/>
    <w:rsid w:val="00F062B4"/>
    <w:rsid w:val="00F0631A"/>
    <w:rsid w:val="00F06609"/>
    <w:rsid w:val="00F06747"/>
    <w:rsid w:val="00F06867"/>
    <w:rsid w:val="00F06887"/>
    <w:rsid w:val="00F06A15"/>
    <w:rsid w:val="00F06C22"/>
    <w:rsid w:val="00F06EF5"/>
    <w:rsid w:val="00F07078"/>
    <w:rsid w:val="00F07635"/>
    <w:rsid w:val="00F07643"/>
    <w:rsid w:val="00F0771E"/>
    <w:rsid w:val="00F07798"/>
    <w:rsid w:val="00F077FA"/>
    <w:rsid w:val="00F07B02"/>
    <w:rsid w:val="00F07B37"/>
    <w:rsid w:val="00F07C31"/>
    <w:rsid w:val="00F07C5E"/>
    <w:rsid w:val="00F07D69"/>
    <w:rsid w:val="00F07F9E"/>
    <w:rsid w:val="00F1010A"/>
    <w:rsid w:val="00F1049E"/>
    <w:rsid w:val="00F1052A"/>
    <w:rsid w:val="00F1066C"/>
    <w:rsid w:val="00F107DD"/>
    <w:rsid w:val="00F115BE"/>
    <w:rsid w:val="00F11694"/>
    <w:rsid w:val="00F1175D"/>
    <w:rsid w:val="00F117C8"/>
    <w:rsid w:val="00F11870"/>
    <w:rsid w:val="00F11A0B"/>
    <w:rsid w:val="00F11B1A"/>
    <w:rsid w:val="00F120DC"/>
    <w:rsid w:val="00F12401"/>
    <w:rsid w:val="00F12487"/>
    <w:rsid w:val="00F125C4"/>
    <w:rsid w:val="00F125D7"/>
    <w:rsid w:val="00F129C0"/>
    <w:rsid w:val="00F12ADD"/>
    <w:rsid w:val="00F12E11"/>
    <w:rsid w:val="00F12E52"/>
    <w:rsid w:val="00F1323F"/>
    <w:rsid w:val="00F1356C"/>
    <w:rsid w:val="00F13638"/>
    <w:rsid w:val="00F13639"/>
    <w:rsid w:val="00F13675"/>
    <w:rsid w:val="00F13971"/>
    <w:rsid w:val="00F13A6B"/>
    <w:rsid w:val="00F13A73"/>
    <w:rsid w:val="00F13C6E"/>
    <w:rsid w:val="00F13D48"/>
    <w:rsid w:val="00F13DDF"/>
    <w:rsid w:val="00F13E11"/>
    <w:rsid w:val="00F1400C"/>
    <w:rsid w:val="00F142DE"/>
    <w:rsid w:val="00F14611"/>
    <w:rsid w:val="00F14AC4"/>
    <w:rsid w:val="00F14CA8"/>
    <w:rsid w:val="00F14D8F"/>
    <w:rsid w:val="00F14DD5"/>
    <w:rsid w:val="00F150DD"/>
    <w:rsid w:val="00F1517C"/>
    <w:rsid w:val="00F15228"/>
    <w:rsid w:val="00F15562"/>
    <w:rsid w:val="00F158AB"/>
    <w:rsid w:val="00F15F16"/>
    <w:rsid w:val="00F1614A"/>
    <w:rsid w:val="00F16301"/>
    <w:rsid w:val="00F16333"/>
    <w:rsid w:val="00F1637D"/>
    <w:rsid w:val="00F166BC"/>
    <w:rsid w:val="00F16CE0"/>
    <w:rsid w:val="00F16EC6"/>
    <w:rsid w:val="00F16F48"/>
    <w:rsid w:val="00F172FF"/>
    <w:rsid w:val="00F178E4"/>
    <w:rsid w:val="00F17AE3"/>
    <w:rsid w:val="00F17C04"/>
    <w:rsid w:val="00F17D5A"/>
    <w:rsid w:val="00F17D8E"/>
    <w:rsid w:val="00F17DB6"/>
    <w:rsid w:val="00F17EA2"/>
    <w:rsid w:val="00F17EC0"/>
    <w:rsid w:val="00F17F44"/>
    <w:rsid w:val="00F17FD4"/>
    <w:rsid w:val="00F2035E"/>
    <w:rsid w:val="00F206E2"/>
    <w:rsid w:val="00F20DAB"/>
    <w:rsid w:val="00F217A2"/>
    <w:rsid w:val="00F21933"/>
    <w:rsid w:val="00F21BE5"/>
    <w:rsid w:val="00F21CBA"/>
    <w:rsid w:val="00F22114"/>
    <w:rsid w:val="00F225AF"/>
    <w:rsid w:val="00F226B2"/>
    <w:rsid w:val="00F22D86"/>
    <w:rsid w:val="00F22EF1"/>
    <w:rsid w:val="00F2356F"/>
    <w:rsid w:val="00F237D6"/>
    <w:rsid w:val="00F2386D"/>
    <w:rsid w:val="00F2397B"/>
    <w:rsid w:val="00F239AA"/>
    <w:rsid w:val="00F23CB1"/>
    <w:rsid w:val="00F23CC1"/>
    <w:rsid w:val="00F24023"/>
    <w:rsid w:val="00F243D5"/>
    <w:rsid w:val="00F24677"/>
    <w:rsid w:val="00F246D2"/>
    <w:rsid w:val="00F24F42"/>
    <w:rsid w:val="00F24FC3"/>
    <w:rsid w:val="00F250FA"/>
    <w:rsid w:val="00F25122"/>
    <w:rsid w:val="00F25330"/>
    <w:rsid w:val="00F25597"/>
    <w:rsid w:val="00F25AC7"/>
    <w:rsid w:val="00F25EC1"/>
    <w:rsid w:val="00F2600E"/>
    <w:rsid w:val="00F26336"/>
    <w:rsid w:val="00F263D8"/>
    <w:rsid w:val="00F2648F"/>
    <w:rsid w:val="00F26694"/>
    <w:rsid w:val="00F26A21"/>
    <w:rsid w:val="00F26A45"/>
    <w:rsid w:val="00F26ABD"/>
    <w:rsid w:val="00F26BBF"/>
    <w:rsid w:val="00F26D05"/>
    <w:rsid w:val="00F26D4E"/>
    <w:rsid w:val="00F26F6D"/>
    <w:rsid w:val="00F26FA6"/>
    <w:rsid w:val="00F270E8"/>
    <w:rsid w:val="00F273A5"/>
    <w:rsid w:val="00F27BC3"/>
    <w:rsid w:val="00F27D23"/>
    <w:rsid w:val="00F27DF1"/>
    <w:rsid w:val="00F3059F"/>
    <w:rsid w:val="00F31463"/>
    <w:rsid w:val="00F316A4"/>
    <w:rsid w:val="00F31768"/>
    <w:rsid w:val="00F318A4"/>
    <w:rsid w:val="00F318AE"/>
    <w:rsid w:val="00F31A0B"/>
    <w:rsid w:val="00F32114"/>
    <w:rsid w:val="00F3222A"/>
    <w:rsid w:val="00F3245A"/>
    <w:rsid w:val="00F32580"/>
    <w:rsid w:val="00F328D2"/>
    <w:rsid w:val="00F32917"/>
    <w:rsid w:val="00F329A8"/>
    <w:rsid w:val="00F32A23"/>
    <w:rsid w:val="00F32F22"/>
    <w:rsid w:val="00F3313E"/>
    <w:rsid w:val="00F3334F"/>
    <w:rsid w:val="00F333A1"/>
    <w:rsid w:val="00F3340E"/>
    <w:rsid w:val="00F33570"/>
    <w:rsid w:val="00F33DE3"/>
    <w:rsid w:val="00F3406A"/>
    <w:rsid w:val="00F34191"/>
    <w:rsid w:val="00F346CC"/>
    <w:rsid w:val="00F347CE"/>
    <w:rsid w:val="00F35135"/>
    <w:rsid w:val="00F354E2"/>
    <w:rsid w:val="00F3583E"/>
    <w:rsid w:val="00F35C96"/>
    <w:rsid w:val="00F35D94"/>
    <w:rsid w:val="00F35DFF"/>
    <w:rsid w:val="00F35FED"/>
    <w:rsid w:val="00F361B3"/>
    <w:rsid w:val="00F368DA"/>
    <w:rsid w:val="00F3691F"/>
    <w:rsid w:val="00F369BE"/>
    <w:rsid w:val="00F36DC2"/>
    <w:rsid w:val="00F36EB4"/>
    <w:rsid w:val="00F36FE3"/>
    <w:rsid w:val="00F37306"/>
    <w:rsid w:val="00F37404"/>
    <w:rsid w:val="00F375F5"/>
    <w:rsid w:val="00F37827"/>
    <w:rsid w:val="00F37B94"/>
    <w:rsid w:val="00F4019D"/>
    <w:rsid w:val="00F4024F"/>
    <w:rsid w:val="00F40709"/>
    <w:rsid w:val="00F4095B"/>
    <w:rsid w:val="00F40970"/>
    <w:rsid w:val="00F40B9F"/>
    <w:rsid w:val="00F41556"/>
    <w:rsid w:val="00F41682"/>
    <w:rsid w:val="00F41722"/>
    <w:rsid w:val="00F417B9"/>
    <w:rsid w:val="00F41F01"/>
    <w:rsid w:val="00F422C4"/>
    <w:rsid w:val="00F425F2"/>
    <w:rsid w:val="00F42AEC"/>
    <w:rsid w:val="00F42C43"/>
    <w:rsid w:val="00F431A4"/>
    <w:rsid w:val="00F43201"/>
    <w:rsid w:val="00F4322C"/>
    <w:rsid w:val="00F43284"/>
    <w:rsid w:val="00F435E8"/>
    <w:rsid w:val="00F43724"/>
    <w:rsid w:val="00F43819"/>
    <w:rsid w:val="00F43839"/>
    <w:rsid w:val="00F43C76"/>
    <w:rsid w:val="00F43EA5"/>
    <w:rsid w:val="00F440C3"/>
    <w:rsid w:val="00F4412B"/>
    <w:rsid w:val="00F44395"/>
    <w:rsid w:val="00F446F7"/>
    <w:rsid w:val="00F4482F"/>
    <w:rsid w:val="00F4496C"/>
    <w:rsid w:val="00F44992"/>
    <w:rsid w:val="00F44A08"/>
    <w:rsid w:val="00F44AC2"/>
    <w:rsid w:val="00F44C2A"/>
    <w:rsid w:val="00F44F71"/>
    <w:rsid w:val="00F45C26"/>
    <w:rsid w:val="00F45F90"/>
    <w:rsid w:val="00F461A4"/>
    <w:rsid w:val="00F463F6"/>
    <w:rsid w:val="00F46692"/>
    <w:rsid w:val="00F46949"/>
    <w:rsid w:val="00F46A19"/>
    <w:rsid w:val="00F46A3B"/>
    <w:rsid w:val="00F46BE4"/>
    <w:rsid w:val="00F47049"/>
    <w:rsid w:val="00F47A71"/>
    <w:rsid w:val="00F47C90"/>
    <w:rsid w:val="00F5010F"/>
    <w:rsid w:val="00F50774"/>
    <w:rsid w:val="00F50B0F"/>
    <w:rsid w:val="00F50BFC"/>
    <w:rsid w:val="00F50DB4"/>
    <w:rsid w:val="00F50FD0"/>
    <w:rsid w:val="00F5141E"/>
    <w:rsid w:val="00F51495"/>
    <w:rsid w:val="00F5153D"/>
    <w:rsid w:val="00F51B88"/>
    <w:rsid w:val="00F51D5C"/>
    <w:rsid w:val="00F51D67"/>
    <w:rsid w:val="00F521D0"/>
    <w:rsid w:val="00F522DC"/>
    <w:rsid w:val="00F52822"/>
    <w:rsid w:val="00F52912"/>
    <w:rsid w:val="00F52B3C"/>
    <w:rsid w:val="00F52B8C"/>
    <w:rsid w:val="00F52BF3"/>
    <w:rsid w:val="00F531DB"/>
    <w:rsid w:val="00F5369C"/>
    <w:rsid w:val="00F53941"/>
    <w:rsid w:val="00F5396E"/>
    <w:rsid w:val="00F53C50"/>
    <w:rsid w:val="00F53E9F"/>
    <w:rsid w:val="00F53EA7"/>
    <w:rsid w:val="00F5422F"/>
    <w:rsid w:val="00F544A7"/>
    <w:rsid w:val="00F54513"/>
    <w:rsid w:val="00F545AE"/>
    <w:rsid w:val="00F5475F"/>
    <w:rsid w:val="00F5490E"/>
    <w:rsid w:val="00F54944"/>
    <w:rsid w:val="00F54B92"/>
    <w:rsid w:val="00F54F29"/>
    <w:rsid w:val="00F5538A"/>
    <w:rsid w:val="00F553C1"/>
    <w:rsid w:val="00F5547B"/>
    <w:rsid w:val="00F5556B"/>
    <w:rsid w:val="00F56261"/>
    <w:rsid w:val="00F56265"/>
    <w:rsid w:val="00F56905"/>
    <w:rsid w:val="00F56E49"/>
    <w:rsid w:val="00F571FC"/>
    <w:rsid w:val="00F575E7"/>
    <w:rsid w:val="00F576B5"/>
    <w:rsid w:val="00F57764"/>
    <w:rsid w:val="00F5791C"/>
    <w:rsid w:val="00F57C7B"/>
    <w:rsid w:val="00F601FC"/>
    <w:rsid w:val="00F609F2"/>
    <w:rsid w:val="00F60A65"/>
    <w:rsid w:val="00F60B0D"/>
    <w:rsid w:val="00F60B9E"/>
    <w:rsid w:val="00F60BB7"/>
    <w:rsid w:val="00F60C21"/>
    <w:rsid w:val="00F60C9D"/>
    <w:rsid w:val="00F611DB"/>
    <w:rsid w:val="00F61361"/>
    <w:rsid w:val="00F61563"/>
    <w:rsid w:val="00F61D2A"/>
    <w:rsid w:val="00F61D69"/>
    <w:rsid w:val="00F621DB"/>
    <w:rsid w:val="00F6234B"/>
    <w:rsid w:val="00F62543"/>
    <w:rsid w:val="00F62998"/>
    <w:rsid w:val="00F62A10"/>
    <w:rsid w:val="00F62DCB"/>
    <w:rsid w:val="00F63360"/>
    <w:rsid w:val="00F636F8"/>
    <w:rsid w:val="00F6376F"/>
    <w:rsid w:val="00F63863"/>
    <w:rsid w:val="00F63963"/>
    <w:rsid w:val="00F639EF"/>
    <w:rsid w:val="00F63B73"/>
    <w:rsid w:val="00F6416B"/>
    <w:rsid w:val="00F642A3"/>
    <w:rsid w:val="00F64910"/>
    <w:rsid w:val="00F64A67"/>
    <w:rsid w:val="00F64D28"/>
    <w:rsid w:val="00F652A8"/>
    <w:rsid w:val="00F65618"/>
    <w:rsid w:val="00F65633"/>
    <w:rsid w:val="00F6565B"/>
    <w:rsid w:val="00F65915"/>
    <w:rsid w:val="00F65E26"/>
    <w:rsid w:val="00F6641C"/>
    <w:rsid w:val="00F66B05"/>
    <w:rsid w:val="00F66B9F"/>
    <w:rsid w:val="00F66C1E"/>
    <w:rsid w:val="00F66CC6"/>
    <w:rsid w:val="00F6734B"/>
    <w:rsid w:val="00F675FB"/>
    <w:rsid w:val="00F676C0"/>
    <w:rsid w:val="00F677D8"/>
    <w:rsid w:val="00F677EF"/>
    <w:rsid w:val="00F67972"/>
    <w:rsid w:val="00F67C61"/>
    <w:rsid w:val="00F67F1E"/>
    <w:rsid w:val="00F702A9"/>
    <w:rsid w:val="00F705FE"/>
    <w:rsid w:val="00F70651"/>
    <w:rsid w:val="00F7075D"/>
    <w:rsid w:val="00F70A41"/>
    <w:rsid w:val="00F70C04"/>
    <w:rsid w:val="00F70DA4"/>
    <w:rsid w:val="00F711D5"/>
    <w:rsid w:val="00F713C8"/>
    <w:rsid w:val="00F7141B"/>
    <w:rsid w:val="00F714E0"/>
    <w:rsid w:val="00F7164F"/>
    <w:rsid w:val="00F71B31"/>
    <w:rsid w:val="00F71E8C"/>
    <w:rsid w:val="00F72070"/>
    <w:rsid w:val="00F723A4"/>
    <w:rsid w:val="00F729C1"/>
    <w:rsid w:val="00F72B63"/>
    <w:rsid w:val="00F72CC9"/>
    <w:rsid w:val="00F73796"/>
    <w:rsid w:val="00F738D8"/>
    <w:rsid w:val="00F740DC"/>
    <w:rsid w:val="00F74278"/>
    <w:rsid w:val="00F74283"/>
    <w:rsid w:val="00F74286"/>
    <w:rsid w:val="00F742D9"/>
    <w:rsid w:val="00F742F0"/>
    <w:rsid w:val="00F74465"/>
    <w:rsid w:val="00F74658"/>
    <w:rsid w:val="00F7468A"/>
    <w:rsid w:val="00F74B19"/>
    <w:rsid w:val="00F74B22"/>
    <w:rsid w:val="00F74D49"/>
    <w:rsid w:val="00F753A5"/>
    <w:rsid w:val="00F753A6"/>
    <w:rsid w:val="00F75751"/>
    <w:rsid w:val="00F7579B"/>
    <w:rsid w:val="00F7585D"/>
    <w:rsid w:val="00F758F6"/>
    <w:rsid w:val="00F762B8"/>
    <w:rsid w:val="00F764D5"/>
    <w:rsid w:val="00F765D8"/>
    <w:rsid w:val="00F76AB1"/>
    <w:rsid w:val="00F76CB0"/>
    <w:rsid w:val="00F76E0F"/>
    <w:rsid w:val="00F772CE"/>
    <w:rsid w:val="00F773B0"/>
    <w:rsid w:val="00F7796F"/>
    <w:rsid w:val="00F77DAD"/>
    <w:rsid w:val="00F77EC1"/>
    <w:rsid w:val="00F800B9"/>
    <w:rsid w:val="00F80EAE"/>
    <w:rsid w:val="00F813E3"/>
    <w:rsid w:val="00F8152F"/>
    <w:rsid w:val="00F815E6"/>
    <w:rsid w:val="00F816CD"/>
    <w:rsid w:val="00F816E8"/>
    <w:rsid w:val="00F81AB4"/>
    <w:rsid w:val="00F81AD1"/>
    <w:rsid w:val="00F81D0E"/>
    <w:rsid w:val="00F822F5"/>
    <w:rsid w:val="00F82574"/>
    <w:rsid w:val="00F82676"/>
    <w:rsid w:val="00F8274A"/>
    <w:rsid w:val="00F82CD5"/>
    <w:rsid w:val="00F83443"/>
    <w:rsid w:val="00F83A04"/>
    <w:rsid w:val="00F83E7F"/>
    <w:rsid w:val="00F83E94"/>
    <w:rsid w:val="00F83F46"/>
    <w:rsid w:val="00F83F82"/>
    <w:rsid w:val="00F840DB"/>
    <w:rsid w:val="00F8418E"/>
    <w:rsid w:val="00F84289"/>
    <w:rsid w:val="00F844E9"/>
    <w:rsid w:val="00F845D8"/>
    <w:rsid w:val="00F846C9"/>
    <w:rsid w:val="00F8470C"/>
    <w:rsid w:val="00F84B0F"/>
    <w:rsid w:val="00F84E5A"/>
    <w:rsid w:val="00F85250"/>
    <w:rsid w:val="00F85406"/>
    <w:rsid w:val="00F85642"/>
    <w:rsid w:val="00F85703"/>
    <w:rsid w:val="00F85B45"/>
    <w:rsid w:val="00F85CCB"/>
    <w:rsid w:val="00F85DE5"/>
    <w:rsid w:val="00F865D0"/>
    <w:rsid w:val="00F8671F"/>
    <w:rsid w:val="00F86867"/>
    <w:rsid w:val="00F869CB"/>
    <w:rsid w:val="00F86DE6"/>
    <w:rsid w:val="00F87193"/>
    <w:rsid w:val="00F871B4"/>
    <w:rsid w:val="00F87213"/>
    <w:rsid w:val="00F87340"/>
    <w:rsid w:val="00F8766A"/>
    <w:rsid w:val="00F8787C"/>
    <w:rsid w:val="00F87AE2"/>
    <w:rsid w:val="00F87B44"/>
    <w:rsid w:val="00F90597"/>
    <w:rsid w:val="00F909AB"/>
    <w:rsid w:val="00F91239"/>
    <w:rsid w:val="00F912A0"/>
    <w:rsid w:val="00F92006"/>
    <w:rsid w:val="00F92115"/>
    <w:rsid w:val="00F92146"/>
    <w:rsid w:val="00F9230F"/>
    <w:rsid w:val="00F925CB"/>
    <w:rsid w:val="00F92654"/>
    <w:rsid w:val="00F92C97"/>
    <w:rsid w:val="00F92D60"/>
    <w:rsid w:val="00F92F1C"/>
    <w:rsid w:val="00F9307D"/>
    <w:rsid w:val="00F93090"/>
    <w:rsid w:val="00F930D5"/>
    <w:rsid w:val="00F9318A"/>
    <w:rsid w:val="00F931FE"/>
    <w:rsid w:val="00F9334F"/>
    <w:rsid w:val="00F935A4"/>
    <w:rsid w:val="00F9378A"/>
    <w:rsid w:val="00F939A2"/>
    <w:rsid w:val="00F93DA7"/>
    <w:rsid w:val="00F93DF7"/>
    <w:rsid w:val="00F93F0B"/>
    <w:rsid w:val="00F9410D"/>
    <w:rsid w:val="00F9425C"/>
    <w:rsid w:val="00F94580"/>
    <w:rsid w:val="00F94582"/>
    <w:rsid w:val="00F9482F"/>
    <w:rsid w:val="00F948B8"/>
    <w:rsid w:val="00F949B9"/>
    <w:rsid w:val="00F94A73"/>
    <w:rsid w:val="00F94CB2"/>
    <w:rsid w:val="00F95121"/>
    <w:rsid w:val="00F95302"/>
    <w:rsid w:val="00F95305"/>
    <w:rsid w:val="00F95311"/>
    <w:rsid w:val="00F955DC"/>
    <w:rsid w:val="00F95632"/>
    <w:rsid w:val="00F959B2"/>
    <w:rsid w:val="00F95C1A"/>
    <w:rsid w:val="00F9604D"/>
    <w:rsid w:val="00F9620F"/>
    <w:rsid w:val="00F962BF"/>
    <w:rsid w:val="00F962C0"/>
    <w:rsid w:val="00F963BB"/>
    <w:rsid w:val="00F9682A"/>
    <w:rsid w:val="00F969CB"/>
    <w:rsid w:val="00F96B8D"/>
    <w:rsid w:val="00F96C34"/>
    <w:rsid w:val="00F96CCA"/>
    <w:rsid w:val="00F970C9"/>
    <w:rsid w:val="00F9728D"/>
    <w:rsid w:val="00F97661"/>
    <w:rsid w:val="00F976C6"/>
    <w:rsid w:val="00F977F1"/>
    <w:rsid w:val="00F97886"/>
    <w:rsid w:val="00F97AF0"/>
    <w:rsid w:val="00F97F57"/>
    <w:rsid w:val="00F97F93"/>
    <w:rsid w:val="00FA01FE"/>
    <w:rsid w:val="00FA0256"/>
    <w:rsid w:val="00FA040D"/>
    <w:rsid w:val="00FA043E"/>
    <w:rsid w:val="00FA05AB"/>
    <w:rsid w:val="00FA06C5"/>
    <w:rsid w:val="00FA06DA"/>
    <w:rsid w:val="00FA06FA"/>
    <w:rsid w:val="00FA07F3"/>
    <w:rsid w:val="00FA0832"/>
    <w:rsid w:val="00FA086B"/>
    <w:rsid w:val="00FA091B"/>
    <w:rsid w:val="00FA0929"/>
    <w:rsid w:val="00FA0A54"/>
    <w:rsid w:val="00FA0A76"/>
    <w:rsid w:val="00FA0E2D"/>
    <w:rsid w:val="00FA0E4C"/>
    <w:rsid w:val="00FA124B"/>
    <w:rsid w:val="00FA124D"/>
    <w:rsid w:val="00FA127E"/>
    <w:rsid w:val="00FA1352"/>
    <w:rsid w:val="00FA1D6B"/>
    <w:rsid w:val="00FA1F75"/>
    <w:rsid w:val="00FA1FFB"/>
    <w:rsid w:val="00FA247B"/>
    <w:rsid w:val="00FA24F8"/>
    <w:rsid w:val="00FA2653"/>
    <w:rsid w:val="00FA2654"/>
    <w:rsid w:val="00FA275C"/>
    <w:rsid w:val="00FA277E"/>
    <w:rsid w:val="00FA2AF0"/>
    <w:rsid w:val="00FA2BE8"/>
    <w:rsid w:val="00FA2CC7"/>
    <w:rsid w:val="00FA2DE6"/>
    <w:rsid w:val="00FA3003"/>
    <w:rsid w:val="00FA33FD"/>
    <w:rsid w:val="00FA3515"/>
    <w:rsid w:val="00FA3731"/>
    <w:rsid w:val="00FA37D5"/>
    <w:rsid w:val="00FA3F12"/>
    <w:rsid w:val="00FA41F1"/>
    <w:rsid w:val="00FA43E7"/>
    <w:rsid w:val="00FA494B"/>
    <w:rsid w:val="00FA4985"/>
    <w:rsid w:val="00FA4CA8"/>
    <w:rsid w:val="00FA507B"/>
    <w:rsid w:val="00FA54F2"/>
    <w:rsid w:val="00FA5A1D"/>
    <w:rsid w:val="00FA5A4E"/>
    <w:rsid w:val="00FA5D6E"/>
    <w:rsid w:val="00FA5DE3"/>
    <w:rsid w:val="00FA5F4D"/>
    <w:rsid w:val="00FA6185"/>
    <w:rsid w:val="00FA6673"/>
    <w:rsid w:val="00FA6678"/>
    <w:rsid w:val="00FA6802"/>
    <w:rsid w:val="00FA69C4"/>
    <w:rsid w:val="00FA6CC2"/>
    <w:rsid w:val="00FA79AC"/>
    <w:rsid w:val="00FA7A60"/>
    <w:rsid w:val="00FA7B5C"/>
    <w:rsid w:val="00FA7BCD"/>
    <w:rsid w:val="00FA7ED4"/>
    <w:rsid w:val="00FB04FD"/>
    <w:rsid w:val="00FB0BED"/>
    <w:rsid w:val="00FB0C29"/>
    <w:rsid w:val="00FB0DF8"/>
    <w:rsid w:val="00FB128C"/>
    <w:rsid w:val="00FB1AB3"/>
    <w:rsid w:val="00FB1FEE"/>
    <w:rsid w:val="00FB209C"/>
    <w:rsid w:val="00FB20D4"/>
    <w:rsid w:val="00FB230D"/>
    <w:rsid w:val="00FB2408"/>
    <w:rsid w:val="00FB32A6"/>
    <w:rsid w:val="00FB368C"/>
    <w:rsid w:val="00FB36C2"/>
    <w:rsid w:val="00FB3AE6"/>
    <w:rsid w:val="00FB3CA0"/>
    <w:rsid w:val="00FB416C"/>
    <w:rsid w:val="00FB41F5"/>
    <w:rsid w:val="00FB4D77"/>
    <w:rsid w:val="00FB51F0"/>
    <w:rsid w:val="00FB53C5"/>
    <w:rsid w:val="00FB571A"/>
    <w:rsid w:val="00FB5A09"/>
    <w:rsid w:val="00FB5BAF"/>
    <w:rsid w:val="00FB5C2C"/>
    <w:rsid w:val="00FB6357"/>
    <w:rsid w:val="00FB64A1"/>
    <w:rsid w:val="00FB6564"/>
    <w:rsid w:val="00FB6BC3"/>
    <w:rsid w:val="00FB6FC9"/>
    <w:rsid w:val="00FB71D8"/>
    <w:rsid w:val="00FB7552"/>
    <w:rsid w:val="00FB7615"/>
    <w:rsid w:val="00FB779B"/>
    <w:rsid w:val="00FB7915"/>
    <w:rsid w:val="00FB79B9"/>
    <w:rsid w:val="00FB7B1C"/>
    <w:rsid w:val="00FC00CA"/>
    <w:rsid w:val="00FC0239"/>
    <w:rsid w:val="00FC02B9"/>
    <w:rsid w:val="00FC0324"/>
    <w:rsid w:val="00FC064F"/>
    <w:rsid w:val="00FC0682"/>
    <w:rsid w:val="00FC06F0"/>
    <w:rsid w:val="00FC133D"/>
    <w:rsid w:val="00FC14D6"/>
    <w:rsid w:val="00FC16B2"/>
    <w:rsid w:val="00FC18C1"/>
    <w:rsid w:val="00FC19D2"/>
    <w:rsid w:val="00FC1CDE"/>
    <w:rsid w:val="00FC1F5C"/>
    <w:rsid w:val="00FC222D"/>
    <w:rsid w:val="00FC24B9"/>
    <w:rsid w:val="00FC2572"/>
    <w:rsid w:val="00FC2AEB"/>
    <w:rsid w:val="00FC358C"/>
    <w:rsid w:val="00FC35F1"/>
    <w:rsid w:val="00FC37E5"/>
    <w:rsid w:val="00FC384F"/>
    <w:rsid w:val="00FC3C55"/>
    <w:rsid w:val="00FC3CD6"/>
    <w:rsid w:val="00FC3D3B"/>
    <w:rsid w:val="00FC4044"/>
    <w:rsid w:val="00FC4247"/>
    <w:rsid w:val="00FC42EC"/>
    <w:rsid w:val="00FC43E9"/>
    <w:rsid w:val="00FC43EF"/>
    <w:rsid w:val="00FC48FB"/>
    <w:rsid w:val="00FC4A76"/>
    <w:rsid w:val="00FC4B8C"/>
    <w:rsid w:val="00FC543D"/>
    <w:rsid w:val="00FC55F2"/>
    <w:rsid w:val="00FC567C"/>
    <w:rsid w:val="00FC5D22"/>
    <w:rsid w:val="00FC5E56"/>
    <w:rsid w:val="00FC63AB"/>
    <w:rsid w:val="00FC64A9"/>
    <w:rsid w:val="00FC6D86"/>
    <w:rsid w:val="00FC6F2F"/>
    <w:rsid w:val="00FC723C"/>
    <w:rsid w:val="00FC741D"/>
    <w:rsid w:val="00FC7527"/>
    <w:rsid w:val="00FC75E2"/>
    <w:rsid w:val="00FC7641"/>
    <w:rsid w:val="00FC76CD"/>
    <w:rsid w:val="00FC78EB"/>
    <w:rsid w:val="00FC7A8B"/>
    <w:rsid w:val="00FD009A"/>
    <w:rsid w:val="00FD019A"/>
    <w:rsid w:val="00FD026A"/>
    <w:rsid w:val="00FD0B44"/>
    <w:rsid w:val="00FD0E5B"/>
    <w:rsid w:val="00FD1088"/>
    <w:rsid w:val="00FD1386"/>
    <w:rsid w:val="00FD148B"/>
    <w:rsid w:val="00FD1877"/>
    <w:rsid w:val="00FD19D0"/>
    <w:rsid w:val="00FD1AC0"/>
    <w:rsid w:val="00FD1DE5"/>
    <w:rsid w:val="00FD2931"/>
    <w:rsid w:val="00FD2DBD"/>
    <w:rsid w:val="00FD3360"/>
    <w:rsid w:val="00FD33AB"/>
    <w:rsid w:val="00FD33E3"/>
    <w:rsid w:val="00FD369E"/>
    <w:rsid w:val="00FD381D"/>
    <w:rsid w:val="00FD3867"/>
    <w:rsid w:val="00FD3982"/>
    <w:rsid w:val="00FD3FA7"/>
    <w:rsid w:val="00FD4160"/>
    <w:rsid w:val="00FD440F"/>
    <w:rsid w:val="00FD449E"/>
    <w:rsid w:val="00FD46B0"/>
    <w:rsid w:val="00FD5595"/>
    <w:rsid w:val="00FD5642"/>
    <w:rsid w:val="00FD5674"/>
    <w:rsid w:val="00FD59B3"/>
    <w:rsid w:val="00FD59B4"/>
    <w:rsid w:val="00FD5A4F"/>
    <w:rsid w:val="00FD5C39"/>
    <w:rsid w:val="00FD5DA3"/>
    <w:rsid w:val="00FD5F22"/>
    <w:rsid w:val="00FD60AB"/>
    <w:rsid w:val="00FD6256"/>
    <w:rsid w:val="00FD6DA4"/>
    <w:rsid w:val="00FD6E11"/>
    <w:rsid w:val="00FD6E51"/>
    <w:rsid w:val="00FD6F86"/>
    <w:rsid w:val="00FD710B"/>
    <w:rsid w:val="00FD72AD"/>
    <w:rsid w:val="00FD7728"/>
    <w:rsid w:val="00FE0696"/>
    <w:rsid w:val="00FE086D"/>
    <w:rsid w:val="00FE0BCE"/>
    <w:rsid w:val="00FE0C69"/>
    <w:rsid w:val="00FE0F34"/>
    <w:rsid w:val="00FE0FB4"/>
    <w:rsid w:val="00FE108B"/>
    <w:rsid w:val="00FE11BC"/>
    <w:rsid w:val="00FE1394"/>
    <w:rsid w:val="00FE1443"/>
    <w:rsid w:val="00FE1447"/>
    <w:rsid w:val="00FE147E"/>
    <w:rsid w:val="00FE14CD"/>
    <w:rsid w:val="00FE1657"/>
    <w:rsid w:val="00FE17FC"/>
    <w:rsid w:val="00FE1CA2"/>
    <w:rsid w:val="00FE1D2B"/>
    <w:rsid w:val="00FE2638"/>
    <w:rsid w:val="00FE2872"/>
    <w:rsid w:val="00FE33C0"/>
    <w:rsid w:val="00FE3450"/>
    <w:rsid w:val="00FE3BEE"/>
    <w:rsid w:val="00FE3CB2"/>
    <w:rsid w:val="00FE3D07"/>
    <w:rsid w:val="00FE3D0F"/>
    <w:rsid w:val="00FE3EEB"/>
    <w:rsid w:val="00FE4579"/>
    <w:rsid w:val="00FE4CB1"/>
    <w:rsid w:val="00FE5678"/>
    <w:rsid w:val="00FE582F"/>
    <w:rsid w:val="00FE5953"/>
    <w:rsid w:val="00FE603A"/>
    <w:rsid w:val="00FE657E"/>
    <w:rsid w:val="00FE6662"/>
    <w:rsid w:val="00FE66E3"/>
    <w:rsid w:val="00FE69D2"/>
    <w:rsid w:val="00FE6A24"/>
    <w:rsid w:val="00FE73E1"/>
    <w:rsid w:val="00FE7543"/>
    <w:rsid w:val="00FE75DD"/>
    <w:rsid w:val="00FE7C99"/>
    <w:rsid w:val="00FE7EA5"/>
    <w:rsid w:val="00FE7F08"/>
    <w:rsid w:val="00FE7F36"/>
    <w:rsid w:val="00FF027B"/>
    <w:rsid w:val="00FF03A2"/>
    <w:rsid w:val="00FF03BA"/>
    <w:rsid w:val="00FF0631"/>
    <w:rsid w:val="00FF0E3B"/>
    <w:rsid w:val="00FF114B"/>
    <w:rsid w:val="00FF11A6"/>
    <w:rsid w:val="00FF123D"/>
    <w:rsid w:val="00FF134F"/>
    <w:rsid w:val="00FF13B9"/>
    <w:rsid w:val="00FF1566"/>
    <w:rsid w:val="00FF168E"/>
    <w:rsid w:val="00FF1A35"/>
    <w:rsid w:val="00FF1AE7"/>
    <w:rsid w:val="00FF1E19"/>
    <w:rsid w:val="00FF1F1F"/>
    <w:rsid w:val="00FF2A22"/>
    <w:rsid w:val="00FF2C65"/>
    <w:rsid w:val="00FF2CEC"/>
    <w:rsid w:val="00FF2E27"/>
    <w:rsid w:val="00FF3549"/>
    <w:rsid w:val="00FF36A8"/>
    <w:rsid w:val="00FF3A23"/>
    <w:rsid w:val="00FF3A2F"/>
    <w:rsid w:val="00FF3C9E"/>
    <w:rsid w:val="00FF3F3C"/>
    <w:rsid w:val="00FF3FDC"/>
    <w:rsid w:val="00FF404B"/>
    <w:rsid w:val="00FF4306"/>
    <w:rsid w:val="00FF45A1"/>
    <w:rsid w:val="00FF4844"/>
    <w:rsid w:val="00FF5090"/>
    <w:rsid w:val="00FF525C"/>
    <w:rsid w:val="00FF52B8"/>
    <w:rsid w:val="00FF537D"/>
    <w:rsid w:val="00FF575F"/>
    <w:rsid w:val="00FF595D"/>
    <w:rsid w:val="00FF598E"/>
    <w:rsid w:val="00FF5A4A"/>
    <w:rsid w:val="00FF5B48"/>
    <w:rsid w:val="00FF5B92"/>
    <w:rsid w:val="00FF5CDD"/>
    <w:rsid w:val="00FF5E1D"/>
    <w:rsid w:val="00FF6090"/>
    <w:rsid w:val="00FF6092"/>
    <w:rsid w:val="00FF635C"/>
    <w:rsid w:val="00FF6840"/>
    <w:rsid w:val="00FF6A5B"/>
    <w:rsid w:val="00FF6D7E"/>
    <w:rsid w:val="00FF70EA"/>
    <w:rsid w:val="00FF7864"/>
    <w:rsid w:val="00FF7962"/>
    <w:rsid w:val="00FF7A3F"/>
    <w:rsid w:val="00FF7C16"/>
    <w:rsid w:val="00FF7D21"/>
    <w:rsid w:val="00FF7D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CC585"/>
  <w15:docId w15:val="{450DD4B8-B050-4616-989C-FBA5BD44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D4105"/>
    <w:rPr>
      <w:color w:val="666666"/>
    </w:rPr>
  </w:style>
  <w:style w:type="paragraph" w:styleId="Revisie">
    <w:name w:val="Revision"/>
    <w:hidden/>
    <w:uiPriority w:val="99"/>
    <w:semiHidden/>
    <w:rsid w:val="00553E13"/>
    <w:rPr>
      <w:rFonts w:ascii="Univers" w:hAnsi="Univers"/>
      <w:sz w:val="22"/>
      <w:szCs w:val="24"/>
    </w:rPr>
  </w:style>
  <w:style w:type="paragraph" w:styleId="Lijstalinea">
    <w:name w:val="List Paragraph"/>
    <w:basedOn w:val="Standaard"/>
    <w:uiPriority w:val="34"/>
    <w:qFormat/>
    <w:rsid w:val="00646197"/>
    <w:pPr>
      <w:ind w:left="720"/>
      <w:contextualSpacing/>
    </w:p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646197"/>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646197"/>
    <w:rPr>
      <w:rFonts w:ascii="Univers" w:hAnsi="Univers"/>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
    <w:basedOn w:val="Standaardalinea-lettertype"/>
    <w:link w:val="FootnoteReferenceCharChar1"/>
    <w:uiPriority w:val="99"/>
    <w:unhideWhenUsed/>
    <w:qFormat/>
    <w:rsid w:val="00646197"/>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646197"/>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Standaardalinea-lettertype"/>
    <w:uiPriority w:val="99"/>
    <w:unhideWhenUsed/>
    <w:rsid w:val="00646197"/>
    <w:rPr>
      <w:color w:val="0000FF" w:themeColor="hyperlink"/>
      <w:u w:val="single"/>
    </w:rPr>
  </w:style>
  <w:style w:type="character" w:styleId="GevolgdeHyperlink">
    <w:name w:val="FollowedHyperlink"/>
    <w:basedOn w:val="Standaardalinea-lettertype"/>
    <w:uiPriority w:val="99"/>
    <w:semiHidden/>
    <w:unhideWhenUsed/>
    <w:rsid w:val="00E64AAF"/>
    <w:rPr>
      <w:color w:val="800080" w:themeColor="followedHyperlink"/>
      <w:u w:val="single"/>
    </w:rPr>
  </w:style>
  <w:style w:type="character" w:styleId="Onopgelostemelding">
    <w:name w:val="Unresolved Mention"/>
    <w:basedOn w:val="Standaardalinea-lettertype"/>
    <w:uiPriority w:val="99"/>
    <w:rsid w:val="00C45943"/>
    <w:rPr>
      <w:color w:val="605E5C"/>
      <w:shd w:val="clear" w:color="auto" w:fill="E1DFDD"/>
    </w:rPr>
  </w:style>
  <w:style w:type="character" w:styleId="Verwijzingopmerking">
    <w:name w:val="annotation reference"/>
    <w:basedOn w:val="Standaardalinea-lettertype"/>
    <w:uiPriority w:val="99"/>
    <w:semiHidden/>
    <w:unhideWhenUsed/>
    <w:rsid w:val="005776DB"/>
    <w:rPr>
      <w:sz w:val="16"/>
      <w:szCs w:val="16"/>
    </w:rPr>
  </w:style>
  <w:style w:type="paragraph" w:styleId="Tekstopmerking">
    <w:name w:val="annotation text"/>
    <w:basedOn w:val="Standaard"/>
    <w:link w:val="TekstopmerkingChar"/>
    <w:uiPriority w:val="99"/>
    <w:unhideWhenUsed/>
    <w:rsid w:val="005776DB"/>
    <w:rPr>
      <w:sz w:val="20"/>
      <w:szCs w:val="20"/>
    </w:rPr>
  </w:style>
  <w:style w:type="character" w:customStyle="1" w:styleId="TekstopmerkingChar">
    <w:name w:val="Tekst opmerking Char"/>
    <w:basedOn w:val="Standaardalinea-lettertype"/>
    <w:link w:val="Tekstopmerking"/>
    <w:uiPriority w:val="99"/>
    <w:rsid w:val="005776D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776DB"/>
    <w:rPr>
      <w:b/>
      <w:bCs/>
    </w:rPr>
  </w:style>
  <w:style w:type="character" w:customStyle="1" w:styleId="OnderwerpvanopmerkingChar">
    <w:name w:val="Onderwerp van opmerking Char"/>
    <w:basedOn w:val="TekstopmerkingChar"/>
    <w:link w:val="Onderwerpvanopmerking"/>
    <w:uiPriority w:val="99"/>
    <w:semiHidden/>
    <w:rsid w:val="005776DB"/>
    <w:rPr>
      <w:rFonts w:ascii="Univers" w:hAnsi="Univers"/>
      <w:b/>
      <w:bCs/>
    </w:rPr>
  </w:style>
  <w:style w:type="paragraph" w:styleId="Normaalweb">
    <w:name w:val="Normal (Web)"/>
    <w:basedOn w:val="Standaard"/>
    <w:uiPriority w:val="99"/>
    <w:unhideWhenUsed/>
    <w:rsid w:val="006B07B8"/>
    <w:pPr>
      <w:spacing w:before="100" w:beforeAutospacing="1" w:after="100" w:afterAutospacing="1"/>
    </w:pPr>
    <w:rPr>
      <w:rFonts w:ascii="Times New Roman" w:hAnsi="Times New Roman"/>
      <w:sz w:val="24"/>
    </w:rPr>
  </w:style>
  <w:style w:type="character" w:customStyle="1" w:styleId="CommentReference1">
    <w:name w:val="Comment Reference1"/>
    <w:basedOn w:val="Standaardalinea-lettertype"/>
    <w:uiPriority w:val="99"/>
    <w:semiHidden/>
    <w:unhideWhenUsed/>
    <w:rsid w:val="00B12036"/>
    <w:rPr>
      <w:sz w:val="16"/>
      <w:szCs w:val="16"/>
    </w:rPr>
  </w:style>
  <w:style w:type="paragraph" w:customStyle="1" w:styleId="CommentText1">
    <w:name w:val="Comment Text1"/>
    <w:basedOn w:val="Standaard"/>
    <w:uiPriority w:val="99"/>
    <w:unhideWhenUsed/>
    <w:rsid w:val="00B12036"/>
    <w:rPr>
      <w:sz w:val="20"/>
      <w:szCs w:val="20"/>
    </w:rPr>
  </w:style>
  <w:style w:type="paragraph" w:customStyle="1" w:styleId="Char1CharCharCarCarCarCarCarCarCarCarCarCar">
    <w:name w:val="Char1 Char Char Car Car Car Car Car Car Car Car Car Car"/>
    <w:basedOn w:val="Standaard"/>
    <w:next w:val="Standaard"/>
    <w:uiPriority w:val="99"/>
    <w:rsid w:val="00B12036"/>
    <w:pPr>
      <w:spacing w:after="160" w:line="240" w:lineRule="exact"/>
    </w:pPr>
    <w:rPr>
      <w:rFonts w:ascii="Times New Roman" w:hAnsi="Times New Roman"/>
      <w:kern w:val="2"/>
      <w:sz w:val="20"/>
      <w:szCs w:val="20"/>
      <w:vertAlign w:val="superscript"/>
      <w14:ligatures w14:val="standardContextual"/>
    </w:rPr>
  </w:style>
  <w:style w:type="character" w:styleId="Vermelding">
    <w:name w:val="Mention"/>
    <w:basedOn w:val="Standaardalinea-lettertype"/>
    <w:uiPriority w:val="99"/>
    <w:rsid w:val="00972D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560376">
      <w:bodyDiv w:val="1"/>
      <w:marLeft w:val="0"/>
      <w:marRight w:val="0"/>
      <w:marTop w:val="0"/>
      <w:marBottom w:val="0"/>
      <w:divBdr>
        <w:top w:val="none" w:sz="0" w:space="0" w:color="auto"/>
        <w:left w:val="none" w:sz="0" w:space="0" w:color="auto"/>
        <w:bottom w:val="none" w:sz="0" w:space="0" w:color="auto"/>
        <w:right w:val="none" w:sz="0" w:space="0" w:color="auto"/>
      </w:divBdr>
    </w:div>
    <w:div w:id="205942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image" Target="media/image3.png" Id="rId15" /><Relationship Type="http://schemas.openxmlformats.org/officeDocument/2006/relationships/glossaryDocument" Target="glossary/document.xml" Id="rId23"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26" Type="http://schemas.openxmlformats.org/officeDocument/2006/relationships/hyperlink" Target="https://reforms-investments.ec.europa.eu/publications-0/2026-european-semester-country-specific-recommendations-commission-recommendations_en" TargetMode="External"/><Relationship Id="rId21" Type="http://schemas.openxmlformats.org/officeDocument/2006/relationships/hyperlink" Target="https://www.cpb.nl/publicatie/lessen-voor-productiviteitsbeleid" TargetMode="External"/><Relationship Id="rId34" Type="http://schemas.openxmlformats.org/officeDocument/2006/relationships/hyperlink" Target="https://www.rijksfinancien.nl/sites/default/files/kamerstuk_pdf/kst-36800-XIV-2_0.pdf" TargetMode="External"/><Relationship Id="rId42" Type="http://schemas.openxmlformats.org/officeDocument/2006/relationships/hyperlink" Target="https://wetten.overheid.nl/BWBR0052682/2026-06-10" TargetMode="External"/><Relationship Id="rId47" Type="http://schemas.openxmlformats.org/officeDocument/2006/relationships/hyperlink" Target="https://eur-lex.europa.eu/resource.html?uri=cellar:757bd24a-8413-11f1-bf5e-01aa75ed71a1.0001.02/DOC_1&amp;format=PDF" TargetMode="External"/><Relationship Id="rId50" Type="http://schemas.openxmlformats.org/officeDocument/2006/relationships/hyperlink" Target="https://eur-lex.europa.eu/legal-content/NL/TXT/PDF/?uri=OJ:L_202401263" TargetMode="External"/><Relationship Id="rId55" Type="http://schemas.openxmlformats.org/officeDocument/2006/relationships/hyperlink" Target="https://defence-industry-space.ec.europa.eu/document/download/a57304ce-1a98-4a2c-aed5-36485884f1a0_en?filename=Communication-on-the-national-escape-clause.pdf&amp;prefLang=nl" TargetMode="External"/><Relationship Id="rId63" Type="http://schemas.openxmlformats.org/officeDocument/2006/relationships/hyperlink" Target="https://www.raadvanstate.nl/begrotingstoezicht/rapportages/@157574/rapportage-begrotingstoezicht-2026/" TargetMode="External"/><Relationship Id="rId7" Type="http://schemas.openxmlformats.org/officeDocument/2006/relationships/hyperlink" Target="https://ec.europa.eu/eurostat/web/products-euro-indicators/w/2-22042026-bp" TargetMode="External"/><Relationship Id="rId2" Type="http://schemas.openxmlformats.org/officeDocument/2006/relationships/hyperlink" Target="https://www.raadvanstate.nl/jaarverslag2025/" TargetMode="External"/><Relationship Id="rId16" Type="http://schemas.openxmlformats.org/officeDocument/2006/relationships/hyperlink" Target="https://vector.tno.nl/artikelen/insights/schatting-investeringsgat-berekening-achter-rapport-wennink/" TargetMode="External"/><Relationship Id="rId29" Type="http://schemas.openxmlformats.org/officeDocument/2006/relationships/hyperlink" Target="https://www.seo.nl/wp-content/uploads/2025/11/2025-172-Sectoren-van-de-toekomst.pdf" TargetMode="External"/><Relationship Id="rId11" Type="http://schemas.openxmlformats.org/officeDocument/2006/relationships/hyperlink" Target="https://www.cpb.nl/raming/concept-macro-economische-verkenning-cmev-2027" TargetMode="External"/><Relationship Id="rId24" Type="http://schemas.openxmlformats.org/officeDocument/2006/relationships/hyperlink" Target="https://www.cpb.nl/publicatie/keuzes-kaart-2027-2030" TargetMode="External"/><Relationship Id="rId32" Type="http://schemas.openxmlformats.org/officeDocument/2006/relationships/hyperlink" Target="https://www.cpb.nl/de-nederlandse-economie-historisch-perspectief" TargetMode="External"/><Relationship Id="rId37" Type="http://schemas.openxmlformats.org/officeDocument/2006/relationships/hyperlink" Target="https://www.cpb.nl/stromen-en-ongelijkheid-op-de-arbeidsmarkt" TargetMode="External"/><Relationship Id="rId40" Type="http://schemas.openxmlformats.org/officeDocument/2006/relationships/hyperlink" Target="https://www.rijksoverheid.nl/documenten/2025/11/14/bijlage-seo-onderzoeksrapport-slimme-investeringen" TargetMode="External"/><Relationship Id="rId45" Type="http://schemas.openxmlformats.org/officeDocument/2006/relationships/hyperlink" Target="https://www.pbl.nl/system/files/document/2026-04/cpb-pbl-2026-trends-voor-de-toekomst-van-de-industrie-5735.pdf" TargetMode="External"/><Relationship Id="rId53" Type="http://schemas.openxmlformats.org/officeDocument/2006/relationships/hyperlink" Target="https://open.overheid.nl/documenten/d7192241-d9d0-45e4-a81d-7be46d30a4de/file" TargetMode="External"/><Relationship Id="rId58" Type="http://schemas.openxmlformats.org/officeDocument/2006/relationships/hyperlink" Target="https://www.cpb.nl/raming/concept-macro-economische-verkenning-cmev-2027" TargetMode="External"/><Relationship Id="rId66" Type="http://schemas.openxmlformats.org/officeDocument/2006/relationships/hyperlink" Target="https://www.raadvanstate.nl/begrotingstoezicht/rapportages/@157574/rapportage-begrotingstoezicht-2026/" TargetMode="External"/><Relationship Id="rId5" Type="http://schemas.openxmlformats.org/officeDocument/2006/relationships/hyperlink" Target="https://www.cpb.nl/raming/centraal-economisch-plan-cep-2026" TargetMode="External"/><Relationship Id="rId61" Type="http://schemas.openxmlformats.org/officeDocument/2006/relationships/hyperlink" Target="https://www.raadvanstate.nl/begrotingstoezicht/rapportages/@153583/advies-miljoenennota-2026/" TargetMode="External"/><Relationship Id="rId19" Type="http://schemas.openxmlformats.org/officeDocument/2006/relationships/hyperlink" Target="https://www.raadvanstate.nl/begrotingstoezicht/rapportages/@153583/advies-miljoenennota-2026/" TargetMode="External"/><Relationship Id="rId14" Type="http://schemas.openxmlformats.org/officeDocument/2006/relationships/hyperlink" Target="https://www.cpb.nl/raming/centraal-economisch-plan-cep-2026" TargetMode="External"/><Relationship Id="rId22" Type="http://schemas.openxmlformats.org/officeDocument/2006/relationships/hyperlink" Target="https://www.seo.nl/publicaties/slimme-investeringen-naar-een-kwantificering-van-de-bbp-effecten-van-investeringen-in-onderwijs-en-onderzoek-en-ontwikkeling/" TargetMode="External"/><Relationship Id="rId27" Type="http://schemas.openxmlformats.org/officeDocument/2006/relationships/hyperlink" Target="https://www.cpb.nl/publicatie/macro-economische-effecten-van-hogere-defensie-uitgaven" TargetMode="External"/><Relationship Id="rId30" Type="http://schemas.openxmlformats.org/officeDocument/2006/relationships/hyperlink" Target="https://esb.nu/lage-groei-productiviteit-mede-door-ongunstige-structuur-economie/" TargetMode="External"/><Relationship Id="rId35" Type="http://schemas.openxmlformats.org/officeDocument/2006/relationships/hyperlink" Target="https://www.dnb.nl/media/fk0lo45j/website_dnb_analyse_productiviteit_pdf_def.pdf" TargetMode="External"/><Relationship Id="rId43" Type="http://schemas.openxmlformats.org/officeDocument/2006/relationships/hyperlink" Target="https://zoek.officielebekendmakingen.nl/kst-29861-142.pdf" TargetMode="External"/><Relationship Id="rId48" Type="http://schemas.openxmlformats.org/officeDocument/2006/relationships/hyperlink" Target="https://www.eerstekamer.nl/eu/europeesvoorstel/com_2025_85_commissiemededeling/document/f=/vmndgzyu4lgz.pdf" TargetMode="External"/><Relationship Id="rId56" Type="http://schemas.openxmlformats.org/officeDocument/2006/relationships/hyperlink" Target="https://www.consilium.europa.eu/nl/policies/national-escape-clause-for-defence-expenditure-nec/" TargetMode="External"/><Relationship Id="rId64" Type="http://schemas.openxmlformats.org/officeDocument/2006/relationships/hyperlink" Target="https://www.rijksfinancien.nl/SBR-2025" TargetMode="External"/><Relationship Id="rId8" Type="http://schemas.openxmlformats.org/officeDocument/2006/relationships/hyperlink" Target="https://www.cpb.nl/raming/centraal-economisch-plan-cep-2026" TargetMode="External"/><Relationship Id="rId51" Type="http://schemas.openxmlformats.org/officeDocument/2006/relationships/hyperlink" Target="https://open.overheid.nl/documenten/78e29d67-365b-4839-8af7-930dcc91732c/file" TargetMode="External"/><Relationship Id="rId3" Type="http://schemas.openxmlformats.org/officeDocument/2006/relationships/hyperlink" Target="https://eur-lex.europa.eu/legal-content/NL/TXT/PDF/?uri=CELEX:32013R0473" TargetMode="External"/><Relationship Id="rId12" Type="http://schemas.openxmlformats.org/officeDocument/2006/relationships/hyperlink" Target="https://ec.europa.eu/eurostat/web/products-euro-indicators/w/2-22042026-bp" TargetMode="External"/><Relationship Id="rId17" Type="http://schemas.openxmlformats.org/officeDocument/2006/relationships/hyperlink" Target="https://www.rabobank.nl/kennis/d011506777-de-weg-naar-hogere-economische-groei" TargetMode="External"/><Relationship Id="rId25" Type="http://schemas.openxmlformats.org/officeDocument/2006/relationships/hyperlink" Target="https://www.oecd.org/en/publications/oecd-economic-surveys-netherlands-2025_2dd1f4aa-en.html" TargetMode="External"/><Relationship Id="rId33" Type="http://schemas.openxmlformats.org/officeDocument/2006/relationships/hyperlink" Target="https://www.cpb.nl/publicatie/nationale-productiviteitsmonitor-2025" TargetMode="External"/><Relationship Id="rId38" Type="http://schemas.openxmlformats.org/officeDocument/2006/relationships/hyperlink" Target="https://www.dnb.nl/media/fk0lo45j/website_dnb_analyse_productiviteit_pdf_def.pdf" TargetMode="External"/><Relationship Id="rId46" Type="http://schemas.openxmlformats.org/officeDocument/2006/relationships/hyperlink" Target="https://eur-lex.europa.eu/legal-content/NL/TXT/PDF/?uri=CELEX:32023R0956" TargetMode="External"/><Relationship Id="rId59" Type="http://schemas.openxmlformats.org/officeDocument/2006/relationships/hyperlink" Target="https://www.cpb.nl/raming/concept-macro-economische-verkenning-cmev-2027" TargetMode="External"/><Relationship Id="rId67" Type="http://schemas.openxmlformats.org/officeDocument/2006/relationships/hyperlink" Target="https://www.cpb.nl/publicatie/nieuwe-indeling-beleidsmatige-lastenontwikkeling" TargetMode="External"/><Relationship Id="rId20" Type="http://schemas.openxmlformats.org/officeDocument/2006/relationships/hyperlink" Target="https://academic.oup.com/wbro/advance-article/doi/10.1093/wbro/lkaf003/8276826" TargetMode="External"/><Relationship Id="rId41" Type="http://schemas.openxmlformats.org/officeDocument/2006/relationships/hyperlink" Target="https://www.cpb.nl/publicatie/het-human-capital-model-van-het-cpb" TargetMode="External"/><Relationship Id="rId54" Type="http://schemas.openxmlformats.org/officeDocument/2006/relationships/hyperlink" Target="https://economy-finance.ec.europa.eu/document/download/d6bd96e0-5264-41f3-b7dd-fc3bb7ecd2dd_en?filename=NL_SWD_2026_219_1_EN_autre_document_travail_service_part1_v5.pdf&amp;prefLang=nl" TargetMode="External"/><Relationship Id="rId62" Type="http://schemas.openxmlformats.org/officeDocument/2006/relationships/hyperlink" Target="https://open.overheid.nl/documenten/43f98650-e98d-4b8c-95fd-e8e2efde7c2a/file" TargetMode="External"/><Relationship Id="rId1" Type="http://schemas.openxmlformats.org/officeDocument/2006/relationships/hyperlink" Target="https://wetten.overheid.nl/jci1.3:c:BWBR0034360&amp;artikel=2a&amp;z=2025-12-31&amp;g=2025-12-31" TargetMode="External"/><Relationship Id="rId6" Type="http://schemas.openxmlformats.org/officeDocument/2006/relationships/hyperlink" Target="https://www.cpb.nl/raming/centraal-economisch-plan-cep-2026" TargetMode="External"/><Relationship Id="rId15" Type="http://schemas.openxmlformats.org/officeDocument/2006/relationships/hyperlink" Target="https://www.cpb.nl/raming/centraal-economisch-plan-cep-2026" TargetMode="External"/><Relationship Id="rId23" Type="http://schemas.openxmlformats.org/officeDocument/2006/relationships/hyperlink" Target="https://www.cpb.nl/publicatie/keuzes-kaart-2027-2030" TargetMode="External"/><Relationship Id="rId28" Type="http://schemas.openxmlformats.org/officeDocument/2006/relationships/hyperlink" Target="https://open.overheid.nl/overheid/openbaarmakingen/api/v0/attachment/e3f83ac4-812a-40ad-8b4d-608ac754d41f" TargetMode="External"/><Relationship Id="rId36" Type="http://schemas.openxmlformats.org/officeDocument/2006/relationships/hyperlink" Target="https://www.cpb.nl/publicatie/proces-van-creatieve-destructie-verzwakt-nederland" TargetMode="External"/><Relationship Id="rId49" Type="http://schemas.openxmlformats.org/officeDocument/2006/relationships/hyperlink" Target="https://open.overheid.nl/documenten/ronl-7f383713-bf88-451d-a652-fbd0b1254c06/pdf" TargetMode="External"/><Relationship Id="rId57" Type="http://schemas.openxmlformats.org/officeDocument/2006/relationships/hyperlink" Target="https://eur-lex.europa.eu/legal-content/NL/TXT/PDF/?uri=CELEX:52026DC0200" TargetMode="External"/><Relationship Id="rId10" Type="http://schemas.openxmlformats.org/officeDocument/2006/relationships/hyperlink" Target="https://www.cpb.nl/raming/concept-macro-economische-verkenning-cmev-2027" TargetMode="External"/><Relationship Id="rId31" Type="http://schemas.openxmlformats.org/officeDocument/2006/relationships/hyperlink" Target="https://denkwerk.online/media/1146/denkwerk-kiezen-%C3%A9n-delen.pdf" TargetMode="External"/><Relationship Id="rId44" Type="http://schemas.openxmlformats.org/officeDocument/2006/relationships/hyperlink" Target="https://www.rapportwennink.nl/" TargetMode="External"/><Relationship Id="rId52" Type="http://schemas.openxmlformats.org/officeDocument/2006/relationships/hyperlink" Target="https://eur-lex.europa.eu/legal-content/NL/TXT/HTML/?uri=CELEX:52026DC0301" TargetMode="External"/><Relationship Id="rId60" Type="http://schemas.openxmlformats.org/officeDocument/2006/relationships/hyperlink" Target="https://open.overheid.nl/documenten/73d98e8d-0779-4c4d-821c-b0c06fbbb0d1/file" TargetMode="External"/><Relationship Id="rId65" Type="http://schemas.openxmlformats.org/officeDocument/2006/relationships/hyperlink" Target="https://www.rijksfinancien.nl/modules/custom/rijksfinancien_visuals/assets/bouwstenen_belastingstelsel/data/syntheserapport-bouwstenen-voor-een-beter-belastingstelsel.pdf" TargetMode="External"/><Relationship Id="rId4" Type="http://schemas.openxmlformats.org/officeDocument/2006/relationships/hyperlink" Target="https://wetten.overheid.nl/BWBR0034360/2025-12-31" TargetMode="External"/><Relationship Id="rId9" Type="http://schemas.openxmlformats.org/officeDocument/2006/relationships/hyperlink" Target="https://open.overheid.nl/overheid/openbaarmakingen/api/v0/attachment/b7b20bbb-9960-4141-ab73-103263de878a" TargetMode="External"/><Relationship Id="rId13" Type="http://schemas.openxmlformats.org/officeDocument/2006/relationships/hyperlink" Target="https://www.raadvanstate.nl/jaarverslag2025/" TargetMode="External"/><Relationship Id="rId18" Type="http://schemas.openxmlformats.org/officeDocument/2006/relationships/hyperlink" Target="https://reforms-investments.ec.europa.eu/publications-0/2026-european-semester-country-specific-recommendations-commission-recommendations_en" TargetMode="External"/><Relationship Id="rId39" Type="http://schemas.openxmlformats.org/officeDocument/2006/relationships/hyperlink" Target="https://open.overheid.nl/overheid/openbaarmakingen/api/v0/attachment/a880a899-35a2-4334-8bf3-4e8a249bf4fc"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0DE3FC2-9512-4B2D-94DB-E2550217E0BE}"/>
      </w:docPartPr>
      <w:docPartBody>
        <w:p w:rsidR="00A85511" w:rsidRDefault="00A053E1">
          <w:r w:rsidRPr="00D123EA">
            <w:rPr>
              <w:rStyle w:val="Tekstvantijdelijkeaanduiding"/>
            </w:rPr>
            <w:t>Klik of tik om tekst in te voeren.</w:t>
          </w:r>
        </w:p>
      </w:docPartBody>
    </w:docPart>
    <w:docPart>
      <w:docPartPr>
        <w:name w:val="A09D53FB19C74AE69F6CAFD77E60EBF2"/>
        <w:category>
          <w:name w:val="Algemeen"/>
          <w:gallery w:val="placeholder"/>
        </w:category>
        <w:types>
          <w:type w:val="bbPlcHdr"/>
        </w:types>
        <w:behaviors>
          <w:behavior w:val="content"/>
        </w:behaviors>
        <w:guid w:val="{2EFB2F9C-58F9-4D5D-885D-DA626A393A10}"/>
      </w:docPartPr>
      <w:docPartBody>
        <w:p w:rsidR="00502AF5" w:rsidRDefault="00A053E1">
          <w:pPr>
            <w:pStyle w:val="A09D53FB19C74AE69F6CAFD77E60EBF2"/>
          </w:pPr>
          <w:r w:rsidRPr="00D123E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E1"/>
    <w:rsid w:val="00010CFA"/>
    <w:rsid w:val="00010D6B"/>
    <w:rsid w:val="000358C6"/>
    <w:rsid w:val="00037EA4"/>
    <w:rsid w:val="00071866"/>
    <w:rsid w:val="000E54D5"/>
    <w:rsid w:val="000E6384"/>
    <w:rsid w:val="00102C53"/>
    <w:rsid w:val="001119DB"/>
    <w:rsid w:val="00113964"/>
    <w:rsid w:val="0011433D"/>
    <w:rsid w:val="001170F7"/>
    <w:rsid w:val="00124783"/>
    <w:rsid w:val="00131038"/>
    <w:rsid w:val="00133470"/>
    <w:rsid w:val="00147D89"/>
    <w:rsid w:val="00163EC9"/>
    <w:rsid w:val="00173EF9"/>
    <w:rsid w:val="00175647"/>
    <w:rsid w:val="00183763"/>
    <w:rsid w:val="00195ED2"/>
    <w:rsid w:val="001C5CC8"/>
    <w:rsid w:val="001C7D9E"/>
    <w:rsid w:val="001D4DCC"/>
    <w:rsid w:val="001E280E"/>
    <w:rsid w:val="001E64F5"/>
    <w:rsid w:val="002463DA"/>
    <w:rsid w:val="002A7486"/>
    <w:rsid w:val="003456C9"/>
    <w:rsid w:val="00353254"/>
    <w:rsid w:val="00382196"/>
    <w:rsid w:val="003943B1"/>
    <w:rsid w:val="003A2381"/>
    <w:rsid w:val="003C143A"/>
    <w:rsid w:val="003C1E89"/>
    <w:rsid w:val="003C7904"/>
    <w:rsid w:val="003D1305"/>
    <w:rsid w:val="00405510"/>
    <w:rsid w:val="004168EF"/>
    <w:rsid w:val="00426499"/>
    <w:rsid w:val="00431CD2"/>
    <w:rsid w:val="00444F7B"/>
    <w:rsid w:val="00474608"/>
    <w:rsid w:val="004969B9"/>
    <w:rsid w:val="004A536B"/>
    <w:rsid w:val="004B0CE9"/>
    <w:rsid w:val="004B2DB4"/>
    <w:rsid w:val="004D4E8B"/>
    <w:rsid w:val="004D6BFB"/>
    <w:rsid w:val="004E48B6"/>
    <w:rsid w:val="004F6368"/>
    <w:rsid w:val="00502AF5"/>
    <w:rsid w:val="00527885"/>
    <w:rsid w:val="00562015"/>
    <w:rsid w:val="00563614"/>
    <w:rsid w:val="00597FF9"/>
    <w:rsid w:val="005A1648"/>
    <w:rsid w:val="005A662B"/>
    <w:rsid w:val="006403BE"/>
    <w:rsid w:val="006407CC"/>
    <w:rsid w:val="00643E25"/>
    <w:rsid w:val="006562E7"/>
    <w:rsid w:val="00660D28"/>
    <w:rsid w:val="0068636E"/>
    <w:rsid w:val="006A4BF3"/>
    <w:rsid w:val="006D2180"/>
    <w:rsid w:val="006D5AE2"/>
    <w:rsid w:val="006F1D43"/>
    <w:rsid w:val="00711480"/>
    <w:rsid w:val="007141A9"/>
    <w:rsid w:val="0071731C"/>
    <w:rsid w:val="00722027"/>
    <w:rsid w:val="007222F2"/>
    <w:rsid w:val="00723F05"/>
    <w:rsid w:val="00753135"/>
    <w:rsid w:val="00772402"/>
    <w:rsid w:val="007806EA"/>
    <w:rsid w:val="007A14E9"/>
    <w:rsid w:val="007B5C81"/>
    <w:rsid w:val="007C6CBC"/>
    <w:rsid w:val="007D5792"/>
    <w:rsid w:val="00802E8B"/>
    <w:rsid w:val="00807DD4"/>
    <w:rsid w:val="00840641"/>
    <w:rsid w:val="0085305E"/>
    <w:rsid w:val="00883B48"/>
    <w:rsid w:val="008A71C4"/>
    <w:rsid w:val="008B1CF8"/>
    <w:rsid w:val="008B1F2D"/>
    <w:rsid w:val="008B59EB"/>
    <w:rsid w:val="008B5C9C"/>
    <w:rsid w:val="008B608F"/>
    <w:rsid w:val="00926811"/>
    <w:rsid w:val="009373E6"/>
    <w:rsid w:val="00957A82"/>
    <w:rsid w:val="00993FE6"/>
    <w:rsid w:val="009A28D4"/>
    <w:rsid w:val="009A50F3"/>
    <w:rsid w:val="009C789B"/>
    <w:rsid w:val="009D3C9A"/>
    <w:rsid w:val="009D7B4C"/>
    <w:rsid w:val="00A053E1"/>
    <w:rsid w:val="00A27B78"/>
    <w:rsid w:val="00A312FE"/>
    <w:rsid w:val="00A51C31"/>
    <w:rsid w:val="00A576F7"/>
    <w:rsid w:val="00A85511"/>
    <w:rsid w:val="00A933AE"/>
    <w:rsid w:val="00A94EAE"/>
    <w:rsid w:val="00AD506B"/>
    <w:rsid w:val="00AF7375"/>
    <w:rsid w:val="00AF7CE2"/>
    <w:rsid w:val="00B11D11"/>
    <w:rsid w:val="00B136CF"/>
    <w:rsid w:val="00B30E71"/>
    <w:rsid w:val="00B410F8"/>
    <w:rsid w:val="00B9668C"/>
    <w:rsid w:val="00BB537A"/>
    <w:rsid w:val="00BB7C14"/>
    <w:rsid w:val="00BC569D"/>
    <w:rsid w:val="00BF09E9"/>
    <w:rsid w:val="00BF4288"/>
    <w:rsid w:val="00C41491"/>
    <w:rsid w:val="00C51464"/>
    <w:rsid w:val="00C61EB6"/>
    <w:rsid w:val="00C63A9E"/>
    <w:rsid w:val="00CB1F24"/>
    <w:rsid w:val="00CD7A73"/>
    <w:rsid w:val="00CE7069"/>
    <w:rsid w:val="00D12B10"/>
    <w:rsid w:val="00D45BF8"/>
    <w:rsid w:val="00D929D3"/>
    <w:rsid w:val="00DA06EB"/>
    <w:rsid w:val="00DA611D"/>
    <w:rsid w:val="00E079DB"/>
    <w:rsid w:val="00E31EAD"/>
    <w:rsid w:val="00E637A0"/>
    <w:rsid w:val="00E72DD8"/>
    <w:rsid w:val="00F25D69"/>
    <w:rsid w:val="00F5714C"/>
    <w:rsid w:val="00F62A10"/>
    <w:rsid w:val="00F65915"/>
    <w:rsid w:val="00FA0A54"/>
    <w:rsid w:val="00FC5E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95ED2"/>
    <w:rPr>
      <w:color w:val="666666"/>
    </w:rPr>
  </w:style>
  <w:style w:type="paragraph" w:customStyle="1" w:styleId="A09D53FB19C74AE69F6CAFD77E60EBF2">
    <w:name w:val="A09D53FB19C74AE69F6CAFD77E60E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13771</ap:Words>
  <ap:Characters>75746</ap:Characters>
  <ap:DocSecurity>0</ap:DocSecurity>
  <ap:Lines>631</ap:Lines>
  <ap:Paragraphs>178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2026-09-10T12:43:00.0000000Z</lastPrinted>
  <dcterms:created xsi:type="dcterms:W3CDTF">2026-09-15T14:53:00.0000000Z</dcterms:created>
  <dcterms:modified xsi:type="dcterms:W3CDTF">2026-09-15T14:53:00.0000000Z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W06.26.00249/III</vt:lpwstr>
  </property>
  <property fmtid="{D5CDD505-2E9C-101B-9397-08002B2CF9AE}" pid="5" name="zaaktype">
    <vt:lpwstr>ONVADV</vt:lpwstr>
  </property>
  <property fmtid="{D5CDD505-2E9C-101B-9397-08002B2CF9AE}" pid="6" name="ContentTypeId">
    <vt:lpwstr>0x010100D3DA649AE4B0D248BD463BA7E77D2FA4000576ADD685981148B8AE958947AB362F</vt:lpwstr>
  </property>
  <property fmtid="{D5CDD505-2E9C-101B-9397-08002B2CF9AE}" pid="7" name="rvsBestemming">
    <vt:lpwstr>1;#Corsa|a7721b99-8166-4953-a37e-7c8574fb4b8b</vt:lpwstr>
  </property>
  <property fmtid="{D5CDD505-2E9C-101B-9397-08002B2CF9AE}" pid="8" name="_dlc_DocIdItemGuid">
    <vt:lpwstr>3c036222-895c-4e1c-8f56-8cd3381abc03</vt:lpwstr>
  </property>
  <property fmtid="{D5CDD505-2E9C-101B-9397-08002B2CF9AE}" pid="9" name="RedactioneleBijlage">
    <vt:lpwstr>Nee</vt:lpwstr>
  </property>
  <property fmtid="{D5CDD505-2E9C-101B-9397-08002B2CF9AE}" pid="10" name="dictum">
    <vt:lpwstr>Geen</vt:lpwstr>
  </property>
  <property fmtid="{D5CDD505-2E9C-101B-9397-08002B2CF9AE}" pid="11" name="onderdeel">
    <vt:lpwstr>Advies</vt:lpwstr>
  </property>
  <property fmtid="{D5CDD505-2E9C-101B-9397-08002B2CF9AE}" pid="12" name="processtap">
    <vt:lpwstr>Advies (ter ondertekening)</vt:lpwstr>
  </property>
</Properties>
</file>