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108" w:type="dxa"/>
        <w:tblLayout w:type="fixed"/>
        <w:tblLook w:val="07E0" w:firstRow="1" w:lastRow="1" w:firstColumn="1" w:lastColumn="1" w:noHBand="1" w:noVBand="1"/>
      </w:tblPr>
      <w:tblGrid>
        <w:gridCol w:w="8108"/>
      </w:tblGrid>
      <w:tr w:rsidR="003D705F" w14:paraId="644974EE" w14:textId="77777777">
        <w:tc>
          <w:tcPr>
            <w:tcW w:w="360" w:type="dxa"/>
          </w:tcPr>
          <w:p w:rsidR="005524A3" w:rsidRDefault="006903C3" w14:paraId="474493EC" w14:textId="77777777">
            <w:r>
              <w:t>Ontwerpb</w:t>
            </w:r>
            <w:r w:rsidR="00E602E8">
              <w:t>eslui</w:t>
            </w:r>
            <w:r w:rsidR="002E375B">
              <w:t>t van</w:t>
            </w:r>
          </w:p>
          <w:p w:rsidR="003D705F" w:rsidP="003C58CA" w:rsidRDefault="00E602E8" w14:paraId="2CEB91E9" w14:textId="77777777">
            <w:r>
              <w:t xml:space="preserve">tot </w:t>
            </w:r>
            <w:r w:rsidR="0017771A">
              <w:t xml:space="preserve">wijziging van het Besluit kinderopvangtoeslag in verband </w:t>
            </w:r>
            <w:r w:rsidR="007804B1">
              <w:t>een verhoging van de toeslagpercentages</w:t>
            </w:r>
            <w:r w:rsidR="00514EF5">
              <w:t xml:space="preserve"> </w:t>
            </w:r>
            <w:r w:rsidR="00156BC9">
              <w:t>[</w:t>
            </w:r>
            <w:proofErr w:type="spellStart"/>
            <w:r w:rsidR="00156BC9">
              <w:t>KetenID</w:t>
            </w:r>
            <w:proofErr w:type="spellEnd"/>
            <w:r w:rsidR="00156BC9">
              <w:t xml:space="preserve"> WGK02</w:t>
            </w:r>
            <w:r w:rsidR="00514EF5">
              <w:t>9441</w:t>
            </w:r>
            <w:r w:rsidR="00DD5080">
              <w:t>]</w:t>
            </w:r>
          </w:p>
        </w:tc>
      </w:tr>
    </w:tbl>
    <w:p w:rsidR="00755CE7" w:rsidRDefault="00755CE7" w14:paraId="7117ADC4" w14:textId="77777777"/>
    <w:p w:rsidR="006903C3" w:rsidRDefault="00FA1B63" w14:paraId="34723A34" w14:textId="77777777">
      <w:r>
        <w:t>Op de voordracht van</w:t>
      </w:r>
      <w:r w:rsidR="006903C3">
        <w:t xml:space="preserve"> </w:t>
      </w:r>
      <w:r w:rsidR="00B93CC8">
        <w:t xml:space="preserve">Onze </w:t>
      </w:r>
      <w:r w:rsidR="00600F7B">
        <w:t>Minister van Werk en Participatie</w:t>
      </w:r>
      <w:r w:rsidR="006903C3">
        <w:t xml:space="preserve"> van </w:t>
      </w:r>
      <w:r w:rsidRPr="00274A68" w:rsidR="006903C3">
        <w:rPr>
          <w:highlight w:val="yellow"/>
        </w:rPr>
        <w:t>PM</w:t>
      </w:r>
      <w:r>
        <w:t>, </w:t>
      </w:r>
      <w:r w:rsidR="006903C3">
        <w:t>nr.</w:t>
      </w:r>
      <w:r w:rsidR="00D60FFD">
        <w:t xml:space="preserve"> </w:t>
      </w:r>
      <w:r w:rsidRPr="008F4D94" w:rsidR="00D60FFD">
        <w:rPr>
          <w:highlight w:val="yellow"/>
        </w:rPr>
        <w:t>PM</w:t>
      </w:r>
      <w:r w:rsidR="006903C3">
        <w:t xml:space="preserve">, </w:t>
      </w:r>
      <w:r>
        <w:t>gedaan mede namens</w:t>
      </w:r>
      <w:r w:rsidR="006903C3">
        <w:t xml:space="preserve"> de Staatssecretaris van Financiën</w:t>
      </w:r>
      <w:r>
        <w:t>;</w:t>
      </w:r>
      <w:r w:rsidR="00866CAB">
        <w:t xml:space="preserve"> </w:t>
      </w:r>
    </w:p>
    <w:p w:rsidR="003D705F" w:rsidRDefault="003D705F" w14:paraId="1D2FBC6D" w14:textId="77777777"/>
    <w:p w:rsidR="003D705F" w:rsidRDefault="00E602E8" w14:paraId="4B5C6BC7" w14:textId="77777777">
      <w:r>
        <w:t>Gelet op</w:t>
      </w:r>
      <w:r w:rsidR="004C70FF">
        <w:t xml:space="preserve"> </w:t>
      </w:r>
      <w:r w:rsidR="00D044EA">
        <w:t xml:space="preserve">de </w:t>
      </w:r>
      <w:r w:rsidR="004C70FF">
        <w:t>artikel</w:t>
      </w:r>
      <w:r w:rsidR="00D044EA">
        <w:t>en</w:t>
      </w:r>
      <w:r w:rsidR="004C70FF">
        <w:t xml:space="preserve"> </w:t>
      </w:r>
      <w:r w:rsidR="007F1C59">
        <w:t xml:space="preserve">1.7, derde lid, </w:t>
      </w:r>
      <w:r w:rsidR="004C70FF">
        <w:t>1.</w:t>
      </w:r>
      <w:r w:rsidR="007804B1">
        <w:t>8</w:t>
      </w:r>
      <w:r w:rsidR="007F1C59">
        <w:t>,</w:t>
      </w:r>
      <w:r w:rsidR="00D044EA">
        <w:t xml:space="preserve"> en 1.9, eerste</w:t>
      </w:r>
      <w:r w:rsidR="000D61F1">
        <w:t xml:space="preserve"> </w:t>
      </w:r>
      <w:r w:rsidR="00D044EA">
        <w:t>lid,</w:t>
      </w:r>
      <w:r w:rsidR="004C70FF">
        <w:t xml:space="preserve"> van de Wet </w:t>
      </w:r>
      <w:r w:rsidR="00E463C7">
        <w:t>k</w:t>
      </w:r>
      <w:r w:rsidR="004C70FF">
        <w:t>inderopvang</w:t>
      </w:r>
      <w:r>
        <w:t>;</w:t>
      </w:r>
    </w:p>
    <w:p w:rsidR="00866CAB" w:rsidRDefault="00866CAB" w14:paraId="339F8464" w14:textId="77777777"/>
    <w:p w:rsidR="006903C3" w:rsidRDefault="006903C3" w14:paraId="09A6B4AB" w14:textId="77777777">
      <w:r>
        <w:t>De Afdeling advisering van de Raad van State gehoord (</w:t>
      </w:r>
      <w:r w:rsidRPr="00274A68">
        <w:rPr>
          <w:highlight w:val="yellow"/>
        </w:rPr>
        <w:t>advies van datum, nr.</w:t>
      </w:r>
      <w:r>
        <w:t xml:space="preserve"> ); </w:t>
      </w:r>
    </w:p>
    <w:p w:rsidR="003D705F" w:rsidRDefault="003D705F" w14:paraId="5B6DAA68" w14:textId="77777777"/>
    <w:p w:rsidR="00B35B9D" w:rsidRDefault="00E75643" w14:paraId="192F5105" w14:textId="77777777">
      <w:r>
        <w:t xml:space="preserve">Gezien het nader rapport </w:t>
      </w:r>
      <w:r w:rsidR="006903C3">
        <w:t xml:space="preserve">van </w:t>
      </w:r>
      <w:r w:rsidR="00B93CC8">
        <w:t xml:space="preserve">Onze </w:t>
      </w:r>
      <w:r w:rsidR="00314E5A">
        <w:t>Minister van Werk en Participatie</w:t>
      </w:r>
      <w:r w:rsidR="006903C3">
        <w:t xml:space="preserve"> </w:t>
      </w:r>
      <w:r>
        <w:t>van </w:t>
      </w:r>
      <w:r w:rsidRPr="00274A68" w:rsidR="00866CAB">
        <w:rPr>
          <w:highlight w:val="yellow"/>
        </w:rPr>
        <w:t>PM</w:t>
      </w:r>
      <w:r>
        <w:t xml:space="preserve">, </w:t>
      </w:r>
      <w:r w:rsidR="006903C3">
        <w:t xml:space="preserve">nr. </w:t>
      </w:r>
      <w:r w:rsidRPr="00274A68" w:rsidR="006903C3">
        <w:rPr>
          <w:highlight w:val="yellow"/>
        </w:rPr>
        <w:t>PM</w:t>
      </w:r>
      <w:r w:rsidR="006903C3">
        <w:t xml:space="preserve">, </w:t>
      </w:r>
      <w:r>
        <w:t xml:space="preserve">uitgebracht mede namens </w:t>
      </w:r>
      <w:r w:rsidR="006903C3">
        <w:t xml:space="preserve">de Staatssecretaris van Financiën; </w:t>
      </w:r>
    </w:p>
    <w:p w:rsidR="003D705F" w:rsidRDefault="003D705F" w14:paraId="4743DC3F" w14:textId="77777777"/>
    <w:p w:rsidR="003D705F" w:rsidRDefault="003D705F" w14:paraId="116535E8" w14:textId="77777777"/>
    <w:p w:rsidR="003D705F" w:rsidRDefault="00E602E8" w14:paraId="72D1B0A9" w14:textId="77777777">
      <w:r>
        <w:rPr>
          <w:b/>
        </w:rPr>
        <w:t>HEBBEN GOEDGEVONDEN EN VERSTAAN:</w:t>
      </w:r>
    </w:p>
    <w:p w:rsidR="003D705F" w:rsidRDefault="003D705F" w14:paraId="71734A1D" w14:textId="77777777"/>
    <w:p w:rsidRPr="00D44BA0" w:rsidR="00C566C0" w:rsidRDefault="00C566C0" w14:paraId="6EEF2B26" w14:textId="77777777">
      <w:pPr>
        <w:rPr>
          <w:b/>
          <w:bCs/>
        </w:rPr>
      </w:pPr>
      <w:r w:rsidRPr="00D44BA0">
        <w:rPr>
          <w:b/>
          <w:bCs/>
        </w:rPr>
        <w:t>ARTIKEL I</w:t>
      </w:r>
    </w:p>
    <w:p w:rsidR="00C566C0" w:rsidRDefault="00C566C0" w14:paraId="6857514E" w14:textId="77777777"/>
    <w:p w:rsidRPr="00284CFB" w:rsidR="003D705F" w:rsidRDefault="004C70FF" w14:paraId="78D70AF4" w14:textId="77777777">
      <w:r w:rsidRPr="00284CFB">
        <w:t xml:space="preserve">Het Besluit </w:t>
      </w:r>
      <w:r w:rsidRPr="00284CFB" w:rsidR="00B81CED">
        <w:t>k</w:t>
      </w:r>
      <w:r w:rsidRPr="00284CFB">
        <w:t>inderopvangtoeslag wordt als volgt gewijzigd:</w:t>
      </w:r>
    </w:p>
    <w:p w:rsidRPr="00284CFB" w:rsidR="0056050D" w:rsidRDefault="0056050D" w14:paraId="6CCC28E0" w14:textId="77777777"/>
    <w:p w:rsidRPr="00284CFB" w:rsidR="004C70FF" w:rsidP="004C70FF" w:rsidRDefault="009853A1" w14:paraId="6F490B7D" w14:textId="77777777">
      <w:r w:rsidRPr="00284CFB">
        <w:t>A</w:t>
      </w:r>
    </w:p>
    <w:p w:rsidRPr="00284CFB" w:rsidR="004C70FF" w:rsidP="004C70FF" w:rsidRDefault="004C70FF" w14:paraId="604AACD3" w14:textId="77777777"/>
    <w:p w:rsidR="004C70FF" w:rsidP="004C70FF" w:rsidRDefault="004C70FF" w14:paraId="2BD50294" w14:textId="77777777">
      <w:r w:rsidRPr="00284CFB">
        <w:t xml:space="preserve">In artikel 8, derde lid, wordt </w:t>
      </w:r>
      <w:r w:rsidRPr="00284CFB" w:rsidR="00137679">
        <w:t>“</w:t>
      </w:r>
      <w:r w:rsidRPr="00284CFB" w:rsidR="00C343BD">
        <w:t>36,5</w:t>
      </w:r>
      <w:r w:rsidRPr="00284CFB" w:rsidR="00137679">
        <w:t xml:space="preserve"> procent” vervangen door “</w:t>
      </w:r>
      <w:r w:rsidRPr="00284CFB" w:rsidR="00462C0B">
        <w:t>39,1</w:t>
      </w:r>
      <w:r w:rsidRPr="00284CFB" w:rsidR="009F40AE">
        <w:t xml:space="preserve"> </w:t>
      </w:r>
      <w:r w:rsidRPr="00284CFB" w:rsidR="00137679">
        <w:t>procent”.</w:t>
      </w:r>
    </w:p>
    <w:p w:rsidR="00C566C0" w:rsidP="004C70FF" w:rsidRDefault="00C566C0" w14:paraId="25D0BF22" w14:textId="77777777"/>
    <w:p w:rsidR="00C566C0" w:rsidP="00545077" w:rsidRDefault="00995D73" w14:paraId="54414D3F" w14:textId="77777777">
      <w:pPr>
        <w:spacing w:line="240" w:lineRule="auto"/>
      </w:pPr>
      <w:r>
        <w:t>B</w:t>
      </w:r>
    </w:p>
    <w:p w:rsidR="00C566C0" w:rsidP="004C70FF" w:rsidRDefault="00C566C0" w14:paraId="683D582E" w14:textId="77777777"/>
    <w:p w:rsidR="0099633F" w:rsidP="004C70FF" w:rsidRDefault="0099633F" w14:paraId="146CC4F0" w14:textId="77777777">
      <w:r>
        <w:t xml:space="preserve">Artikel 8a, eerste lid, onderdeel b, wordt als volgt gewijzigd: </w:t>
      </w:r>
    </w:p>
    <w:p w:rsidR="0099633F" w:rsidP="004C70FF" w:rsidRDefault="0099633F" w14:paraId="2BCBF811" w14:textId="77777777"/>
    <w:p w:rsidRPr="003F7C37" w:rsidR="003F7C37" w:rsidP="007E0990" w:rsidRDefault="0099633F" w14:paraId="4AF86596" w14:textId="77777777">
      <w:r>
        <w:t xml:space="preserve">1. Onder vernummering van subonderdelen 3 tot en met 5 tot 4 tot en met 6, wordt een subonderdeel ingevoegd, luidende: </w:t>
      </w:r>
    </w:p>
    <w:p w:rsidRPr="003F7C37" w:rsidR="003F7C37" w:rsidP="007E0990" w:rsidRDefault="003F7C37" w14:paraId="365E1B49" w14:textId="77777777"/>
    <w:p w:rsidR="00EC4C82" w:rsidP="0099633F" w:rsidRDefault="003F7C37" w14:paraId="534999A8" w14:textId="77777777">
      <w:pPr>
        <w:ind w:left="708"/>
      </w:pPr>
      <w:r w:rsidRPr="003F7C37">
        <w:t>3°. een traject volgt gericht op promotie of anderszins onderzoek verricht aan een instelling of academisch ziekenhuis als bedoeld in artikel 1.6, eerste lid, onderdeel m, van de wet;</w:t>
      </w:r>
      <w:r w:rsidR="00512A28">
        <w:t>.</w:t>
      </w:r>
    </w:p>
    <w:p w:rsidR="0099633F" w:rsidP="0099633F" w:rsidRDefault="0099633F" w14:paraId="4998AF93" w14:textId="77777777"/>
    <w:p w:rsidR="0099633F" w:rsidP="0099633F" w:rsidRDefault="0099633F" w14:paraId="019489AD" w14:textId="77777777">
      <w:r>
        <w:t xml:space="preserve">2. Subonderdeel 6 (nieuw) komt te luiden: </w:t>
      </w:r>
    </w:p>
    <w:p w:rsidR="0099633F" w:rsidP="0099633F" w:rsidRDefault="0099633F" w14:paraId="3A725B35" w14:textId="77777777"/>
    <w:p w:rsidRPr="003F7C37" w:rsidR="003F7C37" w:rsidP="003F7C37" w:rsidRDefault="0099633F" w14:paraId="5021E449" w14:textId="77777777">
      <w:r w:rsidRPr="0099633F">
        <w:t xml:space="preserve">6°. </w:t>
      </w:r>
      <w:r w:rsidRPr="001A5B32" w:rsidR="001A5B32">
        <w:t>gedetineerd is ten gevolge van de tenuitvoerlegging van een bevel tot gevangenneming of gevangenhouding of ten gevolge van de tenuitvoerlegging van een vrijheidsbenemende straf of maatregel als bedoeld in artikel 1.6, tiende lid, van de wet</w:t>
      </w:r>
      <w:r w:rsidRPr="0099633F">
        <w:t xml:space="preserve">. </w:t>
      </w:r>
    </w:p>
    <w:p w:rsidR="00C436ED" w:rsidP="003F7C37" w:rsidRDefault="00C436ED" w14:paraId="3F3F9644" w14:textId="77777777"/>
    <w:p w:rsidRPr="003F7C37" w:rsidR="003F7C37" w:rsidP="003F7C37" w:rsidRDefault="00995D73" w14:paraId="05748F11" w14:textId="77777777">
      <w:r>
        <w:t>C</w:t>
      </w:r>
    </w:p>
    <w:p w:rsidR="003F7C37" w:rsidP="004C70FF" w:rsidRDefault="003F7C37" w14:paraId="63A122EA" w14:textId="77777777"/>
    <w:p w:rsidR="00C566C0" w:rsidP="004C70FF" w:rsidRDefault="00C566C0" w14:paraId="37C55D80" w14:textId="77777777">
      <w:r>
        <w:t>Bijlage I. behorende bij artikel 6 van het Besluit kinderopvangtoeslag wordt vervangen door de bijlage behorende bij dit besluit</w:t>
      </w:r>
      <w:r w:rsidR="000D61F1">
        <w:t>.</w:t>
      </w:r>
    </w:p>
    <w:p w:rsidR="002A5286" w:rsidP="004C70FF" w:rsidRDefault="002A5286" w14:paraId="29A0BFF5" w14:textId="77777777"/>
    <w:p w:rsidR="00C566C0" w:rsidP="004C70FF" w:rsidRDefault="00C566C0" w14:paraId="16F0E649" w14:textId="77777777"/>
    <w:p w:rsidRPr="00D44BA0" w:rsidR="00C566C0" w:rsidP="004C70FF" w:rsidRDefault="00C566C0" w14:paraId="32BF2E8D" w14:textId="77777777">
      <w:pPr>
        <w:rPr>
          <w:b/>
          <w:bCs/>
        </w:rPr>
      </w:pPr>
      <w:r w:rsidRPr="00D44BA0">
        <w:rPr>
          <w:b/>
          <w:bCs/>
        </w:rPr>
        <w:t>ARTIKEL II</w:t>
      </w:r>
    </w:p>
    <w:p w:rsidR="00C566C0" w:rsidP="004C70FF" w:rsidRDefault="00C566C0" w14:paraId="6B699B41" w14:textId="77777777"/>
    <w:p w:rsidRPr="003F7C37" w:rsidR="003F7C37" w:rsidP="003F7C37" w:rsidRDefault="003F7C37" w14:paraId="4D760A1E" w14:textId="77777777">
      <w:r w:rsidRPr="003F7C37">
        <w:t>Dit besluit treedt in werking met ingang van 1 januari 2027</w:t>
      </w:r>
      <w:r w:rsidR="003A1758">
        <w:t>.</w:t>
      </w:r>
    </w:p>
    <w:p w:rsidR="004C70FF" w:rsidP="004C70FF" w:rsidRDefault="004C70FF" w14:paraId="446F0454" w14:textId="77777777"/>
    <w:p w:rsidR="004C70FF" w:rsidP="004C70FF" w:rsidRDefault="004C70FF" w14:paraId="7205E5C7" w14:textId="77777777"/>
    <w:p w:rsidR="003D705F" w:rsidRDefault="003D705F" w14:paraId="674CE645" w14:textId="77777777"/>
    <w:p w:rsidR="003D705F" w:rsidRDefault="00E602E8" w14:paraId="0C2AE353" w14:textId="77777777">
      <w:r>
        <w:t>Lasten en bevelen dat dit besluit met de daarbij behorende nota van toelichting in het Staatsblad zal worden geplaatst.</w:t>
      </w:r>
    </w:p>
    <w:p w:rsidR="003D705F" w:rsidRDefault="003D705F" w14:paraId="645F9D19" w14:textId="77777777"/>
    <w:p w:rsidR="003D705F" w:rsidRDefault="003D705F" w14:paraId="431ABFE4" w14:textId="77777777"/>
    <w:p w:rsidR="003D705F" w:rsidRDefault="003D705F" w14:paraId="744078AC" w14:textId="77777777"/>
    <w:p w:rsidR="003D705F" w:rsidRDefault="003D705F" w14:paraId="68625F6F" w14:textId="77777777"/>
    <w:p w:rsidR="003D705F" w:rsidRDefault="003D705F" w14:paraId="20F41665" w14:textId="77777777"/>
    <w:p w:rsidR="003D705F" w:rsidRDefault="003D705F" w14:paraId="4F0BD7D7" w14:textId="77777777"/>
    <w:p w:rsidR="003D705F" w:rsidRDefault="003D705F" w14:paraId="146420F5" w14:textId="77777777"/>
    <w:p w:rsidR="003D705F" w:rsidRDefault="003D705F" w14:paraId="60512647" w14:textId="77777777"/>
    <w:p w:rsidR="003D705F" w:rsidRDefault="003D705F" w14:paraId="24365261" w14:textId="77777777"/>
    <w:tbl>
      <w:tblPr>
        <w:tblW w:w="16216" w:type="dxa"/>
        <w:tblLayout w:type="fixed"/>
        <w:tblLook w:val="07E0" w:firstRow="1" w:lastRow="1" w:firstColumn="1" w:lastColumn="1" w:noHBand="1" w:noVBand="1"/>
      </w:tblPr>
      <w:tblGrid>
        <w:gridCol w:w="3969"/>
        <w:gridCol w:w="12247"/>
      </w:tblGrid>
      <w:tr w:rsidRPr="00D4520A" w:rsidR="00F46EDF" w:rsidTr="00F46EDF" w14:paraId="726F58AA" w14:textId="77777777">
        <w:tc>
          <w:tcPr>
            <w:tcW w:w="3969" w:type="dxa"/>
          </w:tcPr>
          <w:p w:rsidR="00F46EDF" w:rsidP="00B46CDE" w:rsidRDefault="00F46EDF" w14:paraId="53030BE2" w14:textId="77777777">
            <w:r>
              <w:t xml:space="preserve">De </w:t>
            </w:r>
            <w:r w:rsidR="00B46CDE">
              <w:t>Minister van Werk en Participatie</w:t>
            </w:r>
            <w:r>
              <w:t>,</w:t>
            </w:r>
          </w:p>
          <w:p w:rsidR="00F46EDF" w:rsidP="00F46EDF" w:rsidRDefault="00F46EDF" w14:paraId="36EBC33B" w14:textId="77777777"/>
          <w:p w:rsidR="00F46EDF" w:rsidP="00F46EDF" w:rsidRDefault="00F46EDF" w14:paraId="0DAD7804" w14:textId="77777777"/>
          <w:p w:rsidR="00F46EDF" w:rsidP="00F46EDF" w:rsidRDefault="00F46EDF" w14:paraId="52E1F32A" w14:textId="77777777"/>
          <w:p w:rsidR="00B46CDE" w:rsidP="00F46EDF" w:rsidRDefault="004A4284" w14:paraId="413A7790" w14:textId="77777777">
            <w:r>
              <w:br/>
            </w:r>
          </w:p>
          <w:p w:rsidR="00F46EDF" w:rsidP="00F46EDF" w:rsidRDefault="00B46CDE" w14:paraId="7B0998F7" w14:textId="77777777">
            <w:r>
              <w:t>A.A. Aartsen</w:t>
            </w:r>
          </w:p>
        </w:tc>
        <w:tc>
          <w:tcPr>
            <w:tcW w:w="12247" w:type="dxa"/>
          </w:tcPr>
          <w:p w:rsidR="00F46EDF" w:rsidP="00F46EDF" w:rsidRDefault="00F46EDF" w14:paraId="3A3E2AC6" w14:textId="77777777">
            <w:r>
              <w:t xml:space="preserve">De Staatssecretaris van </w:t>
            </w:r>
          </w:p>
          <w:p w:rsidR="00F46EDF" w:rsidP="00F46EDF" w:rsidRDefault="00F46EDF" w14:paraId="7DFBCF42" w14:textId="77777777">
            <w:r>
              <w:t>Financiën,</w:t>
            </w:r>
          </w:p>
          <w:p w:rsidR="00F46EDF" w:rsidP="00F46EDF" w:rsidRDefault="00F46EDF" w14:paraId="404B154E" w14:textId="77777777">
            <w:r>
              <w:t> </w:t>
            </w:r>
          </w:p>
          <w:p w:rsidR="00F46EDF" w:rsidP="00F46EDF" w:rsidRDefault="00F46EDF" w14:paraId="1B7D34C5" w14:textId="77777777"/>
          <w:p w:rsidR="00F46EDF" w:rsidP="00F46EDF" w:rsidRDefault="00F46EDF" w14:paraId="2D5E1E78" w14:textId="77777777"/>
          <w:p w:rsidR="00F46EDF" w:rsidP="00F46EDF" w:rsidRDefault="00F46EDF" w14:paraId="0EC39E37" w14:textId="77777777"/>
          <w:p w:rsidRPr="00D01D09" w:rsidR="00F46EDF" w:rsidP="00F46EDF" w:rsidRDefault="00647703" w14:paraId="01995570" w14:textId="77777777">
            <w:r>
              <w:t xml:space="preserve">E. </w:t>
            </w:r>
            <w:proofErr w:type="spellStart"/>
            <w:r>
              <w:t>Eerenberg</w:t>
            </w:r>
            <w:proofErr w:type="spellEnd"/>
          </w:p>
        </w:tc>
      </w:tr>
      <w:tr w:rsidRPr="00D4520A" w:rsidR="00F46EDF" w:rsidTr="00F46EDF" w14:paraId="1098BD57" w14:textId="77777777">
        <w:tc>
          <w:tcPr>
            <w:tcW w:w="3969" w:type="dxa"/>
          </w:tcPr>
          <w:p w:rsidRPr="00D01D09" w:rsidR="00F46EDF" w:rsidP="00F46EDF" w:rsidRDefault="00F46EDF" w14:paraId="34A96DB1" w14:textId="77777777"/>
        </w:tc>
        <w:tc>
          <w:tcPr>
            <w:tcW w:w="12247" w:type="dxa"/>
          </w:tcPr>
          <w:p w:rsidRPr="00D01D09" w:rsidR="00F46EDF" w:rsidP="00F46EDF" w:rsidRDefault="00F46EDF" w14:paraId="62E1EEF3" w14:textId="77777777"/>
        </w:tc>
      </w:tr>
    </w:tbl>
    <w:p w:rsidRPr="00D01D09" w:rsidR="00C566C0" w:rsidRDefault="00C566C0" w14:paraId="4EA47D02" w14:textId="77777777"/>
    <w:p w:rsidRPr="00D01D09" w:rsidR="004E19BB" w:rsidP="004E19BB" w:rsidRDefault="00C566C0" w14:paraId="175C9DBB" w14:textId="77777777">
      <w:pPr>
        <w:spacing w:line="240" w:lineRule="auto"/>
        <w:rPr>
          <w:b/>
        </w:rPr>
      </w:pPr>
      <w:r w:rsidRPr="00D01D09">
        <w:br w:type="page"/>
      </w:r>
    </w:p>
    <w:p w:rsidR="004E19BB" w:rsidP="004E19BB" w:rsidRDefault="004E19BB" w14:paraId="571BC6E7" w14:textId="77777777">
      <w:pPr>
        <w:spacing w:line="240" w:lineRule="auto"/>
        <w:rPr>
          <w:b/>
        </w:rPr>
      </w:pPr>
      <w:r>
        <w:rPr>
          <w:b/>
        </w:rPr>
        <w:lastRenderedPageBreak/>
        <w:t xml:space="preserve">Bijlage, behorende bij artikel I, onderdeel </w:t>
      </w:r>
      <w:r w:rsidR="00BC5398">
        <w:rPr>
          <w:b/>
        </w:rPr>
        <w:t>C</w:t>
      </w:r>
    </w:p>
    <w:p w:rsidR="004E19BB" w:rsidP="004E19BB" w:rsidRDefault="004E19BB" w14:paraId="5FAA800E" w14:textId="77777777">
      <w:pPr>
        <w:rPr>
          <w:b/>
        </w:rPr>
      </w:pPr>
    </w:p>
    <w:p w:rsidRPr="00284CFB" w:rsidR="004E19BB" w:rsidP="004E19BB" w:rsidRDefault="004E19BB" w14:paraId="2AFF87C2" w14:textId="77777777">
      <w:pPr>
        <w:rPr>
          <w:b/>
        </w:rPr>
      </w:pPr>
      <w:r w:rsidRPr="00284CFB">
        <w:rPr>
          <w:b/>
        </w:rPr>
        <w:t>Bijlage I, behorende bij artikel 6 van het Besluit kinderopvangtoeslag</w:t>
      </w:r>
    </w:p>
    <w:p w:rsidRPr="00284CFB" w:rsidR="009E68E0" w:rsidP="004E19BB" w:rsidRDefault="009E68E0" w14:paraId="2807DBD2" w14:textId="77777777">
      <w:pPr>
        <w:rPr>
          <w:b/>
        </w:rPr>
      </w:pPr>
    </w:p>
    <w:p w:rsidRPr="00284CFB" w:rsidR="009E68E0" w:rsidP="004E19BB" w:rsidRDefault="009E68E0" w14:paraId="5088BF8F" w14:textId="77777777">
      <w:pPr>
        <w:rPr>
          <w:bCs/>
          <w:i/>
          <w:iCs/>
        </w:rPr>
      </w:pPr>
      <w:r w:rsidRPr="00284CFB">
        <w:rPr>
          <w:bCs/>
          <w:i/>
          <w:iCs/>
        </w:rPr>
        <w:t>Kinderopvangtoeslagtabel 202</w:t>
      </w:r>
      <w:r w:rsidRPr="00284CFB" w:rsidR="00C343BD">
        <w:rPr>
          <w:bCs/>
          <w:i/>
          <w:iCs/>
        </w:rPr>
        <w:t>7</w:t>
      </w:r>
      <w:r w:rsidRPr="00284CFB" w:rsidR="00E03C7F">
        <w:rPr>
          <w:bCs/>
          <w:i/>
          <w:iCs/>
        </w:rPr>
        <w:t xml:space="preserve"> (loonpeil 202</w:t>
      </w:r>
      <w:r w:rsidRPr="00284CFB" w:rsidR="00AB7893">
        <w:rPr>
          <w:bCs/>
          <w:i/>
          <w:iCs/>
        </w:rPr>
        <w:t>7</w:t>
      </w:r>
      <w:r w:rsidRPr="00284CFB" w:rsidR="00E03C7F">
        <w:rPr>
          <w:bCs/>
          <w:i/>
          <w:iCs/>
        </w:rPr>
        <w:t>)</w:t>
      </w:r>
    </w:p>
    <w:p w:rsidRPr="00284CFB" w:rsidR="006903C3" w:rsidP="004E19BB" w:rsidRDefault="006903C3" w14:paraId="2929BA9A" w14:textId="77777777">
      <w:pPr>
        <w:rPr>
          <w:bCs/>
          <w:i/>
          <w:iCs/>
        </w:rPr>
      </w:pPr>
    </w:p>
    <w:tbl>
      <w:tblPr>
        <w:tblW w:w="5920" w:type="dxa"/>
        <w:tblCellMar>
          <w:left w:w="70" w:type="dxa"/>
          <w:right w:w="70" w:type="dxa"/>
        </w:tblCellMar>
        <w:tblLook w:val="04A0" w:firstRow="1" w:lastRow="0" w:firstColumn="1" w:lastColumn="0" w:noHBand="0" w:noVBand="1"/>
      </w:tblPr>
      <w:tblGrid>
        <w:gridCol w:w="1470"/>
        <w:gridCol w:w="1570"/>
        <w:gridCol w:w="1491"/>
        <w:gridCol w:w="1389"/>
      </w:tblGrid>
      <w:tr w:rsidRPr="00284CFB" w:rsidR="006E48DB" w:rsidTr="004430EB" w14:paraId="25CF7C55" w14:textId="77777777">
        <w:trPr>
          <w:trHeight w:val="300"/>
        </w:trPr>
        <w:tc>
          <w:tcPr>
            <w:tcW w:w="3040" w:type="dxa"/>
            <w:gridSpan w:val="2"/>
            <w:tcBorders>
              <w:top w:val="single" w:color="auto" w:sz="4" w:space="0"/>
              <w:left w:val="single" w:color="auto" w:sz="4" w:space="0"/>
              <w:bottom w:val="nil"/>
              <w:right w:val="single" w:color="000000" w:sz="4" w:space="0"/>
            </w:tcBorders>
            <w:shd w:val="clear" w:color="000000" w:fill="FF97C1"/>
            <w:noWrap/>
            <w:vAlign w:val="bottom"/>
            <w:hideMark/>
          </w:tcPr>
          <w:p w:rsidRPr="00284CFB" w:rsidR="006E48DB" w:rsidP="006E48DB" w:rsidRDefault="006E48DB" w14:paraId="40E85DC4" w14:textId="77777777">
            <w:pPr>
              <w:autoSpaceDN/>
              <w:spacing w:line="240" w:lineRule="auto"/>
              <w:jc w:val="center"/>
              <w:textAlignment w:val="auto"/>
              <w:rPr>
                <w:rFonts w:ascii="Calibri" w:hAnsi="Calibri" w:eastAsia="Times New Roman" w:cs="Calibri"/>
                <w:b/>
                <w:bCs/>
                <w:sz w:val="22"/>
                <w:szCs w:val="22"/>
              </w:rPr>
            </w:pPr>
            <w:r w:rsidRPr="00284CFB">
              <w:rPr>
                <w:rFonts w:ascii="Calibri" w:hAnsi="Calibri" w:eastAsia="Times New Roman" w:cs="Calibri"/>
                <w:b/>
                <w:bCs/>
                <w:sz w:val="22"/>
                <w:szCs w:val="22"/>
              </w:rPr>
              <w:t>Toetsingsinkomen 2027</w:t>
            </w:r>
          </w:p>
        </w:tc>
        <w:tc>
          <w:tcPr>
            <w:tcW w:w="2880" w:type="dxa"/>
            <w:gridSpan w:val="2"/>
            <w:tcBorders>
              <w:top w:val="single" w:color="auto" w:sz="4" w:space="0"/>
              <w:left w:val="nil"/>
              <w:right w:val="single" w:color="000000" w:sz="4" w:space="0"/>
            </w:tcBorders>
            <w:shd w:val="clear" w:color="000000" w:fill="FF97C1"/>
            <w:noWrap/>
            <w:vAlign w:val="bottom"/>
            <w:hideMark/>
          </w:tcPr>
          <w:p w:rsidRPr="00284CFB" w:rsidR="006E48DB" w:rsidP="006E48DB" w:rsidRDefault="006E48DB" w14:paraId="2D620E68" w14:textId="77777777">
            <w:pPr>
              <w:autoSpaceDN/>
              <w:spacing w:line="240" w:lineRule="auto"/>
              <w:jc w:val="center"/>
              <w:textAlignment w:val="auto"/>
              <w:rPr>
                <w:rFonts w:ascii="Calibri" w:hAnsi="Calibri" w:eastAsia="Times New Roman" w:cs="Calibri"/>
                <w:b/>
                <w:bCs/>
                <w:sz w:val="22"/>
                <w:szCs w:val="22"/>
              </w:rPr>
            </w:pPr>
            <w:r w:rsidRPr="00284CFB">
              <w:rPr>
                <w:rFonts w:ascii="Calibri" w:hAnsi="Calibri" w:eastAsia="Times New Roman" w:cs="Calibri"/>
                <w:b/>
                <w:bCs/>
                <w:sz w:val="22"/>
                <w:szCs w:val="22"/>
              </w:rPr>
              <w:t>Vergoedingspercentage 2027</w:t>
            </w:r>
          </w:p>
        </w:tc>
      </w:tr>
      <w:tr w:rsidRPr="00284CFB" w:rsidR="006E48DB" w:rsidTr="004430EB" w14:paraId="642504CE" w14:textId="77777777">
        <w:trPr>
          <w:trHeight w:val="300"/>
        </w:trPr>
        <w:tc>
          <w:tcPr>
            <w:tcW w:w="1470" w:type="dxa"/>
            <w:tcBorders>
              <w:top w:val="nil"/>
              <w:left w:val="single" w:color="auto" w:sz="4" w:space="0"/>
              <w:bottom w:val="single" w:color="auto" w:sz="4" w:space="0"/>
              <w:right w:val="nil"/>
            </w:tcBorders>
            <w:shd w:val="clear" w:color="000000" w:fill="FF97C1"/>
            <w:noWrap/>
            <w:vAlign w:val="bottom"/>
            <w:hideMark/>
          </w:tcPr>
          <w:p w:rsidRPr="00284CFB" w:rsidR="006E48DB" w:rsidP="006E48DB" w:rsidRDefault="006E48DB" w14:paraId="23E1867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eastAsia="Times New Roman" w:cs="Calibri"/>
                <w:sz w:val="22"/>
                <w:szCs w:val="22"/>
              </w:rPr>
              <w:t>vanaf</w:t>
            </w:r>
          </w:p>
        </w:tc>
        <w:tc>
          <w:tcPr>
            <w:tcW w:w="1570" w:type="dxa"/>
            <w:tcBorders>
              <w:top w:val="nil"/>
              <w:left w:val="nil"/>
              <w:bottom w:val="single" w:color="auto" w:sz="4" w:space="0"/>
              <w:right w:val="single" w:color="auto" w:sz="4" w:space="0"/>
            </w:tcBorders>
            <w:shd w:val="clear" w:color="000000" w:fill="FF97C1"/>
            <w:noWrap/>
            <w:vAlign w:val="bottom"/>
            <w:hideMark/>
          </w:tcPr>
          <w:p w:rsidRPr="00284CFB" w:rsidR="006E48DB" w:rsidP="006E48DB" w:rsidRDefault="006E48DB" w14:paraId="1DF08F4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eastAsia="Times New Roman" w:cs="Calibri"/>
                <w:sz w:val="22"/>
                <w:szCs w:val="22"/>
              </w:rPr>
              <w:t>tot en met</w:t>
            </w:r>
          </w:p>
        </w:tc>
        <w:tc>
          <w:tcPr>
            <w:tcW w:w="1491" w:type="dxa"/>
            <w:tcBorders>
              <w:top w:val="nil"/>
              <w:left w:val="nil"/>
              <w:bottom w:val="single" w:color="auto" w:sz="4" w:space="0"/>
              <w:right w:val="nil"/>
            </w:tcBorders>
            <w:shd w:val="clear" w:color="000000" w:fill="FF97C1"/>
            <w:noWrap/>
            <w:vAlign w:val="bottom"/>
            <w:hideMark/>
          </w:tcPr>
          <w:p w:rsidRPr="00284CFB" w:rsidR="006E48DB" w:rsidP="006E48DB" w:rsidRDefault="006E48DB" w14:paraId="30B5369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eastAsia="Times New Roman" w:cs="Calibri"/>
                <w:sz w:val="22"/>
                <w:szCs w:val="22"/>
              </w:rPr>
              <w:t>1e kind</w:t>
            </w:r>
          </w:p>
        </w:tc>
        <w:tc>
          <w:tcPr>
            <w:tcW w:w="1389" w:type="dxa"/>
            <w:tcBorders>
              <w:top w:val="nil"/>
              <w:left w:val="nil"/>
              <w:bottom w:val="single" w:color="auto" w:sz="4" w:space="0"/>
              <w:right w:val="single" w:color="auto" w:sz="4" w:space="0"/>
            </w:tcBorders>
            <w:shd w:val="clear" w:color="000000" w:fill="FF97C1"/>
            <w:noWrap/>
            <w:vAlign w:val="bottom"/>
            <w:hideMark/>
          </w:tcPr>
          <w:p w:rsidRPr="00284CFB" w:rsidR="006E48DB" w:rsidP="006E48DB" w:rsidRDefault="006E48DB" w14:paraId="32FB0CC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eastAsia="Times New Roman" w:cs="Calibri"/>
                <w:sz w:val="22"/>
                <w:szCs w:val="22"/>
              </w:rPr>
              <w:t>volgend kind</w:t>
            </w:r>
          </w:p>
        </w:tc>
      </w:tr>
      <w:tr w:rsidRPr="00284CFB" w:rsidR="00462C0B" w:rsidTr="004430EB" w14:paraId="5D1FE94A"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7B36319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€ 0</w:t>
            </w:r>
          </w:p>
        </w:tc>
        <w:tc>
          <w:tcPr>
            <w:tcW w:w="1570" w:type="dxa"/>
            <w:tcBorders>
              <w:top w:val="single" w:color="auto" w:sz="4" w:space="0"/>
              <w:left w:val="nil"/>
              <w:bottom w:val="nil"/>
              <w:right w:val="single" w:color="auto" w:sz="4" w:space="0"/>
            </w:tcBorders>
            <w:shd w:val="clear" w:color="000000" w:fill="FFFFFF"/>
            <w:noWrap/>
            <w:vAlign w:val="bottom"/>
            <w:hideMark/>
          </w:tcPr>
          <w:p w:rsidRPr="00284CFB" w:rsidR="00462C0B" w:rsidP="00462C0B" w:rsidRDefault="00462C0B" w14:paraId="691A71F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€ 24.987</w:t>
            </w:r>
          </w:p>
        </w:tc>
        <w:tc>
          <w:tcPr>
            <w:tcW w:w="1491" w:type="dxa"/>
            <w:tcBorders>
              <w:top w:val="single" w:color="auto" w:sz="4" w:space="0"/>
              <w:left w:val="nil"/>
              <w:bottom w:val="nil"/>
              <w:right w:val="single" w:color="auto" w:sz="4" w:space="0"/>
            </w:tcBorders>
            <w:shd w:val="clear" w:color="000000" w:fill="FFFFFF"/>
            <w:noWrap/>
            <w:vAlign w:val="bottom"/>
            <w:hideMark/>
          </w:tcPr>
          <w:p w:rsidRPr="00284CFB" w:rsidR="00462C0B" w:rsidP="00462C0B" w:rsidRDefault="00462C0B" w14:paraId="3693A67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single" w:color="auto" w:sz="4" w:space="0"/>
              <w:left w:val="nil"/>
              <w:bottom w:val="nil"/>
              <w:right w:val="single" w:color="auto" w:sz="4" w:space="0"/>
            </w:tcBorders>
            <w:shd w:val="clear" w:color="000000" w:fill="FFFFFF"/>
            <w:noWrap/>
            <w:vAlign w:val="bottom"/>
            <w:hideMark/>
          </w:tcPr>
          <w:p w:rsidRPr="00284CFB" w:rsidR="00462C0B" w:rsidP="00462C0B" w:rsidRDefault="00462C0B" w14:paraId="5966F05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32F29487"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C459CF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€ 24.988</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5A47F5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€ 26.650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2B5CF8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3E713E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1DF9C220"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F38C73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€ 26.651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03EC64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€ 28.312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34A121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BA6182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6C3BEAD4"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199085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€ 28.313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6E0B1D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€ 29.978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5144C1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6B8024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5DECDB15"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51ACB81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€ 29.979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A1EDB3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€ 31.640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CCCA1C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16800A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641A68C8"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29D901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€ 31.641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1AEA06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€ 33.306</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34D1AB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005A86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27AFB7C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432BA0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€ 33.307</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917F55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€ 34.968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72CC18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B0A5D7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3121B3B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B2B281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€ 34.969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1ACB99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€ 36.628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A57BBA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2C6D68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3E8C4E3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74F955A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€ 36.629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C584C3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€ 38.417</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2701AA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1BBD94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01665318"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7A2874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€ 38.418</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12B7D3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€ 40.203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C6F6E1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9DF2A4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44438E3D"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D8E7D1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€ 40.204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E6185C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€ 41.994</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E558E2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33BB2B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6B958C63"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EB494B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€ 41.995</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0BB546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€ 43.781</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DA0E3C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04F41A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36C0956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337961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€ 43.782</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684FDC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€ 45.574</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70912A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21CD26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063A5566"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53178E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€ 45.575</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5F7E48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€ 47.364</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206C1C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8447B4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2B686C16"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6EACE2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€ 47.365</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8F4369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€ 49.196</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BDF191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8D195B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3E2A82A0"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007581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€ 49.197</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4CB4AD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€ 51.029</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603D85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C8ED26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45B9933F"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7FE1F96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€ 51.030</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B2AF1D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€ 52.865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98C88C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F67A1D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0F06CB64"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7B52AA6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€ 52.866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D5F4AE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€ 54.698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BC9E0A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ABB505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1D5F45E9"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2B5795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€ 54.699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6FDF44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€ 56.537</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790F53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F1B823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627911F2"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B09AB8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€ 56.538</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D06102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€ 58.369</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CA6149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A71954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4E6601F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59B2577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€ 58.370</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9D349C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€ 60.203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9C30CD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ACFBBD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669035BB"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A6753C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€ 60.204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905BF5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€ 62.038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C8AB32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008396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09DE422F"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56A420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€ 62.039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874642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€ 64.043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4341DC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E67A97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5A9E8870"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E9DBEC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€ 64.044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4AC602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€ 67.975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3F1E18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164FF2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73C774FB"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EE50CC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€ 67.976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427EAD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€ 71.903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A68E49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5164E5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17F0BE6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5DFAF4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€ 71.904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153240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€ 75.835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D9940E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95,6%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B5CF35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96,0%</w:t>
            </w:r>
          </w:p>
        </w:tc>
      </w:tr>
      <w:tr w:rsidRPr="00284CFB" w:rsidR="00462C0B" w:rsidTr="004430EB" w14:paraId="3E4924C4"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9C649A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€ 75.836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704F87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€ 79.769</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4BBE04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93,3%</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6985D8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95,7%</w:t>
            </w:r>
          </w:p>
        </w:tc>
      </w:tr>
      <w:tr w:rsidRPr="00284CFB" w:rsidR="00462C0B" w:rsidTr="004430EB" w14:paraId="45485477"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7143E6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€ 79.770</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EABE9E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€ 83.698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43880D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91,0%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6B33D6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95,4%</w:t>
            </w:r>
          </w:p>
        </w:tc>
      </w:tr>
      <w:tr w:rsidRPr="00284CFB" w:rsidR="00462C0B" w:rsidTr="004430EB" w14:paraId="34AEB2F3"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2DD393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€ 83.699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BE8C09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€ 87.632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B31DB0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88,8%</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2AD129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94,7%</w:t>
            </w:r>
          </w:p>
        </w:tc>
      </w:tr>
      <w:tr w:rsidRPr="00284CFB" w:rsidR="00462C0B" w:rsidTr="004430EB" w14:paraId="0205C2BE"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D13DF6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€ 87.633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E6F5FE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€ 91.562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1BF95D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86,3%</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DE4EA8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94,2%</w:t>
            </w:r>
          </w:p>
        </w:tc>
      </w:tr>
      <w:tr w:rsidRPr="00284CFB" w:rsidR="00462C0B" w:rsidTr="004430EB" w14:paraId="4B4298BB"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20C9F0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€ 91.563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93CDB1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€ 95.493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EAE815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84,0%</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7A3A01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93,7%</w:t>
            </w:r>
          </w:p>
        </w:tc>
      </w:tr>
      <w:tr w:rsidRPr="00284CFB" w:rsidR="00462C0B" w:rsidTr="004430EB" w14:paraId="2A982107"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54EA251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€ 95.494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59E819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€ 99.425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CDE05E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81,8%</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C94269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93,0%</w:t>
            </w:r>
          </w:p>
        </w:tc>
      </w:tr>
      <w:tr w:rsidRPr="00284CFB" w:rsidR="00462C0B" w:rsidTr="004430EB" w14:paraId="015FACFC"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937E4A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€ 99.426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04BD61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€ 103.355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86076F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79,4%</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7C08FF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92,4%</w:t>
            </w:r>
          </w:p>
        </w:tc>
      </w:tr>
      <w:tr w:rsidRPr="00284CFB" w:rsidR="00462C0B" w:rsidTr="004430EB" w14:paraId="67CE7458"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E7BE02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€ 103.356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1529F7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€ 107.292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9BB999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77,2%</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D0083D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92,0%</w:t>
            </w:r>
          </w:p>
        </w:tc>
      </w:tr>
      <w:tr w:rsidRPr="00284CFB" w:rsidR="00462C0B" w:rsidTr="004430EB" w14:paraId="6817069C"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7652385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lastRenderedPageBreak/>
              <w:t>€ 107.293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B497DA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€ 111.222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D65AA0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74,7%</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039E51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91,7%</w:t>
            </w:r>
          </w:p>
        </w:tc>
      </w:tr>
      <w:tr w:rsidRPr="00284CFB" w:rsidR="00462C0B" w:rsidTr="004430EB" w14:paraId="34B5E6B5"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56658BA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€ 111.223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0AB5E9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€ 115.152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959517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72,4%</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2968D4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91,0%</w:t>
            </w:r>
          </w:p>
        </w:tc>
      </w:tr>
      <w:tr w:rsidRPr="00284CFB" w:rsidR="00462C0B" w:rsidTr="004430EB" w14:paraId="503EBF9C"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1607D6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€ 115.153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DB7B57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€ 119.084</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BB9FA1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70,2%</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8BC05F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90,6%</w:t>
            </w:r>
          </w:p>
        </w:tc>
      </w:tr>
      <w:tr w:rsidRPr="00284CFB" w:rsidR="00462C0B" w:rsidTr="004430EB" w14:paraId="3B86293D"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249917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€ 119.085</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B5DB11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€ 123.091</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45F575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67,8%</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8A6368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90,1%</w:t>
            </w:r>
          </w:p>
        </w:tc>
      </w:tr>
      <w:tr w:rsidRPr="00284CFB" w:rsidR="00462C0B" w:rsidTr="004430EB" w14:paraId="563B6D19"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4E8E75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€ 123.092</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600012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€ 127.120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939C58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65,7%</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85BD65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89,4%</w:t>
            </w:r>
          </w:p>
        </w:tc>
      </w:tr>
      <w:tr w:rsidRPr="00284CFB" w:rsidR="00462C0B" w:rsidTr="004430EB" w14:paraId="1B697F41"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0D5449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€ 127.121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0B4BC3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€ 131.145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0A4F9F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63,6%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41597B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88,9%</w:t>
            </w:r>
          </w:p>
        </w:tc>
      </w:tr>
      <w:tr w:rsidRPr="00284CFB" w:rsidR="00462C0B" w:rsidTr="004430EB" w14:paraId="6ECC9728"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943903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€ 131.146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FFF8EC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€ 135.171</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A144B9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61,5%</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7A5CD9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88,5%</w:t>
            </w:r>
          </w:p>
        </w:tc>
      </w:tr>
      <w:tr w:rsidRPr="00284CFB" w:rsidR="00462C0B" w:rsidTr="004430EB" w14:paraId="0709934A"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9CFC50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€ 135.172</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2C776B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€ 139.195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923038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59,3%</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F4B4E5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88,2%</w:t>
            </w:r>
          </w:p>
        </w:tc>
      </w:tr>
      <w:tr w:rsidRPr="00284CFB" w:rsidR="00462C0B" w:rsidTr="004430EB" w14:paraId="48C6E71B"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564212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€ 139.196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D59840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€ 143.223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E2AE1B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57,4%</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E22669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87,5%</w:t>
            </w:r>
          </w:p>
        </w:tc>
      </w:tr>
      <w:tr w:rsidRPr="00284CFB" w:rsidR="00462C0B" w:rsidTr="004430EB" w14:paraId="7BD887E8"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19CC36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€ 143.224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60078D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€ 147.250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B29B69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55,5%</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A4D8AF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86,9%</w:t>
            </w:r>
          </w:p>
        </w:tc>
      </w:tr>
      <w:tr w:rsidRPr="00284CFB" w:rsidR="00462C0B" w:rsidTr="004430EB" w14:paraId="0588B5CA"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CE2C43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€ 147.251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28F6D3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€ 151.278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35CD58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53,6%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B77948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86,5%</w:t>
            </w:r>
          </w:p>
        </w:tc>
      </w:tr>
      <w:tr w:rsidRPr="00284CFB" w:rsidR="00462C0B" w:rsidTr="004430EB" w14:paraId="4CF65ADC"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8B2BE3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€ 151.279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C37B71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€ 155.300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077E44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51,6%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27CE8A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85,9%</w:t>
            </w:r>
          </w:p>
        </w:tc>
      </w:tr>
      <w:tr w:rsidRPr="00284CFB" w:rsidR="00462C0B" w:rsidTr="004430EB" w14:paraId="79CA8E7B"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2087DF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€ 155.301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AD64B7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€ 159.325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A1A1E6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49,6%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70D06C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85,5%</w:t>
            </w:r>
          </w:p>
        </w:tc>
      </w:tr>
      <w:tr w:rsidRPr="00284CFB" w:rsidR="00462C0B" w:rsidTr="004430EB" w14:paraId="6999AC60"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AC904B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€ 159.326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CC78A7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€ 163.355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E18064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47,6%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AB5556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84,8%</w:t>
            </w:r>
          </w:p>
        </w:tc>
      </w:tr>
      <w:tr w:rsidRPr="00284CFB" w:rsidR="00462C0B" w:rsidTr="004430EB" w14:paraId="33E27949"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776D0E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€ 163.356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4398C6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€ 167.379</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ECB4A3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45,6%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7EC00A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84,2%</w:t>
            </w:r>
          </w:p>
        </w:tc>
      </w:tr>
      <w:tr w:rsidRPr="00284CFB" w:rsidR="00462C0B" w:rsidTr="004430EB" w14:paraId="1474DA54"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253C55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€ 167.380</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2C6F3C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€ 171.405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581CF5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43,6%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FFCE89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83,2%</w:t>
            </w:r>
          </w:p>
        </w:tc>
      </w:tr>
      <w:tr w:rsidRPr="00284CFB" w:rsidR="00462C0B" w:rsidTr="004430EB" w14:paraId="49454AA1"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1E895B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€ 171.406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2C3849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€ 175.430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1C24DC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41,6%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62F8D1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82,9%</w:t>
            </w:r>
          </w:p>
        </w:tc>
      </w:tr>
      <w:tr w:rsidRPr="00284CFB" w:rsidR="00462C0B" w:rsidTr="004430EB" w14:paraId="759D1F0F"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24CEC1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€ 175.431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C08F90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€ 179.458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F466BD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39,6%</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BA50AD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82,1%</w:t>
            </w:r>
          </w:p>
        </w:tc>
      </w:tr>
      <w:tr w:rsidRPr="00284CFB" w:rsidR="00462C0B" w:rsidTr="004430EB" w14:paraId="62904526"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7BD7D8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€ 179.459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B869B3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€ 183.489</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5FD2C4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C995CF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81,2%</w:t>
            </w:r>
          </w:p>
        </w:tc>
      </w:tr>
      <w:tr w:rsidRPr="00284CFB" w:rsidR="00462C0B" w:rsidTr="004430EB" w14:paraId="76A1DDB0"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53B99F5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€ 183.490</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322B2F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€ 187.511</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5383F7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9E87A1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80,6%</w:t>
            </w:r>
          </w:p>
        </w:tc>
      </w:tr>
      <w:tr w:rsidRPr="00284CFB" w:rsidR="00462C0B" w:rsidTr="004430EB" w14:paraId="4A1A2AC3"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AC28E6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€ 187.512</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4DD6A1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€ 191.537</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D3B02E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BEBA4B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79,7%</w:t>
            </w:r>
          </w:p>
        </w:tc>
      </w:tr>
      <w:tr w:rsidRPr="00284CFB" w:rsidR="00462C0B" w:rsidTr="004430EB" w14:paraId="4659F121"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8E75C7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€ 191.538</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ED35B7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€ 195.560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D67841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7446816"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79,2%</w:t>
            </w:r>
          </w:p>
        </w:tc>
      </w:tr>
      <w:tr w:rsidRPr="00284CFB" w:rsidR="00462C0B" w:rsidTr="004430EB" w14:paraId="369F0F15"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384505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€ 195.561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60BBD4E"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€ 199.589</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B6A11B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F3530D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78,4%</w:t>
            </w:r>
          </w:p>
        </w:tc>
      </w:tr>
      <w:tr w:rsidRPr="00284CFB" w:rsidR="00462C0B" w:rsidTr="004430EB" w14:paraId="57D40135"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0F1258F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€ 199.590</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DECE33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€ 203.618</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3D6624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284B30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77,7%</w:t>
            </w:r>
          </w:p>
        </w:tc>
      </w:tr>
      <w:tr w:rsidRPr="00284CFB" w:rsidR="00462C0B" w:rsidTr="004430EB" w14:paraId="499A5185"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7B3F31E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€ 203.619</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26A817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€ 207.645</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AF4EF7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193AE8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77,0%</w:t>
            </w:r>
          </w:p>
        </w:tc>
      </w:tr>
      <w:tr w:rsidRPr="00284CFB" w:rsidR="00462C0B" w:rsidTr="004430EB" w14:paraId="29F82EEA"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036403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€ 207.646</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C4B7E0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€ 211.670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730091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8D9E378"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76,0%</w:t>
            </w:r>
          </w:p>
        </w:tc>
      </w:tr>
      <w:tr w:rsidRPr="00284CFB" w:rsidR="00462C0B" w:rsidTr="004430EB" w14:paraId="456B42A1"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12C82F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€ 211.671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3A88A1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€ 215.691</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3C701E1"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49FE6E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75,5%</w:t>
            </w:r>
          </w:p>
        </w:tc>
      </w:tr>
      <w:tr w:rsidRPr="00284CFB" w:rsidR="00462C0B" w:rsidTr="004430EB" w14:paraId="29E904F2"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3EE7F23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€ 215.692</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63448FC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€ 219.722</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84DD1E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C79DB9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74,8%</w:t>
            </w:r>
          </w:p>
        </w:tc>
      </w:tr>
      <w:tr w:rsidRPr="00284CFB" w:rsidR="00462C0B" w:rsidTr="004430EB" w14:paraId="134A8E46"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6B6F856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€ 219.723</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305D202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€ 223.746</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FA63A8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7200AC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74,0%</w:t>
            </w:r>
          </w:p>
        </w:tc>
      </w:tr>
      <w:tr w:rsidRPr="00284CFB" w:rsidR="00462C0B" w:rsidTr="004430EB" w14:paraId="1D92FA66"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E40D15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€ 223.747</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7AB11F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€ 227.773</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48DD7FD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47DEA5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73,3%</w:t>
            </w:r>
          </w:p>
        </w:tc>
      </w:tr>
      <w:tr w:rsidRPr="00284CFB" w:rsidR="00462C0B" w:rsidTr="004430EB" w14:paraId="216AE8C7"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2A9CCDE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€ 227.774</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C950A1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€ 231.800</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CB1CE8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C4D02A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72,7%</w:t>
            </w:r>
          </w:p>
        </w:tc>
      </w:tr>
      <w:tr w:rsidRPr="00284CFB" w:rsidR="00462C0B" w:rsidTr="004430EB" w14:paraId="0649895C"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1D70F1A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€ 231.801</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10F3B24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€ 235.824</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00BAF2D"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0B4C3994"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71,9%</w:t>
            </w:r>
          </w:p>
        </w:tc>
      </w:tr>
      <w:tr w:rsidRPr="00284CFB" w:rsidR="00462C0B" w:rsidTr="004430EB" w14:paraId="7140A091"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4E273070"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€ 235.825</w:t>
            </w:r>
          </w:p>
        </w:tc>
        <w:tc>
          <w:tcPr>
            <w:tcW w:w="1570"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507A245C"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€ 239.851</w:t>
            </w:r>
          </w:p>
        </w:tc>
        <w:tc>
          <w:tcPr>
            <w:tcW w:w="1491"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78D1B7EF"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nil"/>
              <w:right w:val="single" w:color="auto" w:sz="4" w:space="0"/>
            </w:tcBorders>
            <w:shd w:val="clear" w:color="000000" w:fill="FFFFFF"/>
            <w:noWrap/>
            <w:vAlign w:val="bottom"/>
            <w:hideMark/>
          </w:tcPr>
          <w:p w:rsidRPr="00284CFB" w:rsidR="00462C0B" w:rsidP="00462C0B" w:rsidRDefault="00462C0B" w14:paraId="208A35D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71,1%</w:t>
            </w:r>
          </w:p>
        </w:tc>
      </w:tr>
      <w:tr w:rsidRPr="00284CFB" w:rsidR="00462C0B" w:rsidTr="004430EB" w14:paraId="49BDDA86" w14:textId="77777777">
        <w:trPr>
          <w:trHeight w:val="300"/>
        </w:trPr>
        <w:tc>
          <w:tcPr>
            <w:tcW w:w="1470" w:type="dxa"/>
            <w:tcBorders>
              <w:top w:val="nil"/>
              <w:left w:val="single" w:color="auto" w:sz="4" w:space="0"/>
              <w:bottom w:val="nil"/>
              <w:right w:val="nil"/>
            </w:tcBorders>
            <w:shd w:val="clear" w:color="000000" w:fill="FFFFFF"/>
            <w:noWrap/>
            <w:vAlign w:val="bottom"/>
            <w:hideMark/>
          </w:tcPr>
          <w:p w:rsidRPr="00284CFB" w:rsidR="00462C0B" w:rsidP="00462C0B" w:rsidRDefault="00462C0B" w14:paraId="575CD99A"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€ 239.852</w:t>
            </w:r>
          </w:p>
        </w:tc>
        <w:tc>
          <w:tcPr>
            <w:tcW w:w="1570" w:type="dxa"/>
            <w:tcBorders>
              <w:top w:val="nil"/>
              <w:left w:val="nil"/>
              <w:right w:val="single" w:color="auto" w:sz="4" w:space="0"/>
            </w:tcBorders>
            <w:shd w:val="clear" w:color="000000" w:fill="FFFFFF"/>
            <w:noWrap/>
            <w:vAlign w:val="bottom"/>
            <w:hideMark/>
          </w:tcPr>
          <w:p w:rsidRPr="00284CFB" w:rsidR="00462C0B" w:rsidP="00462C0B" w:rsidRDefault="00462C0B" w14:paraId="2014DDC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€ 243.876</w:t>
            </w:r>
          </w:p>
        </w:tc>
        <w:tc>
          <w:tcPr>
            <w:tcW w:w="1491" w:type="dxa"/>
            <w:tcBorders>
              <w:top w:val="nil"/>
              <w:left w:val="nil"/>
              <w:right w:val="single" w:color="auto" w:sz="4" w:space="0"/>
            </w:tcBorders>
            <w:shd w:val="clear" w:color="000000" w:fill="FFFFFF"/>
            <w:noWrap/>
            <w:vAlign w:val="bottom"/>
            <w:hideMark/>
          </w:tcPr>
          <w:p w:rsidRPr="00284CFB" w:rsidR="00462C0B" w:rsidP="00462C0B" w:rsidRDefault="00462C0B" w14:paraId="5B8C3C22"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right w:val="single" w:color="auto" w:sz="4" w:space="0"/>
            </w:tcBorders>
            <w:shd w:val="clear" w:color="000000" w:fill="FFFFFF"/>
            <w:noWrap/>
            <w:vAlign w:val="bottom"/>
            <w:hideMark/>
          </w:tcPr>
          <w:p w:rsidRPr="00284CFB" w:rsidR="00462C0B" w:rsidP="00462C0B" w:rsidRDefault="00462C0B" w14:paraId="2DEBCA55"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70,6%</w:t>
            </w:r>
          </w:p>
        </w:tc>
      </w:tr>
      <w:tr w:rsidRPr="006E48DB" w:rsidR="00462C0B" w:rsidTr="004430EB" w14:paraId="70F7040D" w14:textId="77777777">
        <w:trPr>
          <w:trHeight w:val="300"/>
        </w:trPr>
        <w:tc>
          <w:tcPr>
            <w:tcW w:w="1470" w:type="dxa"/>
            <w:tcBorders>
              <w:top w:val="nil"/>
              <w:left w:val="single" w:color="auto" w:sz="4" w:space="0"/>
              <w:bottom w:val="single" w:color="auto" w:sz="4" w:space="0"/>
              <w:right w:val="nil"/>
            </w:tcBorders>
            <w:shd w:val="clear" w:color="000000" w:fill="FFFFFF"/>
            <w:noWrap/>
            <w:vAlign w:val="bottom"/>
            <w:hideMark/>
          </w:tcPr>
          <w:p w:rsidRPr="00284CFB" w:rsidR="00462C0B" w:rsidP="00462C0B" w:rsidRDefault="00462C0B" w14:paraId="137510A3"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€ 243.877</w:t>
            </w:r>
          </w:p>
        </w:tc>
        <w:tc>
          <w:tcPr>
            <w:tcW w:w="1570" w:type="dxa"/>
            <w:tcBorders>
              <w:top w:val="nil"/>
              <w:left w:val="nil"/>
              <w:bottom w:val="single" w:color="auto" w:sz="4" w:space="0"/>
              <w:right w:val="single" w:color="auto" w:sz="4" w:space="0"/>
            </w:tcBorders>
            <w:shd w:val="clear" w:color="000000" w:fill="FFFFFF"/>
            <w:noWrap/>
            <w:vAlign w:val="bottom"/>
            <w:hideMark/>
          </w:tcPr>
          <w:p w:rsidRPr="00284CFB" w:rsidR="00462C0B" w:rsidP="00462C0B" w:rsidRDefault="00462C0B" w14:paraId="0D0BFB69"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en hoger</w:t>
            </w:r>
          </w:p>
        </w:tc>
        <w:tc>
          <w:tcPr>
            <w:tcW w:w="1491" w:type="dxa"/>
            <w:tcBorders>
              <w:top w:val="nil"/>
              <w:left w:val="nil"/>
              <w:bottom w:val="single" w:color="auto" w:sz="4" w:space="0"/>
              <w:right w:val="single" w:color="auto" w:sz="4" w:space="0"/>
            </w:tcBorders>
            <w:shd w:val="clear" w:color="000000" w:fill="FFFFFF"/>
            <w:noWrap/>
            <w:vAlign w:val="bottom"/>
            <w:hideMark/>
          </w:tcPr>
          <w:p w:rsidRPr="00284CFB" w:rsidR="00462C0B" w:rsidP="00462C0B" w:rsidRDefault="00462C0B" w14:paraId="1FB8957B"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39,1%</w:t>
            </w:r>
          </w:p>
        </w:tc>
        <w:tc>
          <w:tcPr>
            <w:tcW w:w="1389" w:type="dxa"/>
            <w:tcBorders>
              <w:top w:val="nil"/>
              <w:left w:val="nil"/>
              <w:bottom w:val="single" w:color="auto" w:sz="4" w:space="0"/>
              <w:right w:val="single" w:color="auto" w:sz="4" w:space="0"/>
            </w:tcBorders>
            <w:shd w:val="clear" w:color="auto" w:fill="auto"/>
            <w:noWrap/>
            <w:vAlign w:val="bottom"/>
            <w:hideMark/>
          </w:tcPr>
          <w:p w:rsidRPr="006E48DB" w:rsidR="00462C0B" w:rsidP="00462C0B" w:rsidRDefault="00462C0B" w14:paraId="074B5B37" w14:textId="77777777">
            <w:pPr>
              <w:autoSpaceDN/>
              <w:spacing w:line="240" w:lineRule="auto"/>
              <w:jc w:val="right"/>
              <w:textAlignment w:val="auto"/>
              <w:rPr>
                <w:rFonts w:ascii="Calibri" w:hAnsi="Calibri" w:eastAsia="Times New Roman" w:cs="Calibri"/>
                <w:sz w:val="22"/>
                <w:szCs w:val="22"/>
              </w:rPr>
            </w:pPr>
            <w:r w:rsidRPr="00284CFB">
              <w:rPr>
                <w:rFonts w:ascii="Calibri" w:hAnsi="Calibri" w:cs="Calibri"/>
                <w:sz w:val="22"/>
                <w:szCs w:val="22"/>
              </w:rPr>
              <w:t>69,7%</w:t>
            </w:r>
          </w:p>
        </w:tc>
      </w:tr>
    </w:tbl>
    <w:p w:rsidR="004E19BB" w:rsidP="004E19BB" w:rsidRDefault="004E19BB" w14:paraId="4F6353F8" w14:textId="77777777">
      <w:pPr>
        <w:rPr>
          <w:b/>
        </w:rPr>
      </w:pPr>
    </w:p>
    <w:p w:rsidRPr="001525C4" w:rsidR="004E19BB" w:rsidP="004E19BB" w:rsidRDefault="004E19BB" w14:paraId="309924A4" w14:textId="77777777">
      <w:pPr>
        <w:spacing w:line="240" w:lineRule="auto"/>
        <w:rPr>
          <w:highlight w:val="yellow"/>
        </w:rPr>
      </w:pPr>
      <w:r w:rsidRPr="001525C4">
        <w:rPr>
          <w:highlight w:val="yellow"/>
        </w:rPr>
        <w:br w:type="page"/>
      </w:r>
    </w:p>
    <w:p w:rsidR="004E19BB" w:rsidP="004E19BB" w:rsidRDefault="004E19BB" w14:paraId="7E1F6F5B" w14:textId="77777777">
      <w:pPr>
        <w:spacing w:line="276" w:lineRule="auto"/>
        <w:rPr>
          <w:rFonts w:eastAsia="Calibri" w:cs="Calibri"/>
          <w:b/>
          <w:bCs/>
        </w:rPr>
      </w:pPr>
      <w:r>
        <w:rPr>
          <w:rFonts w:eastAsia="Calibri" w:cs="Calibri"/>
          <w:b/>
          <w:bCs/>
        </w:rPr>
        <w:lastRenderedPageBreak/>
        <w:t>NOTA VAN TOELICHTING</w:t>
      </w:r>
      <w:r>
        <w:rPr>
          <w:b/>
          <w:bCs/>
        </w:rPr>
        <w:br/>
      </w:r>
    </w:p>
    <w:p w:rsidR="004E19BB" w:rsidP="004E19BB" w:rsidRDefault="004E19BB" w14:paraId="16FFF6B7" w14:textId="77777777">
      <w:pPr>
        <w:spacing w:line="276" w:lineRule="auto"/>
        <w:rPr>
          <w:b/>
          <w:bCs/>
          <w:color w:val="auto"/>
        </w:rPr>
      </w:pPr>
      <w:r>
        <w:rPr>
          <w:b/>
        </w:rPr>
        <w:t>I ALGEMEEN DEEL</w:t>
      </w:r>
      <w:r>
        <w:rPr>
          <w:b/>
          <w:bCs/>
        </w:rPr>
        <w:br/>
      </w:r>
    </w:p>
    <w:p w:rsidR="004E19BB" w:rsidP="004E19BB" w:rsidRDefault="004E19BB" w14:paraId="74A8794F" w14:textId="77777777">
      <w:pPr>
        <w:spacing w:line="276" w:lineRule="auto"/>
        <w:rPr>
          <w:rFonts w:eastAsia="Calibri" w:cs="Calibri"/>
          <w:b/>
          <w:bCs/>
          <w:i/>
          <w:iCs/>
        </w:rPr>
      </w:pPr>
      <w:r>
        <w:rPr>
          <w:rFonts w:eastAsia="Calibri" w:cs="Calibri"/>
          <w:b/>
          <w:bCs/>
          <w:i/>
          <w:iCs/>
        </w:rPr>
        <w:t>1. Inleiding</w:t>
      </w:r>
    </w:p>
    <w:p w:rsidR="004E19BB" w:rsidP="004E19BB" w:rsidRDefault="004E19BB" w14:paraId="7E42B9B1" w14:textId="77777777">
      <w:pPr>
        <w:spacing w:line="276" w:lineRule="auto"/>
        <w:rPr>
          <w:rFonts w:eastAsia="Calibri" w:cs="Calibri"/>
          <w:b/>
          <w:bCs/>
          <w:i/>
          <w:iCs/>
        </w:rPr>
      </w:pPr>
    </w:p>
    <w:p w:rsidRPr="00284CFB" w:rsidR="004E19BB" w:rsidP="009853A1" w:rsidRDefault="004E19BB" w14:paraId="60DAAE04" w14:textId="77777777">
      <w:pPr>
        <w:spacing w:line="276" w:lineRule="auto"/>
        <w:rPr>
          <w:rFonts w:eastAsia="Calibri" w:cs="Calibri"/>
        </w:rPr>
      </w:pPr>
      <w:r>
        <w:rPr>
          <w:rFonts w:eastAsia="Calibri" w:cs="Calibri"/>
        </w:rPr>
        <w:t xml:space="preserve">Met dit besluit </w:t>
      </w:r>
      <w:r w:rsidR="00F95DEE">
        <w:rPr>
          <w:rFonts w:eastAsia="Calibri" w:cs="Calibri"/>
        </w:rPr>
        <w:t xml:space="preserve">wordt het Besluit kinderopvangtoeslag gewijzigd. </w:t>
      </w:r>
      <w:r w:rsidR="009853A1">
        <w:rPr>
          <w:rFonts w:eastAsia="Calibri" w:cs="Calibri"/>
        </w:rPr>
        <w:t>D</w:t>
      </w:r>
      <w:r w:rsidRPr="00C81367">
        <w:rPr>
          <w:rFonts w:eastAsia="Calibri" w:cs="Calibri"/>
        </w:rPr>
        <w:t>e vergoedingspercentages in de kinderopvangtoeslag</w:t>
      </w:r>
      <w:r w:rsidR="009853A1">
        <w:rPr>
          <w:rFonts w:eastAsia="Calibri" w:cs="Calibri"/>
        </w:rPr>
        <w:t xml:space="preserve"> worden</w:t>
      </w:r>
      <w:r w:rsidRPr="00C81367">
        <w:rPr>
          <w:rFonts w:eastAsia="Calibri" w:cs="Calibri"/>
        </w:rPr>
        <w:t xml:space="preserve"> verhoogd</w:t>
      </w:r>
      <w:r w:rsidRPr="00C81367" w:rsidR="00EC1B42">
        <w:rPr>
          <w:rFonts w:eastAsia="Calibri" w:cs="Calibri"/>
        </w:rPr>
        <w:t xml:space="preserve"> voor </w:t>
      </w:r>
      <w:r w:rsidR="00D90555">
        <w:rPr>
          <w:rFonts w:eastAsia="Calibri" w:cs="Calibri"/>
        </w:rPr>
        <w:t xml:space="preserve">alle </w:t>
      </w:r>
      <w:r w:rsidRPr="00284CFB" w:rsidR="00D90555">
        <w:rPr>
          <w:rFonts w:eastAsia="Calibri" w:cs="Calibri"/>
        </w:rPr>
        <w:t xml:space="preserve">huishoudens die geen recht hebben op </w:t>
      </w:r>
      <w:r w:rsidRPr="00284CFB" w:rsidR="00897D0B">
        <w:rPr>
          <w:rFonts w:eastAsia="Calibri" w:cs="Calibri"/>
        </w:rPr>
        <w:t xml:space="preserve">een </w:t>
      </w:r>
      <w:r w:rsidRPr="00284CFB" w:rsidR="00511251">
        <w:rPr>
          <w:rFonts w:eastAsia="Calibri" w:cs="Calibri"/>
        </w:rPr>
        <w:t xml:space="preserve">vergoedingspercentage van </w:t>
      </w:r>
      <w:r w:rsidRPr="00284CFB" w:rsidR="00D90555">
        <w:rPr>
          <w:rFonts w:eastAsia="Calibri" w:cs="Calibri"/>
        </w:rPr>
        <w:t xml:space="preserve">96% voor het eerste kind. </w:t>
      </w:r>
      <w:r w:rsidRPr="00284CFB" w:rsidR="004A3C02">
        <w:rPr>
          <w:rFonts w:eastAsia="Calibri" w:cs="Calibri"/>
        </w:rPr>
        <w:t>Dat betekent dat in 2027</w:t>
      </w:r>
      <w:r w:rsidRPr="00284CFB" w:rsidR="00D90555">
        <w:rPr>
          <w:rFonts w:eastAsia="Calibri" w:cs="Calibri"/>
        </w:rPr>
        <w:t xml:space="preserve"> huishoudens met een toetsingsinkomen </w:t>
      </w:r>
      <w:r w:rsidRPr="00284CFB" w:rsidR="00EC1B42">
        <w:rPr>
          <w:rFonts w:eastAsia="Calibri" w:cs="Calibri"/>
        </w:rPr>
        <w:t xml:space="preserve">boven circa </w:t>
      </w:r>
      <w:r w:rsidRPr="00284CFB" w:rsidR="00D90555">
        <w:t>€ </w:t>
      </w:r>
      <w:r w:rsidRPr="00284CFB" w:rsidR="00AB7893">
        <w:t>5</w:t>
      </w:r>
      <w:r w:rsidRPr="00284CFB" w:rsidR="0032098E">
        <w:t>8</w:t>
      </w:r>
      <w:r w:rsidRPr="00284CFB" w:rsidR="00D90555">
        <w:t>.000</w:t>
      </w:r>
      <w:r w:rsidRPr="00284CFB" w:rsidR="004A3C02">
        <w:t xml:space="preserve"> een hoger vergoedingspercentage ontvangen</w:t>
      </w:r>
      <w:r w:rsidRPr="00284CFB">
        <w:rPr>
          <w:rFonts w:eastAsia="Calibri" w:cs="Calibri"/>
        </w:rPr>
        <w:t>.</w:t>
      </w:r>
      <w:r w:rsidRPr="00284CFB" w:rsidR="00EC1B42">
        <w:rPr>
          <w:rFonts w:eastAsia="Calibri" w:cs="Calibri"/>
        </w:rPr>
        <w:t xml:space="preserve"> </w:t>
      </w:r>
      <w:r w:rsidRPr="00284CFB">
        <w:rPr>
          <w:rFonts w:eastAsia="Calibri" w:cs="Calibri"/>
        </w:rPr>
        <w:t xml:space="preserve">Ook worden de </w:t>
      </w:r>
      <w:r w:rsidRPr="00284CFB" w:rsidR="00511251">
        <w:rPr>
          <w:rFonts w:eastAsia="Calibri" w:cs="Calibri"/>
        </w:rPr>
        <w:t>maximum</w:t>
      </w:r>
      <w:r w:rsidRPr="00284CFB" w:rsidR="00FC4D52">
        <w:rPr>
          <w:rFonts w:eastAsia="Calibri" w:cs="Calibri"/>
        </w:rPr>
        <w:t xml:space="preserve"> </w:t>
      </w:r>
      <w:proofErr w:type="spellStart"/>
      <w:r w:rsidRPr="00284CFB" w:rsidR="00511251">
        <w:rPr>
          <w:rFonts w:eastAsia="Calibri" w:cs="Calibri"/>
        </w:rPr>
        <w:t>uur</w:t>
      </w:r>
      <w:r w:rsidRPr="00284CFB">
        <w:rPr>
          <w:rFonts w:eastAsia="Calibri" w:cs="Calibri"/>
        </w:rPr>
        <w:t>prijzen</w:t>
      </w:r>
      <w:proofErr w:type="spellEnd"/>
      <w:r w:rsidRPr="00284CFB" w:rsidR="001525C4">
        <w:rPr>
          <w:rFonts w:eastAsia="Calibri" w:cs="Calibri"/>
        </w:rPr>
        <w:t xml:space="preserve"> en</w:t>
      </w:r>
      <w:r w:rsidRPr="00284CFB">
        <w:rPr>
          <w:rFonts w:eastAsia="Calibri" w:cs="Calibri"/>
        </w:rPr>
        <w:t xml:space="preserve"> de toetsingsinkomens van de kinderopvangtoeslag geïndexeerd.</w:t>
      </w:r>
    </w:p>
    <w:p w:rsidRPr="00284CFB" w:rsidR="001C3C8E" w:rsidP="009853A1" w:rsidRDefault="001C3C8E" w14:paraId="4052ACE4" w14:textId="77777777">
      <w:pPr>
        <w:spacing w:line="276" w:lineRule="auto"/>
        <w:rPr>
          <w:rFonts w:eastAsia="Calibri" w:cs="Calibri"/>
        </w:rPr>
      </w:pPr>
    </w:p>
    <w:p w:rsidR="003F7C37" w:rsidP="009853A1" w:rsidRDefault="003F7C37" w14:paraId="3EBF6DB6" w14:textId="77777777">
      <w:pPr>
        <w:spacing w:line="276" w:lineRule="auto"/>
        <w:rPr>
          <w:rFonts w:eastAsia="Calibri" w:cs="Calibri"/>
        </w:rPr>
      </w:pPr>
      <w:r w:rsidRPr="00284CFB">
        <w:rPr>
          <w:rFonts w:eastAsia="Calibri" w:cs="Calibri"/>
        </w:rPr>
        <w:t xml:space="preserve">Daarnaast </w:t>
      </w:r>
      <w:r w:rsidRPr="00284CFB" w:rsidR="00A268EE">
        <w:rPr>
          <w:rFonts w:eastAsia="Calibri" w:cs="Calibri"/>
        </w:rPr>
        <w:t>bevat dit besluit</w:t>
      </w:r>
      <w:r w:rsidRPr="00284CFB">
        <w:rPr>
          <w:rFonts w:eastAsia="Calibri" w:cs="Calibri"/>
        </w:rPr>
        <w:t xml:space="preserve"> een technische aanpassing van het</w:t>
      </w:r>
      <w:r w:rsidRPr="00284CFB" w:rsidR="00A268EE">
        <w:rPr>
          <w:rFonts w:eastAsia="Calibri" w:cs="Calibri"/>
        </w:rPr>
        <w:t xml:space="preserve"> B</w:t>
      </w:r>
      <w:r w:rsidRPr="00284CFB">
        <w:rPr>
          <w:rFonts w:eastAsia="Calibri" w:cs="Calibri"/>
        </w:rPr>
        <w:t>esluit kinderopvangtoeslag</w:t>
      </w:r>
      <w:r w:rsidRPr="00284CFB" w:rsidR="00F95DEE">
        <w:rPr>
          <w:rFonts w:eastAsia="Calibri" w:cs="Calibri"/>
        </w:rPr>
        <w:t xml:space="preserve">, die samenhangt met </w:t>
      </w:r>
      <w:r w:rsidRPr="00284CFB" w:rsidR="00F63970">
        <w:rPr>
          <w:rFonts w:eastAsia="Calibri" w:cs="Calibri"/>
        </w:rPr>
        <w:t>de wijziging</w:t>
      </w:r>
      <w:r w:rsidRPr="00284CFB" w:rsidR="00F95DEE">
        <w:rPr>
          <w:rFonts w:eastAsia="Calibri" w:cs="Calibri"/>
        </w:rPr>
        <w:t xml:space="preserve"> van de Wet kinderopvang in verband met de verbetering van enkele bepalingen op het terrein van kinderopvangtoeslag (hierna:</w:t>
      </w:r>
      <w:r w:rsidRPr="00284CFB">
        <w:rPr>
          <w:rFonts w:eastAsia="Calibri" w:cs="Calibri"/>
        </w:rPr>
        <w:t xml:space="preserve"> </w:t>
      </w:r>
      <w:r w:rsidRPr="00284CFB" w:rsidR="00B7466C">
        <w:rPr>
          <w:rFonts w:eastAsia="Calibri" w:cs="Calibri"/>
        </w:rPr>
        <w:t>Wet</w:t>
      </w:r>
      <w:r w:rsidRPr="00284CFB">
        <w:rPr>
          <w:rFonts w:eastAsia="Calibri" w:cs="Calibri"/>
        </w:rPr>
        <w:t xml:space="preserve"> verbetering kinderopvangtoeslag</w:t>
      </w:r>
      <w:r w:rsidRPr="00284CFB" w:rsidR="00F95DEE">
        <w:rPr>
          <w:rFonts w:eastAsia="Calibri" w:cs="Calibri"/>
        </w:rPr>
        <w:t xml:space="preserve">). </w:t>
      </w:r>
      <w:r w:rsidRPr="00284CFB" w:rsidR="00F63970">
        <w:rPr>
          <w:rFonts w:eastAsia="Calibri" w:cs="Calibri"/>
        </w:rPr>
        <w:t>Deze wetswijziging geeft</w:t>
      </w:r>
      <w:r w:rsidRPr="00284CFB" w:rsidR="00F95DEE">
        <w:rPr>
          <w:rFonts w:eastAsia="Calibri" w:cs="Calibri"/>
        </w:rPr>
        <w:t xml:space="preserve"> onder meer</w:t>
      </w:r>
      <w:r w:rsidRPr="00284CFB" w:rsidR="001236B7">
        <w:rPr>
          <w:rFonts w:eastAsia="Calibri" w:cs="Calibri"/>
        </w:rPr>
        <w:t xml:space="preserve"> </w:t>
      </w:r>
      <w:r w:rsidRPr="00284CFB" w:rsidR="001C3C8E">
        <w:t xml:space="preserve">het </w:t>
      </w:r>
      <w:r w:rsidRPr="00284CFB" w:rsidR="00F63970">
        <w:rPr>
          <w:rFonts w:eastAsia="Calibri" w:cs="Calibri"/>
        </w:rPr>
        <w:t>recht op kinderopvangtoeslag</w:t>
      </w:r>
      <w:r w:rsidRPr="00284CFB" w:rsidR="00F63970">
        <w:t xml:space="preserve"> </w:t>
      </w:r>
      <w:r w:rsidRPr="00284CFB" w:rsidR="001C3C8E">
        <w:t xml:space="preserve">aan ouders </w:t>
      </w:r>
      <w:r w:rsidRPr="00284CFB" w:rsidR="001236B7">
        <w:t>die een traject volgen gericht op</w:t>
      </w:r>
      <w:r w:rsidRPr="003F7C37" w:rsidR="001236B7">
        <w:t xml:space="preserve"> promotie of anderszins werkzaamheden verrichten ten behoeve van onderzoek aan een instelling of academisch ziekenhuis</w:t>
      </w:r>
      <w:r w:rsidRPr="003F7C37">
        <w:rPr>
          <w:rFonts w:eastAsia="Calibri" w:cs="Calibri"/>
        </w:rPr>
        <w:t>.</w:t>
      </w:r>
      <w:r w:rsidR="00284CFB">
        <w:rPr>
          <w:rStyle w:val="Voetnootmarkering"/>
          <w:rFonts w:eastAsia="Calibri" w:cs="Calibri"/>
        </w:rPr>
        <w:footnoteReference w:id="2"/>
      </w:r>
      <w:r w:rsidRPr="003F7C37" w:rsidR="00A268EE">
        <w:rPr>
          <w:rFonts w:eastAsia="Calibri" w:cs="Calibri"/>
        </w:rPr>
        <w:t xml:space="preserve"> </w:t>
      </w:r>
      <w:r w:rsidR="00F95DEE">
        <w:rPr>
          <w:rFonts w:eastAsia="Calibri" w:cs="Calibri"/>
        </w:rPr>
        <w:t>Deze technische</w:t>
      </w:r>
      <w:r w:rsidRPr="003F7C37">
        <w:rPr>
          <w:rFonts w:eastAsia="Calibri" w:cs="Calibri"/>
        </w:rPr>
        <w:t xml:space="preserve"> wijziging van </w:t>
      </w:r>
      <w:r w:rsidR="00F95DEE">
        <w:rPr>
          <w:rFonts w:eastAsia="Calibri" w:cs="Calibri"/>
        </w:rPr>
        <w:t>het</w:t>
      </w:r>
      <w:r w:rsidRPr="003F7C37">
        <w:rPr>
          <w:rFonts w:eastAsia="Calibri" w:cs="Calibri"/>
        </w:rPr>
        <w:t xml:space="preserve"> </w:t>
      </w:r>
      <w:r w:rsidR="00A268EE">
        <w:rPr>
          <w:rFonts w:eastAsia="Calibri" w:cs="Calibri"/>
        </w:rPr>
        <w:t>B</w:t>
      </w:r>
      <w:r w:rsidRPr="003F7C37">
        <w:rPr>
          <w:rFonts w:eastAsia="Calibri" w:cs="Calibri"/>
        </w:rPr>
        <w:t xml:space="preserve">esluit kinderopvangtoeslag </w:t>
      </w:r>
      <w:r w:rsidR="00F95DEE">
        <w:rPr>
          <w:rFonts w:eastAsia="Calibri" w:cs="Calibri"/>
        </w:rPr>
        <w:t xml:space="preserve">zorgt ervoor dat </w:t>
      </w:r>
      <w:r w:rsidRPr="003F7C37">
        <w:rPr>
          <w:rFonts w:eastAsia="Calibri" w:cs="Calibri"/>
        </w:rPr>
        <w:t>voor de</w:t>
      </w:r>
      <w:r w:rsidR="001236B7">
        <w:rPr>
          <w:rFonts w:eastAsia="Calibri" w:cs="Calibri"/>
        </w:rPr>
        <w:t>ze</w:t>
      </w:r>
      <w:r w:rsidRPr="003F7C37">
        <w:rPr>
          <w:rFonts w:eastAsia="Calibri" w:cs="Calibri"/>
        </w:rPr>
        <w:t xml:space="preserve"> doelgroep dezelfde regels </w:t>
      </w:r>
      <w:r w:rsidR="00F95DEE">
        <w:rPr>
          <w:rFonts w:eastAsia="Calibri" w:cs="Calibri"/>
        </w:rPr>
        <w:t xml:space="preserve">gaan gelden </w:t>
      </w:r>
      <w:r w:rsidRPr="003F7C37">
        <w:rPr>
          <w:rFonts w:eastAsia="Calibri" w:cs="Calibri"/>
        </w:rPr>
        <w:t xml:space="preserve">over het aantal uren recht op kinderopvangtoeslag als voor andere doelgroepen </w:t>
      </w:r>
      <w:r w:rsidR="001C3C8E">
        <w:rPr>
          <w:rFonts w:eastAsia="Calibri" w:cs="Calibri"/>
        </w:rPr>
        <w:t>die aanspraak maken op</w:t>
      </w:r>
      <w:r w:rsidRPr="003F7C37">
        <w:rPr>
          <w:rFonts w:eastAsia="Calibri" w:cs="Calibri"/>
        </w:rPr>
        <w:t xml:space="preserve"> kinderopvangtoeslag.</w:t>
      </w:r>
    </w:p>
    <w:p w:rsidR="0099633F" w:rsidP="009853A1" w:rsidRDefault="0099633F" w14:paraId="50E0B283" w14:textId="77777777">
      <w:pPr>
        <w:spacing w:line="276" w:lineRule="auto"/>
        <w:rPr>
          <w:rFonts w:eastAsia="Calibri" w:cs="Calibri"/>
        </w:rPr>
      </w:pPr>
    </w:p>
    <w:p w:rsidR="0099633F" w:rsidP="009853A1" w:rsidRDefault="0099633F" w14:paraId="572D2BCC" w14:textId="77777777">
      <w:pPr>
        <w:spacing w:line="276" w:lineRule="auto"/>
        <w:rPr>
          <w:rFonts w:eastAsia="Calibri" w:cs="Calibri"/>
        </w:rPr>
      </w:pPr>
      <w:r>
        <w:rPr>
          <w:rFonts w:eastAsia="Calibri" w:cs="Calibri"/>
        </w:rPr>
        <w:t>Ten slotte</w:t>
      </w:r>
      <w:r w:rsidR="008A08A6">
        <w:rPr>
          <w:rFonts w:eastAsia="Calibri" w:cs="Calibri"/>
        </w:rPr>
        <w:t xml:space="preserve"> </w:t>
      </w:r>
      <w:r w:rsidR="002F11AB">
        <w:rPr>
          <w:rFonts w:eastAsia="Calibri" w:cs="Calibri"/>
        </w:rPr>
        <w:t>herstelt</w:t>
      </w:r>
      <w:r w:rsidR="008A08A6">
        <w:rPr>
          <w:rFonts w:eastAsia="Calibri" w:cs="Calibri"/>
        </w:rPr>
        <w:t xml:space="preserve"> dit besluit </w:t>
      </w:r>
      <w:r>
        <w:rPr>
          <w:rFonts w:eastAsia="Calibri" w:cs="Calibri"/>
        </w:rPr>
        <w:t xml:space="preserve">een </w:t>
      </w:r>
      <w:r w:rsidR="002F11AB">
        <w:rPr>
          <w:rFonts w:eastAsia="Calibri" w:cs="Calibri"/>
        </w:rPr>
        <w:t>onjuiste</w:t>
      </w:r>
      <w:r>
        <w:rPr>
          <w:rFonts w:eastAsia="Calibri" w:cs="Calibri"/>
        </w:rPr>
        <w:t xml:space="preserve"> verwijzing</w:t>
      </w:r>
      <w:r w:rsidR="00C74424">
        <w:rPr>
          <w:rFonts w:eastAsia="Calibri" w:cs="Calibri"/>
        </w:rPr>
        <w:t xml:space="preserve"> in het Besluit kinderopvangtoeslag. Deze wijziging hangt samen met de</w:t>
      </w:r>
      <w:r>
        <w:rPr>
          <w:rFonts w:eastAsia="Calibri" w:cs="Calibri"/>
        </w:rPr>
        <w:t xml:space="preserve"> </w:t>
      </w:r>
      <w:r w:rsidR="00C74424">
        <w:rPr>
          <w:rFonts w:eastAsia="Calibri" w:cs="Calibri"/>
        </w:rPr>
        <w:t>wijziging van</w:t>
      </w:r>
      <w:r>
        <w:rPr>
          <w:rFonts w:eastAsia="Calibri" w:cs="Calibri"/>
        </w:rPr>
        <w:t xml:space="preserve"> </w:t>
      </w:r>
      <w:r w:rsidR="008A08A6">
        <w:rPr>
          <w:rFonts w:eastAsia="Calibri" w:cs="Calibri"/>
        </w:rPr>
        <w:t>artikel 1.6 van de</w:t>
      </w:r>
      <w:r>
        <w:rPr>
          <w:rFonts w:eastAsia="Calibri" w:cs="Calibri"/>
        </w:rPr>
        <w:t xml:space="preserve"> Wet kinderopvan</w:t>
      </w:r>
      <w:r w:rsidR="002F11AB">
        <w:rPr>
          <w:rFonts w:eastAsia="Calibri" w:cs="Calibri"/>
        </w:rPr>
        <w:t>g</w:t>
      </w:r>
      <w:r w:rsidR="00C74424">
        <w:rPr>
          <w:rFonts w:eastAsia="Calibri" w:cs="Calibri"/>
        </w:rPr>
        <w:t xml:space="preserve"> door de </w:t>
      </w:r>
      <w:r w:rsidR="002F11AB">
        <w:rPr>
          <w:rFonts w:eastAsia="Calibri" w:cs="Calibri"/>
        </w:rPr>
        <w:t xml:space="preserve">Wet verbetermaatregelen </w:t>
      </w:r>
      <w:r w:rsidR="008A08A6">
        <w:rPr>
          <w:rFonts w:eastAsia="Calibri" w:cs="Calibri"/>
        </w:rPr>
        <w:t>toeslagen en aanpassing termijnen hersteloperatie toeslagen</w:t>
      </w:r>
      <w:r w:rsidR="002F11AB">
        <w:rPr>
          <w:rFonts w:eastAsia="Calibri" w:cs="Calibri"/>
        </w:rPr>
        <w:t xml:space="preserve"> aan de Wet kinderopvang</w:t>
      </w:r>
      <w:r w:rsidR="008A08A6">
        <w:rPr>
          <w:rFonts w:eastAsia="Calibri" w:cs="Calibri"/>
        </w:rPr>
        <w:t>.</w:t>
      </w:r>
      <w:r w:rsidR="00946C47">
        <w:rPr>
          <w:rStyle w:val="Voetnootmarkering"/>
          <w:rFonts w:eastAsia="Calibri" w:cs="Calibri"/>
        </w:rPr>
        <w:footnoteReference w:id="3"/>
      </w:r>
    </w:p>
    <w:p w:rsidR="004E19BB" w:rsidP="004E19BB" w:rsidRDefault="004E19BB" w14:paraId="7AF613A3" w14:textId="77777777">
      <w:pPr>
        <w:spacing w:line="276" w:lineRule="auto"/>
        <w:rPr>
          <w:rFonts w:eastAsia="Calibri" w:cs="Calibri"/>
          <w:b/>
          <w:bCs/>
          <w:i/>
          <w:iCs/>
        </w:rPr>
      </w:pPr>
    </w:p>
    <w:p w:rsidRPr="00F958ED" w:rsidR="004E19BB" w:rsidP="004E19BB" w:rsidRDefault="004E19BB" w14:paraId="4D5C4EF2" w14:textId="77777777">
      <w:pPr>
        <w:spacing w:line="276" w:lineRule="auto"/>
        <w:rPr>
          <w:rFonts w:eastAsia="Calibri" w:cs="Calibri"/>
          <w:b/>
          <w:bCs/>
          <w:i/>
          <w:iCs/>
        </w:rPr>
      </w:pPr>
      <w:r>
        <w:rPr>
          <w:rFonts w:eastAsia="Calibri" w:cs="Calibri"/>
          <w:b/>
          <w:bCs/>
          <w:i/>
          <w:iCs/>
        </w:rPr>
        <w:t xml:space="preserve">2. Wijzigingen kinderopvangtoeslag </w:t>
      </w:r>
      <w:r w:rsidR="00A97365">
        <w:rPr>
          <w:rFonts w:eastAsia="Calibri" w:cs="Calibri"/>
          <w:b/>
          <w:bCs/>
          <w:i/>
          <w:iCs/>
        </w:rPr>
        <w:t>202</w:t>
      </w:r>
      <w:r w:rsidR="006903C3">
        <w:rPr>
          <w:rFonts w:eastAsia="Calibri" w:cs="Calibri"/>
          <w:b/>
          <w:bCs/>
          <w:i/>
          <w:iCs/>
        </w:rPr>
        <w:t>7</w:t>
      </w:r>
    </w:p>
    <w:p w:rsidR="004E19BB" w:rsidP="004E19BB" w:rsidRDefault="004E19BB" w14:paraId="694D8822" w14:textId="77777777">
      <w:pPr>
        <w:spacing w:line="276" w:lineRule="auto"/>
        <w:rPr>
          <w:rFonts w:eastAsia="Calibri" w:cs="Calibri"/>
        </w:rPr>
      </w:pPr>
    </w:p>
    <w:p w:rsidR="004E19BB" w:rsidP="004E19BB" w:rsidRDefault="004E19BB" w14:paraId="5E6C619B" w14:textId="77777777">
      <w:pPr>
        <w:pStyle w:val="Default"/>
        <w:spacing w:line="240" w:lineRule="atLeast"/>
        <w:rPr>
          <w:i/>
          <w:iCs/>
          <w:sz w:val="18"/>
          <w:szCs w:val="18"/>
        </w:rPr>
      </w:pPr>
      <w:r>
        <w:rPr>
          <w:i/>
          <w:iCs/>
          <w:sz w:val="18"/>
          <w:szCs w:val="18"/>
        </w:rPr>
        <w:t>2.1 Verhoging toeslagpercentages</w:t>
      </w:r>
    </w:p>
    <w:p w:rsidRPr="000C531F" w:rsidR="004E19BB" w:rsidP="004E19BB" w:rsidRDefault="001D42A1" w14:paraId="7EE96EAA" w14:textId="77777777">
      <w:pPr>
        <w:pStyle w:val="Default"/>
        <w:spacing w:line="240" w:lineRule="atLeast"/>
        <w:rPr>
          <w:sz w:val="18"/>
          <w:szCs w:val="18"/>
        </w:rPr>
      </w:pPr>
      <w:r>
        <w:rPr>
          <w:sz w:val="18"/>
          <w:szCs w:val="18"/>
        </w:rPr>
        <w:t>De regering</w:t>
      </w:r>
      <w:r w:rsidRPr="000C531F" w:rsidR="004E19BB">
        <w:rPr>
          <w:sz w:val="18"/>
          <w:szCs w:val="18"/>
        </w:rPr>
        <w:t xml:space="preserve"> werkt aan de invoering van een nieuw financiering</w:t>
      </w:r>
      <w:r w:rsidR="006955B0">
        <w:rPr>
          <w:sz w:val="18"/>
          <w:szCs w:val="18"/>
        </w:rPr>
        <w:t>sstelsel voor</w:t>
      </w:r>
      <w:r w:rsidRPr="000C531F" w:rsidR="004E19BB">
        <w:rPr>
          <w:sz w:val="18"/>
          <w:szCs w:val="18"/>
        </w:rPr>
        <w:t xml:space="preserve"> kinderopvang. </w:t>
      </w:r>
      <w:r w:rsidR="006955B0">
        <w:rPr>
          <w:sz w:val="18"/>
          <w:szCs w:val="18"/>
        </w:rPr>
        <w:t>Dit nieuwe stelsel</w:t>
      </w:r>
      <w:r w:rsidRPr="000C531F" w:rsidR="004E19BB">
        <w:rPr>
          <w:sz w:val="18"/>
          <w:szCs w:val="18"/>
        </w:rPr>
        <w:t xml:space="preserve"> is eenvoudiger voor ouders, biedt ouders meer (financiële) zekerheid en maakt kinderopvang </w:t>
      </w:r>
      <w:r w:rsidR="00B675C4">
        <w:rPr>
          <w:sz w:val="18"/>
          <w:szCs w:val="18"/>
        </w:rPr>
        <w:t>voor ouders</w:t>
      </w:r>
      <w:r w:rsidRPr="001C6114" w:rsidR="001C6114">
        <w:rPr>
          <w:sz w:val="18"/>
          <w:szCs w:val="18"/>
        </w:rPr>
        <w:t xml:space="preserve"> </w:t>
      </w:r>
      <w:r w:rsidR="009B4E79">
        <w:rPr>
          <w:sz w:val="18"/>
          <w:szCs w:val="18"/>
        </w:rPr>
        <w:t xml:space="preserve">met een midden en hoger inkomen </w:t>
      </w:r>
      <w:r w:rsidRPr="000C531F" w:rsidR="004E19BB">
        <w:rPr>
          <w:sz w:val="18"/>
          <w:szCs w:val="18"/>
        </w:rPr>
        <w:t>beter betaalbaar</w:t>
      </w:r>
      <w:r w:rsidR="006955B0">
        <w:rPr>
          <w:sz w:val="18"/>
          <w:szCs w:val="18"/>
        </w:rPr>
        <w:t>.</w:t>
      </w:r>
      <w:r w:rsidRPr="000E6255" w:rsidR="004E19BB">
        <w:rPr>
          <w:rStyle w:val="Voetnootmarkering"/>
          <w:sz w:val="18"/>
          <w:szCs w:val="18"/>
        </w:rPr>
        <w:footnoteReference w:id="4"/>
      </w:r>
      <w:r w:rsidRPr="000C531F" w:rsidR="004E19BB">
        <w:rPr>
          <w:sz w:val="18"/>
          <w:szCs w:val="18"/>
        </w:rPr>
        <w:t xml:space="preserve"> </w:t>
      </w:r>
      <w:r w:rsidR="006955B0">
        <w:rPr>
          <w:sz w:val="18"/>
          <w:szCs w:val="18"/>
        </w:rPr>
        <w:t>Dit is onder andere mogelijk</w:t>
      </w:r>
      <w:r w:rsidR="0084123B">
        <w:rPr>
          <w:sz w:val="18"/>
          <w:szCs w:val="18"/>
        </w:rPr>
        <w:t xml:space="preserve"> door het inkomens</w:t>
      </w:r>
      <w:r w:rsidR="006955B0">
        <w:rPr>
          <w:sz w:val="18"/>
          <w:szCs w:val="18"/>
        </w:rPr>
        <w:t>on</w:t>
      </w:r>
      <w:r w:rsidR="0084123B">
        <w:rPr>
          <w:sz w:val="18"/>
          <w:szCs w:val="18"/>
        </w:rPr>
        <w:t xml:space="preserve">afhankelijk maken van de </w:t>
      </w:r>
      <w:r w:rsidR="006955B0">
        <w:rPr>
          <w:sz w:val="18"/>
          <w:szCs w:val="18"/>
        </w:rPr>
        <w:t>overheidsbijdrage</w:t>
      </w:r>
      <w:r w:rsidR="0084123B">
        <w:rPr>
          <w:sz w:val="18"/>
          <w:szCs w:val="18"/>
        </w:rPr>
        <w:t xml:space="preserve"> voor kinderopvang</w:t>
      </w:r>
      <w:r w:rsidR="00952126">
        <w:rPr>
          <w:sz w:val="18"/>
          <w:szCs w:val="18"/>
        </w:rPr>
        <w:t>.</w:t>
      </w:r>
      <w:r w:rsidRPr="000C531F" w:rsidR="004E19BB">
        <w:rPr>
          <w:sz w:val="18"/>
          <w:szCs w:val="18"/>
        </w:rPr>
        <w:t xml:space="preserve"> Alle werkende ouders hebben straks recht op </w:t>
      </w:r>
      <w:r w:rsidR="006955B0">
        <w:rPr>
          <w:sz w:val="18"/>
          <w:szCs w:val="18"/>
        </w:rPr>
        <w:t>het</w:t>
      </w:r>
      <w:r w:rsidRPr="000C531F" w:rsidR="006955B0">
        <w:rPr>
          <w:sz w:val="18"/>
          <w:szCs w:val="18"/>
        </w:rPr>
        <w:t xml:space="preserve">zelfde </w:t>
      </w:r>
      <w:r w:rsidRPr="000C531F" w:rsidR="004E19BB">
        <w:rPr>
          <w:sz w:val="18"/>
          <w:szCs w:val="18"/>
        </w:rPr>
        <w:t>hoge vergoeding</w:t>
      </w:r>
      <w:r w:rsidR="006955B0">
        <w:rPr>
          <w:sz w:val="18"/>
          <w:szCs w:val="18"/>
        </w:rPr>
        <w:t>spercentage</w:t>
      </w:r>
      <w:r w:rsidR="004A6CCD">
        <w:rPr>
          <w:sz w:val="18"/>
          <w:szCs w:val="18"/>
        </w:rPr>
        <w:t xml:space="preserve"> tot aan de maximum </w:t>
      </w:r>
      <w:proofErr w:type="spellStart"/>
      <w:r w:rsidR="004A6CCD">
        <w:rPr>
          <w:sz w:val="18"/>
          <w:szCs w:val="18"/>
        </w:rPr>
        <w:t>uurprijs</w:t>
      </w:r>
      <w:proofErr w:type="spellEnd"/>
      <w:r w:rsidRPr="000C531F" w:rsidR="004E19BB">
        <w:rPr>
          <w:sz w:val="18"/>
          <w:szCs w:val="18"/>
        </w:rPr>
        <w:t>.</w:t>
      </w:r>
      <w:r w:rsidR="00602FA0">
        <w:rPr>
          <w:sz w:val="18"/>
          <w:szCs w:val="18"/>
        </w:rPr>
        <w:t xml:space="preserve"> </w:t>
      </w:r>
      <w:r w:rsidR="006955B0">
        <w:rPr>
          <w:sz w:val="18"/>
          <w:szCs w:val="18"/>
        </w:rPr>
        <w:t xml:space="preserve">Dit </w:t>
      </w:r>
      <w:r w:rsidR="00602FA0">
        <w:rPr>
          <w:sz w:val="18"/>
          <w:szCs w:val="18"/>
        </w:rPr>
        <w:t>voorkomt dat een onverwachte stijging van het inkomen leidt tot een terugvordering</w:t>
      </w:r>
      <w:r w:rsidR="006955B0">
        <w:rPr>
          <w:sz w:val="18"/>
          <w:szCs w:val="18"/>
        </w:rPr>
        <w:t xml:space="preserve"> of een nabetaling.</w:t>
      </w:r>
    </w:p>
    <w:p w:rsidRPr="000C531F" w:rsidR="004E19BB" w:rsidP="004E19BB" w:rsidRDefault="004E19BB" w14:paraId="5C477D85" w14:textId="77777777">
      <w:pPr>
        <w:pStyle w:val="Default"/>
        <w:spacing w:line="240" w:lineRule="atLeast"/>
        <w:rPr>
          <w:sz w:val="18"/>
          <w:szCs w:val="18"/>
        </w:rPr>
      </w:pPr>
    </w:p>
    <w:p w:rsidRPr="000C531F" w:rsidR="004E19BB" w:rsidP="004E19BB" w:rsidRDefault="004E19BB" w14:paraId="3DA74AA2" w14:textId="77777777">
      <w:pPr>
        <w:pStyle w:val="Default"/>
        <w:spacing w:line="240" w:lineRule="atLeast"/>
        <w:rPr>
          <w:sz w:val="18"/>
          <w:szCs w:val="18"/>
        </w:rPr>
      </w:pPr>
      <w:r w:rsidRPr="000C531F">
        <w:rPr>
          <w:sz w:val="18"/>
          <w:szCs w:val="18"/>
        </w:rPr>
        <w:t xml:space="preserve">Een plotselinge verhoging van </w:t>
      </w:r>
      <w:r w:rsidR="006955B0">
        <w:rPr>
          <w:sz w:val="18"/>
          <w:szCs w:val="18"/>
        </w:rPr>
        <w:t>de</w:t>
      </w:r>
      <w:r w:rsidRPr="000C531F" w:rsidR="006955B0">
        <w:rPr>
          <w:sz w:val="18"/>
          <w:szCs w:val="18"/>
        </w:rPr>
        <w:t xml:space="preserve"> </w:t>
      </w:r>
      <w:r w:rsidRPr="000C531F">
        <w:rPr>
          <w:sz w:val="18"/>
          <w:szCs w:val="18"/>
        </w:rPr>
        <w:t>vergoeding</w:t>
      </w:r>
      <w:r w:rsidR="006955B0">
        <w:rPr>
          <w:sz w:val="18"/>
          <w:szCs w:val="18"/>
        </w:rPr>
        <w:t>spercentages</w:t>
      </w:r>
      <w:r w:rsidRPr="000C531F">
        <w:rPr>
          <w:sz w:val="18"/>
          <w:szCs w:val="18"/>
        </w:rPr>
        <w:t xml:space="preserve"> bij invoering van </w:t>
      </w:r>
      <w:r w:rsidR="00207028">
        <w:rPr>
          <w:sz w:val="18"/>
          <w:szCs w:val="18"/>
        </w:rPr>
        <w:t>de</w:t>
      </w:r>
      <w:r w:rsidRPr="000C531F" w:rsidR="00207028">
        <w:rPr>
          <w:sz w:val="18"/>
          <w:szCs w:val="18"/>
        </w:rPr>
        <w:t xml:space="preserve"> </w:t>
      </w:r>
      <w:r w:rsidRPr="000C531F">
        <w:rPr>
          <w:sz w:val="18"/>
          <w:szCs w:val="18"/>
        </w:rPr>
        <w:t xml:space="preserve">nieuwe </w:t>
      </w:r>
      <w:r w:rsidR="00207028">
        <w:rPr>
          <w:sz w:val="18"/>
          <w:szCs w:val="18"/>
        </w:rPr>
        <w:t>financiering</w:t>
      </w:r>
      <w:r w:rsidRPr="000C531F" w:rsidR="00207028">
        <w:rPr>
          <w:sz w:val="18"/>
          <w:szCs w:val="18"/>
        </w:rPr>
        <w:t xml:space="preserve"> </w:t>
      </w:r>
      <w:r w:rsidRPr="000C531F">
        <w:rPr>
          <w:sz w:val="18"/>
          <w:szCs w:val="18"/>
        </w:rPr>
        <w:t>zou naar verwachting zorgen voor een grote marktschok. Bijvoorbeeld in de vorm van een plotselinge, sterke toename van de vraag naar opvang</w:t>
      </w:r>
      <w:r w:rsidR="00207028">
        <w:rPr>
          <w:sz w:val="18"/>
          <w:szCs w:val="18"/>
        </w:rPr>
        <w:t xml:space="preserve"> door de veel lagere kosten voor </w:t>
      </w:r>
      <w:r w:rsidR="00D26F18">
        <w:rPr>
          <w:sz w:val="18"/>
          <w:szCs w:val="18"/>
        </w:rPr>
        <w:t xml:space="preserve">een grote groep </w:t>
      </w:r>
      <w:r w:rsidR="00207028">
        <w:rPr>
          <w:sz w:val="18"/>
          <w:szCs w:val="18"/>
        </w:rPr>
        <w:t>ouders</w:t>
      </w:r>
      <w:r w:rsidRPr="000C531F">
        <w:rPr>
          <w:sz w:val="18"/>
          <w:szCs w:val="18"/>
        </w:rPr>
        <w:t xml:space="preserve">. Om dit te voorkomen </w:t>
      </w:r>
      <w:r>
        <w:rPr>
          <w:sz w:val="18"/>
          <w:szCs w:val="18"/>
        </w:rPr>
        <w:t>is het nodig om stapsgewijs toe te werken</w:t>
      </w:r>
      <w:r w:rsidRPr="000C531F">
        <w:rPr>
          <w:sz w:val="18"/>
          <w:szCs w:val="18"/>
        </w:rPr>
        <w:t xml:space="preserve"> naar </w:t>
      </w:r>
      <w:r w:rsidR="006955B0">
        <w:rPr>
          <w:sz w:val="18"/>
          <w:szCs w:val="18"/>
        </w:rPr>
        <w:t>de</w:t>
      </w:r>
      <w:r w:rsidRPr="000C531F" w:rsidR="006955B0">
        <w:rPr>
          <w:sz w:val="18"/>
          <w:szCs w:val="18"/>
        </w:rPr>
        <w:t xml:space="preserve"> </w:t>
      </w:r>
      <w:r w:rsidRPr="000C531F">
        <w:rPr>
          <w:sz w:val="18"/>
          <w:szCs w:val="18"/>
        </w:rPr>
        <w:t>hogere vergoeding</w:t>
      </w:r>
      <w:r w:rsidR="006955B0">
        <w:rPr>
          <w:sz w:val="18"/>
          <w:szCs w:val="18"/>
        </w:rPr>
        <w:t>spercentages</w:t>
      </w:r>
      <w:r w:rsidRPr="000C531F">
        <w:rPr>
          <w:sz w:val="18"/>
          <w:szCs w:val="18"/>
        </w:rPr>
        <w:t xml:space="preserve">. Zo zal de vraag meer geleidelijk </w:t>
      </w:r>
      <w:r w:rsidRPr="000C531F">
        <w:rPr>
          <w:sz w:val="18"/>
          <w:szCs w:val="18"/>
        </w:rPr>
        <w:lastRenderedPageBreak/>
        <w:t xml:space="preserve">toenemen en </w:t>
      </w:r>
      <w:r w:rsidR="004D5BDF">
        <w:rPr>
          <w:sz w:val="18"/>
          <w:szCs w:val="18"/>
        </w:rPr>
        <w:t>heeft</w:t>
      </w:r>
      <w:r w:rsidRPr="000C531F" w:rsidR="004D5BDF">
        <w:rPr>
          <w:sz w:val="18"/>
          <w:szCs w:val="18"/>
        </w:rPr>
        <w:t xml:space="preserve"> </w:t>
      </w:r>
      <w:r w:rsidRPr="000C531F">
        <w:rPr>
          <w:sz w:val="18"/>
          <w:szCs w:val="18"/>
        </w:rPr>
        <w:t xml:space="preserve">de kinderopvangsector </w:t>
      </w:r>
      <w:r w:rsidR="001936D0">
        <w:rPr>
          <w:sz w:val="18"/>
          <w:szCs w:val="18"/>
        </w:rPr>
        <w:t>(</w:t>
      </w:r>
      <w:r w:rsidRPr="000C531F">
        <w:rPr>
          <w:sz w:val="18"/>
          <w:szCs w:val="18"/>
        </w:rPr>
        <w:t xml:space="preserve">en </w:t>
      </w:r>
      <w:r w:rsidR="004D5BDF">
        <w:rPr>
          <w:sz w:val="18"/>
          <w:szCs w:val="18"/>
        </w:rPr>
        <w:t xml:space="preserve">daarmee </w:t>
      </w:r>
      <w:r w:rsidRPr="000C531F">
        <w:rPr>
          <w:sz w:val="18"/>
          <w:szCs w:val="18"/>
        </w:rPr>
        <w:t>de markt</w:t>
      </w:r>
      <w:r w:rsidR="001936D0">
        <w:rPr>
          <w:sz w:val="18"/>
          <w:szCs w:val="18"/>
        </w:rPr>
        <w:t>)</w:t>
      </w:r>
      <w:r w:rsidRPr="000C531F">
        <w:rPr>
          <w:sz w:val="18"/>
          <w:szCs w:val="18"/>
        </w:rPr>
        <w:t xml:space="preserve"> </w:t>
      </w:r>
      <w:r w:rsidR="006B1BAC">
        <w:rPr>
          <w:sz w:val="18"/>
          <w:szCs w:val="18"/>
        </w:rPr>
        <w:t>meer tijd</w:t>
      </w:r>
      <w:r w:rsidRPr="000C531F" w:rsidR="006B1BAC">
        <w:rPr>
          <w:sz w:val="18"/>
          <w:szCs w:val="18"/>
        </w:rPr>
        <w:t xml:space="preserve"> </w:t>
      </w:r>
      <w:r w:rsidRPr="000C531F">
        <w:rPr>
          <w:sz w:val="18"/>
          <w:szCs w:val="18"/>
        </w:rPr>
        <w:t xml:space="preserve">om zich aan te passen aan de (gevolgen van de) hogere </w:t>
      </w:r>
      <w:r w:rsidR="006955B0">
        <w:rPr>
          <w:sz w:val="18"/>
          <w:szCs w:val="18"/>
        </w:rPr>
        <w:t>overheidsbijdrage</w:t>
      </w:r>
      <w:r w:rsidRPr="000C531F">
        <w:rPr>
          <w:sz w:val="18"/>
          <w:szCs w:val="18"/>
        </w:rPr>
        <w:t xml:space="preserve">. Daarom is in het voorjaar van 2023 </w:t>
      </w:r>
      <w:r w:rsidR="00C828D3">
        <w:rPr>
          <w:sz w:val="18"/>
          <w:szCs w:val="18"/>
        </w:rPr>
        <w:t xml:space="preserve">budget gereserveerd </w:t>
      </w:r>
      <w:r w:rsidR="00B675C4">
        <w:rPr>
          <w:sz w:val="18"/>
          <w:szCs w:val="18"/>
        </w:rPr>
        <w:t xml:space="preserve">voor een </w:t>
      </w:r>
      <w:r w:rsidR="00D90555">
        <w:rPr>
          <w:sz w:val="18"/>
          <w:szCs w:val="18"/>
        </w:rPr>
        <w:t>‘</w:t>
      </w:r>
      <w:proofErr w:type="spellStart"/>
      <w:r w:rsidR="00B675C4">
        <w:rPr>
          <w:sz w:val="18"/>
          <w:szCs w:val="18"/>
        </w:rPr>
        <w:t>ingroeipad</w:t>
      </w:r>
      <w:proofErr w:type="spellEnd"/>
      <w:r w:rsidR="00D90555">
        <w:rPr>
          <w:sz w:val="18"/>
          <w:szCs w:val="18"/>
        </w:rPr>
        <w:t>’</w:t>
      </w:r>
      <w:r w:rsidR="00B675C4">
        <w:rPr>
          <w:sz w:val="18"/>
          <w:szCs w:val="18"/>
        </w:rPr>
        <w:t xml:space="preserve">: </w:t>
      </w:r>
      <w:r w:rsidR="00C828D3">
        <w:rPr>
          <w:sz w:val="18"/>
          <w:szCs w:val="18"/>
        </w:rPr>
        <w:t>een geleidelijke verhoging van de vergoedingspercentages in de aanloop naar de stelselwijziging.</w:t>
      </w:r>
      <w:r w:rsidR="00DC414B">
        <w:rPr>
          <w:sz w:val="18"/>
          <w:szCs w:val="18"/>
        </w:rPr>
        <w:t xml:space="preserve"> </w:t>
      </w:r>
    </w:p>
    <w:p w:rsidRPr="000C531F" w:rsidR="004E19BB" w:rsidP="004E19BB" w:rsidRDefault="004E19BB" w14:paraId="55E6F13B" w14:textId="77777777">
      <w:pPr>
        <w:pStyle w:val="Default"/>
        <w:spacing w:line="240" w:lineRule="atLeast"/>
        <w:rPr>
          <w:sz w:val="18"/>
          <w:szCs w:val="18"/>
        </w:rPr>
      </w:pPr>
    </w:p>
    <w:p w:rsidR="00CD19B1" w:rsidRDefault="00B13FA0" w14:paraId="17C1501C" w14:textId="77777777">
      <w:pPr>
        <w:pStyle w:val="Default"/>
        <w:spacing w:line="240" w:lineRule="atLeast"/>
        <w:rPr>
          <w:sz w:val="18"/>
          <w:szCs w:val="18"/>
        </w:rPr>
      </w:pPr>
      <w:r>
        <w:rPr>
          <w:sz w:val="18"/>
          <w:szCs w:val="18"/>
        </w:rPr>
        <w:t xml:space="preserve">De regering heeft in 2025 de eerste stap gezet op dit </w:t>
      </w:r>
      <w:proofErr w:type="spellStart"/>
      <w:r>
        <w:rPr>
          <w:sz w:val="18"/>
          <w:szCs w:val="18"/>
        </w:rPr>
        <w:t>ingroeipad</w:t>
      </w:r>
      <w:proofErr w:type="spellEnd"/>
      <w:r w:rsidR="006955B0">
        <w:rPr>
          <w:sz w:val="18"/>
          <w:szCs w:val="18"/>
        </w:rPr>
        <w:t>.</w:t>
      </w:r>
      <w:r>
        <w:rPr>
          <w:rStyle w:val="Voetnootmarkering"/>
          <w:sz w:val="18"/>
          <w:szCs w:val="18"/>
        </w:rPr>
        <w:footnoteReference w:id="5"/>
      </w:r>
      <w:r>
        <w:rPr>
          <w:sz w:val="18"/>
          <w:szCs w:val="18"/>
        </w:rPr>
        <w:t xml:space="preserve"> Dit betekende</w:t>
      </w:r>
      <w:r w:rsidR="009F40AE">
        <w:rPr>
          <w:sz w:val="18"/>
          <w:szCs w:val="18"/>
        </w:rPr>
        <w:t xml:space="preserve"> onder andere</w:t>
      </w:r>
      <w:r>
        <w:rPr>
          <w:sz w:val="18"/>
          <w:szCs w:val="18"/>
        </w:rPr>
        <w:t xml:space="preserve"> een hogere kinderopvangtoeslag voor alle werkende ouders met toetsingsinkomens tussen circa € 29.400 en circa € 159.200</w:t>
      </w:r>
      <w:bookmarkStart w:name="_Ref189142816" w:id="1"/>
      <w:r w:rsidR="006955B0">
        <w:rPr>
          <w:sz w:val="18"/>
          <w:szCs w:val="18"/>
        </w:rPr>
        <w:t>.</w:t>
      </w:r>
      <w:r>
        <w:rPr>
          <w:rStyle w:val="Voetnootmarkering"/>
          <w:sz w:val="18"/>
          <w:szCs w:val="18"/>
        </w:rPr>
        <w:footnoteReference w:id="6"/>
      </w:r>
      <w:bookmarkEnd w:id="1"/>
      <w:r>
        <w:rPr>
          <w:sz w:val="18"/>
          <w:szCs w:val="18"/>
        </w:rPr>
        <w:t xml:space="preserve"> Ook hebben alle werkende ouders met een inkomen tot en met € 47.403 recht gekregen op </w:t>
      </w:r>
      <w:r w:rsidR="00244513">
        <w:rPr>
          <w:sz w:val="18"/>
          <w:szCs w:val="18"/>
        </w:rPr>
        <w:t>een</w:t>
      </w:r>
      <w:r>
        <w:rPr>
          <w:sz w:val="18"/>
          <w:szCs w:val="18"/>
        </w:rPr>
        <w:t xml:space="preserve"> vergoedingspercentage van 96%. </w:t>
      </w:r>
      <w:r w:rsidR="00296420">
        <w:rPr>
          <w:sz w:val="18"/>
          <w:szCs w:val="18"/>
        </w:rPr>
        <w:t xml:space="preserve">Daarmee werd in </w:t>
      </w:r>
      <w:r w:rsidR="00D30B43">
        <w:rPr>
          <w:sz w:val="18"/>
          <w:szCs w:val="18"/>
        </w:rPr>
        <w:t xml:space="preserve">toeslagjaar </w:t>
      </w:r>
      <w:r w:rsidR="00296420">
        <w:rPr>
          <w:sz w:val="18"/>
          <w:szCs w:val="18"/>
        </w:rPr>
        <w:t xml:space="preserve">2025 </w:t>
      </w:r>
      <w:r w:rsidR="00D30B43">
        <w:rPr>
          <w:sz w:val="18"/>
          <w:szCs w:val="18"/>
        </w:rPr>
        <w:t xml:space="preserve">€ 467 </w:t>
      </w:r>
      <w:r>
        <w:rPr>
          <w:sz w:val="18"/>
          <w:szCs w:val="18"/>
        </w:rPr>
        <w:t>miljoen</w:t>
      </w:r>
      <w:r w:rsidR="00D30B43">
        <w:rPr>
          <w:rStyle w:val="Voetnootmarkering"/>
          <w:sz w:val="18"/>
          <w:szCs w:val="18"/>
        </w:rPr>
        <w:footnoteReference w:id="7"/>
      </w:r>
      <w:r w:rsidR="00296420">
        <w:rPr>
          <w:sz w:val="18"/>
          <w:szCs w:val="18"/>
        </w:rPr>
        <w:t xml:space="preserve"> </w:t>
      </w:r>
      <w:r w:rsidR="003477C7">
        <w:rPr>
          <w:sz w:val="18"/>
          <w:szCs w:val="18"/>
        </w:rPr>
        <w:t>geïntensiveerd</w:t>
      </w:r>
      <w:r>
        <w:rPr>
          <w:sz w:val="18"/>
          <w:szCs w:val="18"/>
        </w:rPr>
        <w:t>.</w:t>
      </w:r>
      <w:r w:rsidR="00C70D38">
        <w:rPr>
          <w:sz w:val="18"/>
          <w:szCs w:val="18"/>
        </w:rPr>
        <w:t xml:space="preserve"> </w:t>
      </w:r>
    </w:p>
    <w:p w:rsidRPr="00E36A29" w:rsidR="004E19BB" w:rsidP="004E19BB" w:rsidRDefault="004E19BB" w14:paraId="6E2AF652" w14:textId="77777777">
      <w:pPr>
        <w:pStyle w:val="Default"/>
        <w:spacing w:line="240" w:lineRule="atLeast"/>
        <w:rPr>
          <w:sz w:val="18"/>
          <w:szCs w:val="18"/>
        </w:rPr>
      </w:pPr>
    </w:p>
    <w:p w:rsidR="00E60BF5" w:rsidRDefault="00B13FA0" w14:paraId="013891D1" w14:textId="77777777">
      <w:pPr>
        <w:pStyle w:val="Default"/>
        <w:spacing w:line="240" w:lineRule="atLeast"/>
        <w:rPr>
          <w:sz w:val="18"/>
          <w:szCs w:val="18"/>
        </w:rPr>
      </w:pPr>
      <w:r>
        <w:rPr>
          <w:sz w:val="18"/>
          <w:szCs w:val="18"/>
        </w:rPr>
        <w:t xml:space="preserve">In 2026 </w:t>
      </w:r>
      <w:r w:rsidR="009F40AE">
        <w:rPr>
          <w:sz w:val="18"/>
          <w:szCs w:val="18"/>
        </w:rPr>
        <w:t xml:space="preserve">heeft </w:t>
      </w:r>
      <w:r w:rsidR="001D42A1">
        <w:rPr>
          <w:sz w:val="18"/>
          <w:szCs w:val="18"/>
        </w:rPr>
        <w:t>de regering</w:t>
      </w:r>
      <w:r>
        <w:rPr>
          <w:sz w:val="18"/>
          <w:szCs w:val="18"/>
        </w:rPr>
        <w:t xml:space="preserve"> de volgende stap op het </w:t>
      </w:r>
      <w:proofErr w:type="spellStart"/>
      <w:r>
        <w:rPr>
          <w:sz w:val="18"/>
          <w:szCs w:val="18"/>
        </w:rPr>
        <w:t>ingroeipad</w:t>
      </w:r>
      <w:proofErr w:type="spellEnd"/>
      <w:r>
        <w:rPr>
          <w:sz w:val="18"/>
          <w:szCs w:val="18"/>
        </w:rPr>
        <w:t xml:space="preserve"> </w:t>
      </w:r>
      <w:r w:rsidR="009F40AE">
        <w:rPr>
          <w:sz w:val="18"/>
          <w:szCs w:val="18"/>
        </w:rPr>
        <w:t xml:space="preserve">gezet </w:t>
      </w:r>
      <w:r>
        <w:rPr>
          <w:sz w:val="18"/>
          <w:szCs w:val="18"/>
        </w:rPr>
        <w:t>door de vergoedingspercentages opnieuw te verhogen. Alle werkende ouders met een toetsingsinkomen vanaf € 49.</w:t>
      </w:r>
      <w:bookmarkStart w:name="_Ref189142570" w:id="2"/>
      <w:r w:rsidR="00A95AD0">
        <w:rPr>
          <w:sz w:val="18"/>
          <w:szCs w:val="18"/>
        </w:rPr>
        <w:t>319</w:t>
      </w:r>
      <w:bookmarkEnd w:id="2"/>
      <w:r>
        <w:rPr>
          <w:sz w:val="18"/>
          <w:szCs w:val="18"/>
        </w:rPr>
        <w:t xml:space="preserve"> </w:t>
      </w:r>
      <w:r w:rsidR="009F40AE">
        <w:rPr>
          <w:sz w:val="18"/>
          <w:szCs w:val="18"/>
        </w:rPr>
        <w:t xml:space="preserve">kregen </w:t>
      </w:r>
      <w:r>
        <w:rPr>
          <w:sz w:val="18"/>
          <w:szCs w:val="18"/>
        </w:rPr>
        <w:t>recht op een hogere kinderopvangtoeslag. En alle werkende ouders met een toetsingsinkomen t</w:t>
      </w:r>
      <w:r w:rsidR="00E463C7">
        <w:rPr>
          <w:sz w:val="18"/>
          <w:szCs w:val="18"/>
        </w:rPr>
        <w:t xml:space="preserve">ussen € 49.319 en </w:t>
      </w:r>
      <w:r>
        <w:rPr>
          <w:sz w:val="18"/>
          <w:szCs w:val="18"/>
        </w:rPr>
        <w:t xml:space="preserve">€ </w:t>
      </w:r>
      <w:r w:rsidR="00525327">
        <w:rPr>
          <w:sz w:val="18"/>
          <w:szCs w:val="18"/>
        </w:rPr>
        <w:t>5</w:t>
      </w:r>
      <w:r w:rsidR="00A95AD0">
        <w:rPr>
          <w:sz w:val="18"/>
          <w:szCs w:val="18"/>
        </w:rPr>
        <w:t>6.413</w:t>
      </w:r>
      <w:r>
        <w:rPr>
          <w:sz w:val="18"/>
          <w:szCs w:val="18"/>
        </w:rPr>
        <w:t xml:space="preserve"> </w:t>
      </w:r>
      <w:r w:rsidR="009F40AE">
        <w:rPr>
          <w:sz w:val="18"/>
          <w:szCs w:val="18"/>
        </w:rPr>
        <w:t xml:space="preserve">kregen </w:t>
      </w:r>
      <w:r>
        <w:rPr>
          <w:sz w:val="18"/>
          <w:szCs w:val="18"/>
        </w:rPr>
        <w:t xml:space="preserve">recht op </w:t>
      </w:r>
      <w:r w:rsidR="006251B2">
        <w:rPr>
          <w:sz w:val="18"/>
          <w:szCs w:val="18"/>
        </w:rPr>
        <w:t xml:space="preserve">een </w:t>
      </w:r>
      <w:r>
        <w:rPr>
          <w:sz w:val="18"/>
          <w:szCs w:val="18"/>
        </w:rPr>
        <w:t>vergoedingspercentage van 96%.</w:t>
      </w:r>
      <w:r w:rsidR="00D27AF7">
        <w:rPr>
          <w:rStyle w:val="Voetnootmarkering"/>
          <w:sz w:val="18"/>
          <w:szCs w:val="18"/>
        </w:rPr>
        <w:footnoteReference w:id="8"/>
      </w:r>
      <w:r w:rsidR="00E463C7">
        <w:rPr>
          <w:sz w:val="18"/>
          <w:szCs w:val="18"/>
        </w:rPr>
        <w:t xml:space="preserve"> </w:t>
      </w:r>
      <w:r w:rsidR="00623857">
        <w:rPr>
          <w:sz w:val="18"/>
          <w:szCs w:val="18"/>
        </w:rPr>
        <w:t xml:space="preserve">De additionele intensivering </w:t>
      </w:r>
      <w:r w:rsidR="00D30B43">
        <w:rPr>
          <w:sz w:val="18"/>
          <w:szCs w:val="18"/>
        </w:rPr>
        <w:t xml:space="preserve">bedraagt </w:t>
      </w:r>
      <w:r w:rsidR="00623857">
        <w:rPr>
          <w:sz w:val="18"/>
          <w:szCs w:val="18"/>
        </w:rPr>
        <w:t>in 2026</w:t>
      </w:r>
      <w:r w:rsidR="00D30B43">
        <w:rPr>
          <w:sz w:val="18"/>
          <w:szCs w:val="18"/>
        </w:rPr>
        <w:t xml:space="preserve"> naar verwachting</w:t>
      </w:r>
      <w:r w:rsidR="00623857">
        <w:rPr>
          <w:sz w:val="18"/>
          <w:szCs w:val="18"/>
        </w:rPr>
        <w:t xml:space="preserve"> € </w:t>
      </w:r>
      <w:r w:rsidR="00D30B43">
        <w:rPr>
          <w:sz w:val="18"/>
          <w:szCs w:val="18"/>
        </w:rPr>
        <w:t xml:space="preserve">232 </w:t>
      </w:r>
      <w:r w:rsidR="00623857">
        <w:rPr>
          <w:sz w:val="18"/>
          <w:szCs w:val="18"/>
        </w:rPr>
        <w:t>miljoen</w:t>
      </w:r>
      <w:r w:rsidR="006955B0">
        <w:rPr>
          <w:sz w:val="18"/>
          <w:szCs w:val="18"/>
        </w:rPr>
        <w:t>.</w:t>
      </w:r>
      <w:r w:rsidR="00623857">
        <w:rPr>
          <w:rStyle w:val="Voetnootmarkering"/>
          <w:sz w:val="18"/>
          <w:szCs w:val="18"/>
        </w:rPr>
        <w:footnoteReference w:id="9"/>
      </w:r>
      <w:r w:rsidR="00623857">
        <w:rPr>
          <w:sz w:val="18"/>
          <w:szCs w:val="18"/>
        </w:rPr>
        <w:t xml:space="preserve"> </w:t>
      </w:r>
    </w:p>
    <w:p w:rsidR="009F40AE" w:rsidRDefault="009F40AE" w14:paraId="723EB34C" w14:textId="77777777">
      <w:pPr>
        <w:pStyle w:val="Default"/>
        <w:spacing w:line="240" w:lineRule="atLeast"/>
        <w:rPr>
          <w:sz w:val="18"/>
          <w:szCs w:val="18"/>
        </w:rPr>
      </w:pPr>
    </w:p>
    <w:p w:rsidRPr="00C74377" w:rsidR="009F40AE" w:rsidP="00650EC9" w:rsidRDefault="003D29E3" w14:paraId="6A716989" w14:textId="77777777">
      <w:pPr>
        <w:pStyle w:val="Default"/>
        <w:rPr>
          <w:sz w:val="18"/>
          <w:szCs w:val="18"/>
        </w:rPr>
      </w:pPr>
      <w:r>
        <w:rPr>
          <w:sz w:val="18"/>
          <w:szCs w:val="18"/>
        </w:rPr>
        <w:t xml:space="preserve">Met dit besluit zet de regering in 2027 een derde stap op het </w:t>
      </w:r>
      <w:proofErr w:type="spellStart"/>
      <w:r>
        <w:rPr>
          <w:sz w:val="18"/>
          <w:szCs w:val="18"/>
        </w:rPr>
        <w:t>ingroeipad</w:t>
      </w:r>
      <w:proofErr w:type="spellEnd"/>
      <w:r>
        <w:rPr>
          <w:sz w:val="18"/>
          <w:szCs w:val="18"/>
        </w:rPr>
        <w:t xml:space="preserve">, door de </w:t>
      </w:r>
      <w:r w:rsidRPr="00C74377" w:rsidR="009F40AE">
        <w:rPr>
          <w:sz w:val="18"/>
          <w:szCs w:val="18"/>
        </w:rPr>
        <w:t>vergoedingspercentages verder te verhogen.</w:t>
      </w:r>
      <w:r w:rsidRPr="00C74377" w:rsidR="00597AF0">
        <w:rPr>
          <w:sz w:val="18"/>
          <w:szCs w:val="18"/>
        </w:rPr>
        <w:t xml:space="preserve"> </w:t>
      </w:r>
      <w:r w:rsidRPr="00C74377" w:rsidR="00F5128C">
        <w:rPr>
          <w:sz w:val="18"/>
          <w:szCs w:val="18"/>
        </w:rPr>
        <w:t xml:space="preserve">Met deze verhoging van de toeslagpercentages wordt in 2027 </w:t>
      </w:r>
      <w:r w:rsidRPr="00C74377" w:rsidR="00623857">
        <w:rPr>
          <w:sz w:val="18"/>
          <w:szCs w:val="18"/>
        </w:rPr>
        <w:t>€</w:t>
      </w:r>
      <w:r w:rsidRPr="00C74377">
        <w:rPr>
          <w:sz w:val="18"/>
          <w:szCs w:val="18"/>
        </w:rPr>
        <w:t> </w:t>
      </w:r>
      <w:r w:rsidRPr="00C74377" w:rsidR="004B1451">
        <w:rPr>
          <w:sz w:val="18"/>
          <w:szCs w:val="18"/>
        </w:rPr>
        <w:t>322</w:t>
      </w:r>
      <w:r w:rsidRPr="00C74377" w:rsidR="00F5128C">
        <w:rPr>
          <w:sz w:val="18"/>
          <w:szCs w:val="18"/>
        </w:rPr>
        <w:t xml:space="preserve"> </w:t>
      </w:r>
      <w:r w:rsidRPr="00C74377" w:rsidR="00623857">
        <w:rPr>
          <w:sz w:val="18"/>
          <w:szCs w:val="18"/>
        </w:rPr>
        <w:t>miljoen</w:t>
      </w:r>
      <w:r w:rsidRPr="00C74377" w:rsidR="00F5128C">
        <w:rPr>
          <w:sz w:val="18"/>
          <w:szCs w:val="18"/>
        </w:rPr>
        <w:t xml:space="preserve"> </w:t>
      </w:r>
      <w:r w:rsidRPr="00C74377" w:rsidR="008753E0">
        <w:rPr>
          <w:sz w:val="18"/>
          <w:szCs w:val="18"/>
        </w:rPr>
        <w:t>geïntensiveerd</w:t>
      </w:r>
      <w:r w:rsidRPr="00C74377" w:rsidR="006009DF">
        <w:rPr>
          <w:rStyle w:val="Voetnootmarkering"/>
          <w:sz w:val="18"/>
          <w:szCs w:val="18"/>
        </w:rPr>
        <w:footnoteReference w:id="10"/>
      </w:r>
      <w:r w:rsidRPr="00C74377" w:rsidR="00623857">
        <w:rPr>
          <w:sz w:val="18"/>
          <w:szCs w:val="18"/>
        </w:rPr>
        <w:t xml:space="preserve">. </w:t>
      </w:r>
      <w:r w:rsidRPr="00C74377" w:rsidR="00265786">
        <w:rPr>
          <w:sz w:val="18"/>
          <w:szCs w:val="18"/>
        </w:rPr>
        <w:t>Door deze verhoging van het ver</w:t>
      </w:r>
      <w:r w:rsidRPr="00C74377" w:rsidR="00C36679">
        <w:rPr>
          <w:sz w:val="18"/>
          <w:szCs w:val="18"/>
        </w:rPr>
        <w:t xml:space="preserve">goedingspercentage krijgen </w:t>
      </w:r>
      <w:r w:rsidRPr="00C74377" w:rsidR="00AB7893">
        <w:rPr>
          <w:sz w:val="18"/>
          <w:szCs w:val="18"/>
        </w:rPr>
        <w:t xml:space="preserve">in 2027 </w:t>
      </w:r>
      <w:r w:rsidRPr="00C74377" w:rsidR="00C36679">
        <w:rPr>
          <w:sz w:val="18"/>
          <w:szCs w:val="18"/>
        </w:rPr>
        <w:t xml:space="preserve">alle werkende ouders met een toetsingsinkomen </w:t>
      </w:r>
      <w:r w:rsidRPr="00C74377" w:rsidR="00BA2118">
        <w:rPr>
          <w:sz w:val="18"/>
          <w:szCs w:val="18"/>
        </w:rPr>
        <w:t>vanaf</w:t>
      </w:r>
      <w:r w:rsidRPr="00C74377" w:rsidR="00C36679">
        <w:rPr>
          <w:sz w:val="18"/>
          <w:szCs w:val="18"/>
        </w:rPr>
        <w:t xml:space="preserve"> </w:t>
      </w:r>
      <w:r w:rsidRPr="00C74377" w:rsidR="009F40AE">
        <w:rPr>
          <w:sz w:val="18"/>
          <w:szCs w:val="18"/>
        </w:rPr>
        <w:t>€</w:t>
      </w:r>
      <w:r w:rsidRPr="00C74377" w:rsidR="00C36679">
        <w:rPr>
          <w:sz w:val="18"/>
          <w:szCs w:val="18"/>
        </w:rPr>
        <w:t> </w:t>
      </w:r>
      <w:r w:rsidRPr="00C74377" w:rsidR="00274DDA">
        <w:rPr>
          <w:sz w:val="18"/>
          <w:szCs w:val="18"/>
        </w:rPr>
        <w:t>58</w:t>
      </w:r>
      <w:r w:rsidRPr="00C74377" w:rsidR="009F40AE">
        <w:rPr>
          <w:sz w:val="18"/>
          <w:szCs w:val="18"/>
        </w:rPr>
        <w:t>.</w:t>
      </w:r>
      <w:r w:rsidRPr="00C74377" w:rsidR="00274DDA">
        <w:rPr>
          <w:sz w:val="18"/>
          <w:szCs w:val="18"/>
        </w:rPr>
        <w:t>370</w:t>
      </w:r>
      <w:r w:rsidRPr="00C74377" w:rsidR="00AB7893">
        <w:rPr>
          <w:rStyle w:val="Voetnootmarkering"/>
          <w:sz w:val="18"/>
          <w:szCs w:val="18"/>
        </w:rPr>
        <w:footnoteReference w:id="11"/>
      </w:r>
      <w:r w:rsidRPr="00C74377" w:rsidR="00AB7893">
        <w:rPr>
          <w:sz w:val="18"/>
          <w:szCs w:val="18"/>
        </w:rPr>
        <w:t xml:space="preserve"> </w:t>
      </w:r>
      <w:r w:rsidRPr="00C74377" w:rsidR="00DF1D0F">
        <w:rPr>
          <w:sz w:val="18"/>
          <w:szCs w:val="18"/>
        </w:rPr>
        <w:t>recht op</w:t>
      </w:r>
      <w:r w:rsidRPr="00C74377" w:rsidR="009F40AE">
        <w:rPr>
          <w:sz w:val="18"/>
          <w:szCs w:val="18"/>
        </w:rPr>
        <w:t xml:space="preserve"> een hoger vergoedingspercentage. Alle werkende ouders met een inkomen tot en met € </w:t>
      </w:r>
      <w:r w:rsidRPr="00C74377" w:rsidR="00462C0B">
        <w:rPr>
          <w:sz w:val="18"/>
          <w:szCs w:val="18"/>
        </w:rPr>
        <w:t>71.903</w:t>
      </w:r>
      <w:r w:rsidRPr="00C74377" w:rsidR="00AB7893">
        <w:rPr>
          <w:sz w:val="18"/>
          <w:szCs w:val="18"/>
        </w:rPr>
        <w:t xml:space="preserve"> </w:t>
      </w:r>
      <w:r w:rsidRPr="00C74377" w:rsidR="009F40AE">
        <w:rPr>
          <w:sz w:val="18"/>
          <w:szCs w:val="18"/>
        </w:rPr>
        <w:t xml:space="preserve">krijgen recht op </w:t>
      </w:r>
      <w:r w:rsidRPr="00C74377" w:rsidR="00074094">
        <w:rPr>
          <w:sz w:val="18"/>
          <w:szCs w:val="18"/>
        </w:rPr>
        <w:t xml:space="preserve">een </w:t>
      </w:r>
      <w:r w:rsidRPr="00C74377" w:rsidR="009F40AE">
        <w:rPr>
          <w:sz w:val="18"/>
          <w:szCs w:val="18"/>
        </w:rPr>
        <w:t>vergoedingspercentage van 96%</w:t>
      </w:r>
      <w:r w:rsidRPr="00C74377" w:rsidR="00DC257A">
        <w:rPr>
          <w:sz w:val="18"/>
          <w:szCs w:val="18"/>
        </w:rPr>
        <w:t xml:space="preserve"> voor </w:t>
      </w:r>
      <w:r w:rsidRPr="00C74377">
        <w:rPr>
          <w:sz w:val="18"/>
          <w:szCs w:val="18"/>
        </w:rPr>
        <w:t xml:space="preserve">de opvangkosten van </w:t>
      </w:r>
      <w:r w:rsidRPr="00C74377" w:rsidR="00DC257A">
        <w:rPr>
          <w:sz w:val="18"/>
          <w:szCs w:val="18"/>
        </w:rPr>
        <w:t>eerste kind</w:t>
      </w:r>
      <w:r w:rsidRPr="00C74377" w:rsidR="009F40AE">
        <w:rPr>
          <w:sz w:val="18"/>
          <w:szCs w:val="18"/>
        </w:rPr>
        <w:t>.</w:t>
      </w:r>
    </w:p>
    <w:p w:rsidRPr="00C74377" w:rsidR="009F40AE" w:rsidRDefault="009F40AE" w14:paraId="1BEAACF9" w14:textId="77777777">
      <w:pPr>
        <w:pStyle w:val="Default"/>
        <w:spacing w:line="240" w:lineRule="atLeast"/>
        <w:rPr>
          <w:sz w:val="18"/>
          <w:szCs w:val="18"/>
        </w:rPr>
      </w:pPr>
    </w:p>
    <w:p w:rsidRPr="00C74377" w:rsidR="00462C0B" w:rsidP="00DF1D0F" w:rsidRDefault="00DF1D0F" w14:paraId="14FA9E22" w14:textId="77777777">
      <w:pPr>
        <w:pStyle w:val="Default"/>
        <w:spacing w:line="240" w:lineRule="atLeast"/>
        <w:rPr>
          <w:sz w:val="18"/>
          <w:szCs w:val="18"/>
        </w:rPr>
      </w:pPr>
      <w:r w:rsidRPr="00C74377">
        <w:rPr>
          <w:sz w:val="18"/>
          <w:szCs w:val="18"/>
        </w:rPr>
        <w:t xml:space="preserve">Deze verhoging bestaat uit </w:t>
      </w:r>
      <w:r w:rsidRPr="00C74377" w:rsidR="00D22333">
        <w:rPr>
          <w:sz w:val="18"/>
          <w:szCs w:val="18"/>
        </w:rPr>
        <w:t xml:space="preserve">vier </w:t>
      </w:r>
      <w:r w:rsidRPr="00C74377">
        <w:rPr>
          <w:sz w:val="18"/>
          <w:szCs w:val="18"/>
        </w:rPr>
        <w:t xml:space="preserve">onderdelen. </w:t>
      </w:r>
      <w:r w:rsidRPr="00C74377" w:rsidR="005A3986">
        <w:rPr>
          <w:sz w:val="18"/>
          <w:szCs w:val="18"/>
        </w:rPr>
        <w:t xml:space="preserve">Ten </w:t>
      </w:r>
      <w:r w:rsidRPr="00C74377">
        <w:rPr>
          <w:sz w:val="18"/>
          <w:szCs w:val="18"/>
        </w:rPr>
        <w:t xml:space="preserve">eerste </w:t>
      </w:r>
      <w:r w:rsidRPr="00C74377" w:rsidR="00D22333">
        <w:rPr>
          <w:sz w:val="18"/>
          <w:szCs w:val="18"/>
        </w:rPr>
        <w:t xml:space="preserve">ontvangen ouders met een inkomen tot ongeveer € </w:t>
      </w:r>
      <w:r w:rsidRPr="00C74377" w:rsidR="00462C0B">
        <w:rPr>
          <w:sz w:val="18"/>
          <w:szCs w:val="18"/>
        </w:rPr>
        <w:t>72.000</w:t>
      </w:r>
      <w:r w:rsidRPr="00C74377" w:rsidR="00D22333">
        <w:rPr>
          <w:sz w:val="18"/>
          <w:szCs w:val="18"/>
        </w:rPr>
        <w:t xml:space="preserve"> </w:t>
      </w:r>
      <w:r w:rsidRPr="00C74377" w:rsidR="00074094">
        <w:rPr>
          <w:sz w:val="18"/>
          <w:szCs w:val="18"/>
        </w:rPr>
        <w:t xml:space="preserve">een </w:t>
      </w:r>
      <w:r w:rsidRPr="00C74377" w:rsidR="00D22333">
        <w:rPr>
          <w:sz w:val="18"/>
          <w:szCs w:val="18"/>
        </w:rPr>
        <w:t>vergoedingspercentage van 96%</w:t>
      </w:r>
      <w:r w:rsidRPr="00C74377" w:rsidR="005A3986">
        <w:rPr>
          <w:sz w:val="18"/>
          <w:szCs w:val="18"/>
        </w:rPr>
        <w:t xml:space="preserve"> voor de opvangkosten onder van het eerste kind</w:t>
      </w:r>
      <w:r w:rsidRPr="00C74377" w:rsidR="00462C0B">
        <w:rPr>
          <w:sz w:val="18"/>
          <w:szCs w:val="18"/>
        </w:rPr>
        <w:t>.</w:t>
      </w:r>
    </w:p>
    <w:p w:rsidRPr="00C74377" w:rsidR="00462C0B" w:rsidP="00DF1D0F" w:rsidRDefault="00462C0B" w14:paraId="6D913160" w14:textId="77777777">
      <w:pPr>
        <w:pStyle w:val="Default"/>
        <w:spacing w:line="240" w:lineRule="atLeast"/>
        <w:rPr>
          <w:sz w:val="18"/>
          <w:szCs w:val="18"/>
        </w:rPr>
      </w:pPr>
    </w:p>
    <w:p w:rsidRPr="00C74377" w:rsidR="006009DF" w:rsidDel="006009DF" w:rsidP="00DF1D0F" w:rsidRDefault="00D22333" w14:paraId="76202476" w14:textId="77777777">
      <w:pPr>
        <w:pStyle w:val="Default"/>
        <w:spacing w:line="240" w:lineRule="atLeast"/>
        <w:rPr>
          <w:sz w:val="18"/>
          <w:szCs w:val="18"/>
        </w:rPr>
      </w:pPr>
      <w:r w:rsidRPr="00C74377">
        <w:rPr>
          <w:sz w:val="18"/>
          <w:szCs w:val="18"/>
        </w:rPr>
        <w:t xml:space="preserve">Ten tweede </w:t>
      </w:r>
      <w:r w:rsidRPr="00C74377" w:rsidR="00DF1D0F">
        <w:rPr>
          <w:sz w:val="18"/>
          <w:szCs w:val="18"/>
        </w:rPr>
        <w:t xml:space="preserve">wordt de vaste voet </w:t>
      </w:r>
      <w:r w:rsidRPr="00C74377" w:rsidR="00FC2888">
        <w:rPr>
          <w:sz w:val="18"/>
          <w:szCs w:val="18"/>
        </w:rPr>
        <w:t>(het vergoedingspercentage waar ouders ten minste recht op hebben, ongeacht hun inkomen)</w:t>
      </w:r>
      <w:r w:rsidRPr="00C74377" w:rsidR="008A5AE6">
        <w:rPr>
          <w:sz w:val="18"/>
          <w:szCs w:val="18"/>
        </w:rPr>
        <w:t xml:space="preserve"> in de eerste </w:t>
      </w:r>
      <w:proofErr w:type="spellStart"/>
      <w:r w:rsidRPr="00C74377" w:rsidR="008A5AE6">
        <w:rPr>
          <w:sz w:val="18"/>
          <w:szCs w:val="18"/>
        </w:rPr>
        <w:t>kindtabel</w:t>
      </w:r>
      <w:proofErr w:type="spellEnd"/>
      <w:r w:rsidRPr="00C74377" w:rsidR="008A5AE6">
        <w:rPr>
          <w:sz w:val="18"/>
          <w:szCs w:val="18"/>
        </w:rPr>
        <w:t xml:space="preserve"> </w:t>
      </w:r>
      <w:r w:rsidRPr="00C74377" w:rsidR="00623857">
        <w:rPr>
          <w:sz w:val="18"/>
          <w:szCs w:val="18"/>
        </w:rPr>
        <w:t xml:space="preserve">in 2027 </w:t>
      </w:r>
      <w:r w:rsidRPr="00C74377" w:rsidR="00DF1D0F">
        <w:rPr>
          <w:sz w:val="18"/>
          <w:szCs w:val="18"/>
        </w:rPr>
        <w:t>verhoogd</w:t>
      </w:r>
      <w:r w:rsidRPr="00C74377" w:rsidR="008A5AE6">
        <w:rPr>
          <w:sz w:val="18"/>
          <w:szCs w:val="18"/>
        </w:rPr>
        <w:t xml:space="preserve"> van </w:t>
      </w:r>
      <w:r w:rsidRPr="00C74377" w:rsidR="00597AF0">
        <w:rPr>
          <w:sz w:val="18"/>
          <w:szCs w:val="18"/>
        </w:rPr>
        <w:t>36,5</w:t>
      </w:r>
      <w:r w:rsidRPr="00C74377" w:rsidR="008A5AE6">
        <w:rPr>
          <w:sz w:val="18"/>
          <w:szCs w:val="18"/>
        </w:rPr>
        <w:t xml:space="preserve">% naar </w:t>
      </w:r>
      <w:r w:rsidRPr="00C74377" w:rsidR="00462C0B">
        <w:rPr>
          <w:sz w:val="18"/>
          <w:szCs w:val="18"/>
        </w:rPr>
        <w:t>39,1</w:t>
      </w:r>
      <w:r w:rsidRPr="00C74377" w:rsidR="008A5AE6">
        <w:rPr>
          <w:color w:val="auto"/>
          <w:sz w:val="18"/>
          <w:szCs w:val="18"/>
        </w:rPr>
        <w:t xml:space="preserve">%. </w:t>
      </w:r>
      <w:r w:rsidRPr="00C74377" w:rsidR="006009DF">
        <w:rPr>
          <w:color w:val="auto"/>
          <w:sz w:val="18"/>
          <w:szCs w:val="18"/>
        </w:rPr>
        <w:t xml:space="preserve">De vaste voet wordt daardoor met </w:t>
      </w:r>
      <w:r w:rsidRPr="00C74377" w:rsidR="00462C0B">
        <w:rPr>
          <w:color w:val="auto"/>
          <w:sz w:val="18"/>
          <w:szCs w:val="18"/>
        </w:rPr>
        <w:t>2,6</w:t>
      </w:r>
      <w:r w:rsidRPr="00C74377" w:rsidR="006009DF">
        <w:rPr>
          <w:color w:val="auto"/>
          <w:sz w:val="18"/>
          <w:szCs w:val="18"/>
        </w:rPr>
        <w:t xml:space="preserve"> procentpunt verhoogd.</w:t>
      </w:r>
    </w:p>
    <w:p w:rsidRPr="00C74377" w:rsidR="00623857" w:rsidRDefault="00623857" w14:paraId="4A23B4FC" w14:textId="77777777">
      <w:pPr>
        <w:pStyle w:val="Default"/>
        <w:spacing w:line="240" w:lineRule="atLeast"/>
        <w:rPr>
          <w:sz w:val="18"/>
          <w:szCs w:val="18"/>
        </w:rPr>
      </w:pPr>
    </w:p>
    <w:p w:rsidR="000447E9" w:rsidRDefault="000447E9" w14:paraId="56E2F399" w14:textId="77777777">
      <w:pPr>
        <w:pStyle w:val="Default"/>
        <w:spacing w:line="240" w:lineRule="atLeast"/>
        <w:rPr>
          <w:sz w:val="18"/>
          <w:szCs w:val="18"/>
        </w:rPr>
      </w:pPr>
      <w:r w:rsidRPr="00C74377">
        <w:rPr>
          <w:sz w:val="18"/>
          <w:szCs w:val="18"/>
        </w:rPr>
        <w:t xml:space="preserve">Ten </w:t>
      </w:r>
      <w:r w:rsidRPr="00C74377" w:rsidR="00D22333">
        <w:rPr>
          <w:sz w:val="18"/>
          <w:szCs w:val="18"/>
        </w:rPr>
        <w:t xml:space="preserve">derde </w:t>
      </w:r>
      <w:r w:rsidRPr="00C74377" w:rsidR="00FC4D52">
        <w:rPr>
          <w:sz w:val="18"/>
          <w:szCs w:val="18"/>
        </w:rPr>
        <w:t xml:space="preserve">nemen de vergoedingspercentages op het </w:t>
      </w:r>
      <w:proofErr w:type="spellStart"/>
      <w:r w:rsidRPr="00C74377" w:rsidR="00FC4D52">
        <w:rPr>
          <w:sz w:val="18"/>
          <w:szCs w:val="18"/>
        </w:rPr>
        <w:t>afbouwpad</w:t>
      </w:r>
      <w:proofErr w:type="spellEnd"/>
      <w:r w:rsidRPr="00C74377" w:rsidR="00FC4D52">
        <w:rPr>
          <w:sz w:val="18"/>
          <w:szCs w:val="18"/>
        </w:rPr>
        <w:t xml:space="preserve"> van de kinderopvangtoeslag toe. Ouders met een toetsingsinkomen tussen de circa € </w:t>
      </w:r>
      <w:r w:rsidRPr="00C74377" w:rsidR="00462C0B">
        <w:rPr>
          <w:sz w:val="18"/>
          <w:szCs w:val="18"/>
        </w:rPr>
        <w:t>72</w:t>
      </w:r>
      <w:r w:rsidRPr="00C74377" w:rsidR="00FC4D52">
        <w:rPr>
          <w:sz w:val="18"/>
          <w:szCs w:val="18"/>
        </w:rPr>
        <w:t xml:space="preserve">.000 en </w:t>
      </w:r>
      <w:r w:rsidRPr="00C74377" w:rsidR="006009DF">
        <w:rPr>
          <w:sz w:val="18"/>
          <w:szCs w:val="18"/>
        </w:rPr>
        <w:t xml:space="preserve">€ </w:t>
      </w:r>
      <w:r w:rsidRPr="00C74377" w:rsidR="008F4D94">
        <w:rPr>
          <w:sz w:val="18"/>
          <w:szCs w:val="18"/>
        </w:rPr>
        <w:t>179.000</w:t>
      </w:r>
      <w:r w:rsidRPr="00C74377" w:rsidR="006009DF">
        <w:rPr>
          <w:sz w:val="18"/>
          <w:szCs w:val="18"/>
        </w:rPr>
        <w:t xml:space="preserve"> ontvangen</w:t>
      </w:r>
      <w:r w:rsidRPr="00C74377" w:rsidR="00FE6E35">
        <w:rPr>
          <w:sz w:val="18"/>
          <w:szCs w:val="18"/>
        </w:rPr>
        <w:t xml:space="preserve"> in 2027</w:t>
      </w:r>
      <w:r w:rsidRPr="00C74377" w:rsidR="006009DF">
        <w:rPr>
          <w:sz w:val="18"/>
          <w:szCs w:val="18"/>
        </w:rPr>
        <w:t xml:space="preserve"> een vergoedingspercentage dat </w:t>
      </w:r>
      <w:r w:rsidRPr="00C74377" w:rsidR="00462C0B">
        <w:rPr>
          <w:sz w:val="18"/>
          <w:szCs w:val="18"/>
        </w:rPr>
        <w:t>5,1</w:t>
      </w:r>
      <w:r w:rsidRPr="00C74377" w:rsidR="006009DF">
        <w:rPr>
          <w:sz w:val="18"/>
          <w:szCs w:val="18"/>
        </w:rPr>
        <w:t xml:space="preserve"> procentpunt hoger ligt</w:t>
      </w:r>
      <w:r w:rsidRPr="00C74377" w:rsidR="004430EB">
        <w:rPr>
          <w:sz w:val="18"/>
          <w:szCs w:val="18"/>
        </w:rPr>
        <w:t xml:space="preserve"> dan in 2026</w:t>
      </w:r>
      <w:r w:rsidRPr="00C74377" w:rsidR="006F3880">
        <w:rPr>
          <w:sz w:val="18"/>
          <w:szCs w:val="18"/>
        </w:rPr>
        <w:t xml:space="preserve"> in de eerste </w:t>
      </w:r>
      <w:proofErr w:type="spellStart"/>
      <w:r w:rsidRPr="00C74377" w:rsidR="006F3880">
        <w:rPr>
          <w:sz w:val="18"/>
          <w:szCs w:val="18"/>
        </w:rPr>
        <w:t>kindtabel</w:t>
      </w:r>
      <w:proofErr w:type="spellEnd"/>
      <w:r w:rsidRPr="00C74377" w:rsidR="006009DF">
        <w:rPr>
          <w:sz w:val="18"/>
          <w:szCs w:val="18"/>
        </w:rPr>
        <w:t>.</w:t>
      </w:r>
      <w:r w:rsidRPr="00C74377" w:rsidR="006009DF">
        <w:rPr>
          <w:color w:val="auto"/>
          <w:sz w:val="18"/>
          <w:szCs w:val="18"/>
        </w:rPr>
        <w:t xml:space="preserve"> De vergoedingspercentages nemen daarmee sterker toe voor middeninkomen</w:t>
      </w:r>
      <w:r w:rsidRPr="00C74377" w:rsidR="00BA2118">
        <w:rPr>
          <w:color w:val="auto"/>
          <w:sz w:val="18"/>
          <w:szCs w:val="18"/>
        </w:rPr>
        <w:t>s</w:t>
      </w:r>
      <w:r w:rsidRPr="00C74377" w:rsidR="006009DF">
        <w:rPr>
          <w:color w:val="auto"/>
          <w:sz w:val="18"/>
          <w:szCs w:val="18"/>
        </w:rPr>
        <w:t xml:space="preserve"> (+</w:t>
      </w:r>
      <w:r w:rsidRPr="00C74377" w:rsidR="00462C0B">
        <w:rPr>
          <w:color w:val="auto"/>
          <w:sz w:val="18"/>
          <w:szCs w:val="18"/>
        </w:rPr>
        <w:t>5,1</w:t>
      </w:r>
      <w:r w:rsidRPr="00C74377" w:rsidR="006009DF">
        <w:rPr>
          <w:color w:val="auto"/>
          <w:sz w:val="18"/>
          <w:szCs w:val="18"/>
        </w:rPr>
        <w:t xml:space="preserve"> procentpunt) dan voor de hoogste inkomens (+</w:t>
      </w:r>
      <w:r w:rsidRPr="00C74377" w:rsidR="00462C0B">
        <w:rPr>
          <w:color w:val="auto"/>
          <w:sz w:val="18"/>
          <w:szCs w:val="18"/>
        </w:rPr>
        <w:t>2,6</w:t>
      </w:r>
      <w:r w:rsidRPr="00C74377" w:rsidR="006009DF">
        <w:rPr>
          <w:color w:val="auto"/>
          <w:sz w:val="18"/>
          <w:szCs w:val="18"/>
        </w:rPr>
        <w:t xml:space="preserve"> procentpunt).  Hiermee komt de regering tegemoet aan de motie Haage om middeninkomens priorit</w:t>
      </w:r>
      <w:r w:rsidRPr="00C74377" w:rsidR="006009DF">
        <w:rPr>
          <w:sz w:val="18"/>
          <w:szCs w:val="18"/>
        </w:rPr>
        <w:t>eit</w:t>
      </w:r>
      <w:r w:rsidRPr="006009DF" w:rsidR="006009DF">
        <w:rPr>
          <w:sz w:val="18"/>
          <w:szCs w:val="18"/>
        </w:rPr>
        <w:t xml:space="preserve"> te geven bij de volgende </w:t>
      </w:r>
      <w:r w:rsidR="00F95EDD">
        <w:rPr>
          <w:sz w:val="18"/>
          <w:szCs w:val="18"/>
        </w:rPr>
        <w:t>wijzigingen van het B</w:t>
      </w:r>
      <w:r w:rsidRPr="006009DF" w:rsidR="006009DF">
        <w:rPr>
          <w:sz w:val="18"/>
          <w:szCs w:val="18"/>
        </w:rPr>
        <w:t>esluit kinderopvangtoeslag.</w:t>
      </w:r>
      <w:r w:rsidRPr="006009DF" w:rsidR="006009DF">
        <w:rPr>
          <w:rStyle w:val="Voetnootmarkering"/>
          <w:sz w:val="18"/>
          <w:szCs w:val="18"/>
        </w:rPr>
        <w:footnoteReference w:id="12"/>
      </w:r>
      <w:r w:rsidR="006009DF">
        <w:rPr>
          <w:sz w:val="18"/>
          <w:szCs w:val="18"/>
        </w:rPr>
        <w:t xml:space="preserve"> </w:t>
      </w:r>
    </w:p>
    <w:p w:rsidR="000447E9" w:rsidRDefault="000447E9" w14:paraId="5BA81C6E" w14:textId="77777777">
      <w:pPr>
        <w:pStyle w:val="Default"/>
        <w:spacing w:line="240" w:lineRule="atLeast"/>
        <w:rPr>
          <w:sz w:val="18"/>
          <w:szCs w:val="18"/>
        </w:rPr>
      </w:pPr>
    </w:p>
    <w:p w:rsidR="00CD19B1" w:rsidRDefault="000447E9" w14:paraId="5B579EB9" w14:textId="77777777">
      <w:pPr>
        <w:pStyle w:val="Default"/>
        <w:spacing w:line="240" w:lineRule="atLeast"/>
        <w:rPr>
          <w:sz w:val="18"/>
          <w:szCs w:val="18"/>
        </w:rPr>
      </w:pPr>
      <w:r w:rsidRPr="00C74377">
        <w:rPr>
          <w:sz w:val="18"/>
          <w:szCs w:val="18"/>
        </w:rPr>
        <w:lastRenderedPageBreak/>
        <w:t xml:space="preserve">Ten </w:t>
      </w:r>
      <w:r w:rsidRPr="00C74377" w:rsidR="00D22333">
        <w:rPr>
          <w:sz w:val="18"/>
          <w:szCs w:val="18"/>
        </w:rPr>
        <w:t xml:space="preserve">vierde </w:t>
      </w:r>
      <w:r w:rsidRPr="00C74377" w:rsidR="00623857">
        <w:rPr>
          <w:sz w:val="18"/>
          <w:szCs w:val="18"/>
        </w:rPr>
        <w:t xml:space="preserve">worden de vergoedingspercentages in de tweede </w:t>
      </w:r>
      <w:proofErr w:type="spellStart"/>
      <w:r w:rsidRPr="00C74377" w:rsidR="00623857">
        <w:rPr>
          <w:sz w:val="18"/>
          <w:szCs w:val="18"/>
        </w:rPr>
        <w:t>kindtabel</w:t>
      </w:r>
      <w:proofErr w:type="spellEnd"/>
      <w:r w:rsidRPr="00C74377" w:rsidR="00623857">
        <w:rPr>
          <w:sz w:val="18"/>
          <w:szCs w:val="18"/>
        </w:rPr>
        <w:t xml:space="preserve"> verhoogd met </w:t>
      </w:r>
      <w:r w:rsidRPr="00C74377" w:rsidR="00462C0B">
        <w:rPr>
          <w:sz w:val="18"/>
          <w:szCs w:val="18"/>
        </w:rPr>
        <w:t>1,5</w:t>
      </w:r>
      <w:r w:rsidRPr="00C74377" w:rsidR="00623857">
        <w:rPr>
          <w:sz w:val="18"/>
          <w:szCs w:val="18"/>
        </w:rPr>
        <w:t xml:space="preserve"> procentpunt voor alle ouders die </w:t>
      </w:r>
      <w:r w:rsidRPr="00C74377" w:rsidR="00074094">
        <w:rPr>
          <w:sz w:val="18"/>
          <w:szCs w:val="18"/>
        </w:rPr>
        <w:t>geen</w:t>
      </w:r>
      <w:r w:rsidRPr="00C74377" w:rsidR="00623857">
        <w:rPr>
          <w:sz w:val="18"/>
          <w:szCs w:val="18"/>
        </w:rPr>
        <w:t xml:space="preserve"> vergoedingspercentage van 96% ontvangen. Daarmee wordt het </w:t>
      </w:r>
      <w:r w:rsidRPr="00C74377" w:rsidR="00B13FA0">
        <w:rPr>
          <w:sz w:val="18"/>
          <w:szCs w:val="18"/>
        </w:rPr>
        <w:t>verschil tussen</w:t>
      </w:r>
      <w:r w:rsidR="00B13FA0">
        <w:rPr>
          <w:sz w:val="18"/>
          <w:szCs w:val="18"/>
        </w:rPr>
        <w:t xml:space="preserve"> de vergoedingspercentages voor het eerste en het tweede en volgende kind weer kleiner.</w:t>
      </w:r>
    </w:p>
    <w:p w:rsidR="004E19BB" w:rsidP="004E19BB" w:rsidRDefault="004E19BB" w14:paraId="4B70F539" w14:textId="77777777">
      <w:pPr>
        <w:pStyle w:val="Default"/>
        <w:spacing w:line="240" w:lineRule="atLeast"/>
        <w:rPr>
          <w:sz w:val="18"/>
          <w:szCs w:val="18"/>
        </w:rPr>
      </w:pPr>
    </w:p>
    <w:p w:rsidR="004E19BB" w:rsidP="004E19BB" w:rsidRDefault="004E19BB" w14:paraId="477C79A0" w14:textId="77777777">
      <w:pPr>
        <w:pStyle w:val="Default"/>
        <w:spacing w:line="240" w:lineRule="atLeast"/>
        <w:rPr>
          <w:sz w:val="18"/>
          <w:szCs w:val="18"/>
        </w:rPr>
      </w:pPr>
      <w:r>
        <w:rPr>
          <w:sz w:val="18"/>
          <w:szCs w:val="18"/>
        </w:rPr>
        <w:t>De verhogingen van de vergoedingspercentages zijn verwerkt in de kinderopvangtoeslagtabel 202</w:t>
      </w:r>
      <w:r w:rsidR="006009DF">
        <w:rPr>
          <w:sz w:val="18"/>
          <w:szCs w:val="18"/>
        </w:rPr>
        <w:t>7</w:t>
      </w:r>
      <w:r>
        <w:rPr>
          <w:sz w:val="18"/>
          <w:szCs w:val="18"/>
        </w:rPr>
        <w:t xml:space="preserve"> in bijlage I, behorende bij artikel 6 van het Besluit kinderopvangtoeslag. Onderstaande figuren geven de aanpassingen van de vergoedingspercentages visueel weer.</w:t>
      </w:r>
    </w:p>
    <w:p w:rsidR="00065A70" w:rsidP="004E19BB" w:rsidRDefault="00065A70" w14:paraId="0D52DAE0" w14:textId="77777777">
      <w:pPr>
        <w:pStyle w:val="Default"/>
        <w:spacing w:line="240" w:lineRule="atLeast"/>
        <w:rPr>
          <w:sz w:val="18"/>
          <w:szCs w:val="18"/>
        </w:rPr>
      </w:pPr>
    </w:p>
    <w:p w:rsidR="00462C0B" w:rsidRDefault="00462C0B" w14:paraId="3EA37E7E" w14:textId="77777777">
      <w:pPr>
        <w:spacing w:line="240" w:lineRule="auto"/>
      </w:pPr>
    </w:p>
    <w:p w:rsidRPr="000C531F" w:rsidR="00D877E9" w:rsidP="008F4D94" w:rsidRDefault="00065A70" w14:paraId="21388DAE" w14:textId="77777777">
      <w:pPr>
        <w:spacing w:line="240" w:lineRule="auto"/>
        <w:rPr>
          <w:highlight w:val="yellow"/>
        </w:rPr>
      </w:pPr>
      <w:r>
        <w:rPr>
          <w:noProof/>
        </w:rPr>
        <w:drawing>
          <wp:inline distT="0" distB="0" distL="0" distR="0" wp14:anchorId="6C567B6F" wp14:editId="4CCA4A42">
            <wp:extent cx="5148580" cy="3569970"/>
            <wp:effectExtent l="0" t="0" r="0" b="0"/>
            <wp:docPr id="204822466" name="Grafiek 1">
              <a:extLst xmlns:a="http://schemas.openxmlformats.org/drawingml/2006/main">
                <a:ext uri="{FF2B5EF4-FFF2-40B4-BE49-F238E27FC236}">
                  <a16:creationId xmlns:a16="http://schemas.microsoft.com/office/drawing/2014/main" id="{057D2DE7-BAC4-46AC-8571-A3B4D35EF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48DB" w:rsidP="00AD301B" w:rsidRDefault="006E48DB" w14:paraId="11A000E4" w14:textId="77777777">
      <w:pPr>
        <w:spacing w:line="240" w:lineRule="auto"/>
        <w:rPr>
          <w:i/>
          <w:iCs/>
        </w:rPr>
      </w:pPr>
    </w:p>
    <w:p w:rsidR="009853A1" w:rsidP="008F4D94" w:rsidRDefault="00065A70" w14:paraId="424ED28A" w14:textId="77777777">
      <w:pPr>
        <w:spacing w:line="240" w:lineRule="auto"/>
      </w:pPr>
      <w:r>
        <w:rPr>
          <w:noProof/>
        </w:rPr>
        <w:lastRenderedPageBreak/>
        <w:drawing>
          <wp:inline distT="0" distB="0" distL="0" distR="0" wp14:anchorId="078FA66A" wp14:editId="2CEFDB38">
            <wp:extent cx="5148580" cy="3569970"/>
            <wp:effectExtent l="0" t="0" r="0" b="0"/>
            <wp:docPr id="549799769" name="Grafiek 1">
              <a:extLst xmlns:a="http://schemas.openxmlformats.org/drawingml/2006/main">
                <a:ext uri="{FF2B5EF4-FFF2-40B4-BE49-F238E27FC236}">
                  <a16:creationId xmlns:a16="http://schemas.microsoft.com/office/drawing/2014/main" id="{46CD3E73-919D-4EA4-BD82-80CA14012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E121A2">
        <w:rPr>
          <w:i/>
          <w:iCs/>
        </w:rPr>
        <w:br w:type="page"/>
      </w:r>
      <w:r w:rsidR="004E19BB">
        <w:rPr>
          <w:i/>
          <w:iCs/>
        </w:rPr>
        <w:lastRenderedPageBreak/>
        <w:t>2.2</w:t>
      </w:r>
      <w:r w:rsidR="009853A1">
        <w:rPr>
          <w:i/>
          <w:iCs/>
        </w:rPr>
        <w:t xml:space="preserve"> Samenloop andere wijzigingen kinderopvangtoeslag in 2027</w:t>
      </w:r>
    </w:p>
    <w:p w:rsidR="004D5CA2" w:rsidP="00681F44" w:rsidRDefault="009853A1" w14:paraId="64EFDC4F" w14:textId="77777777">
      <w:pPr>
        <w:rPr>
          <w:color w:val="auto"/>
        </w:rPr>
      </w:pPr>
      <w:r>
        <w:t xml:space="preserve">Naast de verhoging van de vergoedingspercentages worden in 2027 de maximum </w:t>
      </w:r>
      <w:proofErr w:type="spellStart"/>
      <w:r>
        <w:t>uurprijzen</w:t>
      </w:r>
      <w:proofErr w:type="spellEnd"/>
      <w:r>
        <w:t xml:space="preserve"> en toetsingsinkomens voor de kinderopvangtoeslag geïndexeerd conform de reguliere indexering. </w:t>
      </w:r>
      <w:r w:rsidR="00681F44">
        <w:t xml:space="preserve">Deze wijzigingen worden geregeld in een separaat </w:t>
      </w:r>
      <w:r w:rsidR="00C436ED">
        <w:t>wijzigings</w:t>
      </w:r>
      <w:r w:rsidR="00681F44">
        <w:t>besluit</w:t>
      </w:r>
      <w:r w:rsidR="00C436ED">
        <w:t xml:space="preserve">, </w:t>
      </w:r>
      <w:r w:rsidR="00C436ED">
        <w:rPr>
          <w:color w:val="auto"/>
        </w:rPr>
        <w:t xml:space="preserve">omdat het kabinet de uitvoering, ouders en kinderopvangorganisaties zo snel </w:t>
      </w:r>
      <w:r w:rsidR="00DE16AF">
        <w:rPr>
          <w:color w:val="auto"/>
        </w:rPr>
        <w:t xml:space="preserve">als </w:t>
      </w:r>
      <w:r w:rsidR="00C436ED">
        <w:rPr>
          <w:color w:val="auto"/>
        </w:rPr>
        <w:t xml:space="preserve">mogelijk </w:t>
      </w:r>
      <w:r w:rsidR="00DE16AF">
        <w:rPr>
          <w:color w:val="auto"/>
        </w:rPr>
        <w:t xml:space="preserve">is </w:t>
      </w:r>
      <w:r w:rsidR="00C436ED">
        <w:rPr>
          <w:color w:val="auto"/>
        </w:rPr>
        <w:t xml:space="preserve">duidelijkheid wil geven over de maximum </w:t>
      </w:r>
      <w:proofErr w:type="spellStart"/>
      <w:r w:rsidR="00C436ED">
        <w:rPr>
          <w:color w:val="auto"/>
        </w:rPr>
        <w:t>uurprijzen</w:t>
      </w:r>
      <w:proofErr w:type="spellEnd"/>
      <w:r w:rsidR="00C436ED">
        <w:rPr>
          <w:color w:val="auto"/>
        </w:rPr>
        <w:t xml:space="preserve"> in 2027</w:t>
      </w:r>
      <w:r w:rsidR="00681F44">
        <w:t xml:space="preserve">. </w:t>
      </w:r>
      <w:r w:rsidR="00681F44">
        <w:rPr>
          <w:color w:val="auto"/>
        </w:rPr>
        <w:t xml:space="preserve">Voorafgaand aan de </w:t>
      </w:r>
      <w:proofErr w:type="spellStart"/>
      <w:r w:rsidR="00681F44">
        <w:rPr>
          <w:color w:val="auto"/>
        </w:rPr>
        <w:t>aanhangigmaking</w:t>
      </w:r>
      <w:proofErr w:type="spellEnd"/>
      <w:r w:rsidR="00681F44">
        <w:rPr>
          <w:color w:val="auto"/>
        </w:rPr>
        <w:t xml:space="preserve"> van </w:t>
      </w:r>
      <w:r w:rsidR="00C436ED">
        <w:rPr>
          <w:color w:val="auto"/>
        </w:rPr>
        <w:t xml:space="preserve">een ontwerp van </w:t>
      </w:r>
      <w:r w:rsidR="00681F44">
        <w:rPr>
          <w:color w:val="auto"/>
        </w:rPr>
        <w:t xml:space="preserve">dat </w:t>
      </w:r>
      <w:r w:rsidR="00C436ED">
        <w:rPr>
          <w:color w:val="auto"/>
        </w:rPr>
        <w:t>wijzigings</w:t>
      </w:r>
      <w:r w:rsidR="00681F44">
        <w:rPr>
          <w:color w:val="auto"/>
        </w:rPr>
        <w:t>besluit vindt geen voorhangprocedure plaats, omdat dat ontwerp geen beleidsmatige aanpassingen bevat en</w:t>
      </w:r>
      <w:r w:rsidR="00C436ED">
        <w:rPr>
          <w:color w:val="auto"/>
        </w:rPr>
        <w:t xml:space="preserve"> een voorhangprocedure om die reden niet is voorgeschreven. </w:t>
      </w:r>
      <w:r w:rsidR="004D5CA2">
        <w:rPr>
          <w:color w:val="auto"/>
        </w:rPr>
        <w:t xml:space="preserve">De toetsingsinkomens zoals genoemd in </w:t>
      </w:r>
      <w:r w:rsidR="00C436ED">
        <w:rPr>
          <w:color w:val="auto"/>
        </w:rPr>
        <w:t>b</w:t>
      </w:r>
      <w:r w:rsidR="004D5CA2">
        <w:rPr>
          <w:color w:val="auto"/>
        </w:rPr>
        <w:t xml:space="preserve">ijlage I gaan uit van de indexatie in 2027 zoals in het separate wijzigingsbesluit </w:t>
      </w:r>
      <w:r w:rsidR="00C436ED">
        <w:rPr>
          <w:color w:val="auto"/>
        </w:rPr>
        <w:t>is geregeld</w:t>
      </w:r>
      <w:r w:rsidR="004D5CA2">
        <w:rPr>
          <w:color w:val="auto"/>
        </w:rPr>
        <w:t>.</w:t>
      </w:r>
    </w:p>
    <w:p w:rsidR="003F7C37" w:rsidP="009853A1" w:rsidRDefault="003F7C37" w14:paraId="60E3BD48" w14:textId="77777777">
      <w:pPr>
        <w:pStyle w:val="Default"/>
        <w:spacing w:line="240" w:lineRule="atLeast"/>
        <w:rPr>
          <w:sz w:val="18"/>
          <w:szCs w:val="18"/>
        </w:rPr>
      </w:pPr>
    </w:p>
    <w:p w:rsidRPr="00650EC9" w:rsidR="003F7C37" w:rsidP="008F4D94" w:rsidRDefault="003F7C37" w14:paraId="1BE1534B" w14:textId="77777777">
      <w:pPr>
        <w:pStyle w:val="Default"/>
        <w:spacing w:line="240" w:lineRule="atLeast"/>
        <w:rPr>
          <w:i/>
          <w:iCs/>
          <w:sz w:val="18"/>
          <w:szCs w:val="18"/>
        </w:rPr>
      </w:pPr>
      <w:r w:rsidRPr="00650EC9">
        <w:rPr>
          <w:i/>
          <w:iCs/>
          <w:sz w:val="18"/>
          <w:szCs w:val="18"/>
        </w:rPr>
        <w:t>2.</w:t>
      </w:r>
      <w:r w:rsidR="00AF001B">
        <w:rPr>
          <w:i/>
          <w:iCs/>
          <w:sz w:val="18"/>
          <w:szCs w:val="18"/>
        </w:rPr>
        <w:t>3</w:t>
      </w:r>
      <w:r w:rsidRPr="00650EC9">
        <w:rPr>
          <w:i/>
          <w:iCs/>
          <w:sz w:val="18"/>
          <w:szCs w:val="18"/>
        </w:rPr>
        <w:t xml:space="preserve"> Toevoeging recht op </w:t>
      </w:r>
      <w:r w:rsidR="00A268EE">
        <w:rPr>
          <w:i/>
          <w:iCs/>
          <w:sz w:val="18"/>
          <w:szCs w:val="18"/>
        </w:rPr>
        <w:t>kinderopvangtoeslag</w:t>
      </w:r>
      <w:r w:rsidRPr="00650EC9">
        <w:rPr>
          <w:i/>
          <w:iCs/>
          <w:sz w:val="18"/>
          <w:szCs w:val="18"/>
        </w:rPr>
        <w:t xml:space="preserve"> voor promovendi</w:t>
      </w:r>
    </w:p>
    <w:p w:rsidR="003F7C37" w:rsidP="009853A1" w:rsidRDefault="00F63970" w14:paraId="2E451972" w14:textId="77777777">
      <w:pPr>
        <w:pStyle w:val="Default"/>
        <w:spacing w:line="240" w:lineRule="atLeast"/>
        <w:rPr>
          <w:sz w:val="18"/>
          <w:szCs w:val="18"/>
        </w:rPr>
      </w:pPr>
      <w:r>
        <w:rPr>
          <w:sz w:val="18"/>
          <w:szCs w:val="18"/>
        </w:rPr>
        <w:t xml:space="preserve">De </w:t>
      </w:r>
      <w:r w:rsidR="00B7466C">
        <w:rPr>
          <w:sz w:val="18"/>
          <w:szCs w:val="18"/>
        </w:rPr>
        <w:t>W</w:t>
      </w:r>
      <w:r>
        <w:rPr>
          <w:sz w:val="18"/>
          <w:szCs w:val="18"/>
        </w:rPr>
        <w:t>et</w:t>
      </w:r>
      <w:r w:rsidRPr="009F5B94" w:rsidR="009F5B94">
        <w:rPr>
          <w:sz w:val="18"/>
          <w:szCs w:val="18"/>
        </w:rPr>
        <w:t xml:space="preserve"> verbetering kinderopvangtoeslag</w:t>
      </w:r>
      <w:r w:rsidR="003236A5">
        <w:rPr>
          <w:rStyle w:val="Voetnootmarkering"/>
          <w:sz w:val="18"/>
          <w:szCs w:val="18"/>
        </w:rPr>
        <w:footnoteReference w:id="13"/>
      </w:r>
      <w:r w:rsidRPr="003F7C37" w:rsidR="003F7C37">
        <w:rPr>
          <w:sz w:val="18"/>
          <w:szCs w:val="18"/>
        </w:rPr>
        <w:t xml:space="preserve"> voegt het recht op </w:t>
      </w:r>
      <w:r w:rsidR="00A268EE">
        <w:rPr>
          <w:sz w:val="18"/>
          <w:szCs w:val="18"/>
        </w:rPr>
        <w:t>kinderopvangtoeslag</w:t>
      </w:r>
      <w:r w:rsidRPr="003F7C37" w:rsidR="003F7C37">
        <w:rPr>
          <w:sz w:val="18"/>
          <w:szCs w:val="18"/>
        </w:rPr>
        <w:t xml:space="preserve"> toe voor ouders die een traject volgen gericht op promotie of anderszins werkzaamheden verrichten ten behoeve van onderzoek aan een instelling of academisch ziekenhuis als bedoeld in artikel 1.2 van de Wet op het hoger onderwijs en wetenschappelijk onderzoek. In artikel 8a van het Besluit kinderopvangtoeslag worden regels gesteld over het aantal uren kinderopvang dat in aanmerking komt voor kinderopvangtoeslag. </w:t>
      </w:r>
      <w:r w:rsidR="000E270E">
        <w:rPr>
          <w:sz w:val="18"/>
          <w:szCs w:val="18"/>
        </w:rPr>
        <w:t>Dit wijzigingsbesluit zorgt ervoor dat</w:t>
      </w:r>
      <w:r w:rsidRPr="003F7C37" w:rsidR="003F7C37">
        <w:rPr>
          <w:sz w:val="18"/>
          <w:szCs w:val="18"/>
        </w:rPr>
        <w:t xml:space="preserve"> deze regels ook van toepassing zijn op de nieuwe doelgroep. Het aantal uren kinderopvang dat per berekeningsjaar voor kinderopvangtoeslag in aanmerking komt, is dan gelijk aan 230 vermenigvuldig</w:t>
      </w:r>
      <w:r w:rsidR="000E37E7">
        <w:rPr>
          <w:sz w:val="18"/>
          <w:szCs w:val="18"/>
        </w:rPr>
        <w:t>d</w:t>
      </w:r>
      <w:r w:rsidRPr="003F7C37" w:rsidR="003F7C37">
        <w:rPr>
          <w:sz w:val="18"/>
          <w:szCs w:val="18"/>
        </w:rPr>
        <w:t xml:space="preserve"> met het aantal maanden waarin de ouder of partner in dat berekeningsjaar een traject volgt gericht op promotie of anderszins onderzoek verricht aan een instelling of academisch ziekenhuis als bedoeld in </w:t>
      </w:r>
      <w:r w:rsidR="009F5B94">
        <w:rPr>
          <w:sz w:val="18"/>
          <w:szCs w:val="18"/>
        </w:rPr>
        <w:t>artikel 1.6, eerste lid, onderdeel m, van de Wet kinderopvang</w:t>
      </w:r>
      <w:r w:rsidR="00B7466C">
        <w:rPr>
          <w:sz w:val="18"/>
          <w:szCs w:val="18"/>
        </w:rPr>
        <w:t>, zoals dat artikel luidt na inwerkingtreding van de Wet verbetering kinderopvangtoeslag.</w:t>
      </w:r>
    </w:p>
    <w:p w:rsidR="004E19BB" w:rsidP="004E19BB" w:rsidRDefault="004E19BB" w14:paraId="2BEE02E8" w14:textId="77777777">
      <w:pPr>
        <w:spacing w:line="276" w:lineRule="auto"/>
        <w:rPr>
          <w:rFonts w:eastAsia="Calibri" w:cs="Calibri"/>
          <w:b/>
          <w:bCs/>
          <w:i/>
          <w:iCs/>
        </w:rPr>
      </w:pPr>
    </w:p>
    <w:p w:rsidR="004E19BB" w:rsidP="004E19BB" w:rsidRDefault="004E19BB" w14:paraId="64F2459C" w14:textId="77777777">
      <w:pPr>
        <w:spacing w:line="276" w:lineRule="auto"/>
        <w:rPr>
          <w:rFonts w:eastAsia="Calibri" w:cs="Calibri"/>
          <w:b/>
          <w:bCs/>
          <w:i/>
          <w:iCs/>
        </w:rPr>
      </w:pPr>
      <w:r>
        <w:rPr>
          <w:rFonts w:eastAsia="Calibri" w:cs="Calibri"/>
          <w:b/>
          <w:bCs/>
          <w:i/>
          <w:iCs/>
        </w:rPr>
        <w:t>3. Financiële consequenties</w:t>
      </w:r>
    </w:p>
    <w:p w:rsidR="00680A94" w:rsidP="004E19BB" w:rsidRDefault="00680A94" w14:paraId="3D656EE1" w14:textId="77777777">
      <w:pPr>
        <w:spacing w:line="276" w:lineRule="auto"/>
        <w:rPr>
          <w:rFonts w:eastAsia="Calibri" w:cs="Calibri"/>
          <w:b/>
          <w:bCs/>
          <w:i/>
          <w:iCs/>
        </w:rPr>
      </w:pPr>
    </w:p>
    <w:p w:rsidRPr="00DB18B5" w:rsidR="00C343BD" w:rsidP="000E2268" w:rsidRDefault="004E61DC" w14:paraId="775B7538" w14:textId="77777777">
      <w:pPr>
        <w:pStyle w:val="Default"/>
        <w:spacing w:line="240" w:lineRule="atLeast"/>
        <w:rPr>
          <w:color w:val="auto"/>
          <w:sz w:val="18"/>
          <w:szCs w:val="18"/>
        </w:rPr>
      </w:pPr>
      <w:r>
        <w:rPr>
          <w:color w:val="auto"/>
          <w:sz w:val="18"/>
          <w:szCs w:val="18"/>
        </w:rPr>
        <w:t xml:space="preserve">De eerste stap </w:t>
      </w:r>
      <w:r w:rsidRPr="00DB18B5">
        <w:rPr>
          <w:color w:val="auto"/>
          <w:sz w:val="18"/>
          <w:szCs w:val="18"/>
        </w:rPr>
        <w:t xml:space="preserve">op het </w:t>
      </w:r>
      <w:proofErr w:type="spellStart"/>
      <w:r w:rsidRPr="00DB18B5">
        <w:rPr>
          <w:color w:val="auto"/>
          <w:sz w:val="18"/>
          <w:szCs w:val="18"/>
        </w:rPr>
        <w:t>ingroeipad</w:t>
      </w:r>
      <w:proofErr w:type="spellEnd"/>
      <w:r w:rsidRPr="00DB18B5">
        <w:rPr>
          <w:color w:val="auto"/>
          <w:sz w:val="18"/>
          <w:szCs w:val="18"/>
        </w:rPr>
        <w:t xml:space="preserve"> is in </w:t>
      </w:r>
      <w:r w:rsidRPr="00DB18B5" w:rsidR="0067569B">
        <w:rPr>
          <w:color w:val="auto"/>
          <w:sz w:val="18"/>
          <w:szCs w:val="18"/>
        </w:rPr>
        <w:t>2025</w:t>
      </w:r>
      <w:r w:rsidRPr="00DB18B5">
        <w:rPr>
          <w:color w:val="auto"/>
          <w:sz w:val="18"/>
          <w:szCs w:val="18"/>
        </w:rPr>
        <w:t xml:space="preserve"> genomen. </w:t>
      </w:r>
      <w:r w:rsidR="00D30B43">
        <w:rPr>
          <w:color w:val="auto"/>
          <w:sz w:val="18"/>
          <w:szCs w:val="18"/>
        </w:rPr>
        <w:t xml:space="preserve">Met de verhoging van de vergoedingspercentages werd naar verwachting 467 miljoen extra uitgegeven aan kinderopvangtoeslag voor toeslagjaar 2025. </w:t>
      </w:r>
      <w:r w:rsidRPr="00DB18B5" w:rsidR="00D8606F">
        <w:rPr>
          <w:color w:val="auto"/>
          <w:sz w:val="18"/>
          <w:szCs w:val="18"/>
        </w:rPr>
        <w:t>De</w:t>
      </w:r>
      <w:r w:rsidRPr="00DB18B5">
        <w:rPr>
          <w:color w:val="auto"/>
          <w:sz w:val="18"/>
          <w:szCs w:val="18"/>
        </w:rPr>
        <w:t xml:space="preserve"> tweede stap op het</w:t>
      </w:r>
      <w:r w:rsidR="005B2AEA">
        <w:rPr>
          <w:color w:val="auto"/>
          <w:sz w:val="18"/>
          <w:szCs w:val="18"/>
        </w:rPr>
        <w:t xml:space="preserve"> </w:t>
      </w:r>
      <w:proofErr w:type="spellStart"/>
      <w:r w:rsidR="005B2AEA">
        <w:rPr>
          <w:color w:val="auto"/>
          <w:sz w:val="18"/>
          <w:szCs w:val="18"/>
        </w:rPr>
        <w:t>ingroeipad</w:t>
      </w:r>
      <w:proofErr w:type="spellEnd"/>
      <w:r w:rsidRPr="00DB18B5">
        <w:rPr>
          <w:color w:val="auto"/>
          <w:sz w:val="18"/>
          <w:szCs w:val="18"/>
        </w:rPr>
        <w:t xml:space="preserve"> </w:t>
      </w:r>
      <w:r w:rsidRPr="00DB18B5" w:rsidR="00C343BD">
        <w:rPr>
          <w:color w:val="auto"/>
          <w:sz w:val="18"/>
          <w:szCs w:val="18"/>
        </w:rPr>
        <w:t xml:space="preserve">leidde </w:t>
      </w:r>
      <w:r w:rsidRPr="00DB18B5" w:rsidR="00D8606F">
        <w:rPr>
          <w:color w:val="auto"/>
          <w:sz w:val="18"/>
          <w:szCs w:val="18"/>
        </w:rPr>
        <w:t xml:space="preserve">voor toeslagjaar 2026 </w:t>
      </w:r>
      <w:r w:rsidR="00F813ED">
        <w:rPr>
          <w:color w:val="auto"/>
          <w:sz w:val="18"/>
          <w:szCs w:val="18"/>
        </w:rPr>
        <w:t xml:space="preserve">naar verwachting tot </w:t>
      </w:r>
      <w:r w:rsidRPr="00DB18B5" w:rsidR="00D8606F">
        <w:rPr>
          <w:color w:val="auto"/>
          <w:sz w:val="18"/>
          <w:szCs w:val="18"/>
        </w:rPr>
        <w:t>€ </w:t>
      </w:r>
      <w:r w:rsidR="00D30B43">
        <w:rPr>
          <w:color w:val="auto"/>
          <w:sz w:val="18"/>
          <w:szCs w:val="18"/>
        </w:rPr>
        <w:t>232</w:t>
      </w:r>
      <w:r w:rsidRPr="00DB18B5" w:rsidR="00D30B43">
        <w:rPr>
          <w:color w:val="auto"/>
          <w:sz w:val="18"/>
          <w:szCs w:val="18"/>
        </w:rPr>
        <w:t xml:space="preserve"> </w:t>
      </w:r>
      <w:r w:rsidRPr="00DB18B5" w:rsidR="00D8606F">
        <w:rPr>
          <w:color w:val="auto"/>
          <w:sz w:val="18"/>
          <w:szCs w:val="18"/>
        </w:rPr>
        <w:t xml:space="preserve">miljoen </w:t>
      </w:r>
      <w:r w:rsidRPr="00DB18B5" w:rsidR="00DC05DC">
        <w:rPr>
          <w:color w:val="auto"/>
          <w:sz w:val="18"/>
          <w:szCs w:val="18"/>
        </w:rPr>
        <w:t xml:space="preserve">aan </w:t>
      </w:r>
      <w:r w:rsidRPr="00DB18B5" w:rsidR="00D8606F">
        <w:rPr>
          <w:color w:val="auto"/>
          <w:sz w:val="18"/>
          <w:szCs w:val="18"/>
        </w:rPr>
        <w:t>extra uitgaven.</w:t>
      </w:r>
    </w:p>
    <w:p w:rsidRPr="00DB18B5" w:rsidR="00C343BD" w:rsidP="004E19BB" w:rsidRDefault="00F813ED" w14:paraId="0AACCA20" w14:textId="77777777">
      <w:pPr>
        <w:pStyle w:val="Default"/>
        <w:spacing w:line="240" w:lineRule="atLeast"/>
        <w:rPr>
          <w:color w:val="auto"/>
          <w:sz w:val="18"/>
          <w:szCs w:val="18"/>
        </w:rPr>
      </w:pPr>
      <w:r>
        <w:rPr>
          <w:color w:val="auto"/>
          <w:sz w:val="18"/>
          <w:szCs w:val="18"/>
        </w:rPr>
        <w:t xml:space="preserve">Met </w:t>
      </w:r>
      <w:r w:rsidR="00D30B43">
        <w:rPr>
          <w:color w:val="auto"/>
          <w:sz w:val="18"/>
          <w:szCs w:val="18"/>
        </w:rPr>
        <w:t xml:space="preserve">het voorliggende </w:t>
      </w:r>
      <w:r>
        <w:rPr>
          <w:color w:val="auto"/>
          <w:sz w:val="18"/>
          <w:szCs w:val="18"/>
        </w:rPr>
        <w:t xml:space="preserve">besluit worden in </w:t>
      </w:r>
      <w:r w:rsidRPr="00DB18B5" w:rsidR="00C343BD">
        <w:rPr>
          <w:color w:val="auto"/>
          <w:sz w:val="18"/>
          <w:szCs w:val="18"/>
        </w:rPr>
        <w:t xml:space="preserve">2027 de vergoedingspercentages verder verhoogd. Deze intensivering </w:t>
      </w:r>
      <w:r w:rsidR="00D76D6E">
        <w:rPr>
          <w:color w:val="auto"/>
          <w:sz w:val="18"/>
          <w:szCs w:val="18"/>
        </w:rPr>
        <w:t>leidt</w:t>
      </w:r>
      <w:r w:rsidRPr="00DB18B5" w:rsidR="00D76D6E">
        <w:rPr>
          <w:color w:val="auto"/>
          <w:sz w:val="18"/>
          <w:szCs w:val="18"/>
        </w:rPr>
        <w:t xml:space="preserve"> </w:t>
      </w:r>
      <w:r w:rsidRPr="00DB18B5" w:rsidR="00C343BD">
        <w:rPr>
          <w:color w:val="auto"/>
          <w:sz w:val="18"/>
          <w:szCs w:val="18"/>
        </w:rPr>
        <w:t xml:space="preserve">naar verwachting </w:t>
      </w:r>
      <w:r w:rsidR="00D76D6E">
        <w:rPr>
          <w:color w:val="auto"/>
          <w:sz w:val="18"/>
          <w:szCs w:val="18"/>
        </w:rPr>
        <w:t xml:space="preserve">tot </w:t>
      </w:r>
      <w:r w:rsidRPr="00DB18B5" w:rsidR="00C343BD">
        <w:rPr>
          <w:color w:val="auto"/>
          <w:sz w:val="18"/>
          <w:szCs w:val="18"/>
        </w:rPr>
        <w:t xml:space="preserve">circa € </w:t>
      </w:r>
      <w:r w:rsidR="004B1451">
        <w:rPr>
          <w:color w:val="auto"/>
          <w:sz w:val="18"/>
          <w:szCs w:val="18"/>
        </w:rPr>
        <w:t>322</w:t>
      </w:r>
      <w:r w:rsidRPr="00DB18B5" w:rsidR="005E4A12">
        <w:rPr>
          <w:color w:val="auto"/>
          <w:sz w:val="18"/>
          <w:szCs w:val="18"/>
        </w:rPr>
        <w:t xml:space="preserve"> </w:t>
      </w:r>
      <w:r w:rsidRPr="00DB18B5" w:rsidR="00C343BD">
        <w:rPr>
          <w:color w:val="auto"/>
          <w:sz w:val="18"/>
          <w:szCs w:val="18"/>
        </w:rPr>
        <w:t>miljoen</w:t>
      </w:r>
      <w:r w:rsidRPr="00DB18B5" w:rsidR="004E61DC">
        <w:rPr>
          <w:color w:val="auto"/>
          <w:sz w:val="18"/>
          <w:szCs w:val="18"/>
        </w:rPr>
        <w:t xml:space="preserve"> extra</w:t>
      </w:r>
      <w:r w:rsidR="00D76D6E">
        <w:rPr>
          <w:color w:val="auto"/>
          <w:sz w:val="18"/>
          <w:szCs w:val="18"/>
        </w:rPr>
        <w:t xml:space="preserve"> uitgaven 2027</w:t>
      </w:r>
      <w:r w:rsidRPr="00DB18B5" w:rsidR="00C343BD">
        <w:rPr>
          <w:color w:val="auto"/>
          <w:sz w:val="18"/>
          <w:szCs w:val="18"/>
        </w:rPr>
        <w:t>.</w:t>
      </w:r>
    </w:p>
    <w:p w:rsidR="004E19BB" w:rsidP="004E19BB" w:rsidRDefault="004E19BB" w14:paraId="21D2ECF1" w14:textId="77777777">
      <w:pPr>
        <w:spacing w:line="276" w:lineRule="auto"/>
        <w:rPr>
          <w:rFonts w:eastAsia="Calibri" w:cs="Calibri"/>
          <w:b/>
          <w:bCs/>
          <w:i/>
          <w:iCs/>
        </w:rPr>
      </w:pPr>
    </w:p>
    <w:p w:rsidR="004E19BB" w:rsidP="004E19BB" w:rsidRDefault="004E19BB" w14:paraId="33D89FAF" w14:textId="77777777">
      <w:pPr>
        <w:spacing w:line="276" w:lineRule="auto"/>
        <w:rPr>
          <w:rFonts w:eastAsia="Calibri" w:cs="Calibri"/>
        </w:rPr>
      </w:pPr>
      <w:r>
        <w:rPr>
          <w:rFonts w:eastAsia="Calibri" w:cs="Calibri"/>
          <w:b/>
          <w:bCs/>
          <w:i/>
          <w:iCs/>
        </w:rPr>
        <w:t>4. Inkomenseffecten</w:t>
      </w:r>
    </w:p>
    <w:p w:rsidR="00680A94" w:rsidP="004E19BB" w:rsidRDefault="00680A94" w14:paraId="1872D704" w14:textId="77777777">
      <w:pPr>
        <w:spacing w:line="276" w:lineRule="auto"/>
        <w:rPr>
          <w:rFonts w:eastAsia="Calibri" w:cs="Calibri"/>
        </w:rPr>
      </w:pPr>
    </w:p>
    <w:p w:rsidR="00BB459D" w:rsidP="000E2268" w:rsidRDefault="00C56B08" w14:paraId="08AF7126" w14:textId="77777777">
      <w:pPr>
        <w:rPr>
          <w:rFonts w:eastAsia="Calibri" w:cs="Calibri"/>
        </w:rPr>
      </w:pPr>
      <w:r>
        <w:rPr>
          <w:rFonts w:eastAsia="Calibri" w:cs="Calibri"/>
        </w:rPr>
        <w:t xml:space="preserve">De verhoging van de vergoedingspercentages in dit besluit leidt ertoe dat kinderopvang naar verwachting goedkoper wordt voor </w:t>
      </w:r>
      <w:r w:rsidR="00A27D57">
        <w:rPr>
          <w:rFonts w:eastAsia="Calibri" w:cs="Calibri"/>
        </w:rPr>
        <w:t xml:space="preserve">alle </w:t>
      </w:r>
      <w:r>
        <w:rPr>
          <w:rFonts w:eastAsia="Calibri" w:cs="Calibri"/>
        </w:rPr>
        <w:t xml:space="preserve">ouders die nu nog </w:t>
      </w:r>
      <w:r w:rsidR="00A27D57">
        <w:rPr>
          <w:rFonts w:eastAsia="Calibri" w:cs="Calibri"/>
        </w:rPr>
        <w:t xml:space="preserve">geen </w:t>
      </w:r>
      <w:r w:rsidR="005548F7">
        <w:rPr>
          <w:rFonts w:eastAsia="Calibri" w:cs="Calibri"/>
        </w:rPr>
        <w:t xml:space="preserve">recht hebben op </w:t>
      </w:r>
      <w:r w:rsidRPr="003236A5" w:rsidR="001F2D1D">
        <w:rPr>
          <w:rFonts w:eastAsia="Calibri" w:cs="Calibri"/>
        </w:rPr>
        <w:t xml:space="preserve">een </w:t>
      </w:r>
      <w:r w:rsidRPr="003236A5">
        <w:rPr>
          <w:rFonts w:eastAsia="Calibri" w:cs="Calibri"/>
        </w:rPr>
        <w:t xml:space="preserve">vergoedingspercentage van 96% </w:t>
      </w:r>
      <w:r w:rsidRPr="003236A5" w:rsidR="00241391">
        <w:rPr>
          <w:rFonts w:eastAsia="Calibri" w:cs="Calibri"/>
        </w:rPr>
        <w:t>voor het eerste kind</w:t>
      </w:r>
      <w:r w:rsidRPr="003236A5">
        <w:rPr>
          <w:rFonts w:eastAsia="Calibri" w:cs="Calibri"/>
        </w:rPr>
        <w:t>.</w:t>
      </w:r>
      <w:r w:rsidRPr="003236A5" w:rsidR="008F0948">
        <w:rPr>
          <w:rFonts w:eastAsia="Calibri" w:cs="Calibri"/>
        </w:rPr>
        <w:t xml:space="preserve"> Het gaat naar schatting om </w:t>
      </w:r>
      <w:r w:rsidRPr="003236A5" w:rsidR="009176AB">
        <w:rPr>
          <w:rFonts w:eastAsia="Calibri" w:cs="Calibri"/>
        </w:rPr>
        <w:t xml:space="preserve">528.000 </w:t>
      </w:r>
      <w:r w:rsidRPr="003236A5" w:rsidR="008F0948">
        <w:rPr>
          <w:rFonts w:eastAsia="Calibri" w:cs="Calibri"/>
        </w:rPr>
        <w:t xml:space="preserve">van de </w:t>
      </w:r>
      <w:r w:rsidRPr="003236A5" w:rsidR="009176AB">
        <w:rPr>
          <w:rFonts w:eastAsia="Calibri" w:cs="Calibri"/>
        </w:rPr>
        <w:t xml:space="preserve">621.000 </w:t>
      </w:r>
      <w:r w:rsidRPr="003236A5" w:rsidR="008F0948">
        <w:rPr>
          <w:rFonts w:eastAsia="Calibri" w:cs="Calibri"/>
        </w:rPr>
        <w:t>huishoudens</w:t>
      </w:r>
      <w:r w:rsidRPr="009176AB" w:rsidR="008F0948">
        <w:rPr>
          <w:rFonts w:eastAsia="Calibri" w:cs="Calibri"/>
        </w:rPr>
        <w:t xml:space="preserve"> die </w:t>
      </w:r>
      <w:r w:rsidRPr="009176AB" w:rsidR="00BB459D">
        <w:rPr>
          <w:rFonts w:eastAsia="Calibri" w:cs="Calibri"/>
        </w:rPr>
        <w:t>kinderopvang</w:t>
      </w:r>
      <w:r w:rsidRPr="009176AB" w:rsidR="008F0948">
        <w:rPr>
          <w:rFonts w:eastAsia="Calibri" w:cs="Calibri"/>
        </w:rPr>
        <w:t>toeslag ontvangen</w:t>
      </w:r>
      <w:r w:rsidRPr="009176AB" w:rsidR="0031380C">
        <w:rPr>
          <w:rFonts w:eastAsia="Calibri" w:cs="Calibri"/>
        </w:rPr>
        <w:t>.</w:t>
      </w:r>
      <w:r w:rsidRPr="009176AB">
        <w:rPr>
          <w:rFonts w:eastAsia="Calibri" w:cs="Calibri"/>
        </w:rPr>
        <w:t xml:space="preserve"> </w:t>
      </w:r>
      <w:r w:rsidRPr="009176AB" w:rsidR="008F7782">
        <w:rPr>
          <w:rFonts w:eastAsia="Calibri" w:cs="Calibri"/>
        </w:rPr>
        <w:t>Het is niet mogelijk om te zeggen wat</w:t>
      </w:r>
      <w:r w:rsidR="008F7782">
        <w:rPr>
          <w:rFonts w:eastAsia="Calibri" w:cs="Calibri"/>
        </w:rPr>
        <w:t xml:space="preserve"> de </w:t>
      </w:r>
      <w:r w:rsidR="005B7357">
        <w:rPr>
          <w:rFonts w:eastAsia="Calibri" w:cs="Calibri"/>
        </w:rPr>
        <w:t>financiële gevolgen</w:t>
      </w:r>
      <w:r w:rsidR="008F7782">
        <w:rPr>
          <w:rFonts w:eastAsia="Calibri" w:cs="Calibri"/>
        </w:rPr>
        <w:t xml:space="preserve"> van dit besluit</w:t>
      </w:r>
      <w:r w:rsidR="000C3662">
        <w:rPr>
          <w:rFonts w:eastAsia="Calibri" w:cs="Calibri"/>
        </w:rPr>
        <w:t xml:space="preserve"> zullen</w:t>
      </w:r>
      <w:r w:rsidR="008F7782">
        <w:rPr>
          <w:rFonts w:eastAsia="Calibri" w:cs="Calibri"/>
        </w:rPr>
        <w:t xml:space="preserve"> zijn voor </w:t>
      </w:r>
      <w:r w:rsidR="009527D5">
        <w:rPr>
          <w:rFonts w:eastAsia="Calibri" w:cs="Calibri"/>
        </w:rPr>
        <w:t xml:space="preserve">ieder </w:t>
      </w:r>
      <w:r w:rsidR="008F7782">
        <w:rPr>
          <w:rFonts w:eastAsia="Calibri" w:cs="Calibri"/>
        </w:rPr>
        <w:t xml:space="preserve">huishouden. </w:t>
      </w:r>
      <w:r w:rsidR="009527D5">
        <w:rPr>
          <w:rFonts w:eastAsia="Calibri" w:cs="Calibri"/>
        </w:rPr>
        <w:t xml:space="preserve">De exacte financiële gevolgen zijn </w:t>
      </w:r>
      <w:r w:rsidR="00BB459D">
        <w:rPr>
          <w:rFonts w:eastAsia="Calibri" w:cs="Calibri"/>
        </w:rPr>
        <w:t xml:space="preserve">namelijk </w:t>
      </w:r>
      <w:r w:rsidR="009527D5">
        <w:rPr>
          <w:rFonts w:eastAsia="Calibri" w:cs="Calibri"/>
        </w:rPr>
        <w:t xml:space="preserve">niet alleen </w:t>
      </w:r>
      <w:r>
        <w:rPr>
          <w:rFonts w:eastAsia="Calibri" w:cs="Calibri"/>
        </w:rPr>
        <w:t xml:space="preserve">afhankelijk van </w:t>
      </w:r>
      <w:r w:rsidR="009527D5">
        <w:rPr>
          <w:rFonts w:eastAsia="Calibri" w:cs="Calibri"/>
        </w:rPr>
        <w:t xml:space="preserve">het inkomen, </w:t>
      </w:r>
      <w:r w:rsidR="00BB459D">
        <w:rPr>
          <w:rFonts w:eastAsia="Calibri" w:cs="Calibri"/>
        </w:rPr>
        <w:t xml:space="preserve">maar ook van </w:t>
      </w:r>
      <w:r w:rsidR="009527D5">
        <w:rPr>
          <w:rFonts w:eastAsia="Calibri" w:cs="Calibri"/>
        </w:rPr>
        <w:t>het aantal kinderen, het soort opvang</w:t>
      </w:r>
      <w:r w:rsidR="00BB459D">
        <w:rPr>
          <w:rFonts w:eastAsia="Calibri" w:cs="Calibri"/>
        </w:rPr>
        <w:t xml:space="preserve">, </w:t>
      </w:r>
      <w:r w:rsidR="009527D5">
        <w:rPr>
          <w:rFonts w:eastAsia="Calibri" w:cs="Calibri"/>
        </w:rPr>
        <w:t>het aantal afgenomen uren</w:t>
      </w:r>
      <w:r w:rsidR="00BB459D">
        <w:rPr>
          <w:rFonts w:eastAsia="Calibri" w:cs="Calibri"/>
        </w:rPr>
        <w:t xml:space="preserve"> en </w:t>
      </w:r>
      <w:r>
        <w:rPr>
          <w:rFonts w:eastAsia="Calibri" w:cs="Calibri"/>
        </w:rPr>
        <w:t xml:space="preserve">het tarief dat </w:t>
      </w:r>
      <w:r w:rsidR="00BB459D">
        <w:rPr>
          <w:rFonts w:eastAsia="Calibri" w:cs="Calibri"/>
        </w:rPr>
        <w:t xml:space="preserve">de </w:t>
      </w:r>
      <w:r w:rsidR="00287E38">
        <w:rPr>
          <w:rFonts w:eastAsia="Calibri" w:cs="Calibri"/>
        </w:rPr>
        <w:t>kinderopvang</w:t>
      </w:r>
      <w:r w:rsidR="00BB459D">
        <w:rPr>
          <w:rFonts w:eastAsia="Calibri" w:cs="Calibri"/>
        </w:rPr>
        <w:t>organisatie</w:t>
      </w:r>
      <w:r>
        <w:rPr>
          <w:rFonts w:eastAsia="Calibri" w:cs="Calibri"/>
        </w:rPr>
        <w:t xml:space="preserve"> in </w:t>
      </w:r>
      <w:r w:rsidR="00BB459D">
        <w:rPr>
          <w:rFonts w:eastAsia="Calibri" w:cs="Calibri"/>
        </w:rPr>
        <w:t xml:space="preserve">2027 in </w:t>
      </w:r>
      <w:r>
        <w:rPr>
          <w:rFonts w:eastAsia="Calibri" w:cs="Calibri"/>
        </w:rPr>
        <w:t>rekening brengt.</w:t>
      </w:r>
    </w:p>
    <w:p w:rsidR="00BB459D" w:rsidP="000E2268" w:rsidRDefault="00BB459D" w14:paraId="4D94773A" w14:textId="77777777">
      <w:pPr>
        <w:rPr>
          <w:rFonts w:eastAsia="Calibri" w:cs="Calibri"/>
        </w:rPr>
      </w:pPr>
    </w:p>
    <w:p w:rsidRPr="000D1553" w:rsidR="004E19BB" w:rsidP="000E2268" w:rsidRDefault="004E19BB" w14:paraId="53AEBD4B" w14:textId="77777777">
      <w:pPr>
        <w:rPr>
          <w:rFonts w:eastAsia="Calibri" w:cs="Calibri"/>
          <w:i/>
          <w:iCs/>
          <w:color w:val="FF0000"/>
        </w:rPr>
      </w:pPr>
      <w:r>
        <w:rPr>
          <w:rFonts w:eastAsia="Calibri" w:cs="Calibri"/>
        </w:rPr>
        <w:lastRenderedPageBreak/>
        <w:t>Om</w:t>
      </w:r>
      <w:r w:rsidR="00BB459D">
        <w:rPr>
          <w:rFonts w:eastAsia="Calibri" w:cs="Calibri"/>
        </w:rPr>
        <w:t xml:space="preserve"> toch</w:t>
      </w:r>
      <w:r>
        <w:rPr>
          <w:rFonts w:eastAsia="Calibri" w:cs="Calibri"/>
        </w:rPr>
        <w:t xml:space="preserve"> een </w:t>
      </w:r>
      <w:r w:rsidR="008F7782">
        <w:rPr>
          <w:rFonts w:eastAsia="Calibri" w:cs="Calibri"/>
        </w:rPr>
        <w:t xml:space="preserve">beeld </w:t>
      </w:r>
      <w:r>
        <w:rPr>
          <w:rFonts w:eastAsia="Calibri" w:cs="Calibri"/>
        </w:rPr>
        <w:t xml:space="preserve">te bieden van de mogelijke </w:t>
      </w:r>
      <w:r w:rsidR="005B7357">
        <w:rPr>
          <w:rFonts w:eastAsia="Calibri" w:cs="Calibri"/>
        </w:rPr>
        <w:t xml:space="preserve">financiële effecten </w:t>
      </w:r>
      <w:r>
        <w:rPr>
          <w:rFonts w:eastAsia="Calibri" w:cs="Calibri"/>
        </w:rPr>
        <w:t>voor verschillende huishoudens staan hieronder enkele rekenvoorbeelden.</w:t>
      </w:r>
      <w:r w:rsidR="008F7782">
        <w:rPr>
          <w:rFonts w:eastAsia="Calibri" w:cs="Calibri"/>
        </w:rPr>
        <w:t xml:space="preserve"> </w:t>
      </w:r>
      <w:r w:rsidR="008F7782">
        <w:t>Deze rekenvoorbeelden zijn nadrukkelijk indicatief en kunnen niet gebruikt worden om af te leiden wat de werkelijke effecten van dit besluit zijn voor een individueel huishouden.</w:t>
      </w:r>
    </w:p>
    <w:p w:rsidR="004E19BB" w:rsidP="004E19BB" w:rsidRDefault="004E19BB" w14:paraId="71A0BC30" w14:textId="77777777">
      <w:pPr>
        <w:spacing w:line="276" w:lineRule="auto"/>
        <w:rPr>
          <w:rFonts w:eastAsia="Calibri" w:cs="Calibri"/>
        </w:rPr>
      </w:pPr>
    </w:p>
    <w:p w:rsidR="005B7357" w:rsidP="005B7357" w:rsidRDefault="005B7357" w14:paraId="3E606464" w14:textId="77777777">
      <w:pPr>
        <w:pStyle w:val="Default"/>
        <w:spacing w:line="240" w:lineRule="atLeast"/>
        <w:rPr>
          <w:i/>
          <w:iCs/>
          <w:sz w:val="18"/>
          <w:szCs w:val="18"/>
        </w:rPr>
      </w:pPr>
      <w:r>
        <w:rPr>
          <w:i/>
          <w:iCs/>
          <w:sz w:val="18"/>
          <w:szCs w:val="18"/>
        </w:rPr>
        <w:t xml:space="preserve">Tabel </w:t>
      </w:r>
      <w:r w:rsidR="0067569B">
        <w:rPr>
          <w:i/>
          <w:iCs/>
          <w:sz w:val="18"/>
          <w:szCs w:val="18"/>
        </w:rPr>
        <w:t>3</w:t>
      </w:r>
      <w:r w:rsidRPr="000C531F">
        <w:rPr>
          <w:i/>
          <w:iCs/>
          <w:sz w:val="18"/>
          <w:szCs w:val="18"/>
        </w:rPr>
        <w:t>:</w:t>
      </w:r>
      <w:r>
        <w:rPr>
          <w:i/>
          <w:iCs/>
          <w:sz w:val="18"/>
          <w:szCs w:val="18"/>
        </w:rPr>
        <w:t xml:space="preserve"> rekenvoorbeelden</w:t>
      </w:r>
      <w:r w:rsidR="000B52CF">
        <w:rPr>
          <w:i/>
          <w:iCs/>
          <w:sz w:val="18"/>
          <w:szCs w:val="18"/>
        </w:rPr>
        <w:t xml:space="preserve"> (op basis van verwachte ontwikkeling tarieven 2027)</w:t>
      </w:r>
    </w:p>
    <w:tbl>
      <w:tblPr>
        <w:tblW w:w="8836" w:type="dxa"/>
        <w:tblLayout w:type="fixed"/>
        <w:tblCellMar>
          <w:left w:w="70" w:type="dxa"/>
          <w:right w:w="70" w:type="dxa"/>
        </w:tblCellMar>
        <w:tblLook w:val="04A0" w:firstRow="1" w:lastRow="0" w:firstColumn="1" w:lastColumn="0" w:noHBand="0" w:noVBand="1"/>
      </w:tblPr>
      <w:tblGrid>
        <w:gridCol w:w="2268"/>
        <w:gridCol w:w="170"/>
        <w:gridCol w:w="765"/>
        <w:gridCol w:w="170"/>
        <w:gridCol w:w="765"/>
        <w:gridCol w:w="170"/>
        <w:gridCol w:w="123"/>
        <w:gridCol w:w="97"/>
        <w:gridCol w:w="2171"/>
        <w:gridCol w:w="267"/>
        <w:gridCol w:w="668"/>
        <w:gridCol w:w="267"/>
        <w:gridCol w:w="668"/>
        <w:gridCol w:w="267"/>
      </w:tblGrid>
      <w:tr w:rsidRPr="00FB6A39" w:rsidR="000B52CF" w:rsidTr="007657B8" w14:paraId="2095008C" w14:textId="77777777">
        <w:trPr>
          <w:trHeight w:val="480"/>
        </w:trPr>
        <w:tc>
          <w:tcPr>
            <w:tcW w:w="2438" w:type="dxa"/>
            <w:gridSpan w:val="2"/>
            <w:tcBorders>
              <w:top w:val="single" w:color="auto" w:sz="8" w:space="0"/>
              <w:left w:val="single" w:color="auto" w:sz="8" w:space="0"/>
              <w:bottom w:val="nil"/>
              <w:right w:val="nil"/>
            </w:tcBorders>
            <w:shd w:val="clear" w:color="000000" w:fill="9BC2E6"/>
            <w:vAlign w:val="center"/>
            <w:hideMark/>
          </w:tcPr>
          <w:p w:rsidRPr="00866CAB" w:rsidR="00FB6A39" w:rsidP="00FB6A39" w:rsidRDefault="00FB6A39" w14:paraId="12F819FC" w14:textId="77777777">
            <w:pPr>
              <w:autoSpaceDN/>
              <w:spacing w:line="240" w:lineRule="auto"/>
              <w:jc w:val="center"/>
              <w:textAlignment w:val="auto"/>
              <w:rPr>
                <w:rFonts w:eastAsia="Times New Roman" w:cs="Calibri"/>
                <w:b/>
                <w:bCs/>
                <w:sz w:val="14"/>
                <w:szCs w:val="14"/>
              </w:rPr>
            </w:pPr>
            <w:r w:rsidRPr="00866CAB">
              <w:rPr>
                <w:rFonts w:eastAsia="Times New Roman" w:cs="Calibri"/>
                <w:b/>
                <w:bCs/>
                <w:sz w:val="14"/>
                <w:szCs w:val="14"/>
              </w:rPr>
              <w:t>Laag inkomen</w:t>
            </w:r>
            <w:r w:rsidRPr="00866CAB">
              <w:rPr>
                <w:rFonts w:eastAsia="Times New Roman" w:cs="Calibri"/>
                <w:b/>
                <w:bCs/>
                <w:sz w:val="14"/>
                <w:szCs w:val="14"/>
              </w:rPr>
              <w:br/>
            </w:r>
            <w:r w:rsidRPr="00866CAB">
              <w:rPr>
                <w:rFonts w:eastAsia="Times New Roman" w:cs="Calibri"/>
                <w:i/>
                <w:iCs/>
                <w:sz w:val="14"/>
                <w:szCs w:val="14"/>
              </w:rPr>
              <w:t>(</w:t>
            </w:r>
            <w:r w:rsidRPr="007657B8" w:rsidR="006E48DB">
              <w:rPr>
                <w:rFonts w:eastAsia="Times New Roman" w:cs="Calibri"/>
                <w:i/>
                <w:iCs/>
                <w:sz w:val="14"/>
                <w:szCs w:val="14"/>
              </w:rPr>
              <w:t>had</w:t>
            </w:r>
            <w:r w:rsidRPr="00866CAB" w:rsidR="006E48DB">
              <w:rPr>
                <w:rFonts w:eastAsia="Times New Roman" w:cs="Calibri"/>
                <w:i/>
                <w:iCs/>
                <w:sz w:val="14"/>
                <w:szCs w:val="14"/>
              </w:rPr>
              <w:t xml:space="preserve"> </w:t>
            </w:r>
            <w:r w:rsidRPr="00866CAB" w:rsidR="007B485E">
              <w:rPr>
                <w:rFonts w:eastAsia="Times New Roman" w:cs="Calibri"/>
                <w:i/>
                <w:iCs/>
                <w:sz w:val="14"/>
                <w:szCs w:val="14"/>
              </w:rPr>
              <w:t>in 2024 al recht op</w:t>
            </w:r>
            <w:r w:rsidRPr="00866CAB">
              <w:rPr>
                <w:rFonts w:eastAsia="Times New Roman" w:cs="Calibri"/>
                <w:i/>
                <w:iCs/>
                <w:sz w:val="14"/>
                <w:szCs w:val="14"/>
              </w:rPr>
              <w:t xml:space="preserve"> 96%)</w:t>
            </w:r>
          </w:p>
        </w:tc>
        <w:tc>
          <w:tcPr>
            <w:tcW w:w="935" w:type="dxa"/>
            <w:gridSpan w:val="2"/>
            <w:tcBorders>
              <w:top w:val="single" w:color="auto" w:sz="8" w:space="0"/>
              <w:left w:val="nil"/>
              <w:bottom w:val="nil"/>
              <w:right w:val="nil"/>
            </w:tcBorders>
            <w:shd w:val="clear" w:color="000000" w:fill="9BC2E6"/>
            <w:noWrap/>
            <w:vAlign w:val="center"/>
            <w:hideMark/>
          </w:tcPr>
          <w:p w:rsidRPr="00866CAB" w:rsidR="00FB6A39" w:rsidP="000D1553" w:rsidRDefault="000B52CF" w14:paraId="5309A13A" w14:textId="77777777">
            <w:pPr>
              <w:autoSpaceDN/>
              <w:spacing w:line="240" w:lineRule="auto"/>
              <w:jc w:val="right"/>
              <w:textAlignment w:val="auto"/>
              <w:rPr>
                <w:rFonts w:eastAsia="Times New Roman" w:cs="Calibri"/>
                <w:b/>
                <w:bCs/>
                <w:sz w:val="14"/>
                <w:szCs w:val="14"/>
              </w:rPr>
            </w:pPr>
            <w:r w:rsidRPr="00866CAB">
              <w:rPr>
                <w:rFonts w:eastAsia="Times New Roman" w:cs="Calibri"/>
                <w:b/>
                <w:bCs/>
                <w:sz w:val="14"/>
                <w:szCs w:val="14"/>
              </w:rPr>
              <w:t>20</w:t>
            </w:r>
            <w:r w:rsidRPr="007657B8">
              <w:rPr>
                <w:rFonts w:eastAsia="Times New Roman" w:cs="Calibri"/>
                <w:b/>
                <w:bCs/>
                <w:sz w:val="14"/>
                <w:szCs w:val="14"/>
              </w:rPr>
              <w:t>26</w:t>
            </w:r>
          </w:p>
        </w:tc>
        <w:tc>
          <w:tcPr>
            <w:tcW w:w="935" w:type="dxa"/>
            <w:gridSpan w:val="2"/>
            <w:tcBorders>
              <w:top w:val="single" w:color="auto" w:sz="8" w:space="0"/>
              <w:left w:val="nil"/>
              <w:bottom w:val="nil"/>
              <w:right w:val="single" w:color="auto" w:sz="8" w:space="0"/>
            </w:tcBorders>
            <w:shd w:val="clear" w:color="000000" w:fill="9BC2E6"/>
            <w:noWrap/>
            <w:vAlign w:val="center"/>
            <w:hideMark/>
          </w:tcPr>
          <w:p w:rsidRPr="00866CAB" w:rsidR="00FB6A39" w:rsidP="000D1553" w:rsidRDefault="000B52CF" w14:paraId="337B0F41" w14:textId="77777777">
            <w:pPr>
              <w:autoSpaceDN/>
              <w:spacing w:line="240" w:lineRule="auto"/>
              <w:jc w:val="right"/>
              <w:textAlignment w:val="auto"/>
              <w:rPr>
                <w:rFonts w:eastAsia="Times New Roman" w:cs="Calibri"/>
                <w:b/>
                <w:bCs/>
                <w:sz w:val="14"/>
                <w:szCs w:val="14"/>
              </w:rPr>
            </w:pPr>
            <w:r w:rsidRPr="00866CAB">
              <w:rPr>
                <w:rFonts w:eastAsia="Times New Roman" w:cs="Calibri"/>
                <w:b/>
                <w:bCs/>
                <w:sz w:val="14"/>
                <w:szCs w:val="14"/>
              </w:rPr>
              <w:t>202</w:t>
            </w:r>
            <w:r w:rsidRPr="007657B8">
              <w:rPr>
                <w:rFonts w:eastAsia="Times New Roman" w:cs="Calibri"/>
                <w:b/>
                <w:bCs/>
                <w:sz w:val="14"/>
                <w:szCs w:val="14"/>
              </w:rPr>
              <w:t>7</w:t>
            </w:r>
          </w:p>
        </w:tc>
        <w:tc>
          <w:tcPr>
            <w:tcW w:w="220" w:type="dxa"/>
            <w:gridSpan w:val="2"/>
            <w:tcBorders>
              <w:top w:val="nil"/>
              <w:left w:val="nil"/>
              <w:bottom w:val="nil"/>
              <w:right w:val="nil"/>
            </w:tcBorders>
            <w:shd w:val="clear" w:color="000000" w:fill="FFFFFF"/>
            <w:noWrap/>
            <w:vAlign w:val="bottom"/>
            <w:hideMark/>
          </w:tcPr>
          <w:p w:rsidRPr="00866CAB" w:rsidR="00FB6A39" w:rsidP="00FB6A39" w:rsidRDefault="00FB6A39" w14:paraId="1304FAA5" w14:textId="77777777">
            <w:pPr>
              <w:autoSpaceDN/>
              <w:spacing w:line="240" w:lineRule="auto"/>
              <w:textAlignment w:val="auto"/>
              <w:rPr>
                <w:rFonts w:eastAsia="Times New Roman" w:cs="Times New Roman"/>
                <w:sz w:val="14"/>
                <w:szCs w:val="14"/>
              </w:rPr>
            </w:pPr>
            <w:r w:rsidRPr="00866CAB">
              <w:rPr>
                <w:rFonts w:eastAsia="Times New Roman" w:cs="Times New Roman"/>
                <w:sz w:val="14"/>
                <w:szCs w:val="14"/>
              </w:rPr>
              <w:t> </w:t>
            </w:r>
          </w:p>
        </w:tc>
        <w:tc>
          <w:tcPr>
            <w:tcW w:w="2438" w:type="dxa"/>
            <w:gridSpan w:val="2"/>
            <w:tcBorders>
              <w:top w:val="single" w:color="auto" w:sz="8" w:space="0"/>
              <w:left w:val="single" w:color="auto" w:sz="8" w:space="0"/>
              <w:bottom w:val="nil"/>
              <w:right w:val="nil"/>
            </w:tcBorders>
            <w:shd w:val="clear" w:color="000000" w:fill="9BC2E6"/>
            <w:vAlign w:val="center"/>
            <w:hideMark/>
          </w:tcPr>
          <w:p w:rsidRPr="00866CAB" w:rsidR="00FB6A39" w:rsidP="00FB6A39" w:rsidRDefault="00FB6A39" w14:paraId="4110511A" w14:textId="77777777">
            <w:pPr>
              <w:autoSpaceDN/>
              <w:spacing w:line="240" w:lineRule="auto"/>
              <w:jc w:val="center"/>
              <w:textAlignment w:val="auto"/>
              <w:rPr>
                <w:rFonts w:eastAsia="Times New Roman" w:cs="Calibri"/>
                <w:b/>
                <w:bCs/>
                <w:sz w:val="14"/>
                <w:szCs w:val="14"/>
              </w:rPr>
            </w:pPr>
            <w:r w:rsidRPr="00866CAB">
              <w:rPr>
                <w:rFonts w:eastAsia="Times New Roman" w:cs="Calibri"/>
                <w:b/>
                <w:bCs/>
                <w:sz w:val="14"/>
                <w:szCs w:val="14"/>
              </w:rPr>
              <w:t>Middeninkomen</w:t>
            </w:r>
            <w:r w:rsidRPr="00866CAB">
              <w:rPr>
                <w:rFonts w:eastAsia="Times New Roman" w:cs="Calibri"/>
                <w:b/>
                <w:bCs/>
                <w:sz w:val="14"/>
                <w:szCs w:val="14"/>
              </w:rPr>
              <w:br/>
            </w:r>
            <w:r w:rsidRPr="00866CAB">
              <w:rPr>
                <w:rFonts w:eastAsia="Times New Roman" w:cs="Calibri"/>
                <w:i/>
                <w:iCs/>
                <w:sz w:val="14"/>
                <w:szCs w:val="14"/>
              </w:rPr>
              <w:t>(1 x modaal)</w:t>
            </w:r>
          </w:p>
        </w:tc>
        <w:tc>
          <w:tcPr>
            <w:tcW w:w="935" w:type="dxa"/>
            <w:gridSpan w:val="2"/>
            <w:tcBorders>
              <w:top w:val="single" w:color="auto" w:sz="8" w:space="0"/>
              <w:left w:val="nil"/>
              <w:bottom w:val="nil"/>
              <w:right w:val="nil"/>
            </w:tcBorders>
            <w:shd w:val="clear" w:color="000000" w:fill="9BC2E6"/>
            <w:noWrap/>
            <w:vAlign w:val="center"/>
            <w:hideMark/>
          </w:tcPr>
          <w:p w:rsidRPr="00866CAB" w:rsidR="00FB6A39" w:rsidP="000D1553" w:rsidRDefault="000B52CF" w14:paraId="2A041F06" w14:textId="77777777">
            <w:pPr>
              <w:autoSpaceDN/>
              <w:spacing w:line="240" w:lineRule="auto"/>
              <w:jc w:val="right"/>
              <w:textAlignment w:val="auto"/>
              <w:rPr>
                <w:rFonts w:eastAsia="Times New Roman" w:cs="Calibri"/>
                <w:b/>
                <w:bCs/>
                <w:sz w:val="14"/>
                <w:szCs w:val="14"/>
              </w:rPr>
            </w:pPr>
            <w:r w:rsidRPr="007657B8">
              <w:rPr>
                <w:rFonts w:eastAsia="Times New Roman" w:cs="Calibri"/>
                <w:b/>
                <w:bCs/>
                <w:sz w:val="14"/>
                <w:szCs w:val="14"/>
              </w:rPr>
              <w:t>2026</w:t>
            </w:r>
          </w:p>
        </w:tc>
        <w:tc>
          <w:tcPr>
            <w:tcW w:w="935" w:type="dxa"/>
            <w:gridSpan w:val="2"/>
            <w:tcBorders>
              <w:top w:val="single" w:color="auto" w:sz="8" w:space="0"/>
              <w:left w:val="nil"/>
              <w:bottom w:val="nil"/>
              <w:right w:val="single" w:color="auto" w:sz="8" w:space="0"/>
            </w:tcBorders>
            <w:shd w:val="clear" w:color="000000" w:fill="9BC2E6"/>
            <w:noWrap/>
            <w:vAlign w:val="center"/>
            <w:hideMark/>
          </w:tcPr>
          <w:p w:rsidRPr="00866CAB" w:rsidR="00FB6A39" w:rsidP="000D1553" w:rsidRDefault="000B52CF" w14:paraId="7B26F514" w14:textId="77777777">
            <w:pPr>
              <w:autoSpaceDN/>
              <w:spacing w:line="240" w:lineRule="auto"/>
              <w:jc w:val="right"/>
              <w:textAlignment w:val="auto"/>
              <w:rPr>
                <w:rFonts w:eastAsia="Times New Roman" w:cs="Calibri"/>
                <w:b/>
                <w:bCs/>
                <w:sz w:val="14"/>
                <w:szCs w:val="14"/>
              </w:rPr>
            </w:pPr>
            <w:r w:rsidRPr="00866CAB">
              <w:rPr>
                <w:rFonts w:eastAsia="Times New Roman" w:cs="Calibri"/>
                <w:b/>
                <w:bCs/>
                <w:sz w:val="14"/>
                <w:szCs w:val="14"/>
              </w:rPr>
              <w:t>202</w:t>
            </w:r>
            <w:r w:rsidRPr="007657B8">
              <w:rPr>
                <w:rFonts w:eastAsia="Times New Roman" w:cs="Calibri"/>
                <w:b/>
                <w:bCs/>
                <w:sz w:val="14"/>
                <w:szCs w:val="14"/>
              </w:rPr>
              <w:t>7</w:t>
            </w:r>
          </w:p>
        </w:tc>
      </w:tr>
      <w:tr w:rsidRPr="00FB6A39" w:rsidR="000B52CF" w:rsidTr="007657B8" w14:paraId="6E3A35B0" w14:textId="77777777">
        <w:trPr>
          <w:trHeight w:val="285"/>
        </w:trPr>
        <w:tc>
          <w:tcPr>
            <w:tcW w:w="2438" w:type="dxa"/>
            <w:gridSpan w:val="2"/>
            <w:tcBorders>
              <w:top w:val="nil"/>
              <w:left w:val="single" w:color="auto" w:sz="8" w:space="0"/>
              <w:bottom w:val="nil"/>
              <w:right w:val="nil"/>
            </w:tcBorders>
            <w:shd w:val="clear" w:color="000000" w:fill="FFFFFF"/>
            <w:noWrap/>
            <w:vAlign w:val="center"/>
            <w:hideMark/>
          </w:tcPr>
          <w:p w:rsidRPr="00866CAB" w:rsidR="000B52CF" w:rsidP="000B52CF" w:rsidRDefault="000B52CF" w14:paraId="0F42AD24" w14:textId="77777777">
            <w:pPr>
              <w:autoSpaceDN/>
              <w:spacing w:line="240" w:lineRule="auto"/>
              <w:textAlignment w:val="auto"/>
              <w:rPr>
                <w:rFonts w:eastAsia="Times New Roman" w:cs="Calibri"/>
                <w:sz w:val="14"/>
                <w:szCs w:val="14"/>
              </w:rPr>
            </w:pPr>
            <w:r w:rsidRPr="00866CAB">
              <w:rPr>
                <w:rFonts w:eastAsia="Times New Roman" w:cs="Calibri"/>
                <w:sz w:val="14"/>
                <w:szCs w:val="14"/>
              </w:rPr>
              <w:t>Kosten opvang per jaar:</w:t>
            </w:r>
          </w:p>
        </w:tc>
        <w:tc>
          <w:tcPr>
            <w:tcW w:w="935" w:type="dxa"/>
            <w:gridSpan w:val="2"/>
            <w:tcBorders>
              <w:top w:val="nil"/>
              <w:left w:val="nil"/>
              <w:bottom w:val="nil"/>
              <w:right w:val="nil"/>
            </w:tcBorders>
            <w:shd w:val="clear" w:color="000000" w:fill="FFFFFF"/>
            <w:noWrap/>
            <w:vAlign w:val="center"/>
            <w:hideMark/>
          </w:tcPr>
          <w:p w:rsidRPr="00866CAB" w:rsidR="000B52CF" w:rsidP="000B52CF" w:rsidRDefault="000B52CF" w14:paraId="0BF8ECFD" w14:textId="77777777">
            <w:pPr>
              <w:autoSpaceDN/>
              <w:spacing w:line="240" w:lineRule="auto"/>
              <w:jc w:val="right"/>
              <w:textAlignment w:val="auto"/>
              <w:rPr>
                <w:rFonts w:eastAsia="Times New Roman" w:cs="Calibri"/>
                <w:sz w:val="14"/>
                <w:szCs w:val="14"/>
              </w:rPr>
            </w:pPr>
            <w:r w:rsidRPr="007657B8">
              <w:rPr>
                <w:sz w:val="14"/>
                <w:szCs w:val="14"/>
              </w:rPr>
              <w:t>€ 26.38</w:t>
            </w:r>
            <w:r w:rsidR="00FC6200">
              <w:rPr>
                <w:sz w:val="14"/>
                <w:szCs w:val="14"/>
              </w:rPr>
              <w:t>1</w:t>
            </w:r>
          </w:p>
        </w:tc>
        <w:tc>
          <w:tcPr>
            <w:tcW w:w="935" w:type="dxa"/>
            <w:gridSpan w:val="2"/>
            <w:tcBorders>
              <w:top w:val="nil"/>
              <w:left w:val="nil"/>
              <w:bottom w:val="nil"/>
              <w:right w:val="single" w:color="auto" w:sz="8" w:space="0"/>
            </w:tcBorders>
            <w:shd w:val="clear" w:color="000000" w:fill="FFFFFF"/>
            <w:noWrap/>
            <w:vAlign w:val="center"/>
            <w:hideMark/>
          </w:tcPr>
          <w:p w:rsidRPr="00866CAB" w:rsidR="000B52CF" w:rsidP="000B52CF" w:rsidRDefault="000B52CF" w14:paraId="67A84E25" w14:textId="77777777">
            <w:pPr>
              <w:autoSpaceDN/>
              <w:spacing w:line="240" w:lineRule="auto"/>
              <w:jc w:val="right"/>
              <w:textAlignment w:val="auto"/>
              <w:rPr>
                <w:rFonts w:eastAsia="Times New Roman" w:cs="Calibri"/>
                <w:sz w:val="14"/>
                <w:szCs w:val="14"/>
              </w:rPr>
            </w:pPr>
            <w:r w:rsidRPr="007657B8">
              <w:rPr>
                <w:sz w:val="14"/>
                <w:szCs w:val="14"/>
              </w:rPr>
              <w:t>€ 27.</w:t>
            </w:r>
            <w:r w:rsidR="00FC6200">
              <w:rPr>
                <w:sz w:val="14"/>
                <w:szCs w:val="14"/>
              </w:rPr>
              <w:t>256</w:t>
            </w:r>
          </w:p>
        </w:tc>
        <w:tc>
          <w:tcPr>
            <w:tcW w:w="220" w:type="dxa"/>
            <w:gridSpan w:val="2"/>
            <w:tcBorders>
              <w:top w:val="nil"/>
              <w:left w:val="nil"/>
              <w:bottom w:val="nil"/>
              <w:right w:val="nil"/>
            </w:tcBorders>
            <w:shd w:val="clear" w:color="000000" w:fill="FFFFFF"/>
            <w:noWrap/>
            <w:vAlign w:val="bottom"/>
            <w:hideMark/>
          </w:tcPr>
          <w:p w:rsidRPr="00866CAB" w:rsidR="000B52CF" w:rsidP="000B52CF" w:rsidRDefault="000B52CF" w14:paraId="3ECAD009" w14:textId="77777777">
            <w:pPr>
              <w:autoSpaceDN/>
              <w:spacing w:line="240" w:lineRule="auto"/>
              <w:textAlignment w:val="auto"/>
              <w:rPr>
                <w:rFonts w:eastAsia="Times New Roman" w:cs="Times New Roman"/>
                <w:sz w:val="14"/>
                <w:szCs w:val="14"/>
              </w:rPr>
            </w:pPr>
            <w:r w:rsidRPr="00866CAB">
              <w:rPr>
                <w:rFonts w:eastAsia="Times New Roman" w:cs="Times New Roman"/>
                <w:sz w:val="14"/>
                <w:szCs w:val="14"/>
              </w:rPr>
              <w:t> </w:t>
            </w:r>
          </w:p>
        </w:tc>
        <w:tc>
          <w:tcPr>
            <w:tcW w:w="2438" w:type="dxa"/>
            <w:gridSpan w:val="2"/>
            <w:tcBorders>
              <w:top w:val="nil"/>
              <w:left w:val="single" w:color="auto" w:sz="8" w:space="0"/>
              <w:bottom w:val="nil"/>
              <w:right w:val="nil"/>
            </w:tcBorders>
            <w:shd w:val="clear" w:color="000000" w:fill="FFFFFF"/>
            <w:noWrap/>
            <w:vAlign w:val="center"/>
            <w:hideMark/>
          </w:tcPr>
          <w:p w:rsidRPr="00866CAB" w:rsidR="000B52CF" w:rsidP="000B52CF" w:rsidRDefault="000B52CF" w14:paraId="059BC702" w14:textId="77777777">
            <w:pPr>
              <w:autoSpaceDN/>
              <w:spacing w:line="240" w:lineRule="auto"/>
              <w:textAlignment w:val="auto"/>
              <w:rPr>
                <w:rFonts w:eastAsia="Times New Roman" w:cs="Calibri"/>
                <w:sz w:val="14"/>
                <w:szCs w:val="14"/>
              </w:rPr>
            </w:pPr>
            <w:r w:rsidRPr="00866CAB">
              <w:rPr>
                <w:rFonts w:eastAsia="Times New Roman" w:cs="Calibri"/>
                <w:sz w:val="14"/>
                <w:szCs w:val="14"/>
              </w:rPr>
              <w:t>Kosten opvang per jaar:</w:t>
            </w:r>
          </w:p>
        </w:tc>
        <w:tc>
          <w:tcPr>
            <w:tcW w:w="935" w:type="dxa"/>
            <w:gridSpan w:val="2"/>
            <w:tcBorders>
              <w:top w:val="nil"/>
              <w:left w:val="nil"/>
              <w:bottom w:val="nil"/>
              <w:right w:val="nil"/>
            </w:tcBorders>
            <w:shd w:val="clear" w:color="000000" w:fill="FFFFFF"/>
            <w:noWrap/>
            <w:vAlign w:val="center"/>
            <w:hideMark/>
          </w:tcPr>
          <w:p w:rsidRPr="00866CAB" w:rsidR="000B52CF" w:rsidP="000B52CF" w:rsidRDefault="000B52CF" w14:paraId="442E541E" w14:textId="77777777">
            <w:pPr>
              <w:autoSpaceDN/>
              <w:spacing w:line="240" w:lineRule="auto"/>
              <w:jc w:val="right"/>
              <w:textAlignment w:val="auto"/>
              <w:rPr>
                <w:rFonts w:eastAsia="Times New Roman" w:cs="Calibri"/>
                <w:sz w:val="14"/>
                <w:szCs w:val="14"/>
              </w:rPr>
            </w:pPr>
            <w:r w:rsidRPr="007657B8">
              <w:rPr>
                <w:sz w:val="14"/>
                <w:szCs w:val="14"/>
              </w:rPr>
              <w:t>€ 26.38</w:t>
            </w:r>
            <w:r w:rsidR="00FC6200">
              <w:rPr>
                <w:sz w:val="14"/>
                <w:szCs w:val="14"/>
              </w:rPr>
              <w:t>1</w:t>
            </w:r>
          </w:p>
        </w:tc>
        <w:tc>
          <w:tcPr>
            <w:tcW w:w="935" w:type="dxa"/>
            <w:gridSpan w:val="2"/>
            <w:tcBorders>
              <w:top w:val="nil"/>
              <w:left w:val="nil"/>
              <w:bottom w:val="nil"/>
              <w:right w:val="single" w:color="auto" w:sz="8" w:space="0"/>
            </w:tcBorders>
            <w:shd w:val="clear" w:color="000000" w:fill="FFFFFF"/>
            <w:noWrap/>
            <w:vAlign w:val="center"/>
            <w:hideMark/>
          </w:tcPr>
          <w:p w:rsidRPr="00866CAB" w:rsidR="000B52CF" w:rsidP="000B52CF" w:rsidRDefault="000B52CF" w14:paraId="405DEC2C" w14:textId="77777777">
            <w:pPr>
              <w:autoSpaceDN/>
              <w:spacing w:line="240" w:lineRule="auto"/>
              <w:jc w:val="right"/>
              <w:textAlignment w:val="auto"/>
              <w:rPr>
                <w:rFonts w:eastAsia="Times New Roman" w:cs="Calibri"/>
                <w:sz w:val="14"/>
                <w:szCs w:val="14"/>
              </w:rPr>
            </w:pPr>
            <w:r w:rsidRPr="007657B8">
              <w:rPr>
                <w:sz w:val="14"/>
                <w:szCs w:val="14"/>
              </w:rPr>
              <w:t>€ 27.</w:t>
            </w:r>
            <w:r w:rsidR="00FC6200">
              <w:rPr>
                <w:sz w:val="14"/>
                <w:szCs w:val="14"/>
              </w:rPr>
              <w:t>256</w:t>
            </w:r>
          </w:p>
        </w:tc>
      </w:tr>
      <w:tr w:rsidRPr="00C74377" w:rsidR="000B52CF" w:rsidTr="007657B8" w14:paraId="4F21EF41" w14:textId="77777777">
        <w:trPr>
          <w:trHeight w:val="285"/>
        </w:trPr>
        <w:tc>
          <w:tcPr>
            <w:tcW w:w="2438" w:type="dxa"/>
            <w:gridSpan w:val="2"/>
            <w:tcBorders>
              <w:top w:val="nil"/>
              <w:left w:val="single" w:color="auto" w:sz="8" w:space="0"/>
              <w:bottom w:val="nil"/>
              <w:right w:val="nil"/>
            </w:tcBorders>
            <w:shd w:val="clear" w:color="000000" w:fill="DDEBF7"/>
            <w:noWrap/>
            <w:vAlign w:val="center"/>
            <w:hideMark/>
          </w:tcPr>
          <w:p w:rsidRPr="00C74377" w:rsidR="000B52CF" w:rsidP="000B52CF" w:rsidRDefault="000B52CF" w14:paraId="4A2A9BBF" w14:textId="77777777">
            <w:pPr>
              <w:autoSpaceDN/>
              <w:spacing w:line="240" w:lineRule="auto"/>
              <w:textAlignment w:val="auto"/>
              <w:rPr>
                <w:rFonts w:eastAsia="Times New Roman" w:cs="Calibri"/>
                <w:sz w:val="14"/>
                <w:szCs w:val="14"/>
              </w:rPr>
            </w:pPr>
            <w:r w:rsidRPr="00C74377">
              <w:rPr>
                <w:rFonts w:eastAsia="Times New Roman" w:cs="Calibri"/>
                <w:sz w:val="14"/>
                <w:szCs w:val="14"/>
              </w:rPr>
              <w:t>KOT per jaar:</w:t>
            </w:r>
          </w:p>
        </w:tc>
        <w:tc>
          <w:tcPr>
            <w:tcW w:w="935" w:type="dxa"/>
            <w:gridSpan w:val="2"/>
            <w:tcBorders>
              <w:top w:val="nil"/>
              <w:left w:val="nil"/>
              <w:bottom w:val="nil"/>
              <w:right w:val="nil"/>
            </w:tcBorders>
            <w:shd w:val="clear" w:color="000000" w:fill="DDEBF7"/>
            <w:noWrap/>
            <w:vAlign w:val="center"/>
            <w:hideMark/>
          </w:tcPr>
          <w:p w:rsidRPr="00C74377" w:rsidR="000B52CF" w:rsidP="000B52CF" w:rsidRDefault="000B52CF" w14:paraId="5FA5BD22" w14:textId="77777777">
            <w:pPr>
              <w:autoSpaceDN/>
              <w:spacing w:line="240" w:lineRule="auto"/>
              <w:jc w:val="right"/>
              <w:textAlignment w:val="auto"/>
              <w:rPr>
                <w:rFonts w:eastAsia="Times New Roman" w:cs="Calibri"/>
                <w:sz w:val="14"/>
                <w:szCs w:val="14"/>
              </w:rPr>
            </w:pPr>
            <w:r w:rsidRPr="00C74377">
              <w:rPr>
                <w:sz w:val="14"/>
                <w:szCs w:val="14"/>
              </w:rPr>
              <w:t>€ 24.666</w:t>
            </w:r>
          </w:p>
        </w:tc>
        <w:tc>
          <w:tcPr>
            <w:tcW w:w="935" w:type="dxa"/>
            <w:gridSpan w:val="2"/>
            <w:tcBorders>
              <w:top w:val="nil"/>
              <w:left w:val="nil"/>
              <w:bottom w:val="nil"/>
              <w:right w:val="single" w:color="auto" w:sz="8" w:space="0"/>
            </w:tcBorders>
            <w:shd w:val="clear" w:color="000000" w:fill="DDEBF7"/>
            <w:noWrap/>
            <w:vAlign w:val="center"/>
            <w:hideMark/>
          </w:tcPr>
          <w:p w:rsidRPr="00C74377" w:rsidR="000B52CF" w:rsidP="000B52CF" w:rsidRDefault="000B52CF" w14:paraId="7455BDE1" w14:textId="77777777">
            <w:pPr>
              <w:autoSpaceDN/>
              <w:spacing w:line="240" w:lineRule="auto"/>
              <w:jc w:val="right"/>
              <w:textAlignment w:val="auto"/>
              <w:rPr>
                <w:rFonts w:eastAsia="Times New Roman" w:cs="Calibri"/>
                <w:sz w:val="14"/>
                <w:szCs w:val="14"/>
              </w:rPr>
            </w:pPr>
            <w:r w:rsidRPr="00C74377">
              <w:rPr>
                <w:sz w:val="14"/>
                <w:szCs w:val="14"/>
              </w:rPr>
              <w:t>€ 25.</w:t>
            </w:r>
            <w:r w:rsidRPr="00C74377" w:rsidR="00FC6200">
              <w:rPr>
                <w:sz w:val="14"/>
                <w:szCs w:val="14"/>
              </w:rPr>
              <w:t>479</w:t>
            </w:r>
          </w:p>
        </w:tc>
        <w:tc>
          <w:tcPr>
            <w:tcW w:w="220" w:type="dxa"/>
            <w:gridSpan w:val="2"/>
            <w:tcBorders>
              <w:top w:val="nil"/>
              <w:left w:val="nil"/>
              <w:bottom w:val="nil"/>
              <w:right w:val="nil"/>
            </w:tcBorders>
            <w:shd w:val="clear" w:color="000000" w:fill="FFFFFF"/>
            <w:noWrap/>
            <w:vAlign w:val="bottom"/>
            <w:hideMark/>
          </w:tcPr>
          <w:p w:rsidRPr="00C74377" w:rsidR="000B52CF" w:rsidP="000B52CF" w:rsidRDefault="000B52CF" w14:paraId="18625C99"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nil"/>
              <w:right w:val="nil"/>
            </w:tcBorders>
            <w:shd w:val="clear" w:color="000000" w:fill="DDEBF7"/>
            <w:noWrap/>
            <w:vAlign w:val="center"/>
            <w:hideMark/>
          </w:tcPr>
          <w:p w:rsidRPr="00C74377" w:rsidR="000B52CF" w:rsidP="000B52CF" w:rsidRDefault="000B52CF" w14:paraId="108716CD" w14:textId="77777777">
            <w:pPr>
              <w:autoSpaceDN/>
              <w:spacing w:line="240" w:lineRule="auto"/>
              <w:textAlignment w:val="auto"/>
              <w:rPr>
                <w:rFonts w:eastAsia="Times New Roman" w:cs="Calibri"/>
                <w:sz w:val="14"/>
                <w:szCs w:val="14"/>
              </w:rPr>
            </w:pPr>
            <w:r w:rsidRPr="00C74377">
              <w:rPr>
                <w:rFonts w:eastAsia="Times New Roman" w:cs="Calibri"/>
                <w:sz w:val="14"/>
                <w:szCs w:val="14"/>
              </w:rPr>
              <w:t>KOT per jaar:</w:t>
            </w:r>
          </w:p>
        </w:tc>
        <w:tc>
          <w:tcPr>
            <w:tcW w:w="935" w:type="dxa"/>
            <w:gridSpan w:val="2"/>
            <w:tcBorders>
              <w:top w:val="nil"/>
              <w:left w:val="nil"/>
              <w:bottom w:val="nil"/>
              <w:right w:val="nil"/>
            </w:tcBorders>
            <w:shd w:val="clear" w:color="000000" w:fill="DDEBF7"/>
            <w:noWrap/>
            <w:vAlign w:val="center"/>
            <w:hideMark/>
          </w:tcPr>
          <w:p w:rsidRPr="00C74377" w:rsidR="000B52CF" w:rsidP="000B52CF" w:rsidRDefault="000B52CF" w14:paraId="2982794F" w14:textId="77777777">
            <w:pPr>
              <w:autoSpaceDN/>
              <w:spacing w:line="240" w:lineRule="auto"/>
              <w:jc w:val="right"/>
              <w:textAlignment w:val="auto"/>
              <w:rPr>
                <w:rFonts w:eastAsia="Times New Roman" w:cs="Calibri"/>
                <w:sz w:val="14"/>
                <w:szCs w:val="14"/>
              </w:rPr>
            </w:pPr>
            <w:r w:rsidRPr="00C74377">
              <w:rPr>
                <w:sz w:val="14"/>
                <w:szCs w:val="14"/>
              </w:rPr>
              <w:t>€ 24.666</w:t>
            </w:r>
          </w:p>
        </w:tc>
        <w:tc>
          <w:tcPr>
            <w:tcW w:w="935" w:type="dxa"/>
            <w:gridSpan w:val="2"/>
            <w:tcBorders>
              <w:top w:val="nil"/>
              <w:left w:val="nil"/>
              <w:bottom w:val="nil"/>
              <w:right w:val="single" w:color="auto" w:sz="8" w:space="0"/>
            </w:tcBorders>
            <w:shd w:val="clear" w:color="000000" w:fill="DDEBF7"/>
            <w:noWrap/>
            <w:vAlign w:val="center"/>
            <w:hideMark/>
          </w:tcPr>
          <w:p w:rsidRPr="00C74377" w:rsidR="000B52CF" w:rsidP="000B52CF" w:rsidRDefault="000B52CF" w14:paraId="0D74A671" w14:textId="77777777">
            <w:pPr>
              <w:autoSpaceDN/>
              <w:spacing w:line="240" w:lineRule="auto"/>
              <w:jc w:val="right"/>
              <w:textAlignment w:val="auto"/>
              <w:rPr>
                <w:rFonts w:eastAsia="Times New Roman" w:cs="Calibri"/>
                <w:sz w:val="14"/>
                <w:szCs w:val="14"/>
              </w:rPr>
            </w:pPr>
            <w:r w:rsidRPr="00C74377">
              <w:rPr>
                <w:sz w:val="14"/>
                <w:szCs w:val="14"/>
              </w:rPr>
              <w:t>€ 25.</w:t>
            </w:r>
            <w:r w:rsidRPr="00C74377" w:rsidR="00FC6200">
              <w:rPr>
                <w:sz w:val="14"/>
                <w:szCs w:val="14"/>
              </w:rPr>
              <w:t>479</w:t>
            </w:r>
          </w:p>
        </w:tc>
      </w:tr>
      <w:tr w:rsidRPr="00C74377" w:rsidR="000B52CF" w:rsidTr="007657B8" w14:paraId="1D5F270B" w14:textId="77777777">
        <w:trPr>
          <w:trHeight w:val="285"/>
        </w:trPr>
        <w:tc>
          <w:tcPr>
            <w:tcW w:w="2438" w:type="dxa"/>
            <w:gridSpan w:val="2"/>
            <w:tcBorders>
              <w:top w:val="nil"/>
              <w:left w:val="single" w:color="auto" w:sz="8" w:space="0"/>
              <w:bottom w:val="nil"/>
              <w:right w:val="nil"/>
            </w:tcBorders>
            <w:shd w:val="clear" w:color="000000" w:fill="FFFFFF"/>
            <w:noWrap/>
            <w:vAlign w:val="center"/>
            <w:hideMark/>
          </w:tcPr>
          <w:p w:rsidRPr="00C74377" w:rsidR="000B52CF" w:rsidP="000B52CF" w:rsidRDefault="000B52CF" w14:paraId="63E45EE9" w14:textId="77777777">
            <w:pPr>
              <w:autoSpaceDN/>
              <w:spacing w:line="240" w:lineRule="auto"/>
              <w:textAlignment w:val="auto"/>
              <w:rPr>
                <w:rFonts w:eastAsia="Times New Roman" w:cs="Calibri"/>
                <w:sz w:val="14"/>
                <w:szCs w:val="14"/>
              </w:rPr>
            </w:pPr>
            <w:r w:rsidRPr="00C74377">
              <w:rPr>
                <w:rFonts w:eastAsia="Times New Roman" w:cs="Calibri"/>
                <w:sz w:val="14"/>
                <w:szCs w:val="14"/>
              </w:rPr>
              <w:t>Eigen bijdrage per jaar:</w:t>
            </w:r>
          </w:p>
        </w:tc>
        <w:tc>
          <w:tcPr>
            <w:tcW w:w="935" w:type="dxa"/>
            <w:gridSpan w:val="2"/>
            <w:tcBorders>
              <w:top w:val="nil"/>
              <w:left w:val="nil"/>
              <w:bottom w:val="nil"/>
              <w:right w:val="nil"/>
            </w:tcBorders>
            <w:shd w:val="clear" w:color="000000" w:fill="FFFFFF"/>
            <w:noWrap/>
            <w:vAlign w:val="center"/>
            <w:hideMark/>
          </w:tcPr>
          <w:p w:rsidRPr="00C74377" w:rsidR="000B52CF" w:rsidP="000B52CF" w:rsidRDefault="000B52CF" w14:paraId="4B1A09BA" w14:textId="77777777">
            <w:pPr>
              <w:autoSpaceDN/>
              <w:spacing w:line="240" w:lineRule="auto"/>
              <w:jc w:val="right"/>
              <w:textAlignment w:val="auto"/>
              <w:rPr>
                <w:rFonts w:eastAsia="Times New Roman" w:cs="Calibri"/>
                <w:sz w:val="14"/>
                <w:szCs w:val="14"/>
              </w:rPr>
            </w:pPr>
            <w:r w:rsidRPr="00C74377">
              <w:rPr>
                <w:sz w:val="14"/>
                <w:szCs w:val="14"/>
              </w:rPr>
              <w:t>€ 1.</w:t>
            </w:r>
            <w:r w:rsidRPr="00C74377" w:rsidR="00FC6200">
              <w:rPr>
                <w:sz w:val="14"/>
                <w:szCs w:val="14"/>
              </w:rPr>
              <w:t>714</w:t>
            </w:r>
          </w:p>
        </w:tc>
        <w:tc>
          <w:tcPr>
            <w:tcW w:w="935" w:type="dxa"/>
            <w:gridSpan w:val="2"/>
            <w:tcBorders>
              <w:top w:val="nil"/>
              <w:left w:val="nil"/>
              <w:bottom w:val="nil"/>
              <w:right w:val="single" w:color="auto" w:sz="8" w:space="0"/>
            </w:tcBorders>
            <w:shd w:val="clear" w:color="000000" w:fill="FFFFFF"/>
            <w:noWrap/>
            <w:vAlign w:val="center"/>
            <w:hideMark/>
          </w:tcPr>
          <w:p w:rsidRPr="00C74377" w:rsidR="000B52CF" w:rsidP="000B52CF" w:rsidRDefault="000B52CF" w14:paraId="40F412CA" w14:textId="77777777">
            <w:pPr>
              <w:autoSpaceDN/>
              <w:spacing w:line="240" w:lineRule="auto"/>
              <w:jc w:val="right"/>
              <w:textAlignment w:val="auto"/>
              <w:rPr>
                <w:rFonts w:eastAsia="Times New Roman" w:cs="Calibri"/>
                <w:sz w:val="14"/>
                <w:szCs w:val="14"/>
              </w:rPr>
            </w:pPr>
            <w:r w:rsidRPr="00C74377">
              <w:rPr>
                <w:sz w:val="14"/>
                <w:szCs w:val="14"/>
              </w:rPr>
              <w:t>€ 1.</w:t>
            </w:r>
            <w:r w:rsidRPr="00C74377" w:rsidR="00FC6200">
              <w:rPr>
                <w:sz w:val="14"/>
                <w:szCs w:val="14"/>
              </w:rPr>
              <w:t>777</w:t>
            </w:r>
          </w:p>
        </w:tc>
        <w:tc>
          <w:tcPr>
            <w:tcW w:w="220" w:type="dxa"/>
            <w:gridSpan w:val="2"/>
            <w:tcBorders>
              <w:top w:val="nil"/>
              <w:left w:val="nil"/>
              <w:bottom w:val="nil"/>
              <w:right w:val="nil"/>
            </w:tcBorders>
            <w:shd w:val="clear" w:color="000000" w:fill="FFFFFF"/>
            <w:noWrap/>
            <w:vAlign w:val="bottom"/>
            <w:hideMark/>
          </w:tcPr>
          <w:p w:rsidRPr="00C74377" w:rsidR="000B52CF" w:rsidP="000B52CF" w:rsidRDefault="000B52CF" w14:paraId="6E81B0A3"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nil"/>
              <w:right w:val="nil"/>
            </w:tcBorders>
            <w:shd w:val="clear" w:color="000000" w:fill="FFFFFF"/>
            <w:noWrap/>
            <w:vAlign w:val="center"/>
            <w:hideMark/>
          </w:tcPr>
          <w:p w:rsidRPr="00C74377" w:rsidR="000B52CF" w:rsidP="000B52CF" w:rsidRDefault="000B52CF" w14:paraId="00625494" w14:textId="77777777">
            <w:pPr>
              <w:autoSpaceDN/>
              <w:spacing w:line="240" w:lineRule="auto"/>
              <w:textAlignment w:val="auto"/>
              <w:rPr>
                <w:rFonts w:eastAsia="Times New Roman" w:cs="Calibri"/>
                <w:sz w:val="14"/>
                <w:szCs w:val="14"/>
              </w:rPr>
            </w:pPr>
            <w:r w:rsidRPr="00C74377">
              <w:rPr>
                <w:rFonts w:eastAsia="Times New Roman" w:cs="Calibri"/>
                <w:sz w:val="14"/>
                <w:szCs w:val="14"/>
              </w:rPr>
              <w:t>Eigen bijdrage per jaar:</w:t>
            </w:r>
          </w:p>
        </w:tc>
        <w:tc>
          <w:tcPr>
            <w:tcW w:w="935" w:type="dxa"/>
            <w:gridSpan w:val="2"/>
            <w:tcBorders>
              <w:top w:val="nil"/>
              <w:left w:val="nil"/>
              <w:bottom w:val="nil"/>
              <w:right w:val="nil"/>
            </w:tcBorders>
            <w:shd w:val="clear" w:color="000000" w:fill="FFFFFF"/>
            <w:noWrap/>
            <w:vAlign w:val="center"/>
            <w:hideMark/>
          </w:tcPr>
          <w:p w:rsidRPr="00C74377" w:rsidR="000B52CF" w:rsidP="000B52CF" w:rsidRDefault="000B52CF" w14:paraId="575372E1" w14:textId="77777777">
            <w:pPr>
              <w:autoSpaceDN/>
              <w:spacing w:line="240" w:lineRule="auto"/>
              <w:jc w:val="right"/>
              <w:textAlignment w:val="auto"/>
              <w:rPr>
                <w:rFonts w:eastAsia="Times New Roman" w:cs="Calibri"/>
                <w:sz w:val="14"/>
                <w:szCs w:val="14"/>
              </w:rPr>
            </w:pPr>
            <w:r w:rsidRPr="00C74377">
              <w:rPr>
                <w:sz w:val="14"/>
                <w:szCs w:val="14"/>
              </w:rPr>
              <w:t>€ 1.</w:t>
            </w:r>
            <w:r w:rsidRPr="00C74377" w:rsidR="00FC6200">
              <w:rPr>
                <w:sz w:val="14"/>
                <w:szCs w:val="14"/>
              </w:rPr>
              <w:t>714</w:t>
            </w:r>
          </w:p>
        </w:tc>
        <w:tc>
          <w:tcPr>
            <w:tcW w:w="935" w:type="dxa"/>
            <w:gridSpan w:val="2"/>
            <w:tcBorders>
              <w:top w:val="nil"/>
              <w:left w:val="nil"/>
              <w:bottom w:val="nil"/>
              <w:right w:val="single" w:color="auto" w:sz="8" w:space="0"/>
            </w:tcBorders>
            <w:shd w:val="clear" w:color="000000" w:fill="FFFFFF"/>
            <w:noWrap/>
            <w:vAlign w:val="center"/>
            <w:hideMark/>
          </w:tcPr>
          <w:p w:rsidRPr="00C74377" w:rsidR="000B52CF" w:rsidP="000B52CF" w:rsidRDefault="000B52CF" w14:paraId="376AF5A9" w14:textId="77777777">
            <w:pPr>
              <w:autoSpaceDN/>
              <w:spacing w:line="240" w:lineRule="auto"/>
              <w:jc w:val="right"/>
              <w:textAlignment w:val="auto"/>
              <w:rPr>
                <w:rFonts w:eastAsia="Times New Roman" w:cs="Calibri"/>
                <w:sz w:val="14"/>
                <w:szCs w:val="14"/>
              </w:rPr>
            </w:pPr>
            <w:r w:rsidRPr="00C74377">
              <w:rPr>
                <w:sz w:val="14"/>
                <w:szCs w:val="14"/>
              </w:rPr>
              <w:t>€ 1.</w:t>
            </w:r>
            <w:r w:rsidRPr="00C74377" w:rsidR="00FC6200">
              <w:rPr>
                <w:sz w:val="14"/>
                <w:szCs w:val="14"/>
              </w:rPr>
              <w:t>777</w:t>
            </w:r>
          </w:p>
        </w:tc>
      </w:tr>
      <w:tr w:rsidRPr="00C74377" w:rsidR="000B52CF" w:rsidTr="007657B8" w14:paraId="5B84E588" w14:textId="77777777">
        <w:trPr>
          <w:trHeight w:val="300"/>
        </w:trPr>
        <w:tc>
          <w:tcPr>
            <w:tcW w:w="2438" w:type="dxa"/>
            <w:gridSpan w:val="2"/>
            <w:tcBorders>
              <w:top w:val="nil"/>
              <w:left w:val="single" w:color="auto" w:sz="8" w:space="0"/>
              <w:bottom w:val="single" w:color="auto" w:sz="8" w:space="0"/>
              <w:right w:val="nil"/>
            </w:tcBorders>
            <w:shd w:val="clear" w:color="000000" w:fill="DDEBF7"/>
            <w:noWrap/>
            <w:vAlign w:val="center"/>
            <w:hideMark/>
          </w:tcPr>
          <w:p w:rsidRPr="00C74377" w:rsidR="002F2688" w:rsidP="002F2688" w:rsidRDefault="002F2688" w14:paraId="666991E2" w14:textId="77777777">
            <w:pPr>
              <w:autoSpaceDN/>
              <w:spacing w:line="240" w:lineRule="auto"/>
              <w:textAlignment w:val="auto"/>
              <w:rPr>
                <w:rFonts w:eastAsia="Times New Roman" w:cs="Calibri"/>
                <w:b/>
                <w:bCs/>
                <w:sz w:val="14"/>
                <w:szCs w:val="14"/>
              </w:rPr>
            </w:pPr>
            <w:r w:rsidRPr="00C74377">
              <w:rPr>
                <w:rFonts w:eastAsia="Times New Roman" w:cs="Calibri"/>
                <w:b/>
                <w:bCs/>
                <w:sz w:val="14"/>
                <w:szCs w:val="14"/>
              </w:rPr>
              <w:t>Percentage eigen bijdrage:</w:t>
            </w:r>
          </w:p>
        </w:tc>
        <w:tc>
          <w:tcPr>
            <w:tcW w:w="935" w:type="dxa"/>
            <w:gridSpan w:val="2"/>
            <w:tcBorders>
              <w:top w:val="nil"/>
              <w:left w:val="nil"/>
              <w:bottom w:val="single" w:color="auto" w:sz="8" w:space="0"/>
              <w:right w:val="nil"/>
            </w:tcBorders>
            <w:shd w:val="clear" w:color="000000" w:fill="DDEBF7"/>
            <w:noWrap/>
            <w:vAlign w:val="center"/>
            <w:hideMark/>
          </w:tcPr>
          <w:p w:rsidRPr="00C74377" w:rsidR="002F2688" w:rsidP="000B52CF" w:rsidRDefault="002F2688" w14:paraId="7B0E707A" w14:textId="77777777">
            <w:pPr>
              <w:autoSpaceDN/>
              <w:spacing w:line="240" w:lineRule="auto"/>
              <w:jc w:val="right"/>
              <w:textAlignment w:val="auto"/>
              <w:rPr>
                <w:rFonts w:eastAsia="Times New Roman" w:cs="Calibri"/>
                <w:b/>
                <w:bCs/>
                <w:sz w:val="14"/>
                <w:szCs w:val="14"/>
              </w:rPr>
            </w:pPr>
            <w:r w:rsidRPr="00C74377">
              <w:rPr>
                <w:rFonts w:eastAsia="Times New Roman" w:cs="Calibri"/>
                <w:b/>
                <w:bCs/>
                <w:color w:val="auto"/>
                <w:sz w:val="14"/>
                <w:szCs w:val="14"/>
              </w:rPr>
              <w:t>6,5%</w:t>
            </w:r>
          </w:p>
        </w:tc>
        <w:tc>
          <w:tcPr>
            <w:tcW w:w="935" w:type="dxa"/>
            <w:gridSpan w:val="2"/>
            <w:tcBorders>
              <w:top w:val="nil"/>
              <w:left w:val="nil"/>
              <w:bottom w:val="single" w:color="auto" w:sz="8" w:space="0"/>
              <w:right w:val="single" w:color="auto" w:sz="8" w:space="0"/>
            </w:tcBorders>
            <w:shd w:val="clear" w:color="000000" w:fill="DDEBF7"/>
            <w:noWrap/>
            <w:vAlign w:val="center"/>
            <w:hideMark/>
          </w:tcPr>
          <w:p w:rsidRPr="00C74377" w:rsidR="002F2688" w:rsidP="000B52CF" w:rsidRDefault="002F2688" w14:paraId="73FDEF4E" w14:textId="77777777">
            <w:pPr>
              <w:autoSpaceDN/>
              <w:spacing w:line="240" w:lineRule="auto"/>
              <w:jc w:val="right"/>
              <w:textAlignment w:val="auto"/>
              <w:rPr>
                <w:rFonts w:eastAsia="Times New Roman" w:cs="Calibri"/>
                <w:b/>
                <w:bCs/>
                <w:sz w:val="14"/>
                <w:szCs w:val="14"/>
              </w:rPr>
            </w:pPr>
            <w:r w:rsidRPr="00C74377">
              <w:rPr>
                <w:rFonts w:eastAsia="Times New Roman" w:cs="Calibri"/>
                <w:b/>
                <w:bCs/>
                <w:color w:val="auto"/>
                <w:sz w:val="14"/>
                <w:szCs w:val="14"/>
              </w:rPr>
              <w:t>6,5%</w:t>
            </w:r>
          </w:p>
        </w:tc>
        <w:tc>
          <w:tcPr>
            <w:tcW w:w="220" w:type="dxa"/>
            <w:gridSpan w:val="2"/>
            <w:tcBorders>
              <w:top w:val="nil"/>
              <w:left w:val="nil"/>
              <w:bottom w:val="nil"/>
              <w:right w:val="nil"/>
            </w:tcBorders>
            <w:shd w:val="clear" w:color="000000" w:fill="FFFFFF"/>
            <w:noWrap/>
            <w:vAlign w:val="bottom"/>
            <w:hideMark/>
          </w:tcPr>
          <w:p w:rsidRPr="00C74377" w:rsidR="002F2688" w:rsidP="002F2688" w:rsidRDefault="002F2688" w14:paraId="6FD26E42"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single" w:color="auto" w:sz="8" w:space="0"/>
              <w:right w:val="nil"/>
            </w:tcBorders>
            <w:shd w:val="clear" w:color="000000" w:fill="DDEBF7"/>
            <w:noWrap/>
            <w:vAlign w:val="center"/>
            <w:hideMark/>
          </w:tcPr>
          <w:p w:rsidRPr="00C74377" w:rsidR="002F2688" w:rsidP="002F2688" w:rsidRDefault="002F2688" w14:paraId="76DCBB9B" w14:textId="77777777">
            <w:pPr>
              <w:autoSpaceDN/>
              <w:spacing w:line="240" w:lineRule="auto"/>
              <w:textAlignment w:val="auto"/>
              <w:rPr>
                <w:rFonts w:eastAsia="Times New Roman" w:cs="Calibri"/>
                <w:b/>
                <w:bCs/>
                <w:sz w:val="14"/>
                <w:szCs w:val="14"/>
              </w:rPr>
            </w:pPr>
            <w:r w:rsidRPr="00C74377">
              <w:rPr>
                <w:rFonts w:eastAsia="Times New Roman" w:cs="Calibri"/>
                <w:b/>
                <w:bCs/>
                <w:sz w:val="14"/>
                <w:szCs w:val="14"/>
              </w:rPr>
              <w:t>Percentage eigen bijdrage:</w:t>
            </w:r>
          </w:p>
        </w:tc>
        <w:tc>
          <w:tcPr>
            <w:tcW w:w="935" w:type="dxa"/>
            <w:gridSpan w:val="2"/>
            <w:tcBorders>
              <w:top w:val="nil"/>
              <w:left w:val="nil"/>
              <w:bottom w:val="single" w:color="auto" w:sz="8" w:space="0"/>
              <w:right w:val="nil"/>
            </w:tcBorders>
            <w:shd w:val="clear" w:color="000000" w:fill="DDEBF7"/>
            <w:noWrap/>
            <w:vAlign w:val="center"/>
            <w:hideMark/>
          </w:tcPr>
          <w:p w:rsidRPr="00C74377" w:rsidR="002F2688" w:rsidP="000B52CF" w:rsidRDefault="002F2688" w14:paraId="0D161D3A" w14:textId="77777777">
            <w:pPr>
              <w:autoSpaceDN/>
              <w:spacing w:line="240" w:lineRule="auto"/>
              <w:jc w:val="right"/>
              <w:textAlignment w:val="auto"/>
              <w:rPr>
                <w:rFonts w:eastAsia="Times New Roman" w:cs="Calibri"/>
                <w:b/>
                <w:bCs/>
                <w:sz w:val="14"/>
                <w:szCs w:val="14"/>
              </w:rPr>
            </w:pPr>
            <w:r w:rsidRPr="00C74377">
              <w:rPr>
                <w:rFonts w:eastAsia="Times New Roman" w:cs="Calibri"/>
                <w:b/>
                <w:bCs/>
                <w:color w:val="auto"/>
                <w:sz w:val="14"/>
                <w:szCs w:val="14"/>
              </w:rPr>
              <w:t>6,5%</w:t>
            </w:r>
          </w:p>
        </w:tc>
        <w:tc>
          <w:tcPr>
            <w:tcW w:w="935" w:type="dxa"/>
            <w:gridSpan w:val="2"/>
            <w:tcBorders>
              <w:top w:val="nil"/>
              <w:left w:val="nil"/>
              <w:bottom w:val="single" w:color="auto" w:sz="8" w:space="0"/>
              <w:right w:val="single" w:color="auto" w:sz="8" w:space="0"/>
            </w:tcBorders>
            <w:shd w:val="clear" w:color="000000" w:fill="DDEBF7"/>
            <w:noWrap/>
            <w:vAlign w:val="center"/>
            <w:hideMark/>
          </w:tcPr>
          <w:p w:rsidRPr="00C74377" w:rsidR="002F2688" w:rsidP="000B52CF" w:rsidRDefault="002F2688" w14:paraId="246BED8C" w14:textId="77777777">
            <w:pPr>
              <w:autoSpaceDN/>
              <w:spacing w:line="240" w:lineRule="auto"/>
              <w:jc w:val="right"/>
              <w:textAlignment w:val="auto"/>
              <w:rPr>
                <w:rFonts w:eastAsia="Times New Roman" w:cs="Calibri"/>
                <w:b/>
                <w:bCs/>
                <w:sz w:val="14"/>
                <w:szCs w:val="14"/>
              </w:rPr>
            </w:pPr>
            <w:r w:rsidRPr="00C74377">
              <w:rPr>
                <w:rFonts w:eastAsia="Times New Roman" w:cs="Calibri"/>
                <w:b/>
                <w:bCs/>
                <w:color w:val="auto"/>
                <w:sz w:val="14"/>
                <w:szCs w:val="14"/>
              </w:rPr>
              <w:t>6,5%</w:t>
            </w:r>
          </w:p>
        </w:tc>
      </w:tr>
      <w:tr w:rsidRPr="00C74377" w:rsidR="000B52CF" w:rsidTr="007657B8" w14:paraId="15E0720A" w14:textId="77777777">
        <w:trPr>
          <w:gridAfter w:val="1"/>
          <w:wAfter w:w="267" w:type="dxa"/>
          <w:trHeight w:val="300"/>
        </w:trPr>
        <w:tc>
          <w:tcPr>
            <w:tcW w:w="2268" w:type="dxa"/>
            <w:tcBorders>
              <w:top w:val="nil"/>
              <w:left w:val="nil"/>
              <w:bottom w:val="nil"/>
              <w:right w:val="nil"/>
            </w:tcBorders>
            <w:shd w:val="clear" w:color="000000" w:fill="FFFFFF"/>
            <w:noWrap/>
            <w:vAlign w:val="bottom"/>
            <w:hideMark/>
          </w:tcPr>
          <w:p w:rsidRPr="00C74377" w:rsidR="00FB6A39" w:rsidP="00FB6A39" w:rsidRDefault="00FB6A39" w14:paraId="14666BCC"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935" w:type="dxa"/>
            <w:gridSpan w:val="2"/>
            <w:tcBorders>
              <w:top w:val="nil"/>
              <w:left w:val="nil"/>
              <w:bottom w:val="nil"/>
              <w:right w:val="nil"/>
            </w:tcBorders>
            <w:shd w:val="clear" w:color="000000" w:fill="FFFFFF"/>
            <w:noWrap/>
            <w:vAlign w:val="bottom"/>
            <w:hideMark/>
          </w:tcPr>
          <w:p w:rsidRPr="00C74377" w:rsidR="00FB6A39" w:rsidP="00FB6A39" w:rsidRDefault="00FB6A39" w14:paraId="38423F56"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935" w:type="dxa"/>
            <w:gridSpan w:val="2"/>
            <w:tcBorders>
              <w:top w:val="nil"/>
              <w:left w:val="nil"/>
              <w:bottom w:val="nil"/>
              <w:right w:val="nil"/>
            </w:tcBorders>
            <w:shd w:val="clear" w:color="000000" w:fill="FFFFFF"/>
            <w:noWrap/>
            <w:vAlign w:val="bottom"/>
            <w:hideMark/>
          </w:tcPr>
          <w:p w:rsidRPr="00C74377" w:rsidR="00FB6A39" w:rsidP="00FB6A39" w:rsidRDefault="00FB6A39" w14:paraId="608491FE"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93" w:type="dxa"/>
            <w:gridSpan w:val="2"/>
            <w:tcBorders>
              <w:top w:val="nil"/>
              <w:left w:val="nil"/>
              <w:bottom w:val="nil"/>
              <w:right w:val="nil"/>
            </w:tcBorders>
            <w:shd w:val="clear" w:color="000000" w:fill="FFFFFF"/>
            <w:noWrap/>
            <w:vAlign w:val="bottom"/>
            <w:hideMark/>
          </w:tcPr>
          <w:p w:rsidRPr="00C74377" w:rsidR="00FB6A39" w:rsidP="00FB6A39" w:rsidRDefault="00FB6A39" w14:paraId="58E1AF9D"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268" w:type="dxa"/>
            <w:gridSpan w:val="2"/>
            <w:tcBorders>
              <w:top w:val="nil"/>
              <w:left w:val="nil"/>
              <w:bottom w:val="nil"/>
              <w:right w:val="nil"/>
            </w:tcBorders>
            <w:shd w:val="clear" w:color="000000" w:fill="FFFFFF"/>
            <w:noWrap/>
            <w:vAlign w:val="bottom"/>
            <w:hideMark/>
          </w:tcPr>
          <w:p w:rsidRPr="00C74377" w:rsidR="00FB6A39" w:rsidP="00FB6A39" w:rsidRDefault="00FB6A39" w14:paraId="651AFAEA"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935" w:type="dxa"/>
            <w:gridSpan w:val="2"/>
            <w:tcBorders>
              <w:top w:val="nil"/>
              <w:left w:val="nil"/>
              <w:bottom w:val="nil"/>
              <w:right w:val="nil"/>
            </w:tcBorders>
            <w:shd w:val="clear" w:color="000000" w:fill="FFFFFF"/>
            <w:noWrap/>
            <w:vAlign w:val="bottom"/>
            <w:hideMark/>
          </w:tcPr>
          <w:p w:rsidRPr="00C74377" w:rsidR="00FB6A39" w:rsidP="00FB6A39" w:rsidRDefault="00FB6A39" w14:paraId="5718DDE4"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935" w:type="dxa"/>
            <w:gridSpan w:val="2"/>
            <w:tcBorders>
              <w:top w:val="nil"/>
              <w:left w:val="nil"/>
              <w:bottom w:val="nil"/>
              <w:right w:val="nil"/>
            </w:tcBorders>
            <w:shd w:val="clear" w:color="000000" w:fill="FFFFFF"/>
            <w:noWrap/>
            <w:vAlign w:val="bottom"/>
            <w:hideMark/>
          </w:tcPr>
          <w:p w:rsidRPr="00C74377" w:rsidR="00FB6A39" w:rsidP="00FB6A39" w:rsidRDefault="00FB6A39" w14:paraId="70054978"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r>
      <w:tr w:rsidRPr="00C74377" w:rsidR="000B52CF" w:rsidTr="007657B8" w14:paraId="75173FE9" w14:textId="77777777">
        <w:trPr>
          <w:trHeight w:val="480"/>
        </w:trPr>
        <w:tc>
          <w:tcPr>
            <w:tcW w:w="2438" w:type="dxa"/>
            <w:gridSpan w:val="2"/>
            <w:tcBorders>
              <w:top w:val="single" w:color="auto" w:sz="8" w:space="0"/>
              <w:left w:val="single" w:color="auto" w:sz="8" w:space="0"/>
              <w:bottom w:val="nil"/>
              <w:right w:val="nil"/>
            </w:tcBorders>
            <w:shd w:val="clear" w:color="000000" w:fill="9BC2E6"/>
            <w:vAlign w:val="center"/>
            <w:hideMark/>
          </w:tcPr>
          <w:p w:rsidRPr="00C74377" w:rsidR="00FB6A39" w:rsidP="00FB6A39" w:rsidRDefault="00FB6A39" w14:paraId="5E839D68" w14:textId="77777777">
            <w:pPr>
              <w:autoSpaceDN/>
              <w:spacing w:line="240" w:lineRule="auto"/>
              <w:jc w:val="center"/>
              <w:textAlignment w:val="auto"/>
              <w:rPr>
                <w:rFonts w:eastAsia="Times New Roman" w:cs="Calibri"/>
                <w:b/>
                <w:bCs/>
                <w:sz w:val="14"/>
                <w:szCs w:val="14"/>
              </w:rPr>
            </w:pPr>
            <w:r w:rsidRPr="00C74377">
              <w:rPr>
                <w:rFonts w:eastAsia="Times New Roman" w:cs="Calibri"/>
                <w:b/>
                <w:bCs/>
                <w:sz w:val="14"/>
                <w:szCs w:val="14"/>
              </w:rPr>
              <w:t>Middeninkomen</w:t>
            </w:r>
            <w:r w:rsidRPr="00C74377">
              <w:rPr>
                <w:rFonts w:eastAsia="Times New Roman" w:cs="Calibri"/>
                <w:b/>
                <w:bCs/>
                <w:sz w:val="14"/>
                <w:szCs w:val="14"/>
              </w:rPr>
              <w:br/>
            </w:r>
            <w:r w:rsidRPr="00C74377">
              <w:rPr>
                <w:rFonts w:eastAsia="Times New Roman" w:cs="Calibri"/>
                <w:i/>
                <w:iCs/>
                <w:sz w:val="14"/>
                <w:szCs w:val="14"/>
              </w:rPr>
              <w:t>(2 x modaal)</w:t>
            </w:r>
          </w:p>
        </w:tc>
        <w:tc>
          <w:tcPr>
            <w:tcW w:w="935" w:type="dxa"/>
            <w:gridSpan w:val="2"/>
            <w:tcBorders>
              <w:top w:val="single" w:color="auto" w:sz="8" w:space="0"/>
              <w:left w:val="nil"/>
              <w:bottom w:val="nil"/>
              <w:right w:val="nil"/>
            </w:tcBorders>
            <w:shd w:val="clear" w:color="000000" w:fill="9BC2E6"/>
            <w:noWrap/>
            <w:vAlign w:val="center"/>
            <w:hideMark/>
          </w:tcPr>
          <w:p w:rsidRPr="00C74377" w:rsidR="00FB6A39" w:rsidP="000D1553" w:rsidRDefault="000B52CF" w14:paraId="7A3A8C53" w14:textId="77777777">
            <w:pPr>
              <w:autoSpaceDN/>
              <w:spacing w:line="240" w:lineRule="auto"/>
              <w:jc w:val="right"/>
              <w:textAlignment w:val="auto"/>
              <w:rPr>
                <w:rFonts w:eastAsia="Times New Roman" w:cs="Calibri"/>
                <w:b/>
                <w:bCs/>
                <w:sz w:val="14"/>
                <w:szCs w:val="14"/>
              </w:rPr>
            </w:pPr>
            <w:r w:rsidRPr="00C74377">
              <w:rPr>
                <w:rFonts w:eastAsia="Times New Roman" w:cs="Calibri"/>
                <w:b/>
                <w:bCs/>
                <w:sz w:val="14"/>
                <w:szCs w:val="14"/>
              </w:rPr>
              <w:t>2026</w:t>
            </w:r>
          </w:p>
        </w:tc>
        <w:tc>
          <w:tcPr>
            <w:tcW w:w="935" w:type="dxa"/>
            <w:gridSpan w:val="2"/>
            <w:tcBorders>
              <w:top w:val="single" w:color="auto" w:sz="8" w:space="0"/>
              <w:left w:val="nil"/>
              <w:bottom w:val="nil"/>
              <w:right w:val="single" w:color="auto" w:sz="8" w:space="0"/>
            </w:tcBorders>
            <w:shd w:val="clear" w:color="000000" w:fill="9BC2E6"/>
            <w:noWrap/>
            <w:vAlign w:val="center"/>
            <w:hideMark/>
          </w:tcPr>
          <w:p w:rsidRPr="00C74377" w:rsidR="00FB6A39" w:rsidP="000D1553" w:rsidRDefault="000B52CF" w14:paraId="33263B6C" w14:textId="77777777">
            <w:pPr>
              <w:autoSpaceDN/>
              <w:spacing w:line="240" w:lineRule="auto"/>
              <w:jc w:val="right"/>
              <w:textAlignment w:val="auto"/>
              <w:rPr>
                <w:rFonts w:eastAsia="Times New Roman" w:cs="Calibri"/>
                <w:b/>
                <w:bCs/>
                <w:sz w:val="14"/>
                <w:szCs w:val="14"/>
              </w:rPr>
            </w:pPr>
            <w:r w:rsidRPr="00C74377">
              <w:rPr>
                <w:rFonts w:eastAsia="Times New Roman" w:cs="Calibri"/>
                <w:b/>
                <w:bCs/>
                <w:sz w:val="14"/>
                <w:szCs w:val="14"/>
              </w:rPr>
              <w:t>2027</w:t>
            </w:r>
          </w:p>
        </w:tc>
        <w:tc>
          <w:tcPr>
            <w:tcW w:w="220" w:type="dxa"/>
            <w:gridSpan w:val="2"/>
            <w:tcBorders>
              <w:top w:val="nil"/>
              <w:left w:val="nil"/>
              <w:bottom w:val="nil"/>
              <w:right w:val="nil"/>
            </w:tcBorders>
            <w:shd w:val="clear" w:color="000000" w:fill="FFFFFF"/>
            <w:noWrap/>
            <w:vAlign w:val="bottom"/>
            <w:hideMark/>
          </w:tcPr>
          <w:p w:rsidRPr="00C74377" w:rsidR="00FB6A39" w:rsidP="00FB6A39" w:rsidRDefault="00FB6A39" w14:paraId="5CC26E08"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single" w:color="auto" w:sz="8" w:space="0"/>
              <w:left w:val="single" w:color="auto" w:sz="8" w:space="0"/>
              <w:bottom w:val="nil"/>
              <w:right w:val="nil"/>
            </w:tcBorders>
            <w:shd w:val="clear" w:color="000000" w:fill="9BC2E6"/>
            <w:vAlign w:val="center"/>
            <w:hideMark/>
          </w:tcPr>
          <w:p w:rsidRPr="00C74377" w:rsidR="00FB6A39" w:rsidP="00FB6A39" w:rsidRDefault="00FB6A39" w14:paraId="2A0413E8" w14:textId="77777777">
            <w:pPr>
              <w:autoSpaceDN/>
              <w:spacing w:line="240" w:lineRule="auto"/>
              <w:jc w:val="center"/>
              <w:textAlignment w:val="auto"/>
              <w:rPr>
                <w:rFonts w:eastAsia="Times New Roman" w:cs="Calibri"/>
                <w:b/>
                <w:bCs/>
                <w:sz w:val="14"/>
                <w:szCs w:val="14"/>
              </w:rPr>
            </w:pPr>
            <w:r w:rsidRPr="00C74377">
              <w:rPr>
                <w:rFonts w:eastAsia="Times New Roman" w:cs="Calibri"/>
                <w:b/>
                <w:bCs/>
                <w:sz w:val="14"/>
                <w:szCs w:val="14"/>
              </w:rPr>
              <w:t>Hoger inkomen</w:t>
            </w:r>
            <w:r w:rsidRPr="00C74377">
              <w:rPr>
                <w:rFonts w:eastAsia="Times New Roman" w:cs="Calibri"/>
                <w:b/>
                <w:bCs/>
                <w:sz w:val="14"/>
                <w:szCs w:val="14"/>
              </w:rPr>
              <w:br/>
            </w:r>
            <w:r w:rsidRPr="00C74377">
              <w:rPr>
                <w:rFonts w:eastAsia="Times New Roman" w:cs="Calibri"/>
                <w:i/>
                <w:iCs/>
                <w:sz w:val="14"/>
                <w:szCs w:val="14"/>
              </w:rPr>
              <w:t>(</w:t>
            </w:r>
            <w:r w:rsidRPr="00C74377" w:rsidR="006E48DB">
              <w:rPr>
                <w:rFonts w:eastAsia="Times New Roman" w:cs="Calibri"/>
                <w:i/>
                <w:iCs/>
                <w:sz w:val="14"/>
                <w:szCs w:val="14"/>
              </w:rPr>
              <w:t xml:space="preserve">had </w:t>
            </w:r>
            <w:r w:rsidRPr="00C74377" w:rsidR="000E6AF4">
              <w:rPr>
                <w:rFonts w:eastAsia="Times New Roman" w:cs="Calibri"/>
                <w:i/>
                <w:iCs/>
                <w:sz w:val="14"/>
                <w:szCs w:val="14"/>
              </w:rPr>
              <w:t>in 2024</w:t>
            </w:r>
            <w:r w:rsidRPr="00C74377">
              <w:rPr>
                <w:rFonts w:eastAsia="Times New Roman" w:cs="Calibri"/>
                <w:i/>
                <w:iCs/>
                <w:sz w:val="14"/>
                <w:szCs w:val="14"/>
              </w:rPr>
              <w:t xml:space="preserve"> recht op 33,3%)</w:t>
            </w:r>
          </w:p>
        </w:tc>
        <w:tc>
          <w:tcPr>
            <w:tcW w:w="935" w:type="dxa"/>
            <w:gridSpan w:val="2"/>
            <w:tcBorders>
              <w:top w:val="single" w:color="auto" w:sz="8" w:space="0"/>
              <w:left w:val="nil"/>
              <w:bottom w:val="nil"/>
              <w:right w:val="nil"/>
            </w:tcBorders>
            <w:shd w:val="clear" w:color="000000" w:fill="9BC2E6"/>
            <w:noWrap/>
            <w:vAlign w:val="center"/>
            <w:hideMark/>
          </w:tcPr>
          <w:p w:rsidRPr="00C74377" w:rsidR="00FB6A39" w:rsidP="000D1553" w:rsidRDefault="000B52CF" w14:paraId="797C6D71" w14:textId="77777777">
            <w:pPr>
              <w:autoSpaceDN/>
              <w:spacing w:line="240" w:lineRule="auto"/>
              <w:jc w:val="right"/>
              <w:textAlignment w:val="auto"/>
              <w:rPr>
                <w:rFonts w:eastAsia="Times New Roman" w:cs="Calibri"/>
                <w:b/>
                <w:bCs/>
                <w:sz w:val="14"/>
                <w:szCs w:val="14"/>
              </w:rPr>
            </w:pPr>
            <w:r w:rsidRPr="00C74377">
              <w:rPr>
                <w:rFonts w:eastAsia="Times New Roman" w:cs="Calibri"/>
                <w:b/>
                <w:bCs/>
                <w:sz w:val="14"/>
                <w:szCs w:val="14"/>
              </w:rPr>
              <w:t>2026</w:t>
            </w:r>
          </w:p>
        </w:tc>
        <w:tc>
          <w:tcPr>
            <w:tcW w:w="935" w:type="dxa"/>
            <w:gridSpan w:val="2"/>
            <w:tcBorders>
              <w:top w:val="single" w:color="auto" w:sz="8" w:space="0"/>
              <w:left w:val="nil"/>
              <w:bottom w:val="nil"/>
              <w:right w:val="single" w:color="auto" w:sz="8" w:space="0"/>
            </w:tcBorders>
            <w:shd w:val="clear" w:color="000000" w:fill="9BC2E6"/>
            <w:noWrap/>
            <w:vAlign w:val="center"/>
            <w:hideMark/>
          </w:tcPr>
          <w:p w:rsidRPr="00C74377" w:rsidR="00FB6A39" w:rsidP="000D1553" w:rsidRDefault="000B52CF" w14:paraId="357F70CD" w14:textId="77777777">
            <w:pPr>
              <w:autoSpaceDN/>
              <w:spacing w:line="240" w:lineRule="auto"/>
              <w:jc w:val="right"/>
              <w:textAlignment w:val="auto"/>
              <w:rPr>
                <w:rFonts w:eastAsia="Times New Roman" w:cs="Calibri"/>
                <w:b/>
                <w:bCs/>
                <w:sz w:val="14"/>
                <w:szCs w:val="14"/>
              </w:rPr>
            </w:pPr>
            <w:r w:rsidRPr="00C74377">
              <w:rPr>
                <w:rFonts w:eastAsia="Times New Roman" w:cs="Calibri"/>
                <w:b/>
                <w:bCs/>
                <w:sz w:val="14"/>
                <w:szCs w:val="14"/>
              </w:rPr>
              <w:t>2027</w:t>
            </w:r>
          </w:p>
        </w:tc>
      </w:tr>
      <w:tr w:rsidRPr="00C74377" w:rsidR="000B52CF" w:rsidTr="007657B8" w14:paraId="59FBBF84" w14:textId="77777777">
        <w:trPr>
          <w:trHeight w:val="285"/>
        </w:trPr>
        <w:tc>
          <w:tcPr>
            <w:tcW w:w="2438" w:type="dxa"/>
            <w:gridSpan w:val="2"/>
            <w:tcBorders>
              <w:top w:val="nil"/>
              <w:left w:val="single" w:color="auto" w:sz="8" w:space="0"/>
              <w:bottom w:val="nil"/>
              <w:right w:val="nil"/>
            </w:tcBorders>
            <w:shd w:val="clear" w:color="000000" w:fill="FFFFFF"/>
            <w:noWrap/>
            <w:vAlign w:val="center"/>
            <w:hideMark/>
          </w:tcPr>
          <w:p w:rsidRPr="00C74377" w:rsidR="000B52CF" w:rsidP="000B52CF" w:rsidRDefault="000B52CF" w14:paraId="17FBCCE0" w14:textId="77777777">
            <w:pPr>
              <w:autoSpaceDN/>
              <w:spacing w:line="240" w:lineRule="auto"/>
              <w:textAlignment w:val="auto"/>
              <w:rPr>
                <w:rFonts w:eastAsia="Times New Roman" w:cs="Calibri"/>
                <w:sz w:val="14"/>
                <w:szCs w:val="14"/>
              </w:rPr>
            </w:pPr>
            <w:r w:rsidRPr="00C74377">
              <w:rPr>
                <w:rFonts w:eastAsia="Times New Roman" w:cs="Calibri"/>
                <w:sz w:val="14"/>
                <w:szCs w:val="14"/>
              </w:rPr>
              <w:t>Kosten opvang per jaar:</w:t>
            </w:r>
          </w:p>
        </w:tc>
        <w:tc>
          <w:tcPr>
            <w:tcW w:w="935" w:type="dxa"/>
            <w:gridSpan w:val="2"/>
            <w:tcBorders>
              <w:top w:val="nil"/>
              <w:left w:val="nil"/>
              <w:bottom w:val="nil"/>
              <w:right w:val="nil"/>
            </w:tcBorders>
            <w:shd w:val="clear" w:color="000000" w:fill="FFFFFF"/>
            <w:noWrap/>
            <w:vAlign w:val="center"/>
            <w:hideMark/>
          </w:tcPr>
          <w:p w:rsidRPr="00C74377" w:rsidR="000B52CF" w:rsidP="000B52CF" w:rsidRDefault="000B52CF" w14:paraId="31EF7156" w14:textId="77777777">
            <w:pPr>
              <w:autoSpaceDN/>
              <w:spacing w:line="240" w:lineRule="auto"/>
              <w:jc w:val="right"/>
              <w:textAlignment w:val="auto"/>
              <w:rPr>
                <w:rFonts w:eastAsia="Times New Roman" w:cs="Calibri"/>
                <w:sz w:val="14"/>
                <w:szCs w:val="14"/>
              </w:rPr>
            </w:pPr>
            <w:r w:rsidRPr="00C74377">
              <w:rPr>
                <w:sz w:val="14"/>
                <w:szCs w:val="14"/>
              </w:rPr>
              <w:t>€ 26.</w:t>
            </w:r>
            <w:r w:rsidRPr="00C74377" w:rsidR="00FC6200">
              <w:rPr>
                <w:sz w:val="14"/>
                <w:szCs w:val="14"/>
              </w:rPr>
              <w:t>381</w:t>
            </w:r>
          </w:p>
        </w:tc>
        <w:tc>
          <w:tcPr>
            <w:tcW w:w="935" w:type="dxa"/>
            <w:gridSpan w:val="2"/>
            <w:tcBorders>
              <w:top w:val="nil"/>
              <w:left w:val="nil"/>
              <w:bottom w:val="nil"/>
              <w:right w:val="single" w:color="auto" w:sz="8" w:space="0"/>
            </w:tcBorders>
            <w:shd w:val="clear" w:color="000000" w:fill="FFFFFF"/>
            <w:noWrap/>
            <w:vAlign w:val="center"/>
            <w:hideMark/>
          </w:tcPr>
          <w:p w:rsidRPr="00C74377" w:rsidR="000B52CF" w:rsidP="000B52CF" w:rsidRDefault="000B52CF" w14:paraId="49DBC06A" w14:textId="77777777">
            <w:pPr>
              <w:autoSpaceDN/>
              <w:spacing w:line="240" w:lineRule="auto"/>
              <w:jc w:val="right"/>
              <w:textAlignment w:val="auto"/>
              <w:rPr>
                <w:rFonts w:eastAsia="Times New Roman" w:cs="Calibri"/>
                <w:sz w:val="14"/>
                <w:szCs w:val="14"/>
              </w:rPr>
            </w:pPr>
            <w:r w:rsidRPr="00C74377">
              <w:rPr>
                <w:sz w:val="14"/>
                <w:szCs w:val="14"/>
              </w:rPr>
              <w:t>€ 27.</w:t>
            </w:r>
            <w:r w:rsidRPr="00C74377" w:rsidR="00FC6200">
              <w:rPr>
                <w:sz w:val="14"/>
                <w:szCs w:val="14"/>
              </w:rPr>
              <w:t>256</w:t>
            </w:r>
          </w:p>
        </w:tc>
        <w:tc>
          <w:tcPr>
            <w:tcW w:w="220" w:type="dxa"/>
            <w:gridSpan w:val="2"/>
            <w:tcBorders>
              <w:top w:val="nil"/>
              <w:left w:val="nil"/>
              <w:bottom w:val="nil"/>
              <w:right w:val="nil"/>
            </w:tcBorders>
            <w:shd w:val="clear" w:color="000000" w:fill="FFFFFF"/>
            <w:noWrap/>
            <w:vAlign w:val="bottom"/>
            <w:hideMark/>
          </w:tcPr>
          <w:p w:rsidRPr="00C74377" w:rsidR="000B52CF" w:rsidP="000B52CF" w:rsidRDefault="000B52CF" w14:paraId="0E7189FD"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nil"/>
              <w:right w:val="nil"/>
            </w:tcBorders>
            <w:shd w:val="clear" w:color="000000" w:fill="FFFFFF"/>
            <w:noWrap/>
            <w:vAlign w:val="center"/>
            <w:hideMark/>
          </w:tcPr>
          <w:p w:rsidRPr="00C74377" w:rsidR="000B52CF" w:rsidP="000B52CF" w:rsidRDefault="000B52CF" w14:paraId="34C75C78" w14:textId="77777777">
            <w:pPr>
              <w:autoSpaceDN/>
              <w:spacing w:line="240" w:lineRule="auto"/>
              <w:textAlignment w:val="auto"/>
              <w:rPr>
                <w:rFonts w:eastAsia="Times New Roman" w:cs="Calibri"/>
                <w:sz w:val="14"/>
                <w:szCs w:val="14"/>
              </w:rPr>
            </w:pPr>
            <w:r w:rsidRPr="00C74377">
              <w:rPr>
                <w:rFonts w:eastAsia="Times New Roman" w:cs="Calibri"/>
                <w:sz w:val="14"/>
                <w:szCs w:val="14"/>
              </w:rPr>
              <w:t>Kosten opvang per jaar:</w:t>
            </w:r>
          </w:p>
        </w:tc>
        <w:tc>
          <w:tcPr>
            <w:tcW w:w="935" w:type="dxa"/>
            <w:gridSpan w:val="2"/>
            <w:tcBorders>
              <w:top w:val="nil"/>
              <w:left w:val="nil"/>
              <w:bottom w:val="nil"/>
              <w:right w:val="nil"/>
            </w:tcBorders>
            <w:shd w:val="clear" w:color="000000" w:fill="FFFFFF"/>
            <w:noWrap/>
            <w:vAlign w:val="center"/>
            <w:hideMark/>
          </w:tcPr>
          <w:p w:rsidRPr="00C74377" w:rsidR="000B52CF" w:rsidP="000B52CF" w:rsidRDefault="000B52CF" w14:paraId="5F332BDA" w14:textId="77777777">
            <w:pPr>
              <w:autoSpaceDN/>
              <w:spacing w:line="240" w:lineRule="auto"/>
              <w:jc w:val="right"/>
              <w:textAlignment w:val="auto"/>
              <w:rPr>
                <w:rFonts w:eastAsia="Times New Roman" w:cs="Calibri"/>
                <w:sz w:val="14"/>
                <w:szCs w:val="14"/>
              </w:rPr>
            </w:pPr>
            <w:r w:rsidRPr="00C74377">
              <w:rPr>
                <w:sz w:val="14"/>
                <w:szCs w:val="14"/>
              </w:rPr>
              <w:t>€ 26.38</w:t>
            </w:r>
            <w:r w:rsidRPr="00C74377" w:rsidR="00FC6200">
              <w:rPr>
                <w:sz w:val="14"/>
                <w:szCs w:val="14"/>
              </w:rPr>
              <w:t>1</w:t>
            </w:r>
          </w:p>
        </w:tc>
        <w:tc>
          <w:tcPr>
            <w:tcW w:w="935" w:type="dxa"/>
            <w:gridSpan w:val="2"/>
            <w:tcBorders>
              <w:top w:val="nil"/>
              <w:left w:val="nil"/>
              <w:bottom w:val="nil"/>
              <w:right w:val="single" w:color="auto" w:sz="8" w:space="0"/>
            </w:tcBorders>
            <w:shd w:val="clear" w:color="000000" w:fill="FFFFFF"/>
            <w:noWrap/>
            <w:vAlign w:val="center"/>
            <w:hideMark/>
          </w:tcPr>
          <w:p w:rsidRPr="00C74377" w:rsidR="000B52CF" w:rsidP="000B52CF" w:rsidRDefault="000B52CF" w14:paraId="4926363E" w14:textId="77777777">
            <w:pPr>
              <w:autoSpaceDN/>
              <w:spacing w:line="240" w:lineRule="auto"/>
              <w:jc w:val="right"/>
              <w:textAlignment w:val="auto"/>
              <w:rPr>
                <w:rFonts w:eastAsia="Times New Roman" w:cs="Calibri"/>
                <w:sz w:val="14"/>
                <w:szCs w:val="14"/>
              </w:rPr>
            </w:pPr>
            <w:r w:rsidRPr="00C74377">
              <w:rPr>
                <w:sz w:val="14"/>
                <w:szCs w:val="14"/>
              </w:rPr>
              <w:t>€ 27.</w:t>
            </w:r>
            <w:r w:rsidRPr="00C74377" w:rsidR="00FC6200">
              <w:rPr>
                <w:sz w:val="14"/>
                <w:szCs w:val="14"/>
              </w:rPr>
              <w:t>256</w:t>
            </w:r>
          </w:p>
        </w:tc>
      </w:tr>
      <w:tr w:rsidRPr="00C74377" w:rsidR="000B52CF" w:rsidTr="007657B8" w14:paraId="28E95C99" w14:textId="77777777">
        <w:trPr>
          <w:trHeight w:val="285"/>
        </w:trPr>
        <w:tc>
          <w:tcPr>
            <w:tcW w:w="2438" w:type="dxa"/>
            <w:gridSpan w:val="2"/>
            <w:tcBorders>
              <w:top w:val="nil"/>
              <w:left w:val="single" w:color="auto" w:sz="8" w:space="0"/>
              <w:bottom w:val="nil"/>
              <w:right w:val="nil"/>
            </w:tcBorders>
            <w:shd w:val="clear" w:color="000000" w:fill="DDEBF7"/>
            <w:noWrap/>
            <w:vAlign w:val="center"/>
            <w:hideMark/>
          </w:tcPr>
          <w:p w:rsidRPr="00C74377" w:rsidR="000B52CF" w:rsidP="000B52CF" w:rsidRDefault="000B52CF" w14:paraId="29EF0060" w14:textId="77777777">
            <w:pPr>
              <w:autoSpaceDN/>
              <w:spacing w:line="240" w:lineRule="auto"/>
              <w:textAlignment w:val="auto"/>
              <w:rPr>
                <w:rFonts w:eastAsia="Times New Roman" w:cs="Calibri"/>
                <w:sz w:val="14"/>
                <w:szCs w:val="14"/>
              </w:rPr>
            </w:pPr>
            <w:r w:rsidRPr="00C74377">
              <w:rPr>
                <w:rFonts w:eastAsia="Times New Roman" w:cs="Calibri"/>
                <w:sz w:val="14"/>
                <w:szCs w:val="14"/>
              </w:rPr>
              <w:t>KOT per jaar:</w:t>
            </w:r>
          </w:p>
        </w:tc>
        <w:tc>
          <w:tcPr>
            <w:tcW w:w="935" w:type="dxa"/>
            <w:gridSpan w:val="2"/>
            <w:tcBorders>
              <w:top w:val="nil"/>
              <w:left w:val="nil"/>
              <w:bottom w:val="nil"/>
              <w:right w:val="nil"/>
            </w:tcBorders>
            <w:shd w:val="clear" w:color="000000" w:fill="DDEBF7"/>
            <w:noWrap/>
            <w:vAlign w:val="center"/>
            <w:hideMark/>
          </w:tcPr>
          <w:p w:rsidRPr="00C74377" w:rsidR="000B52CF" w:rsidP="000B52CF" w:rsidRDefault="000B52CF" w14:paraId="50EE190C" w14:textId="77777777">
            <w:pPr>
              <w:autoSpaceDN/>
              <w:spacing w:line="240" w:lineRule="auto"/>
              <w:jc w:val="right"/>
              <w:textAlignment w:val="auto"/>
              <w:rPr>
                <w:rFonts w:eastAsia="Times New Roman" w:cs="Calibri"/>
                <w:sz w:val="14"/>
                <w:szCs w:val="14"/>
              </w:rPr>
            </w:pPr>
            <w:r w:rsidRPr="00C74377">
              <w:rPr>
                <w:sz w:val="14"/>
                <w:szCs w:val="14"/>
              </w:rPr>
              <w:t>€ 21.609</w:t>
            </w:r>
          </w:p>
        </w:tc>
        <w:tc>
          <w:tcPr>
            <w:tcW w:w="935" w:type="dxa"/>
            <w:gridSpan w:val="2"/>
            <w:tcBorders>
              <w:top w:val="nil"/>
              <w:left w:val="nil"/>
              <w:bottom w:val="nil"/>
              <w:right w:val="single" w:color="auto" w:sz="8" w:space="0"/>
            </w:tcBorders>
            <w:shd w:val="clear" w:color="000000" w:fill="DDEBF7"/>
            <w:noWrap/>
            <w:vAlign w:val="center"/>
            <w:hideMark/>
          </w:tcPr>
          <w:p w:rsidRPr="00C74377" w:rsidR="000B52CF" w:rsidP="000B52CF" w:rsidRDefault="00CA27E5" w14:paraId="5943C7B6" w14:textId="77777777">
            <w:pPr>
              <w:autoSpaceDN/>
              <w:spacing w:line="240" w:lineRule="auto"/>
              <w:jc w:val="right"/>
              <w:textAlignment w:val="auto"/>
              <w:rPr>
                <w:rFonts w:eastAsia="Times New Roman" w:cs="Calibri"/>
                <w:sz w:val="14"/>
                <w:szCs w:val="14"/>
              </w:rPr>
            </w:pPr>
            <w:r w:rsidRPr="00C74377">
              <w:rPr>
                <w:sz w:val="14"/>
                <w:szCs w:val="14"/>
              </w:rPr>
              <w:t>€ 23.197</w:t>
            </w:r>
          </w:p>
        </w:tc>
        <w:tc>
          <w:tcPr>
            <w:tcW w:w="220" w:type="dxa"/>
            <w:gridSpan w:val="2"/>
            <w:tcBorders>
              <w:top w:val="nil"/>
              <w:left w:val="nil"/>
              <w:bottom w:val="nil"/>
              <w:right w:val="nil"/>
            </w:tcBorders>
            <w:shd w:val="clear" w:color="000000" w:fill="FFFFFF"/>
            <w:noWrap/>
            <w:vAlign w:val="bottom"/>
            <w:hideMark/>
          </w:tcPr>
          <w:p w:rsidRPr="00C74377" w:rsidR="000B52CF" w:rsidP="000B52CF" w:rsidRDefault="000B52CF" w14:paraId="18516F9B"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nil"/>
              <w:right w:val="nil"/>
            </w:tcBorders>
            <w:shd w:val="clear" w:color="000000" w:fill="DDEBF7"/>
            <w:noWrap/>
            <w:vAlign w:val="center"/>
            <w:hideMark/>
          </w:tcPr>
          <w:p w:rsidRPr="00C74377" w:rsidR="000B52CF" w:rsidP="000B52CF" w:rsidRDefault="000B52CF" w14:paraId="073342A9" w14:textId="77777777">
            <w:pPr>
              <w:autoSpaceDN/>
              <w:spacing w:line="240" w:lineRule="auto"/>
              <w:textAlignment w:val="auto"/>
              <w:rPr>
                <w:rFonts w:eastAsia="Times New Roman" w:cs="Calibri"/>
                <w:sz w:val="14"/>
                <w:szCs w:val="14"/>
              </w:rPr>
            </w:pPr>
            <w:r w:rsidRPr="00C74377">
              <w:rPr>
                <w:rFonts w:eastAsia="Times New Roman" w:cs="Calibri"/>
                <w:sz w:val="14"/>
                <w:szCs w:val="14"/>
              </w:rPr>
              <w:t>KOT per jaar:</w:t>
            </w:r>
          </w:p>
        </w:tc>
        <w:tc>
          <w:tcPr>
            <w:tcW w:w="935" w:type="dxa"/>
            <w:gridSpan w:val="2"/>
            <w:tcBorders>
              <w:top w:val="nil"/>
              <w:left w:val="nil"/>
              <w:bottom w:val="nil"/>
              <w:right w:val="nil"/>
            </w:tcBorders>
            <w:shd w:val="clear" w:color="000000" w:fill="DDEBF7"/>
            <w:noWrap/>
            <w:vAlign w:val="center"/>
            <w:hideMark/>
          </w:tcPr>
          <w:p w:rsidRPr="00C74377" w:rsidR="000B52CF" w:rsidP="000B52CF" w:rsidRDefault="000B52CF" w14:paraId="54910D75" w14:textId="77777777">
            <w:pPr>
              <w:autoSpaceDN/>
              <w:spacing w:line="240" w:lineRule="auto"/>
              <w:jc w:val="right"/>
              <w:textAlignment w:val="auto"/>
              <w:rPr>
                <w:rFonts w:eastAsia="Times New Roman" w:cs="Calibri"/>
                <w:sz w:val="14"/>
                <w:szCs w:val="14"/>
              </w:rPr>
            </w:pPr>
            <w:r w:rsidRPr="00C74377">
              <w:rPr>
                <w:sz w:val="14"/>
                <w:szCs w:val="14"/>
              </w:rPr>
              <w:t>€ 16.509</w:t>
            </w:r>
          </w:p>
        </w:tc>
        <w:tc>
          <w:tcPr>
            <w:tcW w:w="935" w:type="dxa"/>
            <w:gridSpan w:val="2"/>
            <w:tcBorders>
              <w:top w:val="nil"/>
              <w:left w:val="nil"/>
              <w:bottom w:val="nil"/>
              <w:right w:val="single" w:color="auto" w:sz="8" w:space="0"/>
            </w:tcBorders>
            <w:shd w:val="clear" w:color="000000" w:fill="DDEBF7"/>
            <w:noWrap/>
            <w:vAlign w:val="center"/>
            <w:hideMark/>
          </w:tcPr>
          <w:p w:rsidRPr="00C74377" w:rsidR="000B52CF" w:rsidP="000B52CF" w:rsidRDefault="00F96F58" w14:paraId="5BBE26F5" w14:textId="77777777">
            <w:pPr>
              <w:autoSpaceDN/>
              <w:spacing w:line="240" w:lineRule="auto"/>
              <w:jc w:val="right"/>
              <w:textAlignment w:val="auto"/>
              <w:rPr>
                <w:rFonts w:eastAsia="Times New Roman" w:cs="Calibri"/>
                <w:sz w:val="14"/>
                <w:szCs w:val="14"/>
              </w:rPr>
            </w:pPr>
            <w:r w:rsidRPr="00C74377">
              <w:rPr>
                <w:sz w:val="14"/>
                <w:szCs w:val="14"/>
              </w:rPr>
              <w:t>€ 17.928</w:t>
            </w:r>
          </w:p>
        </w:tc>
      </w:tr>
      <w:tr w:rsidRPr="00C74377" w:rsidR="004442CE" w:rsidTr="004442CE" w14:paraId="570D9C34" w14:textId="77777777">
        <w:trPr>
          <w:trHeight w:val="285"/>
        </w:trPr>
        <w:tc>
          <w:tcPr>
            <w:tcW w:w="2438" w:type="dxa"/>
            <w:gridSpan w:val="2"/>
            <w:tcBorders>
              <w:top w:val="nil"/>
              <w:left w:val="single" w:color="auto" w:sz="8" w:space="0"/>
              <w:bottom w:val="nil"/>
              <w:right w:val="nil"/>
            </w:tcBorders>
            <w:shd w:val="clear" w:color="000000" w:fill="FFFFFF"/>
            <w:noWrap/>
            <w:vAlign w:val="center"/>
            <w:hideMark/>
          </w:tcPr>
          <w:p w:rsidRPr="00C74377" w:rsidR="000B52CF" w:rsidP="000B52CF" w:rsidRDefault="000B52CF" w14:paraId="1B921A06" w14:textId="77777777">
            <w:pPr>
              <w:autoSpaceDN/>
              <w:spacing w:line="240" w:lineRule="auto"/>
              <w:textAlignment w:val="auto"/>
              <w:rPr>
                <w:rFonts w:eastAsia="Times New Roman" w:cs="Calibri"/>
                <w:sz w:val="14"/>
                <w:szCs w:val="14"/>
              </w:rPr>
            </w:pPr>
            <w:r w:rsidRPr="00C74377">
              <w:rPr>
                <w:rFonts w:eastAsia="Times New Roman" w:cs="Calibri"/>
                <w:sz w:val="14"/>
                <w:szCs w:val="14"/>
              </w:rPr>
              <w:t>Eigen bijdrage per jaar:</w:t>
            </w:r>
          </w:p>
        </w:tc>
        <w:tc>
          <w:tcPr>
            <w:tcW w:w="935" w:type="dxa"/>
            <w:gridSpan w:val="2"/>
            <w:tcBorders>
              <w:top w:val="nil"/>
              <w:left w:val="nil"/>
              <w:bottom w:val="nil"/>
              <w:right w:val="nil"/>
            </w:tcBorders>
            <w:shd w:val="clear" w:color="auto" w:fill="auto"/>
            <w:noWrap/>
            <w:vAlign w:val="center"/>
            <w:hideMark/>
          </w:tcPr>
          <w:p w:rsidRPr="00C74377" w:rsidR="000B52CF" w:rsidP="000B52CF" w:rsidRDefault="000B52CF" w14:paraId="4EFD13BF" w14:textId="77777777">
            <w:pPr>
              <w:autoSpaceDN/>
              <w:spacing w:line="240" w:lineRule="auto"/>
              <w:jc w:val="right"/>
              <w:textAlignment w:val="auto"/>
              <w:rPr>
                <w:rFonts w:eastAsia="Times New Roman" w:cs="Calibri"/>
                <w:sz w:val="14"/>
                <w:szCs w:val="14"/>
              </w:rPr>
            </w:pPr>
            <w:r w:rsidRPr="00C74377">
              <w:rPr>
                <w:rFonts w:cs="Calibri"/>
                <w:sz w:val="14"/>
                <w:szCs w:val="14"/>
              </w:rPr>
              <w:t>€ 4.</w:t>
            </w:r>
            <w:r w:rsidRPr="00C74377" w:rsidR="005C0667">
              <w:rPr>
                <w:rFonts w:cs="Calibri"/>
                <w:sz w:val="14"/>
                <w:szCs w:val="14"/>
              </w:rPr>
              <w:t>772</w:t>
            </w:r>
          </w:p>
        </w:tc>
        <w:tc>
          <w:tcPr>
            <w:tcW w:w="935" w:type="dxa"/>
            <w:gridSpan w:val="2"/>
            <w:tcBorders>
              <w:top w:val="nil"/>
              <w:left w:val="nil"/>
              <w:bottom w:val="nil"/>
              <w:right w:val="single" w:color="auto" w:sz="8" w:space="0"/>
            </w:tcBorders>
            <w:shd w:val="clear" w:color="000000" w:fill="FFFFFF"/>
            <w:noWrap/>
            <w:vAlign w:val="center"/>
            <w:hideMark/>
          </w:tcPr>
          <w:p w:rsidRPr="00C74377" w:rsidR="000B52CF" w:rsidP="000B52CF" w:rsidRDefault="00CA27E5" w14:paraId="5DEB6FBC" w14:textId="77777777">
            <w:pPr>
              <w:autoSpaceDN/>
              <w:spacing w:line="240" w:lineRule="auto"/>
              <w:jc w:val="right"/>
              <w:textAlignment w:val="auto"/>
              <w:rPr>
                <w:rFonts w:eastAsia="Times New Roman" w:cs="Calibri"/>
                <w:sz w:val="14"/>
                <w:szCs w:val="14"/>
              </w:rPr>
            </w:pPr>
            <w:r w:rsidRPr="00C74377">
              <w:rPr>
                <w:rFonts w:cs="Calibri"/>
                <w:sz w:val="14"/>
                <w:szCs w:val="14"/>
              </w:rPr>
              <w:t>€ 4.060</w:t>
            </w:r>
          </w:p>
        </w:tc>
        <w:tc>
          <w:tcPr>
            <w:tcW w:w="220" w:type="dxa"/>
            <w:gridSpan w:val="2"/>
            <w:tcBorders>
              <w:top w:val="nil"/>
              <w:left w:val="nil"/>
              <w:bottom w:val="nil"/>
              <w:right w:val="nil"/>
            </w:tcBorders>
            <w:shd w:val="clear" w:color="000000" w:fill="FFFFFF"/>
            <w:noWrap/>
            <w:vAlign w:val="bottom"/>
            <w:hideMark/>
          </w:tcPr>
          <w:p w:rsidRPr="00C74377" w:rsidR="000B52CF" w:rsidP="000B52CF" w:rsidRDefault="000B52CF" w14:paraId="2C2A67F9"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nil"/>
              <w:right w:val="nil"/>
            </w:tcBorders>
            <w:shd w:val="clear" w:color="000000" w:fill="FFFFFF"/>
            <w:noWrap/>
            <w:vAlign w:val="center"/>
            <w:hideMark/>
          </w:tcPr>
          <w:p w:rsidRPr="00C74377" w:rsidR="000B52CF" w:rsidP="000B52CF" w:rsidRDefault="000B52CF" w14:paraId="71E38BC7" w14:textId="77777777">
            <w:pPr>
              <w:autoSpaceDN/>
              <w:spacing w:line="240" w:lineRule="auto"/>
              <w:textAlignment w:val="auto"/>
              <w:rPr>
                <w:rFonts w:eastAsia="Times New Roman" w:cs="Calibri"/>
                <w:sz w:val="14"/>
                <w:szCs w:val="14"/>
              </w:rPr>
            </w:pPr>
            <w:r w:rsidRPr="00C74377">
              <w:rPr>
                <w:rFonts w:eastAsia="Times New Roman" w:cs="Calibri"/>
                <w:sz w:val="14"/>
                <w:szCs w:val="14"/>
              </w:rPr>
              <w:t>Eigen bijdrage per jaar:</w:t>
            </w:r>
          </w:p>
        </w:tc>
        <w:tc>
          <w:tcPr>
            <w:tcW w:w="935" w:type="dxa"/>
            <w:gridSpan w:val="2"/>
            <w:tcBorders>
              <w:top w:val="nil"/>
              <w:left w:val="nil"/>
              <w:bottom w:val="nil"/>
              <w:right w:val="nil"/>
            </w:tcBorders>
            <w:shd w:val="clear" w:color="000000" w:fill="FFFFFF"/>
            <w:noWrap/>
            <w:vAlign w:val="center"/>
            <w:hideMark/>
          </w:tcPr>
          <w:p w:rsidRPr="00C74377" w:rsidR="000B52CF" w:rsidP="000B52CF" w:rsidRDefault="000B52CF" w14:paraId="417646B5" w14:textId="77777777">
            <w:pPr>
              <w:autoSpaceDN/>
              <w:spacing w:line="240" w:lineRule="auto"/>
              <w:jc w:val="right"/>
              <w:textAlignment w:val="auto"/>
              <w:rPr>
                <w:rFonts w:eastAsia="Times New Roman" w:cs="Calibri"/>
                <w:sz w:val="14"/>
                <w:szCs w:val="14"/>
              </w:rPr>
            </w:pPr>
            <w:r w:rsidRPr="00C74377">
              <w:rPr>
                <w:rFonts w:cs="Calibri"/>
                <w:sz w:val="14"/>
                <w:szCs w:val="14"/>
              </w:rPr>
              <w:t>€ 9.</w:t>
            </w:r>
            <w:r w:rsidRPr="00C74377" w:rsidR="00FC6200">
              <w:rPr>
                <w:rFonts w:cs="Calibri"/>
                <w:sz w:val="14"/>
                <w:szCs w:val="14"/>
              </w:rPr>
              <w:t>872</w:t>
            </w:r>
          </w:p>
        </w:tc>
        <w:tc>
          <w:tcPr>
            <w:tcW w:w="935" w:type="dxa"/>
            <w:gridSpan w:val="2"/>
            <w:tcBorders>
              <w:top w:val="nil"/>
              <w:left w:val="nil"/>
              <w:bottom w:val="nil"/>
              <w:right w:val="single" w:color="auto" w:sz="8" w:space="0"/>
            </w:tcBorders>
            <w:shd w:val="clear" w:color="000000" w:fill="FFFFFF"/>
            <w:noWrap/>
            <w:vAlign w:val="center"/>
            <w:hideMark/>
          </w:tcPr>
          <w:p w:rsidRPr="00C74377" w:rsidR="000B52CF" w:rsidP="000B52CF" w:rsidRDefault="00F96F58" w14:paraId="71835981" w14:textId="77777777">
            <w:pPr>
              <w:autoSpaceDN/>
              <w:spacing w:line="240" w:lineRule="auto"/>
              <w:jc w:val="right"/>
              <w:textAlignment w:val="auto"/>
              <w:rPr>
                <w:rFonts w:eastAsia="Times New Roman" w:cs="Calibri"/>
                <w:sz w:val="14"/>
                <w:szCs w:val="14"/>
              </w:rPr>
            </w:pPr>
            <w:r w:rsidRPr="00C74377">
              <w:rPr>
                <w:rFonts w:cs="Calibri"/>
                <w:sz w:val="14"/>
                <w:szCs w:val="14"/>
              </w:rPr>
              <w:t>€ 9.328</w:t>
            </w:r>
          </w:p>
        </w:tc>
      </w:tr>
      <w:tr w:rsidRPr="00C74377" w:rsidR="000B52CF" w:rsidTr="007657B8" w14:paraId="5F075A5D" w14:textId="77777777">
        <w:trPr>
          <w:trHeight w:val="300"/>
        </w:trPr>
        <w:tc>
          <w:tcPr>
            <w:tcW w:w="2438" w:type="dxa"/>
            <w:gridSpan w:val="2"/>
            <w:tcBorders>
              <w:top w:val="nil"/>
              <w:left w:val="single" w:color="auto" w:sz="8" w:space="0"/>
              <w:bottom w:val="single" w:color="auto" w:sz="8" w:space="0"/>
              <w:right w:val="nil"/>
            </w:tcBorders>
            <w:shd w:val="clear" w:color="000000" w:fill="DDEBF7"/>
            <w:noWrap/>
            <w:vAlign w:val="center"/>
            <w:hideMark/>
          </w:tcPr>
          <w:p w:rsidRPr="00C74377" w:rsidR="000B52CF" w:rsidP="000B52CF" w:rsidRDefault="000B52CF" w14:paraId="402E57EC" w14:textId="77777777">
            <w:pPr>
              <w:autoSpaceDN/>
              <w:spacing w:line="240" w:lineRule="auto"/>
              <w:textAlignment w:val="auto"/>
              <w:rPr>
                <w:rFonts w:eastAsia="Times New Roman" w:cs="Calibri"/>
                <w:b/>
                <w:bCs/>
                <w:sz w:val="14"/>
                <w:szCs w:val="14"/>
              </w:rPr>
            </w:pPr>
            <w:r w:rsidRPr="00C74377">
              <w:rPr>
                <w:rFonts w:eastAsia="Times New Roman" w:cs="Calibri"/>
                <w:b/>
                <w:bCs/>
                <w:sz w:val="14"/>
                <w:szCs w:val="14"/>
              </w:rPr>
              <w:t>Percentage eigen bijdrage:</w:t>
            </w:r>
          </w:p>
        </w:tc>
        <w:tc>
          <w:tcPr>
            <w:tcW w:w="935" w:type="dxa"/>
            <w:gridSpan w:val="2"/>
            <w:tcBorders>
              <w:top w:val="nil"/>
              <w:left w:val="nil"/>
              <w:bottom w:val="single" w:color="auto" w:sz="8" w:space="0"/>
              <w:right w:val="nil"/>
            </w:tcBorders>
            <w:shd w:val="clear" w:color="000000" w:fill="DDEBF7"/>
            <w:noWrap/>
            <w:vAlign w:val="center"/>
            <w:hideMark/>
          </w:tcPr>
          <w:p w:rsidRPr="00C74377" w:rsidR="000B52CF" w:rsidP="000B52CF" w:rsidRDefault="000B52CF" w14:paraId="4CEFDB31" w14:textId="77777777">
            <w:pPr>
              <w:autoSpaceDN/>
              <w:spacing w:line="240" w:lineRule="auto"/>
              <w:jc w:val="right"/>
              <w:textAlignment w:val="auto"/>
              <w:rPr>
                <w:rFonts w:eastAsia="Times New Roman" w:cs="Calibri"/>
                <w:b/>
                <w:bCs/>
                <w:sz w:val="14"/>
                <w:szCs w:val="14"/>
              </w:rPr>
            </w:pPr>
            <w:r w:rsidRPr="00C74377">
              <w:rPr>
                <w:rFonts w:cs="Calibri"/>
                <w:b/>
                <w:bCs/>
                <w:sz w:val="14"/>
                <w:szCs w:val="14"/>
              </w:rPr>
              <w:t>18,1%</w:t>
            </w:r>
          </w:p>
        </w:tc>
        <w:tc>
          <w:tcPr>
            <w:tcW w:w="935" w:type="dxa"/>
            <w:gridSpan w:val="2"/>
            <w:tcBorders>
              <w:top w:val="nil"/>
              <w:left w:val="nil"/>
              <w:bottom w:val="single" w:color="auto" w:sz="8" w:space="0"/>
              <w:right w:val="single" w:color="auto" w:sz="8" w:space="0"/>
            </w:tcBorders>
            <w:shd w:val="clear" w:color="000000" w:fill="DDEBF7"/>
            <w:noWrap/>
            <w:vAlign w:val="center"/>
            <w:hideMark/>
          </w:tcPr>
          <w:p w:rsidRPr="00C74377" w:rsidR="000B52CF" w:rsidP="000B52CF" w:rsidRDefault="00CA27E5" w14:paraId="28B8B434" w14:textId="77777777">
            <w:pPr>
              <w:autoSpaceDN/>
              <w:spacing w:line="240" w:lineRule="auto"/>
              <w:jc w:val="right"/>
              <w:textAlignment w:val="auto"/>
              <w:rPr>
                <w:rFonts w:eastAsia="Times New Roman" w:cs="Calibri"/>
                <w:b/>
                <w:bCs/>
                <w:sz w:val="14"/>
                <w:szCs w:val="14"/>
              </w:rPr>
            </w:pPr>
            <w:r w:rsidRPr="00C74377">
              <w:rPr>
                <w:rFonts w:cs="Calibri"/>
                <w:b/>
                <w:bCs/>
                <w:sz w:val="14"/>
                <w:szCs w:val="14"/>
              </w:rPr>
              <w:t>14,9%</w:t>
            </w:r>
          </w:p>
        </w:tc>
        <w:tc>
          <w:tcPr>
            <w:tcW w:w="220" w:type="dxa"/>
            <w:gridSpan w:val="2"/>
            <w:tcBorders>
              <w:top w:val="nil"/>
              <w:left w:val="nil"/>
              <w:bottom w:val="nil"/>
              <w:right w:val="nil"/>
            </w:tcBorders>
            <w:shd w:val="clear" w:color="000000" w:fill="FFFFFF"/>
            <w:noWrap/>
            <w:vAlign w:val="bottom"/>
            <w:hideMark/>
          </w:tcPr>
          <w:p w:rsidRPr="00C74377" w:rsidR="000B52CF" w:rsidP="000B52CF" w:rsidRDefault="000B52CF" w14:paraId="50E5FAB8" w14:textId="77777777">
            <w:pPr>
              <w:autoSpaceDN/>
              <w:spacing w:line="240" w:lineRule="auto"/>
              <w:textAlignment w:val="auto"/>
              <w:rPr>
                <w:rFonts w:eastAsia="Times New Roman" w:cs="Times New Roman"/>
                <w:sz w:val="14"/>
                <w:szCs w:val="14"/>
              </w:rPr>
            </w:pPr>
            <w:r w:rsidRPr="00C74377">
              <w:rPr>
                <w:rFonts w:eastAsia="Times New Roman" w:cs="Times New Roman"/>
                <w:sz w:val="14"/>
                <w:szCs w:val="14"/>
              </w:rPr>
              <w:t> </w:t>
            </w:r>
          </w:p>
        </w:tc>
        <w:tc>
          <w:tcPr>
            <w:tcW w:w="2438" w:type="dxa"/>
            <w:gridSpan w:val="2"/>
            <w:tcBorders>
              <w:top w:val="nil"/>
              <w:left w:val="single" w:color="auto" w:sz="8" w:space="0"/>
              <w:bottom w:val="single" w:color="auto" w:sz="8" w:space="0"/>
              <w:right w:val="nil"/>
            </w:tcBorders>
            <w:shd w:val="clear" w:color="000000" w:fill="DDEBF7"/>
            <w:noWrap/>
            <w:vAlign w:val="center"/>
            <w:hideMark/>
          </w:tcPr>
          <w:p w:rsidRPr="00C74377" w:rsidR="000B52CF" w:rsidP="000B52CF" w:rsidRDefault="000B52CF" w14:paraId="21D037CB" w14:textId="77777777">
            <w:pPr>
              <w:autoSpaceDN/>
              <w:spacing w:line="240" w:lineRule="auto"/>
              <w:textAlignment w:val="auto"/>
              <w:rPr>
                <w:rFonts w:eastAsia="Times New Roman" w:cs="Calibri"/>
                <w:b/>
                <w:bCs/>
                <w:sz w:val="14"/>
                <w:szCs w:val="14"/>
              </w:rPr>
            </w:pPr>
            <w:r w:rsidRPr="00C74377">
              <w:rPr>
                <w:rFonts w:eastAsia="Times New Roman" w:cs="Calibri"/>
                <w:b/>
                <w:bCs/>
                <w:sz w:val="14"/>
                <w:szCs w:val="14"/>
              </w:rPr>
              <w:t>Percentage eigen bijdrage:</w:t>
            </w:r>
          </w:p>
        </w:tc>
        <w:tc>
          <w:tcPr>
            <w:tcW w:w="935" w:type="dxa"/>
            <w:gridSpan w:val="2"/>
            <w:tcBorders>
              <w:top w:val="nil"/>
              <w:left w:val="nil"/>
              <w:bottom w:val="single" w:color="auto" w:sz="8" w:space="0"/>
              <w:right w:val="nil"/>
            </w:tcBorders>
            <w:shd w:val="clear" w:color="000000" w:fill="DDEBF7"/>
            <w:noWrap/>
            <w:vAlign w:val="center"/>
            <w:hideMark/>
          </w:tcPr>
          <w:p w:rsidRPr="00C74377" w:rsidR="000B52CF" w:rsidP="000B52CF" w:rsidRDefault="000B52CF" w14:paraId="4BF91D25" w14:textId="77777777">
            <w:pPr>
              <w:autoSpaceDN/>
              <w:spacing w:line="240" w:lineRule="auto"/>
              <w:jc w:val="right"/>
              <w:textAlignment w:val="auto"/>
              <w:rPr>
                <w:rFonts w:eastAsia="Times New Roman" w:cs="Calibri"/>
                <w:b/>
                <w:bCs/>
                <w:sz w:val="14"/>
                <w:szCs w:val="14"/>
              </w:rPr>
            </w:pPr>
            <w:r w:rsidRPr="00C74377">
              <w:rPr>
                <w:rFonts w:eastAsia="Times New Roman" w:cs="Calibri"/>
                <w:b/>
                <w:bCs/>
                <w:color w:val="auto"/>
                <w:sz w:val="14"/>
                <w:szCs w:val="14"/>
              </w:rPr>
              <w:t>37,4%</w:t>
            </w:r>
          </w:p>
        </w:tc>
        <w:tc>
          <w:tcPr>
            <w:tcW w:w="935" w:type="dxa"/>
            <w:gridSpan w:val="2"/>
            <w:tcBorders>
              <w:top w:val="nil"/>
              <w:left w:val="nil"/>
              <w:bottom w:val="single" w:color="auto" w:sz="8" w:space="0"/>
              <w:right w:val="single" w:color="auto" w:sz="8" w:space="0"/>
            </w:tcBorders>
            <w:shd w:val="clear" w:color="000000" w:fill="DDEBF7"/>
            <w:noWrap/>
            <w:vAlign w:val="center"/>
            <w:hideMark/>
          </w:tcPr>
          <w:p w:rsidRPr="00C74377" w:rsidR="000B52CF" w:rsidP="000B52CF" w:rsidRDefault="00F96F58" w14:paraId="2EDFE956" w14:textId="77777777">
            <w:pPr>
              <w:autoSpaceDN/>
              <w:spacing w:line="240" w:lineRule="auto"/>
              <w:jc w:val="right"/>
              <w:textAlignment w:val="auto"/>
              <w:rPr>
                <w:rFonts w:eastAsia="Times New Roman" w:cs="Calibri"/>
                <w:b/>
                <w:bCs/>
                <w:sz w:val="14"/>
                <w:szCs w:val="14"/>
              </w:rPr>
            </w:pPr>
            <w:r w:rsidRPr="00C74377">
              <w:rPr>
                <w:rFonts w:eastAsia="Times New Roman" w:cs="Calibri"/>
                <w:b/>
                <w:bCs/>
                <w:color w:val="auto"/>
                <w:sz w:val="14"/>
                <w:szCs w:val="14"/>
              </w:rPr>
              <w:t>34,2%</w:t>
            </w:r>
          </w:p>
        </w:tc>
      </w:tr>
    </w:tbl>
    <w:p w:rsidRPr="00C74377" w:rsidR="009B0F7F" w:rsidP="004E19BB" w:rsidRDefault="009B0F7F" w14:paraId="38227E9F" w14:textId="77777777">
      <w:pPr>
        <w:spacing w:line="276" w:lineRule="auto"/>
        <w:rPr>
          <w:rFonts w:eastAsia="Calibri" w:cs="Calibri"/>
        </w:rPr>
      </w:pPr>
    </w:p>
    <w:p w:rsidRPr="00C74377" w:rsidR="00962308" w:rsidP="00962308" w:rsidRDefault="00962308" w14:paraId="1E6075A0" w14:textId="77777777">
      <w:r w:rsidRPr="00C74377">
        <w:t>Bovenstaand</w:t>
      </w:r>
      <w:r w:rsidRPr="00C74377" w:rsidR="005C4133">
        <w:t>e</w:t>
      </w:r>
      <w:r w:rsidRPr="00C74377">
        <w:t xml:space="preserve"> rekenvoorbeelden zijn gebaseerd op een voorbeeldsituatie met twee kinderen die beiden twee dagen per week naar de dagopvang gaan voor een </w:t>
      </w:r>
      <w:r w:rsidRPr="00C74377" w:rsidR="00FC6200">
        <w:t xml:space="preserve">mediaan tarief van € 11,53 in 2026 en een </w:t>
      </w:r>
      <w:r w:rsidRPr="00C74377">
        <w:t xml:space="preserve">verwacht </w:t>
      </w:r>
      <w:r w:rsidRPr="00C74377" w:rsidR="00FC6200">
        <w:t>mediaan tarief van</w:t>
      </w:r>
      <w:r w:rsidRPr="00C74377" w:rsidR="006879AC">
        <w:t xml:space="preserve"> € </w:t>
      </w:r>
      <w:r w:rsidRPr="00C74377" w:rsidR="000B52CF">
        <w:t>11,</w:t>
      </w:r>
      <w:r w:rsidRPr="00C74377" w:rsidR="00FC6200">
        <w:t xml:space="preserve">91 voor </w:t>
      </w:r>
      <w:r w:rsidRPr="00C74377" w:rsidR="00C343BD">
        <w:t>2027</w:t>
      </w:r>
      <w:r w:rsidRPr="00C74377">
        <w:t>.</w:t>
      </w:r>
      <w:r w:rsidRPr="00C74377" w:rsidR="006879AC">
        <w:rPr>
          <w:rStyle w:val="Voetnootmarkering"/>
        </w:rPr>
        <w:t xml:space="preserve"> </w:t>
      </w:r>
      <w:r w:rsidRPr="00C74377">
        <w:t xml:space="preserve">Het enige waar de voorbeelden </w:t>
      </w:r>
      <w:r w:rsidRPr="00C74377" w:rsidR="002C2AF2">
        <w:t>in</w:t>
      </w:r>
      <w:r w:rsidRPr="00C74377">
        <w:t xml:space="preserve"> verschillen is de hoogte van het toetsingsinkomen. De in de tabellen genoemde bedragen zijn in lopende prijzen.</w:t>
      </w:r>
      <w:r w:rsidRPr="00C74377" w:rsidR="00BB459D">
        <w:t xml:space="preserve"> </w:t>
      </w:r>
      <w:r w:rsidRPr="00C74377">
        <w:t xml:space="preserve">Dat betekent dat de opvangkosten, de hoogte van de vergoeding voor </w:t>
      </w:r>
      <w:r w:rsidRPr="00C74377" w:rsidR="00BB459D">
        <w:t xml:space="preserve">de </w:t>
      </w:r>
      <w:r w:rsidRPr="00C74377">
        <w:t xml:space="preserve">opvang en de hoogte van de eigen bijdrage een prijsontwikkeling bevatten die is gebaseerd op een aanname over de loon- en prijsontwikkeling. De tabellen tonen ook </w:t>
      </w:r>
      <w:r w:rsidRPr="00C74377" w:rsidR="0060639A">
        <w:t xml:space="preserve">de </w:t>
      </w:r>
      <w:r w:rsidRPr="00C74377">
        <w:t>eigen bijdrage</w:t>
      </w:r>
      <w:r w:rsidRPr="00C74377" w:rsidR="0060639A">
        <w:t xml:space="preserve"> als percentage van de totale opvangkosten</w:t>
      </w:r>
      <w:r w:rsidRPr="00C74377">
        <w:t xml:space="preserve">. Dit percentage corrigeert automatisch voor deze </w:t>
      </w:r>
      <w:r w:rsidRPr="00C74377" w:rsidR="000A3E94">
        <w:t>loon- en prijs</w:t>
      </w:r>
      <w:r w:rsidRPr="00C74377">
        <w:t xml:space="preserve">ontwikkelingen. Voor een analyse van de verandering in </w:t>
      </w:r>
      <w:r w:rsidRPr="00C74377" w:rsidR="000A3E94">
        <w:t xml:space="preserve">de </w:t>
      </w:r>
      <w:r w:rsidRPr="00C74377">
        <w:t xml:space="preserve">eigen bijdrage tussen twee jaren moet daarom gekeken worden naar deze percentages. </w:t>
      </w:r>
    </w:p>
    <w:p w:rsidRPr="00C74377" w:rsidR="00962308" w:rsidP="004E19BB" w:rsidRDefault="00962308" w14:paraId="758D491F" w14:textId="77777777">
      <w:pPr>
        <w:spacing w:line="276" w:lineRule="auto"/>
        <w:rPr>
          <w:rFonts w:eastAsia="Calibri" w:cs="Calibri"/>
        </w:rPr>
      </w:pPr>
    </w:p>
    <w:p w:rsidRPr="0083201A" w:rsidR="006879AC" w:rsidP="00CD5853" w:rsidRDefault="00962308" w14:paraId="483B2DD6" w14:textId="77777777">
      <w:pPr>
        <w:rPr>
          <w:highlight w:val="yellow"/>
        </w:rPr>
      </w:pPr>
      <w:r w:rsidRPr="00C74377">
        <w:t xml:space="preserve">Deze rekenvoorbeelden </w:t>
      </w:r>
      <w:r w:rsidRPr="00C74377" w:rsidR="006D70F9">
        <w:t>laten zien</w:t>
      </w:r>
      <w:r w:rsidRPr="00C74377">
        <w:t xml:space="preserve"> dat de eigen bijdrage van de eerste twee voorbeeldhuishoudens (laag inkomen en modaal inkomen) in </w:t>
      </w:r>
      <w:r w:rsidRPr="00C74377" w:rsidR="00C343BD">
        <w:t xml:space="preserve">2027 </w:t>
      </w:r>
      <w:r w:rsidRPr="00C74377" w:rsidR="006879AC">
        <w:t xml:space="preserve">stabiel blijft op </w:t>
      </w:r>
      <w:r w:rsidRPr="00C74377" w:rsidR="000B52CF">
        <w:t>6,5</w:t>
      </w:r>
      <w:r w:rsidRPr="00C74377" w:rsidR="006879AC">
        <w:t>% van de totale kosten van kinderopvang</w:t>
      </w:r>
      <w:r w:rsidRPr="00C74377">
        <w:t xml:space="preserve">. </w:t>
      </w:r>
      <w:r w:rsidRPr="00C74377" w:rsidR="006879AC">
        <w:t>Deze huishoudens ontvangen in 202</w:t>
      </w:r>
      <w:r w:rsidRPr="00C74377" w:rsidR="000B52CF">
        <w:t>6</w:t>
      </w:r>
      <w:r w:rsidRPr="00C74377" w:rsidR="006879AC">
        <w:t xml:space="preserve"> immers al het </w:t>
      </w:r>
      <w:r w:rsidRPr="00C74377" w:rsidR="001F2D1D">
        <w:t xml:space="preserve">een </w:t>
      </w:r>
      <w:r w:rsidRPr="00C74377" w:rsidR="006879AC">
        <w:t>vergoedingspercentage van 96%</w:t>
      </w:r>
      <w:r w:rsidRPr="00C74377">
        <w:t xml:space="preserve">. Voor </w:t>
      </w:r>
      <w:r w:rsidRPr="00C74377" w:rsidR="006879AC">
        <w:t>de voorbeeldhuishoudens met een dubbelmodaal inkomen daalt de eigen</w:t>
      </w:r>
      <w:r w:rsidRPr="00C74377" w:rsidR="00AA337F">
        <w:t xml:space="preserve"> </w:t>
      </w:r>
      <w:r w:rsidRPr="00C74377" w:rsidR="006879AC">
        <w:t xml:space="preserve">bijdrage met circa </w:t>
      </w:r>
      <w:r w:rsidRPr="00C74377" w:rsidR="00F96F58">
        <w:t>3,2</w:t>
      </w:r>
      <w:r w:rsidRPr="00C74377" w:rsidR="006879AC">
        <w:t xml:space="preserve"> procentpunt.</w:t>
      </w:r>
      <w:r w:rsidRPr="00C74377" w:rsidR="00DF0675">
        <w:t xml:space="preserve"> Dat komt door de verhoging van de vergoedingspercentages in het kader van het </w:t>
      </w:r>
      <w:proofErr w:type="spellStart"/>
      <w:r w:rsidRPr="00C74377" w:rsidR="00DF0675">
        <w:t>ingroeipad</w:t>
      </w:r>
      <w:proofErr w:type="spellEnd"/>
      <w:r w:rsidRPr="00C74377" w:rsidR="00DF0675">
        <w:t>, zoals vermeld staat in hoofdstuk 2 van d</w:t>
      </w:r>
      <w:r w:rsidRPr="00C74377" w:rsidR="00F95EDD">
        <w:t>eze toelichting</w:t>
      </w:r>
      <w:r w:rsidRPr="00C74377" w:rsidR="00DF0675">
        <w:t>. Ook voor het vierde rekenvoorbeeld, rechtsonder</w:t>
      </w:r>
      <w:r w:rsidRPr="00C74377" w:rsidR="00DB18B5">
        <w:t>,</w:t>
      </w:r>
      <w:r w:rsidRPr="00C74377" w:rsidR="00DF0675">
        <w:t xml:space="preserve"> neemt de eigen bijdrage met </w:t>
      </w:r>
      <w:r w:rsidRPr="00C74377" w:rsidR="00F96F58">
        <w:t>3,2</w:t>
      </w:r>
      <w:r w:rsidRPr="00C74377" w:rsidR="00DF0675">
        <w:t xml:space="preserve"> procentpunt af. </w:t>
      </w:r>
      <w:r w:rsidRPr="00C74377" w:rsidR="00BB459D">
        <w:t>In dit vierde rekenvoorbeeld i</w:t>
      </w:r>
      <w:r w:rsidRPr="00C74377" w:rsidR="00DF0675">
        <w:t>s</w:t>
      </w:r>
      <w:r w:rsidRPr="00C74377" w:rsidR="00BB459D">
        <w:t xml:space="preserve">, zoals inmiddels gebruikelijk is bij rekenvoorbeelden voor de betaalbaarheid van kinderopvang, </w:t>
      </w:r>
      <w:r w:rsidRPr="00C74377" w:rsidR="00DF0675">
        <w:t xml:space="preserve">gerekend met een toetsingsinkomen van </w:t>
      </w:r>
      <w:r w:rsidRPr="00C74377" w:rsidR="00BB459D">
        <w:t xml:space="preserve">€ </w:t>
      </w:r>
      <w:r w:rsidRPr="00C74377" w:rsidR="00DF0675">
        <w:t>1</w:t>
      </w:r>
      <w:r w:rsidRPr="00C74377" w:rsidR="007F7937">
        <w:t>52</w:t>
      </w:r>
      <w:r w:rsidRPr="00C74377" w:rsidR="00DF0675">
        <w:t>.000 in 202</w:t>
      </w:r>
      <w:r w:rsidRPr="00C74377" w:rsidR="007F7937">
        <w:t>6</w:t>
      </w:r>
      <w:r w:rsidRPr="00C74377" w:rsidR="00BB459D">
        <w:t>.</w:t>
      </w:r>
      <w:r w:rsidRPr="00C74377" w:rsidR="00DF0675">
        <w:t xml:space="preserve"> Voor </w:t>
      </w:r>
      <w:r w:rsidRPr="00C74377" w:rsidR="00BB459D">
        <w:t xml:space="preserve">huishoudens met </w:t>
      </w:r>
      <w:r w:rsidRPr="00C74377" w:rsidR="00DF0675">
        <w:t xml:space="preserve">inkomens </w:t>
      </w:r>
      <w:r w:rsidRPr="00C74377" w:rsidR="00BB459D">
        <w:t xml:space="preserve">boven </w:t>
      </w:r>
      <w:r w:rsidRPr="00C74377" w:rsidR="00DF0675">
        <w:t xml:space="preserve">ongeveer € </w:t>
      </w:r>
      <w:r w:rsidRPr="00C74377" w:rsidR="007F7937">
        <w:t>170</w:t>
      </w:r>
      <w:r w:rsidRPr="00C74377" w:rsidR="00DF0675">
        <w:t>.000</w:t>
      </w:r>
      <w:r w:rsidRPr="00C74377" w:rsidR="007F7937">
        <w:t xml:space="preserve"> (loonpeil 2026)</w:t>
      </w:r>
      <w:r w:rsidRPr="00C74377" w:rsidR="00DF0675">
        <w:t xml:space="preserve"> is de afname van de eigen bijdrage</w:t>
      </w:r>
      <w:r w:rsidRPr="00C74377" w:rsidR="00DB18B5">
        <w:t xml:space="preserve"> echter</w:t>
      </w:r>
      <w:r w:rsidRPr="00C74377" w:rsidR="00DF0675">
        <w:t xml:space="preserve"> kleiner</w:t>
      </w:r>
      <w:r w:rsidRPr="00C74377" w:rsidR="00BB459D">
        <w:t xml:space="preserve"> dan </w:t>
      </w:r>
      <w:r w:rsidRPr="00C74377" w:rsidR="00F96F58">
        <w:t>3,2</w:t>
      </w:r>
      <w:r w:rsidRPr="00C74377" w:rsidR="00BB459D">
        <w:t xml:space="preserve"> procentpunt, </w:t>
      </w:r>
      <w:r w:rsidRPr="00C74377" w:rsidR="00DF0675">
        <w:t>namelijk</w:t>
      </w:r>
      <w:r w:rsidRPr="00C74377" w:rsidR="007F7937">
        <w:t xml:space="preserve"> aflopend tot </w:t>
      </w:r>
      <w:r w:rsidRPr="00C74377" w:rsidR="00DF0675">
        <w:t xml:space="preserve"> </w:t>
      </w:r>
      <w:r w:rsidRPr="00C74377" w:rsidR="00F96F58">
        <w:t>2</w:t>
      </w:r>
      <w:r w:rsidRPr="00C74377" w:rsidR="00BB459D">
        <w:t xml:space="preserve"> procentpunt</w:t>
      </w:r>
      <w:r w:rsidRPr="00C74377" w:rsidR="00DF0675">
        <w:t>.</w:t>
      </w:r>
      <w:r w:rsidRPr="00C74377" w:rsidR="00AB2CEC">
        <w:t xml:space="preserve"> </w:t>
      </w:r>
      <w:r w:rsidRPr="00C74377" w:rsidR="003E54A8">
        <w:t>Dit komt</w:t>
      </w:r>
      <w:r w:rsidR="003E54A8">
        <w:t xml:space="preserve"> omdat de regering ervoor heeft gekozen de vergoedingspercentages sterker te verhogen voor middeninkomens dan voor de hoogste </w:t>
      </w:r>
      <w:r w:rsidR="003E54A8">
        <w:lastRenderedPageBreak/>
        <w:t xml:space="preserve">inkomens, in lijn met de motie Haage om middeninkomens prioriteit te geven bij de volgende </w:t>
      </w:r>
      <w:r w:rsidR="00F95EDD">
        <w:t>wijzigingen van het B</w:t>
      </w:r>
      <w:r w:rsidR="003E54A8">
        <w:t>esluit kinderopvangtoeslag.</w:t>
      </w:r>
      <w:r w:rsidR="003E54A8">
        <w:rPr>
          <w:rStyle w:val="Voetnootmarkering"/>
        </w:rPr>
        <w:footnoteReference w:id="14"/>
      </w:r>
      <w:r w:rsidR="003E54A8">
        <w:t xml:space="preserve"> </w:t>
      </w:r>
    </w:p>
    <w:p w:rsidR="004E19BB" w:rsidP="004E19BB" w:rsidRDefault="004E19BB" w14:paraId="215A4316" w14:textId="77777777">
      <w:pPr>
        <w:spacing w:line="276" w:lineRule="auto"/>
        <w:rPr>
          <w:rFonts w:eastAsia="Calibri" w:cs="Calibri"/>
          <w:b/>
          <w:bCs/>
          <w:i/>
          <w:iCs/>
        </w:rPr>
      </w:pPr>
    </w:p>
    <w:p w:rsidR="004E19BB" w:rsidP="004E19BB" w:rsidRDefault="004E19BB" w14:paraId="1ECC5C64" w14:textId="77777777">
      <w:pPr>
        <w:spacing w:line="276" w:lineRule="auto"/>
        <w:rPr>
          <w:rFonts w:eastAsia="Calibri" w:cs="Calibri"/>
          <w:b/>
          <w:bCs/>
          <w:i/>
          <w:iCs/>
        </w:rPr>
      </w:pPr>
      <w:r>
        <w:rPr>
          <w:rFonts w:eastAsia="Calibri" w:cs="Calibri"/>
          <w:b/>
          <w:bCs/>
          <w:i/>
          <w:iCs/>
        </w:rPr>
        <w:t>5. Uitgebrachte adviezen</w:t>
      </w:r>
    </w:p>
    <w:p w:rsidR="004E19BB" w:rsidP="004E19BB" w:rsidRDefault="004E19BB" w14:paraId="2101210D" w14:textId="77777777">
      <w:pPr>
        <w:spacing w:line="276" w:lineRule="auto"/>
        <w:rPr>
          <w:rFonts w:eastAsia="Calibri" w:cs="Calibri"/>
          <w:b/>
          <w:bCs/>
          <w:i/>
          <w:iCs/>
        </w:rPr>
      </w:pPr>
    </w:p>
    <w:p w:rsidR="00E11410" w:rsidP="00E11410" w:rsidRDefault="00E11410" w14:paraId="435DB675" w14:textId="77777777">
      <w:pPr>
        <w:spacing w:line="276" w:lineRule="auto"/>
      </w:pPr>
      <w:r>
        <w:t xml:space="preserve">Dienst Toeslagen heeft de wijzigingen uit het onderhavige besluit met een uitvoeringstoets beoordeeld. Dienst Toeslagen verwacht dat de wijzigingen uitvoerbaar zijn. Wel ziet Dienst Toeslagen een risico op hogere terugvorderingen op basis van opvanguren, doordat veel ouders meer kinderopvangtoeslag ontvangen. Tegelijkertijd neemt het risico op terugvorderingen op basis van inkomen af, doordat een grotere groep ouders een </w:t>
      </w:r>
      <w:r w:rsidR="00E57665">
        <w:t>vergoedingspercentage</w:t>
      </w:r>
      <w:r>
        <w:t xml:space="preserve"> van 96% ontvangt.</w:t>
      </w:r>
    </w:p>
    <w:p w:rsidR="008E05C8" w:rsidRDefault="00E11410" w14:paraId="7D2D6BF6" w14:textId="77777777">
      <w:pPr>
        <w:spacing w:line="276" w:lineRule="auto"/>
      </w:pPr>
      <w:r>
        <w:t xml:space="preserve">Daarnaast wordt een aanvullende inzet van communicatie verwacht, omdat de hoogte van de kinderopvangtoeslag meer toeneemt dan normaal. Dit kan naar verwachting echter worden opgevangen binnen bestaande kaders. </w:t>
      </w:r>
    </w:p>
    <w:p w:rsidR="008E05C8" w:rsidRDefault="008E05C8" w14:paraId="5293A4D1" w14:textId="77777777">
      <w:pPr>
        <w:spacing w:line="276" w:lineRule="auto"/>
      </w:pPr>
    </w:p>
    <w:p w:rsidR="00E11410" w:rsidP="00E11410" w:rsidRDefault="00CF5A5B" w14:paraId="0526C7DC" w14:textId="77777777">
      <w:r w:rsidRPr="00CF5A5B">
        <w:t xml:space="preserve">SZW blijft samen met Dienst Toeslagen aandacht houden voor het terugdringen van hoge terugvorderingen. De acties die daarvoor afgelopen jaren zijn ingezet, lopen ook in 2027 door. In het bijzonder wordt daarbij ingezet op </w:t>
      </w:r>
      <w:proofErr w:type="spellStart"/>
      <w:r w:rsidRPr="00CF5A5B">
        <w:t>vroegsignalering</w:t>
      </w:r>
      <w:proofErr w:type="spellEnd"/>
      <w:r w:rsidRPr="00CF5A5B">
        <w:t>, waarbij ouders beter worden ondersteund in het actueel houden van hun gegevens. Het kabinet blijft hierin verder stappen zetten, bijvoorbeeld door het uitvoeren van pilots waarbij afwijkingen in inkomen en opvanglasten door Dienst Toeslagen voor de ouder worden gecorrigeerd.</w:t>
      </w:r>
      <w:r>
        <w:rPr>
          <w:rStyle w:val="Voetnootmarkering"/>
        </w:rPr>
        <w:footnoteReference w:id="15"/>
      </w:r>
    </w:p>
    <w:p w:rsidR="009C2236" w:rsidP="004E19BB" w:rsidRDefault="009C2236" w14:paraId="3BCE05E9" w14:textId="77777777">
      <w:pPr>
        <w:spacing w:line="276" w:lineRule="auto"/>
        <w:rPr>
          <w:rFonts w:eastAsia="Calibri" w:cs="Calibri"/>
          <w:b/>
          <w:bCs/>
          <w:i/>
          <w:iCs/>
        </w:rPr>
      </w:pPr>
    </w:p>
    <w:p w:rsidR="004E19BB" w:rsidP="004E19BB" w:rsidRDefault="004E19BB" w14:paraId="69C57DF4" w14:textId="77777777">
      <w:pPr>
        <w:spacing w:line="276" w:lineRule="auto"/>
        <w:rPr>
          <w:rFonts w:eastAsia="Calibri" w:cs="Calibri"/>
          <w:b/>
          <w:bCs/>
          <w:i/>
          <w:iCs/>
        </w:rPr>
      </w:pPr>
      <w:r>
        <w:rPr>
          <w:rFonts w:eastAsia="Calibri" w:cs="Calibri"/>
          <w:b/>
          <w:bCs/>
          <w:i/>
          <w:iCs/>
        </w:rPr>
        <w:t>6. Gevolgen regeldruk</w:t>
      </w:r>
    </w:p>
    <w:p w:rsidR="004E19BB" w:rsidP="004E19BB" w:rsidRDefault="004E19BB" w14:paraId="587DF053" w14:textId="77777777">
      <w:pPr>
        <w:spacing w:line="276" w:lineRule="auto"/>
        <w:rPr>
          <w:rFonts w:eastAsia="Calibri" w:cs="Calibri"/>
          <w:b/>
          <w:bCs/>
          <w:i/>
          <w:iCs/>
        </w:rPr>
      </w:pPr>
    </w:p>
    <w:p w:rsidR="00162C30" w:rsidP="00CD5853" w:rsidRDefault="004E19BB" w14:paraId="72799590" w14:textId="77777777">
      <w:r>
        <w:t>Deze wijziging van het Besluit kinderopvangtoeslag heeft geen gevolgen voor de regeldruk van bedrijven, burgers en uitvoerende professionals.</w:t>
      </w:r>
      <w:r w:rsidR="00732D14">
        <w:t xml:space="preserve"> </w:t>
      </w:r>
      <w:r w:rsidR="00AB68D3">
        <w:t>De</w:t>
      </w:r>
      <w:r w:rsidR="00732D14">
        <w:t xml:space="preserve"> ophoging van de vergoedingspercentages</w:t>
      </w:r>
      <w:r w:rsidR="0097527B">
        <w:t xml:space="preserve"> </w:t>
      </w:r>
      <w:r w:rsidR="00AB68D3">
        <w:t xml:space="preserve">heeft </w:t>
      </w:r>
      <w:r w:rsidR="002B5A0B">
        <w:t xml:space="preserve">geen </w:t>
      </w:r>
      <w:r w:rsidR="00607704">
        <w:t>effect</w:t>
      </w:r>
      <w:r w:rsidR="002B5A0B">
        <w:t xml:space="preserve"> </w:t>
      </w:r>
      <w:r w:rsidR="00607704">
        <w:t>op</w:t>
      </w:r>
      <w:r w:rsidR="00732D14">
        <w:t xml:space="preserve"> de regeldruk </w:t>
      </w:r>
      <w:r w:rsidR="002B5A0B">
        <w:t>van ouders</w:t>
      </w:r>
      <w:r w:rsidR="0015719E">
        <w:t>.</w:t>
      </w:r>
      <w:r w:rsidR="001A0C2B">
        <w:t xml:space="preserve"> </w:t>
      </w:r>
      <w:r w:rsidR="0015719E">
        <w:t>E</w:t>
      </w:r>
      <w:r w:rsidR="00473F30">
        <w:t>r</w:t>
      </w:r>
      <w:r w:rsidR="003832B4">
        <w:t xml:space="preserve"> is immers</w:t>
      </w:r>
      <w:r w:rsidR="00473F30">
        <w:t xml:space="preserve"> geen sprake van</w:t>
      </w:r>
      <w:r w:rsidR="00732D14">
        <w:t xml:space="preserve"> een </w:t>
      </w:r>
      <w:r w:rsidR="008B0FF4">
        <w:t>aanpassing</w:t>
      </w:r>
      <w:r w:rsidR="00732D14">
        <w:t xml:space="preserve"> in het aanvraagproces. </w:t>
      </w:r>
    </w:p>
    <w:p w:rsidR="00127043" w:rsidP="00CD5853" w:rsidRDefault="00127043" w14:paraId="3D6BA75B" w14:textId="77777777">
      <w:r w:rsidRPr="00650EC9">
        <w:t>Het Adviescollege Toetsing Regeldruk (ATR) heeft het dossier niet geselecteerd voor een formeel advies, omdat het geen gevolgen voor de regeldruk heeft.</w:t>
      </w:r>
    </w:p>
    <w:p w:rsidR="00023C39" w:rsidP="004E19BB" w:rsidRDefault="00023C39" w14:paraId="66001337" w14:textId="77777777">
      <w:pPr>
        <w:spacing w:line="276" w:lineRule="auto"/>
        <w:rPr>
          <w:rFonts w:eastAsia="Calibri" w:cs="Calibri"/>
          <w:b/>
          <w:bCs/>
          <w:i/>
          <w:iCs/>
        </w:rPr>
      </w:pPr>
    </w:p>
    <w:p w:rsidR="004E19BB" w:rsidP="004E19BB" w:rsidRDefault="004E19BB" w14:paraId="2BEE17EC" w14:textId="77777777">
      <w:pPr>
        <w:spacing w:line="276" w:lineRule="auto"/>
        <w:rPr>
          <w:rFonts w:eastAsia="Calibri" w:cs="Calibri"/>
          <w:b/>
          <w:bCs/>
          <w:i/>
          <w:iCs/>
        </w:rPr>
      </w:pPr>
      <w:r>
        <w:rPr>
          <w:rFonts w:eastAsia="Calibri" w:cs="Calibri"/>
          <w:b/>
          <w:bCs/>
          <w:i/>
          <w:iCs/>
        </w:rPr>
        <w:t>7. Uitkomsten internetconsultatie</w:t>
      </w:r>
    </w:p>
    <w:p w:rsidR="004E19BB" w:rsidP="004E19BB" w:rsidRDefault="004E19BB" w14:paraId="681884A2" w14:textId="77777777">
      <w:pPr>
        <w:spacing w:line="276" w:lineRule="auto"/>
        <w:rPr>
          <w:rFonts w:eastAsia="Calibri" w:cs="Calibri"/>
          <w:b/>
          <w:bCs/>
          <w:i/>
          <w:iCs/>
        </w:rPr>
      </w:pPr>
    </w:p>
    <w:p w:rsidR="0095407C" w:rsidP="008F461C" w:rsidRDefault="00B46CDE" w14:paraId="0FA53B22" w14:textId="77777777">
      <w:r>
        <w:t xml:space="preserve">Het ontwerpbesluit stond van </w:t>
      </w:r>
      <w:r w:rsidR="00127043">
        <w:t xml:space="preserve">30 januari tot en met 27 februari vier weken open voor internetconsultatie. </w:t>
      </w:r>
      <w:r w:rsidR="00AB68D3">
        <w:t>De versie van het ontwerp</w:t>
      </w:r>
      <w:r w:rsidR="00C436ED">
        <w:t xml:space="preserve"> van dit </w:t>
      </w:r>
      <w:r w:rsidR="00AB68D3">
        <w:t>besluit d</w:t>
      </w:r>
      <w:r w:rsidR="00C436ED">
        <w:t>at</w:t>
      </w:r>
      <w:r w:rsidR="00AB68D3">
        <w:t xml:space="preserve"> openstond voor internetconsultatie, bevatte nog zowel de verhoging van de vergoedingspercentages als de indexatie van de maximum </w:t>
      </w:r>
      <w:proofErr w:type="spellStart"/>
      <w:r w:rsidR="00AB68D3">
        <w:t>uurprijzen</w:t>
      </w:r>
      <w:proofErr w:type="spellEnd"/>
      <w:r w:rsidR="00AB68D3">
        <w:t xml:space="preserve"> en de toetsingsinkomens. </w:t>
      </w:r>
      <w:r w:rsidR="00127043">
        <w:t xml:space="preserve">Op het moment dat de internetconsultatie werd gepubliceerd, waren de indexeringspercentages van de maximum </w:t>
      </w:r>
      <w:proofErr w:type="spellStart"/>
      <w:r w:rsidR="00127043">
        <w:t>uurprijzen</w:t>
      </w:r>
      <w:proofErr w:type="spellEnd"/>
      <w:r w:rsidR="00127043">
        <w:t xml:space="preserve"> en de toetsingsinkomens </w:t>
      </w:r>
      <w:r w:rsidR="00AB68D3">
        <w:t xml:space="preserve">echter </w:t>
      </w:r>
      <w:r w:rsidR="00127043">
        <w:t>nog niet bekend, omdat de cijfers uit het CEP destijds nog niet gepubliceerd waren. Met oog op de strakke planning van het ontwerpbesluit (publicatie uiterlijk 15 oktober) en om de Eerste en Tweede Kamer voldoende gelegenheid te geven om te reageren op het ontwerpbesluit</w:t>
      </w:r>
      <w:r w:rsidR="003D1625">
        <w:t xml:space="preserve"> tijdens de voorhangprocedure</w:t>
      </w:r>
      <w:r w:rsidR="00127043">
        <w:t xml:space="preserve">, is ervoor gekozen de internetconsultatie toch al van start te laten gaan. </w:t>
      </w:r>
      <w:r w:rsidR="00B57592">
        <w:t xml:space="preserve">Uiteindelijk bleek het gezien de kabinetsformatie en </w:t>
      </w:r>
      <w:r w:rsidR="00173CC7">
        <w:t>de</w:t>
      </w:r>
      <w:r w:rsidR="00B57592">
        <w:t xml:space="preserve"> </w:t>
      </w:r>
      <w:r w:rsidR="00173CC7">
        <w:t xml:space="preserve">budgettaire gesprekken gedurende de </w:t>
      </w:r>
      <w:r w:rsidR="00B57592">
        <w:t>voorjaar</w:t>
      </w:r>
      <w:r w:rsidR="00173CC7">
        <w:t>s-</w:t>
      </w:r>
      <w:r w:rsidR="00AB68D3">
        <w:t xml:space="preserve"> en augustus</w:t>
      </w:r>
      <w:r w:rsidR="00173CC7">
        <w:t>besluitvorming</w:t>
      </w:r>
      <w:r w:rsidR="00B57592">
        <w:t xml:space="preserve"> toch niet haalbaar om </w:t>
      </w:r>
      <w:r w:rsidR="00AB68D3">
        <w:t xml:space="preserve">een voorhangprocedure van vier weken te organiseren. Het kabinet heeft er daarom in de </w:t>
      </w:r>
      <w:r w:rsidR="00AB68D3">
        <w:lastRenderedPageBreak/>
        <w:t xml:space="preserve">zomer van 2026 voor gekozen om het ontwerpbesluit te splitsen in een </w:t>
      </w:r>
      <w:r w:rsidR="00AF001B">
        <w:t>besluit</w:t>
      </w:r>
      <w:r w:rsidR="00AB68D3">
        <w:t xml:space="preserve"> met enkel indexatie, waarvoor geen voorhang</w:t>
      </w:r>
      <w:r w:rsidR="00EF2C39">
        <w:t>procedure</w:t>
      </w:r>
      <w:r w:rsidR="00AB68D3">
        <w:t xml:space="preserve"> geldt, en het voorliggende besluit met enkel de verhoging van de vergoedingspercentages, dat wel voor</w:t>
      </w:r>
      <w:r w:rsidR="00EF2C39">
        <w:t xml:space="preserve">gehangen moet </w:t>
      </w:r>
      <w:r w:rsidR="00AB68D3">
        <w:t>worden.</w:t>
      </w:r>
    </w:p>
    <w:p w:rsidR="0037018D" w:rsidP="008F461C" w:rsidRDefault="0037018D" w14:paraId="50DA39A1" w14:textId="77777777"/>
    <w:p w:rsidR="0037018D" w:rsidP="008F461C" w:rsidRDefault="00127043" w14:paraId="5EE1AAC1" w14:textId="77777777">
      <w:r>
        <w:t xml:space="preserve">De consultatie heeft geleid tot </w:t>
      </w:r>
      <w:r w:rsidR="004E539D">
        <w:t>15</w:t>
      </w:r>
      <w:r>
        <w:t xml:space="preserve"> reacties.</w:t>
      </w:r>
      <w:r w:rsidR="004E539D">
        <w:t xml:space="preserve"> </w:t>
      </w:r>
      <w:r w:rsidR="00194245">
        <w:t>Een paar reacties noem</w:t>
      </w:r>
      <w:r w:rsidR="00A80CC4">
        <w:t>t</w:t>
      </w:r>
      <w:r w:rsidR="00194245">
        <w:t xml:space="preserve"> het positief dat de kinderopvangtoeslag wordt geïndexeerd en meestijgt met de loon- en prijsontwikkeling. </w:t>
      </w:r>
      <w:r w:rsidR="0037018D">
        <w:t>Een aantal reacties spreekt steun uit voor de geleidelijke verhoging van de vergoedingspercentages in 2027</w:t>
      </w:r>
      <w:r w:rsidR="0009735F">
        <w:t xml:space="preserve"> (</w:t>
      </w:r>
      <w:r w:rsidR="000B6FB7">
        <w:t xml:space="preserve">de </w:t>
      </w:r>
      <w:r w:rsidR="00FE2E1F">
        <w:t xml:space="preserve">derde stap op het </w:t>
      </w:r>
      <w:proofErr w:type="spellStart"/>
      <w:r w:rsidR="0009735F">
        <w:t>ingroeipad</w:t>
      </w:r>
      <w:proofErr w:type="spellEnd"/>
      <w:r w:rsidR="0009735F">
        <w:t>)</w:t>
      </w:r>
      <w:r w:rsidR="0037018D">
        <w:t xml:space="preserve">. Dit helpt de sector om de vraagstijging op te vangen. Belangenvereniging voor Maatschappelijke Kinderopvang geeft daarbij </w:t>
      </w:r>
      <w:r w:rsidR="0009735F">
        <w:t>tevens</w:t>
      </w:r>
      <w:r w:rsidR="0037018D">
        <w:t xml:space="preserve"> </w:t>
      </w:r>
      <w:r w:rsidR="00002913">
        <w:t xml:space="preserve">aan </w:t>
      </w:r>
      <w:r w:rsidR="0037018D">
        <w:t xml:space="preserve">de </w:t>
      </w:r>
      <w:r w:rsidR="00EB3C71">
        <w:t xml:space="preserve">verdeling van de middelen in het </w:t>
      </w:r>
      <w:proofErr w:type="spellStart"/>
      <w:r w:rsidR="00EB3C71">
        <w:t>ingroeipad</w:t>
      </w:r>
      <w:proofErr w:type="spellEnd"/>
      <w:r w:rsidR="00EB3C71">
        <w:t xml:space="preserve"> te steunen, waarbij middeninkomens een</w:t>
      </w:r>
      <w:r w:rsidR="000535EF">
        <w:t xml:space="preserve"> </w:t>
      </w:r>
      <w:r w:rsidR="008F4D94">
        <w:t>grotere</w:t>
      </w:r>
      <w:r w:rsidR="000535EF">
        <w:t xml:space="preserve"> stijging van het</w:t>
      </w:r>
      <w:r w:rsidR="00EB3C71">
        <w:t xml:space="preserve"> vergoedingspercentage krijgen </w:t>
      </w:r>
      <w:r w:rsidR="000535EF">
        <w:t>dan</w:t>
      </w:r>
      <w:r w:rsidR="00EB3C71">
        <w:t xml:space="preserve"> hoge inkomens, in lijn met de motie Haage.</w:t>
      </w:r>
      <w:r w:rsidR="00F54D78">
        <w:t xml:space="preserve"> Daarbij geven enkele reacties aan de overgang naar directe financiering te steunen, waarbij eenvoud, zekerheid en uitvoerbaarheid voorop moeten staan.</w:t>
      </w:r>
      <w:r w:rsidR="00194245">
        <w:t xml:space="preserve"> </w:t>
      </w:r>
    </w:p>
    <w:p w:rsidR="0037018D" w:rsidP="008F461C" w:rsidRDefault="0037018D" w14:paraId="1260A314" w14:textId="77777777"/>
    <w:p w:rsidR="00CC180D" w:rsidP="00CC180D" w:rsidRDefault="00CE4928" w14:paraId="205CFE80" w14:textId="77777777">
      <w:r>
        <w:t xml:space="preserve">Ruim de helft van de reacties behandelt de </w:t>
      </w:r>
      <w:r w:rsidR="00DA1C5E">
        <w:t xml:space="preserve">maximum </w:t>
      </w:r>
      <w:proofErr w:type="spellStart"/>
      <w:r w:rsidR="00DA1C5E">
        <w:t>uurprijs</w:t>
      </w:r>
      <w:proofErr w:type="spellEnd"/>
      <w:r w:rsidR="00DA1C5E">
        <w:t xml:space="preserve"> </w:t>
      </w:r>
      <w:r>
        <w:t>voor gastouderopvang</w:t>
      </w:r>
      <w:r w:rsidR="00CC180D">
        <w:t xml:space="preserve">. </w:t>
      </w:r>
      <w:r>
        <w:t xml:space="preserve">Met name gastouders en gastouderbureaus </w:t>
      </w:r>
      <w:r w:rsidR="00CC180D">
        <w:t xml:space="preserve">betogen dat de maximum </w:t>
      </w:r>
      <w:proofErr w:type="spellStart"/>
      <w:r w:rsidR="00CC180D">
        <w:t>uurprijs</w:t>
      </w:r>
      <w:proofErr w:type="spellEnd"/>
      <w:r w:rsidR="00CC180D">
        <w:t xml:space="preserve"> voor gastouderopvang te laag ligt ten opzichte van de kosten die gastouders maken. </w:t>
      </w:r>
      <w:r w:rsidR="00F54D78">
        <w:t xml:space="preserve">Ook enkele kinderopvangorganisaties en de </w:t>
      </w:r>
      <w:r>
        <w:t xml:space="preserve">Brancheorganisatie Kinderopvang </w:t>
      </w:r>
      <w:r w:rsidR="00F54D78">
        <w:t xml:space="preserve">onderschrijven dit in hun reactie. </w:t>
      </w:r>
      <w:r w:rsidR="00CC180D">
        <w:t>Gastouders zouden daarom een (te) laag inkomen verdienen. Het kostprijsonderzoek dat SZW in 2025 heeft afgerond, geeft een cijfermatige onderbouwing bij deze signalen.</w:t>
      </w:r>
      <w:r w:rsidR="00CC180D">
        <w:rPr>
          <w:rStyle w:val="Voetnootmarkering"/>
        </w:rPr>
        <w:footnoteReference w:id="16"/>
      </w:r>
      <w:r w:rsidR="00CC180D">
        <w:t xml:space="preserve"> </w:t>
      </w:r>
      <w:r>
        <w:t xml:space="preserve">Het uitstroomonderzoek naar gastouderopvang laat </w:t>
      </w:r>
      <w:r w:rsidR="00F65A6A">
        <w:t xml:space="preserve">daarnaast </w:t>
      </w:r>
      <w:r>
        <w:t>zien dat hoge kosten en lage verdiensten een rol spelen in de ui</w:t>
      </w:r>
      <w:r w:rsidR="00F65A6A">
        <w:t>t</w:t>
      </w:r>
      <w:r>
        <w:t>stroom van gastouders.</w:t>
      </w:r>
      <w:r w:rsidR="00F65A6A">
        <w:rPr>
          <w:rStyle w:val="Voetnootmarkering"/>
        </w:rPr>
        <w:footnoteReference w:id="17"/>
      </w:r>
      <w:r w:rsidR="00F65A6A">
        <w:t xml:space="preserve"> </w:t>
      </w:r>
    </w:p>
    <w:p w:rsidR="00127043" w:rsidP="008F461C" w:rsidRDefault="00CE4928" w14:paraId="2A9C2BE0" w14:textId="77777777">
      <w:r>
        <w:t xml:space="preserve">De regering benadrukt dat gastouders en gastouderbureaus zelf de hoogte bepalen van het tarief dat zij ouders in rekening brengen. De kinderopvangtoeslag is een tegemoetkoming aan ouders voor de kosten van kinderopvang. Net zoals kindercentra kunnen gastouders en gastouderbureaus een hoger tarief vragen dan de maximum </w:t>
      </w:r>
      <w:proofErr w:type="spellStart"/>
      <w:r>
        <w:t>uurprijs</w:t>
      </w:r>
      <w:proofErr w:type="spellEnd"/>
      <w:r>
        <w:t xml:space="preserve"> om te voorzien in hun kosten en de door hen benodigde inkomsten te waarborgen. </w:t>
      </w:r>
      <w:r w:rsidR="00CC180D">
        <w:t xml:space="preserve">De tarieven in de gastouderopvang liggen gemiddeld echter dichter bij de maximum </w:t>
      </w:r>
      <w:proofErr w:type="spellStart"/>
      <w:r w:rsidR="00CC180D">
        <w:t>uurprijs</w:t>
      </w:r>
      <w:proofErr w:type="spellEnd"/>
      <w:r w:rsidR="00CC180D">
        <w:t xml:space="preserve"> dan in de dagopvang of de </w:t>
      </w:r>
      <w:proofErr w:type="spellStart"/>
      <w:r w:rsidR="00CC180D">
        <w:t>bso</w:t>
      </w:r>
      <w:proofErr w:type="spellEnd"/>
      <w:r w:rsidR="00CC180D">
        <w:t>, zoals blijkt uit de kwartaalrapportages kinderopvang.</w:t>
      </w:r>
      <w:r w:rsidR="00CC180D">
        <w:rPr>
          <w:rStyle w:val="Voetnootmarkering"/>
        </w:rPr>
        <w:footnoteReference w:id="18"/>
      </w:r>
      <w:r w:rsidR="00CC180D">
        <w:t xml:space="preserve"> </w:t>
      </w:r>
      <w:r w:rsidRPr="00650EC9">
        <w:t>Uit het uitstroomonderzoek blijkt onder meer dat gastouders het lastig vinden om hun tarieven te verhogen, bijvoorbeeld door het persoonlijke contact met de vraagouder.</w:t>
      </w:r>
      <w:r w:rsidRPr="00CE4928">
        <w:rPr>
          <w:i/>
          <w:iCs/>
        </w:rPr>
        <w:t xml:space="preserve"> </w:t>
      </w:r>
      <w:r w:rsidR="00CC180D">
        <w:t>Het kostprijsonderzoek dat in 2025 is afgerond, kan gastouders h</w:t>
      </w:r>
      <w:r>
        <w:t xml:space="preserve">andvatten bieden voor </w:t>
      </w:r>
      <w:r w:rsidR="00CC180D">
        <w:t xml:space="preserve">een passende tariefstelling. Er zijn nu geen budgettaire middelen om de maximum </w:t>
      </w:r>
      <w:proofErr w:type="spellStart"/>
      <w:r w:rsidR="00CC180D">
        <w:t>uurprijs</w:t>
      </w:r>
      <w:proofErr w:type="spellEnd"/>
      <w:r w:rsidR="00CC180D">
        <w:t xml:space="preserve"> voor gastouderopvang extra te verhogen.</w:t>
      </w:r>
    </w:p>
    <w:p w:rsidR="00CC180D" w:rsidP="008F461C" w:rsidRDefault="00CC180D" w14:paraId="444BECC4" w14:textId="77777777"/>
    <w:p w:rsidR="008E46F7" w:rsidP="008F461C" w:rsidRDefault="00FE49D7" w14:paraId="2FC7047B" w14:textId="77777777">
      <w:r>
        <w:t>Enkele reacties, waaronder die van de Brancheorganisatie Kinderopvang,</w:t>
      </w:r>
      <w:r w:rsidR="009F7C53">
        <w:t xml:space="preserve"> benoem</w:t>
      </w:r>
      <w:r>
        <w:t>en</w:t>
      </w:r>
      <w:r w:rsidR="009F7C53">
        <w:t xml:space="preserve"> dat de maximum </w:t>
      </w:r>
      <w:proofErr w:type="spellStart"/>
      <w:r w:rsidR="009F7C53">
        <w:t>uurprijs</w:t>
      </w:r>
      <w:proofErr w:type="spellEnd"/>
      <w:r w:rsidR="009F7C53">
        <w:t xml:space="preserve"> </w:t>
      </w:r>
      <w:r>
        <w:t>structureel lager is dan</w:t>
      </w:r>
      <w:r w:rsidR="009F7C53">
        <w:t xml:space="preserve"> de kosten van kinderopvangorganisaties</w:t>
      </w:r>
      <w:r w:rsidR="00394B7B">
        <w:t xml:space="preserve"> en gastouders</w:t>
      </w:r>
      <w:r w:rsidR="009F7C53">
        <w:t xml:space="preserve">. </w:t>
      </w:r>
      <w:r>
        <w:t xml:space="preserve">Dit zou druk zetten op het aanbod van kinderopvang en ertoe leiden dat kinderopvangorganisaties hogere tarieven dan de maximum </w:t>
      </w:r>
      <w:proofErr w:type="spellStart"/>
      <w:r>
        <w:t>uurprijs</w:t>
      </w:r>
      <w:proofErr w:type="spellEnd"/>
      <w:r>
        <w:t xml:space="preserve"> moeten hanteren, waardoor de betaalbaarheid van kinderopvang voor ouders onder druk komt te staan.</w:t>
      </w:r>
      <w:r w:rsidR="00394B7B">
        <w:t xml:space="preserve"> </w:t>
      </w:r>
      <w:r w:rsidR="004E539D">
        <w:t xml:space="preserve">In een reactie wordt de zorg uitgesproken dat organisaties hun diensten gaan ‘strippen’ om het tarief laag te houden, </w:t>
      </w:r>
      <w:r w:rsidR="00EC5D30">
        <w:t>maar</w:t>
      </w:r>
      <w:r w:rsidR="00080C6D">
        <w:t xml:space="preserve"> tegelijkertijd onderdelen van de dienst apart in rekening </w:t>
      </w:r>
      <w:r w:rsidR="00080C6D">
        <w:lastRenderedPageBreak/>
        <w:t xml:space="preserve">te brengen. Denk bijvoorbeeld aan het apart in rekening brengen </w:t>
      </w:r>
      <w:r w:rsidR="00EC5D30">
        <w:t>van</w:t>
      </w:r>
      <w:r w:rsidR="004E539D">
        <w:t xml:space="preserve"> warme maaltijden </w:t>
      </w:r>
      <w:r w:rsidR="00EC5D30">
        <w:t>of luiers</w:t>
      </w:r>
      <w:r w:rsidR="004E539D">
        <w:t xml:space="preserve">. </w:t>
      </w:r>
    </w:p>
    <w:p w:rsidR="00605BCD" w:rsidP="008F461C" w:rsidRDefault="009F7C53" w14:paraId="01039E08" w14:textId="77777777">
      <w:r>
        <w:t xml:space="preserve">De kinderopvangtoeslag is bedoeld als tegemoetkoming in de kosten van kinderopvang voor ouders. De </w:t>
      </w:r>
      <w:r w:rsidR="00605BCD">
        <w:t>regering heeft er bewust voor gekozen</w:t>
      </w:r>
      <w:r w:rsidRPr="00605BCD" w:rsidR="00605BCD">
        <w:t xml:space="preserve"> om de maximum </w:t>
      </w:r>
      <w:proofErr w:type="spellStart"/>
      <w:r w:rsidRPr="00605BCD" w:rsidR="00605BCD">
        <w:t>uurprijs</w:t>
      </w:r>
      <w:proofErr w:type="spellEnd"/>
      <w:r w:rsidRPr="00605BCD" w:rsidR="00605BCD">
        <w:t xml:space="preserve"> </w:t>
      </w:r>
      <w:r w:rsidR="00605BCD">
        <w:t xml:space="preserve">niet </w:t>
      </w:r>
      <w:r w:rsidRPr="00605BCD" w:rsidR="00605BCD">
        <w:t xml:space="preserve">te indexeren op basis van de kostenontwikkelingen in de sector, omdat daarmee een oplopende spiraal zou ontstaan waarbij stijgende kosten, zoals loonkosten, automatisch worden afgewenteld op de belastingbetaler via een hogere maximum </w:t>
      </w:r>
      <w:proofErr w:type="spellStart"/>
      <w:r w:rsidRPr="00605BCD" w:rsidR="00605BCD">
        <w:t>uurprijs</w:t>
      </w:r>
      <w:proofErr w:type="spellEnd"/>
      <w:r w:rsidRPr="00605BCD" w:rsidR="00605BCD">
        <w:t>. Daarom vindt de indexatie plaats aan de hand van een onafhankelijke index, gebaseerd op de gemiddelde loon- en prijsontwikkeling in de Nederlandse economie.</w:t>
      </w:r>
    </w:p>
    <w:p w:rsidR="00CE4928" w:rsidP="008F461C" w:rsidRDefault="00CE4928" w14:paraId="02D246FE" w14:textId="77777777"/>
    <w:p w:rsidR="00B32F22" w:rsidP="00B32F22" w:rsidRDefault="00B32F22" w14:paraId="57FA2696" w14:textId="77777777">
      <w:r w:rsidRPr="00FC4B07">
        <w:t xml:space="preserve">Brancheorganisatie Kinderopvang verzoekt tot slot nadrukkelijk om te bezien of de huidige indexeringssystematiek voldoende aansluit bij de werkelijke kostenontwikkeling in de sector. In 2025 is </w:t>
      </w:r>
      <w:r>
        <w:t xml:space="preserve">de </w:t>
      </w:r>
      <w:r w:rsidRPr="00FC4B07">
        <w:t>indexeringssystematiek</w:t>
      </w:r>
      <w:r>
        <w:t xml:space="preserve"> van</w:t>
      </w:r>
      <w:r w:rsidRPr="00FC4B07">
        <w:t xml:space="preserve"> kinderopvangtoeslag</w:t>
      </w:r>
      <w:r>
        <w:t xml:space="preserve"> tussen 2005 en 2024 geëvalueerd.</w:t>
      </w:r>
      <w:r>
        <w:rPr>
          <w:rStyle w:val="Voetnootmarkering"/>
        </w:rPr>
        <w:footnoteReference w:id="19"/>
      </w:r>
      <w:r w:rsidRPr="00FC4B07">
        <w:t xml:space="preserve"> </w:t>
      </w:r>
      <w:r>
        <w:t xml:space="preserve">Zoals is toegelicht in de vorige alinea, is de hoogte van de indexering bewust niet één op één gekoppeld aan de ontwikkeling van de werkelijke kostprijs in de kinderopvangsector. De regering onderschrijft desalniettemin de noodzaak om de verhouding tussen maximum </w:t>
      </w:r>
      <w:proofErr w:type="spellStart"/>
      <w:r>
        <w:t>uurprijzen</w:t>
      </w:r>
      <w:proofErr w:type="spellEnd"/>
      <w:r>
        <w:t xml:space="preserve"> en daadwerkelijk uurtarieven in de sector goed te monitoren. Indien hierin grote verschillen ontstaan, kan dit de toegankelijkheid van de kinderopvang onder druk zetten. </w:t>
      </w:r>
    </w:p>
    <w:p w:rsidR="00B32F22" w:rsidP="00B32F22" w:rsidRDefault="00B32F22" w14:paraId="32A72331" w14:textId="77777777"/>
    <w:p w:rsidRPr="00650EC9" w:rsidR="00B32F22" w:rsidP="00B32F22" w:rsidRDefault="00B32F22" w14:paraId="50FDE019" w14:textId="77777777">
      <w:pPr>
        <w:rPr>
          <w:u w:val="single"/>
        </w:rPr>
      </w:pPr>
      <w:r>
        <w:t xml:space="preserve">Naar aanleiding van de evaluatie van de indexeringssystematiek </w:t>
      </w:r>
      <w:r w:rsidR="001236B7">
        <w:t>stelt</w:t>
      </w:r>
      <w:r>
        <w:t xml:space="preserve"> de regering in het wetsvoorstel financiering kinderopvang enkele aanpassingen in de indexeringssystematiek voor.</w:t>
      </w:r>
      <w:r>
        <w:rPr>
          <w:rStyle w:val="Voetnootmarkering"/>
        </w:rPr>
        <w:footnoteReference w:id="20"/>
      </w:r>
      <w:r>
        <w:t xml:space="preserve"> Allereerst stelt de regering voor de indexeringssystematiek wettelijk te verankeren. Ten tweede, stelt de regering voor de indexering bij mededeling in de Staatscourant te laten plaatsvinden. Tot slot stelt de regering voor om de indexeringssystematiek inhoudelijk te wijzigen door te indexeren op basis van prognoses uit de Macro Economische Verkenning (MEV).</w:t>
      </w:r>
      <w:r>
        <w:rPr>
          <w:rStyle w:val="Voetnootmarkering"/>
        </w:rPr>
        <w:footnoteReference w:id="21"/>
      </w:r>
      <w:r>
        <w:t xml:space="preserve"> </w:t>
      </w:r>
      <w:r w:rsidRPr="0044792A">
        <w:t xml:space="preserve">Door indexering op basis van de MEV wordt gebruik gemaakt van zo recent mogelijke prognosecijfers. </w:t>
      </w:r>
    </w:p>
    <w:p w:rsidR="00FE49D7" w:rsidP="00FE49D7" w:rsidRDefault="00FE49D7" w14:paraId="368AFBFE" w14:textId="77777777"/>
    <w:p w:rsidR="00FE49D7" w:rsidP="00FE49D7" w:rsidRDefault="00FE49D7" w14:paraId="0CF2221B" w14:textId="77777777">
      <w:r>
        <w:t>E</w:t>
      </w:r>
      <w:r w:rsidR="00BF2D75">
        <w:t>é</w:t>
      </w:r>
      <w:r>
        <w:t>n kinderopvangorganisatie benoemt specifiek dat de kosten van kinderopvangorganisaties ook toenemen door uitstel van de invoering van zzp-maatregelen, waardoor sommige pedagogisch medewerkers in de kinderopvang ervoor zouden kiezen om weer uit loondienst te gaan en terug te keren als zzp’er.</w:t>
      </w:r>
    </w:p>
    <w:p w:rsidR="00FE49D7" w:rsidP="00FE49D7" w:rsidRDefault="00FE49D7" w14:paraId="40132FB0" w14:textId="77777777">
      <w:r>
        <w:t>De wet- en regelgeving ten aanzien van de kwalificatie van arbeidsrelaties is recent niet gewijzigd. Wel is op 1 januari 2025 het handhavingsmoratorium voor de loonheffingen opgeheven. Dit heeft echter niet geleid tot een wijziging in wet- en regelgeving. Werk dat voor 1 januari 2025 buiten dienstbetrekking gedaan kon worden, kan ook na 1 januari 2025 buiten dienstbetrekking en werk dat voor 1 januari 2025 niet buiten dienstbetrekking gedaan kon worden, kan ook na 1 januari 2025 niet buiten dienstbetrekking gedaan worden. De gedeeltelijke verlenging van de zachte landing voor de handhaving op schijnzelfstandigheid door de Belastingdienst heeft hierop geen invloed.</w:t>
      </w:r>
      <w:r>
        <w:rPr>
          <w:rStyle w:val="Voetnootmarkering"/>
        </w:rPr>
        <w:footnoteReference w:id="22"/>
      </w:r>
    </w:p>
    <w:p w:rsidR="009F7C53" w:rsidP="008F461C" w:rsidRDefault="009F7C53" w14:paraId="3B195086" w14:textId="77777777"/>
    <w:p w:rsidR="00127043" w:rsidP="008F461C" w:rsidRDefault="00A81C04" w14:paraId="5532F97F" w14:textId="77777777">
      <w:r w:rsidRPr="008C406B">
        <w:t>Een andere reactie</w:t>
      </w:r>
      <w:r>
        <w:t xml:space="preserve"> benoemt dat de kosten van kinderopvang hoog zijn voor ouders, </w:t>
      </w:r>
      <w:r w:rsidR="00E90D93">
        <w:t>ook gezien a</w:t>
      </w:r>
      <w:r>
        <w:t>ndere kosten</w:t>
      </w:r>
      <w:r w:rsidR="000D4B2A">
        <w:t xml:space="preserve"> waarmee ouders te maken hebben</w:t>
      </w:r>
      <w:r>
        <w:t xml:space="preserve"> toenemen. De regering erkent </w:t>
      </w:r>
      <w:r w:rsidR="005D2A65">
        <w:t>de</w:t>
      </w:r>
      <w:r>
        <w:t xml:space="preserve"> zorgen en hecht belang aan de betaalbaarheid van kinderopvang. Met dit besluit </w:t>
      </w:r>
      <w:r>
        <w:lastRenderedPageBreak/>
        <w:t xml:space="preserve">worden de vergoedingspercentages voor kinderopvang verhoogd voor alle werkende </w:t>
      </w:r>
      <w:r w:rsidRPr="00C74377">
        <w:t xml:space="preserve">ouders met een inkomen hoger dan ca. € </w:t>
      </w:r>
      <w:r w:rsidRPr="00C74377" w:rsidR="000535EF">
        <w:t>58</w:t>
      </w:r>
      <w:r w:rsidRPr="00C74377">
        <w:t>.000. Alle ouders met een inkomen tot c</w:t>
      </w:r>
      <w:r w:rsidRPr="00C74377" w:rsidR="005D2A65">
        <w:t>irca</w:t>
      </w:r>
      <w:r w:rsidRPr="00C74377">
        <w:t xml:space="preserve"> € </w:t>
      </w:r>
      <w:r w:rsidRPr="00C74377" w:rsidR="000535EF">
        <w:t>72</w:t>
      </w:r>
      <w:r w:rsidRPr="00C74377">
        <w:t xml:space="preserve">.000 ontvangen vanaf 2027 </w:t>
      </w:r>
      <w:r w:rsidRPr="00C74377" w:rsidR="00E35D8D">
        <w:t>96%</w:t>
      </w:r>
      <w:r w:rsidRPr="00C74377">
        <w:t>. Voor veel werkende ouders zal kinderopvang in 2027 daardoor beter betaalbaar worden.</w:t>
      </w:r>
    </w:p>
    <w:p w:rsidR="004E539D" w:rsidP="008F461C" w:rsidRDefault="004E539D" w14:paraId="1F9A6EA8" w14:textId="77777777"/>
    <w:p w:rsidR="004E539D" w:rsidP="008F461C" w:rsidRDefault="004E539D" w14:paraId="0293DDA1" w14:textId="77777777">
      <w:r>
        <w:t xml:space="preserve">Een andere reactie verzoekt om de koppeling gewerkte uren opnieuw in te voeren, gelijktijdig met de verhoging van de vergoedingspercentages, zodat ouders niet meer uren kinderopvang gebruiken dan zij nodig hebben om te werken. </w:t>
      </w:r>
    </w:p>
    <w:p w:rsidR="004E539D" w:rsidP="008F461C" w:rsidRDefault="004E539D" w14:paraId="7DAA1E9C" w14:textId="77777777">
      <w:r>
        <w:t>De regering heeft de koppeling gewerkte uren in 2023 losgelaten, omdat dit leidde tot complexiteit en terugvorderingen bij ouders, met name bij ouders die een wisselend aantal uren werken. De regering is niet voornemens de koppeling gewerkte uren opnieuw in te voeren.</w:t>
      </w:r>
    </w:p>
    <w:p w:rsidR="00FE6E35" w:rsidP="008F461C" w:rsidRDefault="00FE6E35" w14:paraId="02653E90" w14:textId="77777777"/>
    <w:p w:rsidR="00FE6E35" w:rsidP="008F461C" w:rsidRDefault="00FE6E35" w14:paraId="011DD67C" w14:textId="77777777">
      <w:r>
        <w:t xml:space="preserve">Tot slot benoemen </w:t>
      </w:r>
      <w:r w:rsidR="00F54D78">
        <w:t>enkele</w:t>
      </w:r>
      <w:r>
        <w:t xml:space="preserve"> reacties dat de </w:t>
      </w:r>
      <w:r w:rsidR="005A565E">
        <w:t xml:space="preserve">toelichting </w:t>
      </w:r>
      <w:r>
        <w:t>onduidelijk is over de precieze hoogte van de inkomensgroepen voor wie de vergoedingspercentages worden verhoogd. De tekst is hierop verduidelijkt.</w:t>
      </w:r>
    </w:p>
    <w:p w:rsidR="0095407C" w:rsidP="004E19BB" w:rsidRDefault="0095407C" w14:paraId="70BA010D" w14:textId="77777777">
      <w:pPr>
        <w:spacing w:line="276" w:lineRule="auto"/>
        <w:rPr>
          <w:rFonts w:eastAsia="Calibri" w:cs="Calibri"/>
          <w:b/>
          <w:bCs/>
          <w:i/>
          <w:iCs/>
        </w:rPr>
      </w:pPr>
    </w:p>
    <w:p w:rsidR="004E19BB" w:rsidP="004E19BB" w:rsidRDefault="004E19BB" w14:paraId="2AC754CB" w14:textId="77777777">
      <w:pPr>
        <w:spacing w:line="276" w:lineRule="auto"/>
        <w:rPr>
          <w:rFonts w:eastAsia="Calibri" w:cs="Calibri"/>
          <w:b/>
          <w:bCs/>
          <w:i/>
          <w:iCs/>
        </w:rPr>
      </w:pPr>
      <w:r>
        <w:rPr>
          <w:rFonts w:eastAsia="Calibri" w:cs="Calibri"/>
          <w:b/>
          <w:bCs/>
          <w:i/>
          <w:iCs/>
        </w:rPr>
        <w:t>8. Resultaten voorhangprocedure</w:t>
      </w:r>
    </w:p>
    <w:p w:rsidR="004E19BB" w:rsidP="004E19BB" w:rsidRDefault="004E19BB" w14:paraId="3C0CA6F8" w14:textId="77777777">
      <w:pPr>
        <w:spacing w:line="276" w:lineRule="auto"/>
        <w:rPr>
          <w:rFonts w:eastAsia="Calibri" w:cs="Calibri"/>
          <w:b/>
          <w:bCs/>
          <w:i/>
          <w:iCs/>
        </w:rPr>
      </w:pPr>
    </w:p>
    <w:p w:rsidR="004E19BB" w:rsidP="000E2268" w:rsidRDefault="006C4845" w14:paraId="4C6E4CEA" w14:textId="77777777">
      <w:pPr>
        <w:rPr>
          <w:rFonts w:ascii="Times New Roman" w:hAnsi="Times New Roman" w:cs="Times New Roman"/>
          <w:color w:val="auto"/>
          <w:sz w:val="24"/>
          <w:szCs w:val="24"/>
        </w:rPr>
      </w:pPr>
      <w:r w:rsidRPr="007657B8">
        <w:rPr>
          <w:highlight w:val="yellow"/>
        </w:rPr>
        <w:t>PM uitkomste</w:t>
      </w:r>
      <w:r w:rsidRPr="00173CC7">
        <w:rPr>
          <w:highlight w:val="yellow"/>
        </w:rPr>
        <w:t xml:space="preserve">n </w:t>
      </w:r>
      <w:r w:rsidRPr="00173CC7" w:rsidR="00AB2CEC">
        <w:rPr>
          <w:highlight w:val="yellow"/>
        </w:rPr>
        <w:t>voorhangprocedure</w:t>
      </w:r>
    </w:p>
    <w:p w:rsidR="004E19BB" w:rsidP="004E19BB" w:rsidRDefault="004E19BB" w14:paraId="3E897829" w14:textId="77777777">
      <w:pPr>
        <w:spacing w:line="276" w:lineRule="auto"/>
        <w:rPr>
          <w:rFonts w:eastAsia="Calibri" w:cs="Calibri"/>
          <w:b/>
          <w:bCs/>
          <w:i/>
          <w:iCs/>
        </w:rPr>
      </w:pPr>
    </w:p>
    <w:p w:rsidR="004E19BB" w:rsidP="004E19BB" w:rsidRDefault="004E19BB" w14:paraId="3AD39DDA" w14:textId="77777777">
      <w:pPr>
        <w:spacing w:line="276" w:lineRule="auto"/>
        <w:rPr>
          <w:rFonts w:eastAsia="Calibri" w:cs="Calibri"/>
          <w:b/>
          <w:bCs/>
          <w:i/>
          <w:iCs/>
        </w:rPr>
      </w:pPr>
      <w:r>
        <w:rPr>
          <w:rFonts w:eastAsia="Calibri" w:cs="Calibri"/>
          <w:b/>
          <w:bCs/>
          <w:i/>
          <w:iCs/>
        </w:rPr>
        <w:t>9. Inwerkingtreding</w:t>
      </w:r>
    </w:p>
    <w:p w:rsidR="004E19BB" w:rsidP="004E19BB" w:rsidRDefault="004E19BB" w14:paraId="635B8FAE" w14:textId="77777777">
      <w:pPr>
        <w:spacing w:line="276" w:lineRule="auto"/>
        <w:rPr>
          <w:rFonts w:eastAsia="Calibri" w:cs="Calibri"/>
          <w:b/>
          <w:bCs/>
          <w:i/>
          <w:iCs/>
        </w:rPr>
      </w:pPr>
    </w:p>
    <w:p w:rsidR="004E19BB" w:rsidP="000E2268" w:rsidRDefault="004E19BB" w14:paraId="4AA3FE19" w14:textId="77777777">
      <w:r>
        <w:t xml:space="preserve">Dit besluit wordt uiterlijk op 15 oktober </w:t>
      </w:r>
      <w:r w:rsidR="006C4845">
        <w:t xml:space="preserve">2026 </w:t>
      </w:r>
      <w:r>
        <w:t xml:space="preserve">gepubliceerd en treedt in werking met ingang van 1 januari </w:t>
      </w:r>
      <w:r w:rsidR="006C4845">
        <w:t>2027</w:t>
      </w:r>
      <w:r>
        <w:t>, zijnde de aanvang van een nieuw berekeningsjaar. Daarmee is voldaan aan het kabinetsbeleid over vaste verandermomenten en een minimuminvoeringstermijn voor regelgeving, zoals neergelegd in aanwijzing 4.17 van de Aanwijzingen voor de regelgeving. Op grond van dat beleid treedt een algemene maatregel van bestuur op 1 januari of 1 juli in werking en vindt publicatie plaats uiterlijk twee maanden voor inwerkingtreding.</w:t>
      </w:r>
      <w:r w:rsidR="00EA15FC">
        <w:t xml:space="preserve"> </w:t>
      </w:r>
    </w:p>
    <w:p w:rsidR="00EA15FC" w:rsidP="000E2268" w:rsidRDefault="00EA15FC" w14:paraId="1057D08A" w14:textId="77777777"/>
    <w:p w:rsidR="004E19BB" w:rsidP="004E19BB" w:rsidRDefault="004E19BB" w14:paraId="13E7EE3D" w14:textId="77777777">
      <w:pPr>
        <w:spacing w:line="240" w:lineRule="auto"/>
        <w:rPr>
          <w:rFonts w:eastAsia="Calibri" w:cs="Calibri"/>
          <w:b/>
          <w:bCs/>
        </w:rPr>
      </w:pPr>
      <w:r>
        <w:rPr>
          <w:rFonts w:eastAsia="Calibri" w:cs="Calibri"/>
          <w:b/>
          <w:bCs/>
        </w:rPr>
        <w:br w:type="page"/>
      </w:r>
      <w:r w:rsidR="005C3256">
        <w:rPr>
          <w:rFonts w:eastAsia="Calibri" w:cs="Calibri"/>
          <w:b/>
          <w:bCs/>
        </w:rPr>
        <w:lastRenderedPageBreak/>
        <w:t>II. ARTIKELSGEWIJS DEEL</w:t>
      </w:r>
    </w:p>
    <w:p w:rsidR="004E19BB" w:rsidP="009853A1" w:rsidRDefault="004E19BB" w14:paraId="43AB652A" w14:textId="77777777"/>
    <w:p w:rsidR="004E19BB" w:rsidP="004E19BB" w:rsidRDefault="004E19BB" w14:paraId="2154CF48" w14:textId="77777777"/>
    <w:p w:rsidR="004E19BB" w:rsidP="004E19BB" w:rsidRDefault="004E19BB" w14:paraId="4DA0BA86" w14:textId="77777777">
      <w:pPr>
        <w:rPr>
          <w:b/>
          <w:bCs/>
          <w:i/>
          <w:iCs/>
        </w:rPr>
      </w:pPr>
      <w:r>
        <w:rPr>
          <w:b/>
          <w:bCs/>
          <w:i/>
          <w:iCs/>
        </w:rPr>
        <w:t xml:space="preserve">Artikel I, onderdeel </w:t>
      </w:r>
      <w:r w:rsidR="009853A1">
        <w:rPr>
          <w:b/>
          <w:bCs/>
          <w:i/>
          <w:iCs/>
        </w:rPr>
        <w:t xml:space="preserve">A </w:t>
      </w:r>
      <w:r>
        <w:rPr>
          <w:b/>
          <w:bCs/>
          <w:i/>
          <w:iCs/>
        </w:rPr>
        <w:t>(artikel 8</w:t>
      </w:r>
      <w:r w:rsidR="00D4519E">
        <w:rPr>
          <w:b/>
          <w:bCs/>
          <w:i/>
          <w:iCs/>
        </w:rPr>
        <w:t>, derde lid</w:t>
      </w:r>
      <w:r>
        <w:rPr>
          <w:b/>
          <w:bCs/>
          <w:i/>
          <w:iCs/>
        </w:rPr>
        <w:t>)</w:t>
      </w:r>
    </w:p>
    <w:p w:rsidR="004E19BB" w:rsidP="004E19BB" w:rsidRDefault="004E19BB" w14:paraId="2A207774" w14:textId="77777777">
      <w:pPr>
        <w:rPr>
          <w:b/>
          <w:bCs/>
          <w:i/>
          <w:iCs/>
        </w:rPr>
      </w:pPr>
    </w:p>
    <w:p w:rsidRPr="00C74377" w:rsidR="00880D10" w:rsidP="00880D10" w:rsidRDefault="00880D10" w14:paraId="3A936FA3" w14:textId="77777777">
      <w:r w:rsidRPr="00880D10">
        <w:t xml:space="preserve">In artikel 8, derde lid, van het Besluit kinderopvangtoeslag is vastgelegd vanaf welk </w:t>
      </w:r>
      <w:r w:rsidRPr="00C74377">
        <w:t xml:space="preserve">toetsingsinkomen de ouder voor de kosten van kinderopvang van het eerste kind een kinderopvangtoeslag ontvangt ter hoogte van </w:t>
      </w:r>
      <w:r w:rsidRPr="00C74377" w:rsidR="00462C0B">
        <w:t>39,1</w:t>
      </w:r>
      <w:r w:rsidRPr="00C74377" w:rsidR="009F40AE">
        <w:t xml:space="preserve"> </w:t>
      </w:r>
      <w:r w:rsidRPr="00C74377">
        <w:t xml:space="preserve">procent van die kosten. Dit percentage (de vaste voet) </w:t>
      </w:r>
      <w:r w:rsidRPr="00C74377" w:rsidR="009F40AE">
        <w:t xml:space="preserve">wordt </w:t>
      </w:r>
      <w:r w:rsidRPr="00C74377">
        <w:t xml:space="preserve">met ingang van </w:t>
      </w:r>
      <w:r w:rsidRPr="00C74377" w:rsidR="006C4845">
        <w:t xml:space="preserve">2027 </w:t>
      </w:r>
      <w:r w:rsidRPr="00C74377">
        <w:t xml:space="preserve">verhoogd van </w:t>
      </w:r>
      <w:r w:rsidRPr="00C74377" w:rsidR="006C4845">
        <w:t>36,5</w:t>
      </w:r>
      <w:r w:rsidRPr="00C74377">
        <w:t xml:space="preserve"> procent naar </w:t>
      </w:r>
      <w:r w:rsidRPr="00C74377" w:rsidR="00462C0B">
        <w:t>39,1</w:t>
      </w:r>
      <w:r w:rsidRPr="00C74377" w:rsidR="00B54A2B">
        <w:t xml:space="preserve"> </w:t>
      </w:r>
      <w:r w:rsidRPr="00C74377">
        <w:t xml:space="preserve">procent. De inkomensgrens wordt met ingang van </w:t>
      </w:r>
      <w:r w:rsidRPr="00C74377" w:rsidR="006C4845">
        <w:t xml:space="preserve">2027 </w:t>
      </w:r>
      <w:r w:rsidRPr="00C74377">
        <w:t xml:space="preserve">veranderd in € </w:t>
      </w:r>
      <w:r w:rsidRPr="00C74377" w:rsidR="009F40AE">
        <w:t>1</w:t>
      </w:r>
      <w:r w:rsidRPr="00C74377" w:rsidR="00D561FD">
        <w:t>79.458</w:t>
      </w:r>
      <w:r w:rsidRPr="00C74377">
        <w:t xml:space="preserve">. Ouders met een toetsingsinkomen van € </w:t>
      </w:r>
      <w:r w:rsidRPr="00C74377" w:rsidR="008F4D94">
        <w:t>179.4</w:t>
      </w:r>
      <w:r w:rsidRPr="00C74377" w:rsidR="00D561FD">
        <w:t>59</w:t>
      </w:r>
      <w:r w:rsidRPr="00C74377" w:rsidR="00AB7893">
        <w:t xml:space="preserve"> </w:t>
      </w:r>
      <w:r w:rsidRPr="00C74377">
        <w:t>en hoger krijgen een tegemoetkoming ter hoogte van de vaste voet (</w:t>
      </w:r>
      <w:r w:rsidRPr="00C74377" w:rsidR="00462C0B">
        <w:t>39,1</w:t>
      </w:r>
      <w:r w:rsidRPr="00C74377">
        <w:t xml:space="preserve"> procent). </w:t>
      </w:r>
    </w:p>
    <w:p w:rsidRPr="00C74377" w:rsidR="003B4ADE" w:rsidP="00880D10" w:rsidRDefault="003B4ADE" w14:paraId="452E9988" w14:textId="77777777"/>
    <w:p w:rsidR="003B4ADE" w:rsidP="00DE10D3" w:rsidRDefault="003B4ADE" w14:paraId="27C4BDAA" w14:textId="77777777">
      <w:r w:rsidRPr="00C74377">
        <w:t xml:space="preserve">Artikel 1.8, eerste lid, van de Wet kinderopvang, </w:t>
      </w:r>
      <w:r w:rsidRPr="00C74377" w:rsidR="00842B1D">
        <w:t xml:space="preserve">zou zo gelezen kunnen worden </w:t>
      </w:r>
      <w:r w:rsidRPr="00C74377">
        <w:t>dat altijd ten minste één inkomensgroep recht moet hebben op een vergoedingspercentage van niet meer dan 33,3%</w:t>
      </w:r>
      <w:r w:rsidRPr="00C74377" w:rsidR="00842B1D">
        <w:t>, de zogenaamde vaste voet</w:t>
      </w:r>
      <w:r w:rsidRPr="00C74377">
        <w:t>. Dit artikellid</w:t>
      </w:r>
      <w:r w:rsidRPr="00C74377" w:rsidR="00842B1D">
        <w:t xml:space="preserve"> staat in de wet sinds 2013, toen het</w:t>
      </w:r>
      <w:r w:rsidRPr="00C74377">
        <w:t xml:space="preserve"> is gewijzigd met het amendement-Van Hijum c.s.</w:t>
      </w:r>
      <w:r w:rsidRPr="00C74377">
        <w:rPr>
          <w:rStyle w:val="Voetnootmarkering"/>
        </w:rPr>
        <w:footnoteReference w:id="23"/>
      </w:r>
      <w:r w:rsidRPr="00C74377">
        <w:t>. De formulering van de wettekst komt niet overeen met de toelichting</w:t>
      </w:r>
      <w:r>
        <w:t xml:space="preserve"> op het amendement. </w:t>
      </w:r>
      <w:r w:rsidRPr="00DE10D3" w:rsidR="00DE10D3">
        <w:t>Uit de wetsgeschiedenis en parlementaire behandeling van dit amendement</w:t>
      </w:r>
      <w:r w:rsidR="00842B1D">
        <w:t xml:space="preserve"> </w:t>
      </w:r>
      <w:r w:rsidRPr="00DE10D3" w:rsidR="00DE10D3">
        <w:t>blijkt dat de indieners hiermee een motiveringsplicht beoogden.</w:t>
      </w:r>
      <w:r w:rsidR="00842B1D">
        <w:rPr>
          <w:rStyle w:val="Voetnootmarkering"/>
        </w:rPr>
        <w:footnoteReference w:id="24"/>
      </w:r>
      <w:r w:rsidRPr="00DE10D3" w:rsidR="00DE10D3">
        <w:t xml:space="preserve"> Deze</w:t>
      </w:r>
      <w:r w:rsidR="00DE10D3">
        <w:t xml:space="preserve"> </w:t>
      </w:r>
      <w:r w:rsidRPr="00DE10D3" w:rsidR="00DE10D3">
        <w:t>motiveringsplicht zag op de situatie waarin besloten zou worden dat een of</w:t>
      </w:r>
      <w:r w:rsidR="00DE10D3">
        <w:t xml:space="preserve"> </w:t>
      </w:r>
      <w:r w:rsidRPr="00DE10D3" w:rsidR="00DE10D3">
        <w:t>meerdere inkomensgroepen</w:t>
      </w:r>
      <w:r w:rsidR="00DE10D3">
        <w:t xml:space="preserve"> </w:t>
      </w:r>
      <w:r w:rsidRPr="00DE10D3" w:rsidR="00DE10D3">
        <w:t>recht zou krijgen op een</w:t>
      </w:r>
      <w:r w:rsidR="00DE10D3">
        <w:t xml:space="preserve"> </w:t>
      </w:r>
      <w:r w:rsidRPr="00DE10D3" w:rsidR="00DE10D3">
        <w:t>KOT-vergoedingspercentage van minder dan 33,3%, zoals in 2013 het geval</w:t>
      </w:r>
      <w:r w:rsidR="00DE10D3">
        <w:t xml:space="preserve"> </w:t>
      </w:r>
      <w:r w:rsidRPr="00DE10D3" w:rsidR="00DE10D3">
        <w:t>was</w:t>
      </w:r>
      <w:r w:rsidR="00842B1D">
        <w:t>.</w:t>
      </w:r>
      <w:r w:rsidR="00842B1D">
        <w:rPr>
          <w:i/>
          <w:iCs/>
        </w:rPr>
        <w:t xml:space="preserve"> </w:t>
      </w:r>
      <w:r w:rsidRPr="0069608E" w:rsidR="00842B1D">
        <w:t>De regering meent daarom dat het verhogen van de vaste voet met dit besluit niet in strijd is met artikel 1.8, eerste lid, van de Wet kinderopvang</w:t>
      </w:r>
      <w:r w:rsidRPr="00842B1D" w:rsidR="00DE10D3">
        <w:t>.</w:t>
      </w:r>
      <w:r w:rsidR="00842B1D">
        <w:t xml:space="preserve"> </w:t>
      </w:r>
      <w:r w:rsidRPr="0069608E" w:rsidR="004C663A">
        <w:rPr>
          <w:color w:val="auto"/>
        </w:rPr>
        <w:t xml:space="preserve">De motivatieplicht die de indieners van het amendement in 2013 beoogden, wordt al uitgevoerd. Sinds 2013 vermeldt het ministerie van Sociale Zaken en Werkgelegenheid standaard in haar begroting welke percentages van de kosten voor kinderopvang (op macroniveau) gedragen worden door werkgevers, ouders en overheid. Daarnaast bepaalt artikel 8, tweede lid, van het Besluit </w:t>
      </w:r>
      <w:r w:rsidR="002D2BA6">
        <w:rPr>
          <w:color w:val="auto"/>
        </w:rPr>
        <w:t>kinderopvangtoeslag</w:t>
      </w:r>
      <w:r w:rsidRPr="0069608E" w:rsidR="002D2BA6">
        <w:rPr>
          <w:color w:val="auto"/>
        </w:rPr>
        <w:t xml:space="preserve"> </w:t>
      </w:r>
      <w:r w:rsidRPr="0069608E" w:rsidR="004C663A">
        <w:rPr>
          <w:color w:val="auto"/>
        </w:rPr>
        <w:t xml:space="preserve">dat in bijlage I van het Besluit </w:t>
      </w:r>
      <w:r w:rsidR="002D2BA6">
        <w:rPr>
          <w:color w:val="auto"/>
        </w:rPr>
        <w:t>kinderopvangtoeslag</w:t>
      </w:r>
      <w:r w:rsidRPr="0069608E" w:rsidR="002D2BA6">
        <w:rPr>
          <w:color w:val="auto"/>
        </w:rPr>
        <w:t xml:space="preserve"> </w:t>
      </w:r>
      <w:r w:rsidRPr="0069608E" w:rsidR="004C663A">
        <w:rPr>
          <w:color w:val="auto"/>
        </w:rPr>
        <w:t>wordt vermeld welk toeslagpercentage elke inkomensgroep ontvangt.</w:t>
      </w:r>
      <w:r w:rsidR="002D2BA6">
        <w:t xml:space="preserve"> </w:t>
      </w:r>
      <w:r w:rsidR="00CF3097">
        <w:t>De</w:t>
      </w:r>
      <w:r w:rsidR="00094C3A">
        <w:t xml:space="preserve"> Wet verbetering kinderopvangtoeslag </w:t>
      </w:r>
      <w:r w:rsidR="00CF3097">
        <w:t xml:space="preserve">wijzigt </w:t>
      </w:r>
      <w:r w:rsidR="00094C3A">
        <w:t xml:space="preserve">deze </w:t>
      </w:r>
      <w:r w:rsidR="00842B1D">
        <w:t xml:space="preserve">bepaling en </w:t>
      </w:r>
      <w:r w:rsidR="00CF3097">
        <w:t xml:space="preserve">neemt </w:t>
      </w:r>
      <w:r w:rsidR="00842B1D">
        <w:t xml:space="preserve">de onduidelijkheid </w:t>
      </w:r>
      <w:r w:rsidR="00CF3097">
        <w:t>weg</w:t>
      </w:r>
      <w:r w:rsidR="00094C3A">
        <w:t>.</w:t>
      </w:r>
      <w:r w:rsidR="005C3256">
        <w:rPr>
          <w:rStyle w:val="Voetnootmarkering"/>
        </w:rPr>
        <w:footnoteReference w:id="25"/>
      </w:r>
    </w:p>
    <w:p w:rsidR="00036265" w:rsidP="00DE10D3" w:rsidRDefault="00036265" w14:paraId="41ACF2A2" w14:textId="77777777"/>
    <w:p w:rsidR="00D4519E" w:rsidP="00DE10D3" w:rsidRDefault="00036265" w14:paraId="22E4FC75" w14:textId="77777777">
      <w:pPr>
        <w:rPr>
          <w:b/>
          <w:bCs/>
          <w:i/>
          <w:iCs/>
        </w:rPr>
      </w:pPr>
      <w:r>
        <w:rPr>
          <w:b/>
          <w:bCs/>
          <w:i/>
          <w:iCs/>
        </w:rPr>
        <w:t xml:space="preserve">Artikel I, onderdeel </w:t>
      </w:r>
      <w:r w:rsidR="00633152">
        <w:rPr>
          <w:b/>
          <w:bCs/>
          <w:i/>
          <w:iCs/>
        </w:rPr>
        <w:t>B</w:t>
      </w:r>
      <w:r w:rsidR="002F11AB">
        <w:rPr>
          <w:b/>
          <w:bCs/>
          <w:i/>
          <w:iCs/>
        </w:rPr>
        <w:t xml:space="preserve"> </w:t>
      </w:r>
      <w:r>
        <w:rPr>
          <w:b/>
          <w:bCs/>
          <w:i/>
          <w:iCs/>
        </w:rPr>
        <w:t xml:space="preserve">(artikel </w:t>
      </w:r>
      <w:r w:rsidR="00D4519E">
        <w:rPr>
          <w:b/>
          <w:bCs/>
          <w:i/>
          <w:iCs/>
        </w:rPr>
        <w:t>8a, eerste lid, onderdeel b)</w:t>
      </w:r>
    </w:p>
    <w:p w:rsidR="002C13D3" w:rsidP="00DE10D3" w:rsidRDefault="002C13D3" w14:paraId="45B5D28B" w14:textId="77777777"/>
    <w:p w:rsidR="007E0990" w:rsidP="00DE10D3" w:rsidRDefault="002C13D3" w14:paraId="6B5B079E" w14:textId="77777777">
      <w:r>
        <w:t>Artikel 8a</w:t>
      </w:r>
      <w:r w:rsidR="005B2AEA">
        <w:t xml:space="preserve"> van het Besluit kinderopvangtoeslag bevat</w:t>
      </w:r>
      <w:r>
        <w:t xml:space="preserve"> regels over het aantal uren kinderopvang dat in aanmerking komt voor kinderopvangtoeslag. </w:t>
      </w:r>
      <w:r w:rsidR="008E5589">
        <w:t xml:space="preserve">De Wet </w:t>
      </w:r>
      <w:r w:rsidRPr="009F5B94" w:rsidR="009F5B94">
        <w:t>verbetering kinderopvangtoeslag</w:t>
      </w:r>
      <w:r w:rsidRPr="003F7C37" w:rsidR="009F5B94">
        <w:t xml:space="preserve"> </w:t>
      </w:r>
      <w:r w:rsidR="008E5589">
        <w:t>voegt</w:t>
      </w:r>
      <w:r w:rsidR="00F63970">
        <w:t xml:space="preserve"> </w:t>
      </w:r>
      <w:r>
        <w:t xml:space="preserve">een nieuw onderdeel </w:t>
      </w:r>
      <w:r w:rsidR="008E5589">
        <w:t xml:space="preserve">toe </w:t>
      </w:r>
      <w:r>
        <w:t xml:space="preserve">aan artikel 1.6, eerste lid, van de Wet kinderopvang. Dit heeft tot gevolg dat ouders die een traject volgen gericht op promotie of anderszins werkzaamheden verrichten ten behoeve van onderzoek aan een instelling of academisch ziekenhuis als bedoeld in artikel 1.2 van de Wet op het hoger onderwijs en wetenschappelijk onderzoek recht hebben op kinderopvangtoeslag. </w:t>
      </w:r>
      <w:r w:rsidRPr="003F7C37">
        <w:t xml:space="preserve">Onderdeel </w:t>
      </w:r>
      <w:r w:rsidR="003A1758">
        <w:t>B</w:t>
      </w:r>
      <w:r w:rsidR="002D2BA6">
        <w:t xml:space="preserve">, eerste lid, </w:t>
      </w:r>
      <w:r w:rsidRPr="003F7C37">
        <w:t xml:space="preserve">wijzigt artikel 8a, zodat </w:t>
      </w:r>
      <w:r w:rsidR="005B2AEA">
        <w:t>dit artikel</w:t>
      </w:r>
      <w:r w:rsidRPr="003F7C37">
        <w:t xml:space="preserve"> ook van toepassing </w:t>
      </w:r>
      <w:r w:rsidR="005B2AEA">
        <w:t>is</w:t>
      </w:r>
      <w:r w:rsidRPr="003F7C37">
        <w:t xml:space="preserve"> op de</w:t>
      </w:r>
      <w:r w:rsidR="005B2AEA">
        <w:t>ze</w:t>
      </w:r>
      <w:r w:rsidRPr="003F7C37">
        <w:t xml:space="preserve"> nieuwe doelgroep.</w:t>
      </w:r>
    </w:p>
    <w:p w:rsidR="002F11AB" w:rsidP="00DE10D3" w:rsidRDefault="002F11AB" w14:paraId="1E403289" w14:textId="77777777"/>
    <w:p w:rsidR="002F11AB" w:rsidP="00DE10D3" w:rsidRDefault="002F11AB" w14:paraId="1FDF683F" w14:textId="77777777">
      <w:r>
        <w:t xml:space="preserve">Daarnaast herstelt onderdeel </w:t>
      </w:r>
      <w:r w:rsidR="003A1758">
        <w:t>B</w:t>
      </w:r>
      <w:r>
        <w:t xml:space="preserve"> een onjuiste verwijzing naar de Wet kinderopvang. Deze wijziging houdt verband met de wijziging van artikel 1.6 van de Wet kinderopvang in artikel III van de Wet verbetermaatregelen toeslagen en aanpassing termijnen </w:t>
      </w:r>
      <w:r>
        <w:lastRenderedPageBreak/>
        <w:t xml:space="preserve">hersteloperatie toeslagen. Met de wijziging van artikel 8a, eerste lid, onderdeel b, subonderdeel 6 (nieuw), wordt aangesloten bij de nieuwe tekst van artikel 1.6, tiende lid, van de Wet kinderopvang.  </w:t>
      </w:r>
    </w:p>
    <w:p w:rsidR="006B2B43" w:rsidRDefault="006B2B43" w14:paraId="58AEEE62" w14:textId="77777777">
      <w:pPr>
        <w:spacing w:line="240" w:lineRule="auto"/>
        <w:rPr>
          <w:b/>
          <w:bCs/>
          <w:i/>
          <w:iCs/>
        </w:rPr>
      </w:pPr>
    </w:p>
    <w:p w:rsidR="004E19BB" w:rsidP="004E19BB" w:rsidRDefault="004E19BB" w14:paraId="49FC19F7" w14:textId="77777777">
      <w:pPr>
        <w:rPr>
          <w:b/>
          <w:bCs/>
          <w:i/>
          <w:iCs/>
        </w:rPr>
      </w:pPr>
      <w:r>
        <w:rPr>
          <w:b/>
          <w:bCs/>
          <w:i/>
          <w:iCs/>
        </w:rPr>
        <w:t xml:space="preserve">Artikel I, onderdeel </w:t>
      </w:r>
      <w:r w:rsidR="00AF001B">
        <w:rPr>
          <w:b/>
          <w:bCs/>
          <w:i/>
          <w:iCs/>
        </w:rPr>
        <w:t>C</w:t>
      </w:r>
      <w:r w:rsidR="00C33D7C">
        <w:rPr>
          <w:b/>
          <w:bCs/>
          <w:i/>
          <w:iCs/>
        </w:rPr>
        <w:t xml:space="preserve"> </w:t>
      </w:r>
      <w:r>
        <w:rPr>
          <w:b/>
          <w:bCs/>
          <w:i/>
          <w:iCs/>
        </w:rPr>
        <w:t>(Bijlage I)</w:t>
      </w:r>
    </w:p>
    <w:p w:rsidR="004E19BB" w:rsidP="004E19BB" w:rsidRDefault="004E19BB" w14:paraId="677CF5F0" w14:textId="77777777">
      <w:pPr>
        <w:rPr>
          <w:b/>
          <w:bCs/>
          <w:i/>
          <w:iCs/>
        </w:rPr>
      </w:pPr>
    </w:p>
    <w:p w:rsidR="004E19BB" w:rsidP="004E19BB" w:rsidRDefault="004E19BB" w14:paraId="3FF3F6E4" w14:textId="77777777">
      <w:r>
        <w:t>Met dit onderdeel wordt bijlage I behorende bij het Besluit kinderopvangtoeslag vervangen door de bijlage behorende bij dit besluit. Voor de berekening van kinderopvangtoeslag is in deze bijlage de verdeling van de toetsingsinkomens in inkomensgroepen geregeld.</w:t>
      </w:r>
    </w:p>
    <w:p w:rsidR="004E19BB" w:rsidP="004E19BB" w:rsidRDefault="004E19BB" w14:paraId="0D536897" w14:textId="77777777"/>
    <w:p w:rsidR="004E19BB" w:rsidP="004E19BB" w:rsidRDefault="004E19BB" w14:paraId="53E02193" w14:textId="77777777">
      <w:r>
        <w:t>Deze nota van toelichting wordt ondertekend mede namens de Staatssecretaris van Financiën.</w:t>
      </w:r>
    </w:p>
    <w:p w:rsidR="004E19BB" w:rsidP="004E19BB" w:rsidRDefault="004E19BB" w14:paraId="5874F17F" w14:textId="77777777"/>
    <w:p w:rsidR="004E19BB" w:rsidP="004E19BB" w:rsidRDefault="004E19BB" w14:paraId="196180F6" w14:textId="77777777">
      <w:pPr>
        <w:spacing w:line="276" w:lineRule="auto"/>
      </w:pPr>
    </w:p>
    <w:tbl>
      <w:tblPr>
        <w:tblW w:w="6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7E0" w:firstRow="1" w:lastRow="1" w:firstColumn="1" w:lastColumn="1" w:noHBand="1" w:noVBand="1"/>
      </w:tblPr>
      <w:tblGrid>
        <w:gridCol w:w="3828"/>
        <w:gridCol w:w="2802"/>
      </w:tblGrid>
      <w:tr w:rsidRPr="008616FB" w:rsidR="004E19BB" w:rsidTr="000D1553" w14:paraId="4BF5EF21" w14:textId="77777777">
        <w:trPr>
          <w:trHeight w:val="1486"/>
        </w:trPr>
        <w:tc>
          <w:tcPr>
            <w:tcW w:w="3828" w:type="dxa"/>
            <w:tcBorders>
              <w:top w:val="nil"/>
              <w:left w:val="nil"/>
              <w:bottom w:val="nil"/>
              <w:right w:val="nil"/>
            </w:tcBorders>
          </w:tcPr>
          <w:p w:rsidRPr="00B46CDE" w:rsidR="004E19BB" w:rsidP="00B46CDE" w:rsidRDefault="004E19BB" w14:paraId="4C9D1F74" w14:textId="77777777">
            <w:r>
              <w:t xml:space="preserve">De </w:t>
            </w:r>
            <w:r w:rsidRPr="00650EC9" w:rsidR="00B46CDE">
              <w:t>Minister van Werk en P</w:t>
            </w:r>
            <w:r w:rsidR="00B46CDE">
              <w:t>articipatie,</w:t>
            </w:r>
          </w:p>
          <w:p w:rsidRPr="00B46CDE" w:rsidR="004E19BB" w:rsidP="000C531F" w:rsidRDefault="004E19BB" w14:paraId="42CC86EC" w14:textId="77777777"/>
          <w:p w:rsidRPr="00B46CDE" w:rsidR="004E19BB" w:rsidP="000C531F" w:rsidRDefault="004E19BB" w14:paraId="3B60E726" w14:textId="77777777"/>
          <w:p w:rsidRPr="00B46CDE" w:rsidR="004E19BB" w:rsidP="000C531F" w:rsidRDefault="004E19BB" w14:paraId="0F90675D" w14:textId="77777777"/>
          <w:p w:rsidRPr="00B46CDE" w:rsidR="004E19BB" w:rsidP="000C531F" w:rsidRDefault="004A4284" w14:paraId="31DA03FF" w14:textId="77777777">
            <w:r w:rsidRPr="00B46CDE">
              <w:br/>
            </w:r>
          </w:p>
          <w:p w:rsidRPr="00650EC9" w:rsidR="004E19BB" w:rsidP="000C531F" w:rsidRDefault="00B46CDE" w14:paraId="13D823BB" w14:textId="77777777">
            <w:pPr>
              <w:rPr>
                <w:lang w:val="de-DE"/>
              </w:rPr>
            </w:pPr>
            <w:r>
              <w:rPr>
                <w:lang w:val="de-DE"/>
              </w:rPr>
              <w:t>A.A. Aartsen</w:t>
            </w:r>
          </w:p>
        </w:tc>
        <w:tc>
          <w:tcPr>
            <w:tcW w:w="2802" w:type="dxa"/>
            <w:tcBorders>
              <w:top w:val="nil"/>
              <w:left w:val="nil"/>
              <w:bottom w:val="nil"/>
              <w:right w:val="nil"/>
            </w:tcBorders>
            <w:hideMark/>
          </w:tcPr>
          <w:p w:rsidRPr="00650EC9" w:rsidR="004E19BB" w:rsidP="000C531F" w:rsidRDefault="004E19BB" w14:paraId="65DF8B75" w14:textId="77777777">
            <w:pPr>
              <w:rPr>
                <w:lang w:val="de-DE"/>
              </w:rPr>
            </w:pPr>
            <w:r w:rsidRPr="00650EC9">
              <w:rPr>
                <w:lang w:val="de-DE"/>
              </w:rPr>
              <w:t xml:space="preserve"> </w:t>
            </w:r>
          </w:p>
        </w:tc>
      </w:tr>
    </w:tbl>
    <w:p w:rsidRPr="00650EC9" w:rsidR="004E19BB" w:rsidP="004E19BB" w:rsidRDefault="004E19BB" w14:paraId="34E3A6D8" w14:textId="77777777">
      <w:pPr>
        <w:rPr>
          <w:lang w:val="de-DE"/>
        </w:rPr>
      </w:pPr>
    </w:p>
    <w:p w:rsidRPr="00650EC9" w:rsidR="004E19BB" w:rsidP="004E19BB" w:rsidRDefault="004E19BB" w14:paraId="1C848EDA" w14:textId="77777777">
      <w:pPr>
        <w:rPr>
          <w:lang w:val="de-DE"/>
        </w:rPr>
      </w:pPr>
    </w:p>
    <w:p w:rsidRPr="00650EC9" w:rsidR="00C566C0" w:rsidP="004E19BB" w:rsidRDefault="00C566C0" w14:paraId="246907A1" w14:textId="77777777">
      <w:pPr>
        <w:spacing w:line="240" w:lineRule="auto"/>
        <w:rPr>
          <w:lang w:val="de-DE"/>
        </w:rPr>
      </w:pPr>
    </w:p>
    <w:sectPr w:rsidRPr="00650EC9" w:rsidR="00C566C0">
      <w:headerReference w:type="even" r:id="rId11"/>
      <w:headerReference w:type="default" r:id="rId12"/>
      <w:footerReference w:type="even" r:id="rId13"/>
      <w:footerReference w:type="default" r:id="rId14"/>
      <w:headerReference w:type="first" r:id="rId15"/>
      <w:footerReference w:type="first" r:id="rId16"/>
      <w:pgSz w:w="11905" w:h="16837"/>
      <w:pgMar w:top="2948" w:right="1757" w:bottom="1547" w:left="204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0967" w14:textId="77777777" w:rsidR="005411DD" w:rsidRDefault="005411DD">
      <w:pPr>
        <w:spacing w:line="240" w:lineRule="auto"/>
      </w:pPr>
      <w:r>
        <w:separator/>
      </w:r>
    </w:p>
  </w:endnote>
  <w:endnote w:type="continuationSeparator" w:id="0">
    <w:p w14:paraId="0FCBE4F1" w14:textId="77777777" w:rsidR="005411DD" w:rsidRDefault="005411DD">
      <w:pPr>
        <w:spacing w:line="240" w:lineRule="auto"/>
      </w:pPr>
      <w:r>
        <w:continuationSeparator/>
      </w:r>
    </w:p>
  </w:endnote>
  <w:endnote w:type="continuationNotice" w:id="1">
    <w:p w14:paraId="4889D491" w14:textId="77777777" w:rsidR="005411DD" w:rsidRDefault="005411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3A15" w14:textId="77777777" w:rsidR="009973F4" w:rsidRDefault="009973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42CD" w14:textId="77777777" w:rsidR="009973F4" w:rsidRDefault="009973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0CC6" w14:textId="77777777" w:rsidR="009973F4" w:rsidRDefault="009973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3486" w14:textId="77777777" w:rsidR="005411DD" w:rsidRDefault="005411DD">
      <w:pPr>
        <w:spacing w:line="240" w:lineRule="auto"/>
      </w:pPr>
      <w:r>
        <w:separator/>
      </w:r>
    </w:p>
  </w:footnote>
  <w:footnote w:type="continuationSeparator" w:id="0">
    <w:p w14:paraId="6AE56542" w14:textId="77777777" w:rsidR="005411DD" w:rsidRDefault="005411DD">
      <w:pPr>
        <w:spacing w:line="240" w:lineRule="auto"/>
      </w:pPr>
      <w:r>
        <w:continuationSeparator/>
      </w:r>
    </w:p>
  </w:footnote>
  <w:footnote w:type="continuationNotice" w:id="1">
    <w:p w14:paraId="79ED39DB" w14:textId="77777777" w:rsidR="005411DD" w:rsidRDefault="005411DD">
      <w:pPr>
        <w:spacing w:line="240" w:lineRule="auto"/>
      </w:pPr>
    </w:p>
  </w:footnote>
  <w:footnote w:id="2">
    <w:p w14:paraId="540636C1" w14:textId="77777777" w:rsidR="00284CFB" w:rsidRPr="00946C47" w:rsidRDefault="00284CFB">
      <w:pPr>
        <w:pStyle w:val="Voetnoottekst"/>
        <w:rPr>
          <w:sz w:val="16"/>
          <w:szCs w:val="16"/>
        </w:rPr>
      </w:pPr>
      <w:r w:rsidRPr="00946C47">
        <w:rPr>
          <w:rStyle w:val="Voetnootmarkering"/>
          <w:sz w:val="16"/>
          <w:szCs w:val="16"/>
        </w:rPr>
        <w:footnoteRef/>
      </w:r>
      <w:r w:rsidRPr="00946C47">
        <w:rPr>
          <w:sz w:val="16"/>
          <w:szCs w:val="16"/>
        </w:rPr>
        <w:t xml:space="preserve"> Kamerstukken II 2024/25, 31322, nr. 14.</w:t>
      </w:r>
    </w:p>
  </w:footnote>
  <w:footnote w:id="3">
    <w:p w14:paraId="0D6F5FE9" w14:textId="77777777" w:rsidR="00946C47" w:rsidRPr="00946C47" w:rsidRDefault="00946C47">
      <w:pPr>
        <w:pStyle w:val="Voetnoottekst"/>
        <w:rPr>
          <w:sz w:val="16"/>
          <w:szCs w:val="16"/>
        </w:rPr>
      </w:pPr>
      <w:r w:rsidRPr="00946C47">
        <w:rPr>
          <w:rStyle w:val="Voetnootmarkering"/>
          <w:sz w:val="16"/>
          <w:szCs w:val="16"/>
        </w:rPr>
        <w:footnoteRef/>
      </w:r>
      <w:r w:rsidRPr="00946C47">
        <w:rPr>
          <w:sz w:val="16"/>
          <w:szCs w:val="16"/>
        </w:rPr>
        <w:t xml:space="preserve"> </w:t>
      </w:r>
      <w:bookmarkStart w:id="0" w:name="_Hlk239232144"/>
      <w:r w:rsidR="003236A5" w:rsidRPr="00675AC0">
        <w:rPr>
          <w:sz w:val="16"/>
          <w:szCs w:val="16"/>
        </w:rPr>
        <w:t xml:space="preserve">Stb. 2025, 441. </w:t>
      </w:r>
      <w:bookmarkEnd w:id="0"/>
    </w:p>
  </w:footnote>
  <w:footnote w:id="4">
    <w:p w14:paraId="04BF204D" w14:textId="77777777" w:rsidR="004E19BB" w:rsidRPr="004A6A8C" w:rsidRDefault="004E19BB" w:rsidP="004E19BB">
      <w:pPr>
        <w:pStyle w:val="Voetnoottekst"/>
        <w:rPr>
          <w:sz w:val="16"/>
          <w:szCs w:val="16"/>
        </w:rPr>
      </w:pPr>
      <w:r w:rsidRPr="00946C47">
        <w:rPr>
          <w:rStyle w:val="Voetnootmarkering"/>
          <w:sz w:val="16"/>
          <w:szCs w:val="16"/>
        </w:rPr>
        <w:footnoteRef/>
      </w:r>
      <w:r w:rsidRPr="00946C47">
        <w:rPr>
          <w:sz w:val="16"/>
          <w:szCs w:val="16"/>
        </w:rPr>
        <w:t xml:space="preserve"> Kamerstukken II 2024/25, 31 322</w:t>
      </w:r>
      <w:r w:rsidR="00E463C7" w:rsidRPr="00946C47">
        <w:rPr>
          <w:sz w:val="16"/>
          <w:szCs w:val="16"/>
        </w:rPr>
        <w:t>, nr. 547</w:t>
      </w:r>
      <w:r w:rsidR="001D42A1" w:rsidRPr="00946C47">
        <w:rPr>
          <w:sz w:val="16"/>
          <w:szCs w:val="16"/>
        </w:rPr>
        <w:t>.</w:t>
      </w:r>
    </w:p>
  </w:footnote>
  <w:footnote w:id="5">
    <w:p w14:paraId="3346D55B" w14:textId="77777777" w:rsidR="004E19BB" w:rsidRPr="00100547" w:rsidRDefault="004E19BB" w:rsidP="004E19BB">
      <w:pPr>
        <w:pStyle w:val="Voetnoottekst"/>
        <w:rPr>
          <w:sz w:val="16"/>
          <w:szCs w:val="16"/>
        </w:rPr>
      </w:pPr>
      <w:r w:rsidRPr="00100547">
        <w:rPr>
          <w:rStyle w:val="Voetnootmarkering"/>
          <w:sz w:val="16"/>
          <w:szCs w:val="16"/>
        </w:rPr>
        <w:footnoteRef/>
      </w:r>
      <w:r w:rsidRPr="00100547">
        <w:rPr>
          <w:sz w:val="16"/>
          <w:szCs w:val="16"/>
        </w:rPr>
        <w:t xml:space="preserve"> Stb. 2024, 273</w:t>
      </w:r>
      <w:r w:rsidR="00CF3097" w:rsidRPr="00100547">
        <w:rPr>
          <w:sz w:val="16"/>
          <w:szCs w:val="16"/>
        </w:rPr>
        <w:t>.</w:t>
      </w:r>
    </w:p>
  </w:footnote>
  <w:footnote w:id="6">
    <w:p w14:paraId="3F73E46B" w14:textId="77777777" w:rsidR="004E19BB" w:rsidRPr="00100547" w:rsidRDefault="004E19BB" w:rsidP="004E19BB">
      <w:pPr>
        <w:pStyle w:val="Voetnoottekst"/>
        <w:rPr>
          <w:sz w:val="16"/>
          <w:szCs w:val="16"/>
        </w:rPr>
      </w:pPr>
      <w:r w:rsidRPr="00100547">
        <w:rPr>
          <w:rStyle w:val="Voetnootmarkering"/>
          <w:sz w:val="16"/>
          <w:szCs w:val="16"/>
        </w:rPr>
        <w:footnoteRef/>
      </w:r>
      <w:r w:rsidRPr="00100547">
        <w:rPr>
          <w:sz w:val="16"/>
          <w:szCs w:val="16"/>
        </w:rPr>
        <w:t xml:space="preserve"> </w:t>
      </w:r>
      <w:r w:rsidR="00AB7893" w:rsidRPr="00100547">
        <w:rPr>
          <w:sz w:val="16"/>
          <w:szCs w:val="16"/>
        </w:rPr>
        <w:t xml:space="preserve">Loonpeil </w:t>
      </w:r>
      <w:r w:rsidR="00FE3E0C" w:rsidRPr="00100547">
        <w:rPr>
          <w:color w:val="auto"/>
          <w:sz w:val="16"/>
          <w:szCs w:val="16"/>
        </w:rPr>
        <w:t>2025</w:t>
      </w:r>
      <w:r w:rsidR="00CF3097" w:rsidRPr="00100547">
        <w:rPr>
          <w:color w:val="auto"/>
          <w:sz w:val="16"/>
          <w:szCs w:val="16"/>
        </w:rPr>
        <w:t>.</w:t>
      </w:r>
    </w:p>
  </w:footnote>
  <w:footnote w:id="7">
    <w:p w14:paraId="5C0EA6F9" w14:textId="77777777" w:rsidR="00D30B43" w:rsidRPr="00100547" w:rsidRDefault="00D30B43">
      <w:pPr>
        <w:pStyle w:val="Voetnoottekst"/>
        <w:rPr>
          <w:sz w:val="16"/>
          <w:szCs w:val="16"/>
        </w:rPr>
      </w:pPr>
      <w:r w:rsidRPr="00100547">
        <w:rPr>
          <w:rStyle w:val="Voetnootmarkering"/>
          <w:sz w:val="16"/>
          <w:szCs w:val="16"/>
        </w:rPr>
        <w:footnoteRef/>
      </w:r>
      <w:r w:rsidRPr="00100547">
        <w:rPr>
          <w:sz w:val="16"/>
          <w:szCs w:val="16"/>
        </w:rPr>
        <w:t xml:space="preserve"> Prijspeil 2025</w:t>
      </w:r>
    </w:p>
  </w:footnote>
  <w:footnote w:id="8">
    <w:p w14:paraId="392890F3" w14:textId="77777777" w:rsidR="00D27AF7" w:rsidRPr="00100547" w:rsidRDefault="00D27AF7" w:rsidP="00D27AF7">
      <w:pPr>
        <w:pStyle w:val="Voetnoottekst"/>
        <w:rPr>
          <w:sz w:val="16"/>
          <w:szCs w:val="16"/>
        </w:rPr>
      </w:pPr>
      <w:r w:rsidRPr="00100547">
        <w:rPr>
          <w:rStyle w:val="Voetnootmarkering"/>
          <w:sz w:val="16"/>
          <w:szCs w:val="16"/>
        </w:rPr>
        <w:footnoteRef/>
      </w:r>
      <w:r w:rsidRPr="00100547">
        <w:rPr>
          <w:sz w:val="16"/>
          <w:szCs w:val="16"/>
        </w:rPr>
        <w:t xml:space="preserve"> Prijspeil 2026</w:t>
      </w:r>
      <w:r w:rsidR="00CF3097" w:rsidRPr="00100547">
        <w:rPr>
          <w:sz w:val="16"/>
          <w:szCs w:val="16"/>
        </w:rPr>
        <w:t>.</w:t>
      </w:r>
    </w:p>
  </w:footnote>
  <w:footnote w:id="9">
    <w:p w14:paraId="644D82BB" w14:textId="77777777" w:rsidR="00623857" w:rsidRPr="00100547" w:rsidRDefault="00623857" w:rsidP="00623857">
      <w:pPr>
        <w:pStyle w:val="Voetnoottekst"/>
        <w:rPr>
          <w:sz w:val="16"/>
          <w:szCs w:val="16"/>
        </w:rPr>
      </w:pPr>
      <w:r w:rsidRPr="00100547">
        <w:rPr>
          <w:rStyle w:val="Voetnootmarkering"/>
          <w:sz w:val="16"/>
          <w:szCs w:val="16"/>
        </w:rPr>
        <w:footnoteRef/>
      </w:r>
      <w:r w:rsidRPr="00100547">
        <w:rPr>
          <w:sz w:val="16"/>
          <w:szCs w:val="16"/>
        </w:rPr>
        <w:t xml:space="preserve"> </w:t>
      </w:r>
      <w:r w:rsidRPr="00100547" w:rsidDel="00E463C7">
        <w:rPr>
          <w:sz w:val="16"/>
          <w:szCs w:val="16"/>
        </w:rPr>
        <w:t>In p</w:t>
      </w:r>
      <w:r w:rsidRPr="00100547">
        <w:rPr>
          <w:sz w:val="16"/>
          <w:szCs w:val="16"/>
        </w:rPr>
        <w:t xml:space="preserve">rijspeil </w:t>
      </w:r>
      <w:r w:rsidR="00D30B43" w:rsidRPr="00100547">
        <w:rPr>
          <w:sz w:val="16"/>
          <w:szCs w:val="16"/>
        </w:rPr>
        <w:t>2026</w:t>
      </w:r>
      <w:r w:rsidR="00CF3097" w:rsidRPr="00100547">
        <w:rPr>
          <w:sz w:val="16"/>
          <w:szCs w:val="16"/>
        </w:rPr>
        <w:t>.</w:t>
      </w:r>
    </w:p>
  </w:footnote>
  <w:footnote w:id="10">
    <w:p w14:paraId="0C9D3294" w14:textId="77777777" w:rsidR="006009DF" w:rsidRPr="00100547" w:rsidRDefault="006009DF">
      <w:pPr>
        <w:pStyle w:val="Voetnoottekst"/>
        <w:rPr>
          <w:sz w:val="16"/>
          <w:szCs w:val="16"/>
        </w:rPr>
      </w:pPr>
      <w:r w:rsidRPr="00100547">
        <w:rPr>
          <w:rStyle w:val="Voetnootmarkering"/>
          <w:sz w:val="16"/>
          <w:szCs w:val="16"/>
        </w:rPr>
        <w:footnoteRef/>
      </w:r>
      <w:r w:rsidRPr="00100547">
        <w:rPr>
          <w:sz w:val="16"/>
          <w:szCs w:val="16"/>
        </w:rPr>
        <w:t xml:space="preserve"> In prijspeil </w:t>
      </w:r>
      <w:r w:rsidR="003D29E3" w:rsidRPr="00100547">
        <w:rPr>
          <w:sz w:val="16"/>
          <w:szCs w:val="16"/>
        </w:rPr>
        <w:t>2026</w:t>
      </w:r>
      <w:r w:rsidR="00CF3097" w:rsidRPr="00100547">
        <w:rPr>
          <w:sz w:val="16"/>
          <w:szCs w:val="16"/>
        </w:rPr>
        <w:t>.</w:t>
      </w:r>
    </w:p>
  </w:footnote>
  <w:footnote w:id="11">
    <w:p w14:paraId="05AA07CC" w14:textId="77777777" w:rsidR="00AB7893" w:rsidRPr="00100547" w:rsidRDefault="00AB7893">
      <w:pPr>
        <w:pStyle w:val="Voetnoottekst"/>
        <w:rPr>
          <w:sz w:val="16"/>
          <w:szCs w:val="16"/>
        </w:rPr>
      </w:pPr>
      <w:r w:rsidRPr="00100547">
        <w:rPr>
          <w:rStyle w:val="Voetnootmarkering"/>
          <w:sz w:val="16"/>
          <w:szCs w:val="16"/>
        </w:rPr>
        <w:footnoteRef/>
      </w:r>
      <w:r w:rsidRPr="00100547">
        <w:rPr>
          <w:sz w:val="16"/>
          <w:szCs w:val="16"/>
        </w:rPr>
        <w:t xml:space="preserve"> In loonpeil 2027</w:t>
      </w:r>
      <w:r w:rsidR="00CF3097" w:rsidRPr="00100547">
        <w:rPr>
          <w:sz w:val="16"/>
          <w:szCs w:val="16"/>
        </w:rPr>
        <w:t>.</w:t>
      </w:r>
    </w:p>
  </w:footnote>
  <w:footnote w:id="12">
    <w:p w14:paraId="66F9E124" w14:textId="77777777" w:rsidR="006009DF" w:rsidRPr="007657B8" w:rsidRDefault="006009DF" w:rsidP="006009DF">
      <w:pPr>
        <w:pStyle w:val="Voetnoottekst"/>
        <w:rPr>
          <w:sz w:val="16"/>
          <w:szCs w:val="16"/>
        </w:rPr>
      </w:pPr>
      <w:r w:rsidRPr="00100547">
        <w:rPr>
          <w:rStyle w:val="Voetnootmarkering"/>
          <w:sz w:val="16"/>
          <w:szCs w:val="16"/>
        </w:rPr>
        <w:footnoteRef/>
      </w:r>
      <w:r w:rsidRPr="00100547">
        <w:rPr>
          <w:sz w:val="16"/>
          <w:szCs w:val="16"/>
        </w:rPr>
        <w:t xml:space="preserve"> Kamerstukken II 2025/26, 31 322, nr. 566.</w:t>
      </w:r>
    </w:p>
  </w:footnote>
  <w:footnote w:id="13">
    <w:p w14:paraId="1B3F1F96" w14:textId="77777777" w:rsidR="003236A5" w:rsidRPr="0095299D" w:rsidRDefault="003236A5">
      <w:pPr>
        <w:pStyle w:val="Voetnoottekst"/>
        <w:rPr>
          <w:sz w:val="16"/>
          <w:szCs w:val="16"/>
        </w:rPr>
      </w:pPr>
      <w:r w:rsidRPr="0095299D">
        <w:rPr>
          <w:rStyle w:val="Voetnootmarkering"/>
          <w:sz w:val="16"/>
          <w:szCs w:val="16"/>
        </w:rPr>
        <w:footnoteRef/>
      </w:r>
      <w:r w:rsidRPr="0095299D">
        <w:rPr>
          <w:sz w:val="16"/>
          <w:szCs w:val="16"/>
        </w:rPr>
        <w:t xml:space="preserve"> </w:t>
      </w:r>
      <w:bookmarkStart w:id="3" w:name="_Hlk239232262"/>
      <w:r w:rsidRPr="0095299D">
        <w:rPr>
          <w:sz w:val="16"/>
          <w:szCs w:val="16"/>
        </w:rPr>
        <w:t>Stb. 2026, 184.</w:t>
      </w:r>
      <w:bookmarkEnd w:id="3"/>
    </w:p>
  </w:footnote>
  <w:footnote w:id="14">
    <w:p w14:paraId="5FAB7A7B" w14:textId="77777777" w:rsidR="003E54A8" w:rsidRPr="00BE6822" w:rsidRDefault="003E54A8" w:rsidP="003E54A8">
      <w:pPr>
        <w:pStyle w:val="Voetnoottekst"/>
        <w:rPr>
          <w:sz w:val="16"/>
          <w:szCs w:val="16"/>
        </w:rPr>
      </w:pPr>
      <w:r w:rsidRPr="00BE6822">
        <w:rPr>
          <w:rStyle w:val="Voetnootmarkering"/>
          <w:sz w:val="16"/>
          <w:szCs w:val="16"/>
        </w:rPr>
        <w:footnoteRef/>
      </w:r>
      <w:r w:rsidRPr="00BE6822">
        <w:rPr>
          <w:sz w:val="16"/>
          <w:szCs w:val="16"/>
        </w:rPr>
        <w:t xml:space="preserve"> Kamerstukken II 2025/26, 31 322, nr. 566.</w:t>
      </w:r>
    </w:p>
  </w:footnote>
  <w:footnote w:id="15">
    <w:p w14:paraId="5086BB57" w14:textId="77777777" w:rsidR="00CF5A5B" w:rsidRPr="00650EC9" w:rsidRDefault="00CF5A5B">
      <w:pPr>
        <w:pStyle w:val="Voetnoottekst"/>
        <w:rPr>
          <w:sz w:val="16"/>
          <w:szCs w:val="16"/>
        </w:rPr>
      </w:pPr>
      <w:r w:rsidRPr="00650EC9">
        <w:rPr>
          <w:rStyle w:val="Voetnootmarkering"/>
          <w:sz w:val="16"/>
          <w:szCs w:val="16"/>
        </w:rPr>
        <w:footnoteRef/>
      </w:r>
      <w:r w:rsidRPr="00650EC9">
        <w:rPr>
          <w:sz w:val="16"/>
          <w:szCs w:val="16"/>
        </w:rPr>
        <w:t xml:space="preserve"> Kamerstukken II 2024/25, 31322, nr. 14</w:t>
      </w:r>
      <w:r w:rsidR="00B93CC8">
        <w:rPr>
          <w:sz w:val="16"/>
          <w:szCs w:val="16"/>
        </w:rPr>
        <w:t>.</w:t>
      </w:r>
    </w:p>
  </w:footnote>
  <w:footnote w:id="16">
    <w:p w14:paraId="5BCDDFB5" w14:textId="77777777" w:rsidR="00CC180D" w:rsidRPr="00650EC9" w:rsidRDefault="00CC180D">
      <w:pPr>
        <w:pStyle w:val="Voetnoottekst"/>
        <w:rPr>
          <w:sz w:val="16"/>
          <w:szCs w:val="16"/>
        </w:rPr>
      </w:pPr>
      <w:r w:rsidRPr="00650EC9">
        <w:rPr>
          <w:rStyle w:val="Voetnootmarkering"/>
          <w:sz w:val="16"/>
          <w:szCs w:val="16"/>
        </w:rPr>
        <w:footnoteRef/>
      </w:r>
      <w:r w:rsidRPr="00650EC9">
        <w:rPr>
          <w:sz w:val="16"/>
          <w:szCs w:val="16"/>
        </w:rPr>
        <w:t xml:space="preserve"> Kamerstukken II 2025/26, 31 322, nr. 569</w:t>
      </w:r>
      <w:r>
        <w:rPr>
          <w:sz w:val="16"/>
          <w:szCs w:val="16"/>
        </w:rPr>
        <w:t>.</w:t>
      </w:r>
    </w:p>
  </w:footnote>
  <w:footnote w:id="17">
    <w:p w14:paraId="040BFA33" w14:textId="77777777" w:rsidR="00F65A6A" w:rsidRPr="00650EC9" w:rsidRDefault="00F65A6A">
      <w:pPr>
        <w:pStyle w:val="Voetnoottekst"/>
        <w:rPr>
          <w:sz w:val="16"/>
          <w:szCs w:val="16"/>
        </w:rPr>
      </w:pPr>
      <w:r w:rsidRPr="00650EC9">
        <w:rPr>
          <w:rStyle w:val="Voetnootmarkering"/>
          <w:sz w:val="16"/>
          <w:szCs w:val="16"/>
        </w:rPr>
        <w:footnoteRef/>
      </w:r>
      <w:r w:rsidRPr="00650EC9">
        <w:rPr>
          <w:sz w:val="16"/>
          <w:szCs w:val="16"/>
        </w:rPr>
        <w:t xml:space="preserve"> Kamerstukken II 2024/25, 31 322, nr. 554.</w:t>
      </w:r>
    </w:p>
  </w:footnote>
  <w:footnote w:id="18">
    <w:p w14:paraId="5A8A2907" w14:textId="77777777" w:rsidR="00CC180D" w:rsidRPr="00AD301B" w:rsidRDefault="00CC180D" w:rsidP="00CC180D">
      <w:pPr>
        <w:pStyle w:val="Voetnoottekst"/>
        <w:rPr>
          <w:sz w:val="16"/>
          <w:szCs w:val="16"/>
        </w:rPr>
      </w:pPr>
      <w:r w:rsidRPr="00AD301B">
        <w:rPr>
          <w:rStyle w:val="Voetnootmarkering"/>
          <w:sz w:val="16"/>
          <w:szCs w:val="16"/>
        </w:rPr>
        <w:footnoteRef/>
      </w:r>
      <w:r w:rsidRPr="00AD301B">
        <w:rPr>
          <w:sz w:val="16"/>
          <w:szCs w:val="16"/>
        </w:rPr>
        <w:t xml:space="preserve"> </w:t>
      </w:r>
      <w:r w:rsidR="0073467D" w:rsidRPr="0073467D">
        <w:rPr>
          <w:sz w:val="16"/>
          <w:szCs w:val="16"/>
        </w:rPr>
        <w:t>https://www.rijksoverheid.nl/documenten/publicaties/2023/10/25/kwartaalrapportages-kinderopvang-vanaf-2020</w:t>
      </w:r>
      <w:r w:rsidR="00CF3097">
        <w:rPr>
          <w:sz w:val="16"/>
          <w:szCs w:val="16"/>
        </w:rPr>
        <w:t>.</w:t>
      </w:r>
    </w:p>
  </w:footnote>
  <w:footnote w:id="19">
    <w:p w14:paraId="0154DBB8" w14:textId="77777777" w:rsidR="00B32F22" w:rsidRDefault="00B32F22" w:rsidP="00B32F22">
      <w:pPr>
        <w:pStyle w:val="Voetnoottekst"/>
      </w:pPr>
      <w:r>
        <w:rPr>
          <w:rStyle w:val="Voetnootmarkering"/>
        </w:rPr>
        <w:footnoteRef/>
      </w:r>
      <w:r>
        <w:t xml:space="preserve"> </w:t>
      </w:r>
      <w:r>
        <w:rPr>
          <w:sz w:val="16"/>
          <w:szCs w:val="16"/>
        </w:rPr>
        <w:t>Kamerstukken II 2024/25, 36 708, nr. 13.</w:t>
      </w:r>
    </w:p>
  </w:footnote>
  <w:footnote w:id="20">
    <w:p w14:paraId="2F7DE415" w14:textId="77777777" w:rsidR="00B32F22" w:rsidRPr="00650EC9" w:rsidRDefault="00B32F22" w:rsidP="00B32F22">
      <w:pPr>
        <w:pStyle w:val="Voetnoottekst"/>
        <w:rPr>
          <w:sz w:val="16"/>
          <w:szCs w:val="16"/>
        </w:rPr>
      </w:pPr>
      <w:r w:rsidRPr="00650EC9">
        <w:rPr>
          <w:rStyle w:val="Voetnootmarkering"/>
          <w:sz w:val="16"/>
          <w:szCs w:val="16"/>
        </w:rPr>
        <w:footnoteRef/>
      </w:r>
      <w:r w:rsidRPr="00650EC9">
        <w:rPr>
          <w:sz w:val="16"/>
          <w:szCs w:val="16"/>
        </w:rPr>
        <w:t xml:space="preserve"> https://internetconsultatie.nl/wetfinancieringkinderopvang/b1</w:t>
      </w:r>
      <w:r w:rsidR="00CF3097">
        <w:rPr>
          <w:sz w:val="16"/>
          <w:szCs w:val="16"/>
        </w:rPr>
        <w:t>.</w:t>
      </w:r>
    </w:p>
  </w:footnote>
  <w:footnote w:id="21">
    <w:p w14:paraId="0BA3C2FD" w14:textId="77777777" w:rsidR="00B32F22" w:rsidRDefault="00B32F22" w:rsidP="00B32F22">
      <w:pPr>
        <w:pStyle w:val="Voetnoottekst"/>
      </w:pPr>
      <w:r w:rsidRPr="00650EC9">
        <w:rPr>
          <w:rStyle w:val="Voetnootmarkering"/>
          <w:sz w:val="16"/>
          <w:szCs w:val="16"/>
        </w:rPr>
        <w:footnoteRef/>
      </w:r>
      <w:r w:rsidRPr="00650EC9">
        <w:rPr>
          <w:sz w:val="16"/>
          <w:szCs w:val="16"/>
        </w:rPr>
        <w:t xml:space="preserve"> Deze wijziging was nog geen onderdeel van het wetsvoorstel dat in het najaar van 2025 in internetconsultatie is gebracht, maar is in een volgende versie van het wetsvoorstel toegevoegd.</w:t>
      </w:r>
    </w:p>
  </w:footnote>
  <w:footnote w:id="22">
    <w:p w14:paraId="247C1C39" w14:textId="77777777" w:rsidR="00FE49D7" w:rsidRPr="00650EC9" w:rsidRDefault="00FE49D7">
      <w:pPr>
        <w:pStyle w:val="Voetnoottekst"/>
        <w:rPr>
          <w:sz w:val="16"/>
          <w:szCs w:val="16"/>
        </w:rPr>
      </w:pPr>
      <w:r w:rsidRPr="00650EC9">
        <w:rPr>
          <w:rStyle w:val="Voetnootmarkering"/>
          <w:sz w:val="16"/>
          <w:szCs w:val="16"/>
        </w:rPr>
        <w:footnoteRef/>
      </w:r>
      <w:r w:rsidRPr="00650EC9">
        <w:rPr>
          <w:sz w:val="16"/>
          <w:szCs w:val="16"/>
        </w:rPr>
        <w:t xml:space="preserve"> Kamerstukken II 2025/26, 31 311, nr. 302.</w:t>
      </w:r>
    </w:p>
  </w:footnote>
  <w:footnote w:id="23">
    <w:p w14:paraId="48536A4C" w14:textId="77777777" w:rsidR="003B4ADE" w:rsidRPr="00650EC9" w:rsidRDefault="003B4ADE">
      <w:pPr>
        <w:pStyle w:val="Voetnoottekst"/>
        <w:rPr>
          <w:sz w:val="16"/>
          <w:szCs w:val="16"/>
        </w:rPr>
      </w:pPr>
      <w:r w:rsidRPr="00650EC9">
        <w:rPr>
          <w:rStyle w:val="Voetnootmarkering"/>
          <w:sz w:val="16"/>
          <w:szCs w:val="16"/>
        </w:rPr>
        <w:footnoteRef/>
      </w:r>
      <w:r w:rsidRPr="00650EC9">
        <w:rPr>
          <w:sz w:val="16"/>
          <w:szCs w:val="16"/>
        </w:rPr>
        <w:t xml:space="preserve"> </w:t>
      </w:r>
      <w:r w:rsidRPr="005B2AEA">
        <w:rPr>
          <w:sz w:val="16"/>
          <w:szCs w:val="16"/>
        </w:rPr>
        <w:t>Kamerstukken II 2011/12, 33212, nr. 9.</w:t>
      </w:r>
      <w:r w:rsidRPr="00650EC9">
        <w:rPr>
          <w:sz w:val="16"/>
          <w:szCs w:val="16"/>
        </w:rPr>
        <w:t xml:space="preserve"> </w:t>
      </w:r>
    </w:p>
  </w:footnote>
  <w:footnote w:id="24">
    <w:p w14:paraId="4321AE8D" w14:textId="77777777" w:rsidR="00842B1D" w:rsidRDefault="00842B1D">
      <w:pPr>
        <w:pStyle w:val="Voetnoottekst"/>
      </w:pPr>
      <w:r w:rsidRPr="00650EC9">
        <w:rPr>
          <w:rStyle w:val="Voetnootmarkering"/>
          <w:sz w:val="16"/>
          <w:szCs w:val="16"/>
        </w:rPr>
        <w:footnoteRef/>
      </w:r>
      <w:r w:rsidRPr="00650EC9">
        <w:rPr>
          <w:sz w:val="16"/>
          <w:szCs w:val="16"/>
        </w:rPr>
        <w:t xml:space="preserve"> </w:t>
      </w:r>
      <w:r w:rsidRPr="005B2AEA">
        <w:rPr>
          <w:sz w:val="16"/>
          <w:szCs w:val="16"/>
        </w:rPr>
        <w:t>Kamerstukken II 2011/12, 33212, nr. 91, item 14.</w:t>
      </w:r>
    </w:p>
  </w:footnote>
  <w:footnote w:id="25">
    <w:p w14:paraId="7E323D92" w14:textId="77777777" w:rsidR="005C3256" w:rsidRPr="004442CE" w:rsidRDefault="005C3256">
      <w:pPr>
        <w:pStyle w:val="Voetnoottekst"/>
        <w:rPr>
          <w:sz w:val="16"/>
          <w:szCs w:val="16"/>
        </w:rPr>
      </w:pPr>
      <w:r w:rsidRPr="005D428A">
        <w:rPr>
          <w:rStyle w:val="Voetnootmarkering"/>
          <w:sz w:val="16"/>
          <w:szCs w:val="16"/>
        </w:rPr>
        <w:footnoteRef/>
      </w:r>
      <w:r w:rsidRPr="005D428A">
        <w:rPr>
          <w:sz w:val="16"/>
          <w:szCs w:val="16"/>
        </w:rPr>
        <w:t xml:space="preserve"> </w:t>
      </w:r>
      <w:r w:rsidR="00CF3097">
        <w:rPr>
          <w:sz w:val="16"/>
          <w:szCs w:val="16"/>
        </w:rPr>
        <w:t>Stb. 2026, 184</w:t>
      </w:r>
      <w:r w:rsidR="005D428A" w:rsidRPr="004442CE">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D6BB" w14:textId="77777777" w:rsidR="009973F4" w:rsidRDefault="009973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E829" w14:textId="77777777" w:rsidR="003D705F" w:rsidRDefault="00E602E8">
    <w:r>
      <w:rPr>
        <w:noProof/>
      </w:rPr>
      <mc:AlternateContent>
        <mc:Choice Requires="wps">
          <w:drawing>
            <wp:anchor distT="0" distB="0" distL="0" distR="0" simplePos="0" relativeHeight="251658240" behindDoc="0" locked="1" layoutInCell="1" allowOverlap="1" wp14:anchorId="6302A47D" wp14:editId="776D3FCD">
              <wp:simplePos x="0" y="0"/>
              <wp:positionH relativeFrom="page">
                <wp:posOffset>5183505</wp:posOffset>
              </wp:positionH>
              <wp:positionV relativeFrom="page">
                <wp:posOffset>9809480</wp:posOffset>
              </wp:positionV>
              <wp:extent cx="1259840" cy="179705"/>
              <wp:effectExtent l="0" t="0" r="0" b="0"/>
              <wp:wrapNone/>
              <wp:docPr id="1" name="bd5600a6-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454F640" w14:textId="77777777" w:rsidR="00E602E8" w:rsidRDefault="00E602E8"/>
                      </w:txbxContent>
                    </wps:txbx>
                    <wps:bodyPr vert="horz" wrap="square" lIns="0" tIns="0" rIns="0" bIns="0" anchor="t" anchorCtr="0"/>
                  </wps:wsp>
                </a:graphicData>
              </a:graphic>
            </wp:anchor>
          </w:drawing>
        </mc:Choice>
        <mc:Fallback>
          <w:pict>
            <v:shapetype w14:anchorId="6302A47D" id="_x0000_t202" coordsize="21600,21600" o:spt="202" path="m,l,21600r21600,l21600,xe">
              <v:stroke joinstyle="miter"/>
              <v:path gradientshapeok="t" o:connecttype="rect"/>
            </v:shapetype>
            <v:shape id="bd5600a6-03a6-11ee-8f29-0242ac130005" o:spid="_x0000_s1026" type="#_x0000_t202" style="position:absolute;margin-left:408.15pt;margin-top:772.4pt;width:99.2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" filled="f" stroked="f">
              <v:textbox inset="0,0,0,0">
                <w:txbxContent>
                  <w:p w14:paraId="5454F640" w14:textId="77777777" w:rsidR="00E602E8" w:rsidRDefault="00E602E8"/>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A590" w14:textId="77777777" w:rsidR="003D705F" w:rsidRDefault="00E602E8">
    <w:pPr>
      <w:spacing w:after="4960" w:line="14" w:lineRule="exact"/>
    </w:pPr>
    <w:r>
      <w:rPr>
        <w:noProof/>
      </w:rPr>
      <mc:AlternateContent>
        <mc:Choice Requires="wps">
          <w:drawing>
            <wp:anchor distT="0" distB="0" distL="0" distR="0" simplePos="0" relativeHeight="251658241" behindDoc="0" locked="1" layoutInCell="1" allowOverlap="1" wp14:anchorId="353586FF" wp14:editId="6188B149">
              <wp:simplePos x="0" y="0"/>
              <wp:positionH relativeFrom="page">
                <wp:posOffset>0</wp:posOffset>
              </wp:positionH>
              <wp:positionV relativeFrom="page">
                <wp:posOffset>0</wp:posOffset>
              </wp:positionV>
              <wp:extent cx="6580505" cy="2353945"/>
              <wp:effectExtent l="0" t="0" r="0" b="0"/>
              <wp:wrapNone/>
              <wp:docPr id="2" name="bd560086-03a6-11ee-8f29-0242ac130005"/>
              <wp:cNvGraphicFramePr/>
              <a:graphic xmlns:a="http://schemas.openxmlformats.org/drawingml/2006/main">
                <a:graphicData uri="http://schemas.microsoft.com/office/word/2010/wordprocessingShape">
                  <wps:wsp>
                    <wps:cNvSpPr txBox="1"/>
                    <wps:spPr>
                      <a:xfrm>
                        <a:off x="0" y="0"/>
                        <a:ext cx="6580505" cy="2353945"/>
                      </a:xfrm>
                      <a:prstGeom prst="rect">
                        <a:avLst/>
                      </a:prstGeom>
                      <a:noFill/>
                    </wps:spPr>
                    <wps:txbx>
                      <w:txbxContent>
                        <w:p w14:paraId="443EB546" w14:textId="77777777" w:rsidR="003D705F" w:rsidRDefault="00E602E8">
                          <w:pPr>
                            <w:spacing w:line="240" w:lineRule="auto"/>
                          </w:pPr>
                          <w:r>
                            <w:rPr>
                              <w:noProof/>
                            </w:rPr>
                            <w:drawing>
                              <wp:inline distT="0" distB="0" distL="0" distR="0" wp14:anchorId="08D234C9" wp14:editId="033FC7E2">
                                <wp:extent cx="6580505" cy="2349962"/>
                                <wp:effectExtent l="0" t="0" r="0" b="0"/>
                                <wp:docPr id="3" name="Wij_Willem_Alexander" descr="Wij Willem Alexander, bij de gratie gods, Koning der Nederlanden, Prins van Oranje-Nassau, enz. enz. enz."/>
                                <wp:cNvGraphicFramePr/>
                                <a:graphic xmlns:a="http://schemas.openxmlformats.org/drawingml/2006/main">
                                  <a:graphicData uri="http://schemas.openxmlformats.org/drawingml/2006/picture">
                                    <pic:pic xmlns:pic="http://schemas.openxmlformats.org/drawingml/2006/picture">
                                      <pic:nvPicPr>
                                        <pic:cNvPr id="3" name="Wij_Willem_Alexander"/>
                                        <pic:cNvPicPr/>
                                      </pic:nvPicPr>
                                      <pic:blipFill>
                                        <a:blip r:embed="rId1"/>
                                        <a:stretch>
                                          <a:fillRect/>
                                        </a:stretch>
                                      </pic:blipFill>
                                      <pic:spPr bwMode="auto">
                                        <a:xfrm>
                                          <a:off x="0" y="0"/>
                                          <a:ext cx="6580505" cy="2349962"/>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53586FF" id="_x0000_t202" coordsize="21600,21600" o:spt="202" path="m,l,21600r21600,l21600,xe">
              <v:stroke joinstyle="miter"/>
              <v:path gradientshapeok="t" o:connecttype="rect"/>
            </v:shapetype>
            <v:shape id="bd560086-03a6-11ee-8f29-0242ac130005" o:spid="_x0000_s1027" type="#_x0000_t202" style="position:absolute;margin-left:0;margin-top:0;width:518.15pt;height:185.3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" filled="f" stroked="f">
              <v:textbox inset="0,0,0,0">
                <w:txbxContent>
                  <w:p w14:paraId="443EB546" w14:textId="77777777" w:rsidR="003D705F" w:rsidRDefault="00E602E8">
                    <w:pPr>
                      <w:spacing w:line="240" w:lineRule="auto"/>
                    </w:pPr>
                    <w:r>
                      <w:rPr>
                        <w:noProof/>
                      </w:rPr>
                      <w:drawing>
                        <wp:inline distT="0" distB="0" distL="0" distR="0" wp14:anchorId="08D234C9" wp14:editId="033FC7E2">
                          <wp:extent cx="6580505" cy="2349962"/>
                          <wp:effectExtent l="0" t="0" r="0" b="0"/>
                          <wp:docPr id="3" name="Wij_Willem_Alexander" descr="Wij Willem Alexander, bij de gratie gods, Koning der Nederlanden, Prins van Oranje-Nassau, enz. enz. enz."/>
                          <wp:cNvGraphicFramePr/>
                          <a:graphic xmlns:a="http://schemas.openxmlformats.org/drawingml/2006/main">
                            <a:graphicData uri="http://schemas.openxmlformats.org/drawingml/2006/picture">
                              <pic:pic xmlns:pic="http://schemas.openxmlformats.org/drawingml/2006/picture">
                                <pic:nvPicPr>
                                  <pic:cNvPr id="3" name="Wij_Willem_Alexander"/>
                                  <pic:cNvPicPr/>
                                </pic:nvPicPr>
                                <pic:blipFill>
                                  <a:blip r:embed="rId1"/>
                                  <a:stretch>
                                    <a:fillRect/>
                                  </a:stretch>
                                </pic:blipFill>
                                <pic:spPr bwMode="auto">
                                  <a:xfrm>
                                    <a:off x="0" y="0"/>
                                    <a:ext cx="6580505" cy="2349962"/>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35FE4C"/>
    <w:multiLevelType w:val="multilevel"/>
    <w:tmpl w:val="D418EF6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3885791"/>
    <w:multiLevelType w:val="multilevel"/>
    <w:tmpl w:val="22BAFC60"/>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89"/>
    <w:multiLevelType w:val="singleLevel"/>
    <w:tmpl w:val="B394AE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BB6BF7"/>
    <w:multiLevelType w:val="hybridMultilevel"/>
    <w:tmpl w:val="E1B444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D67AAE"/>
    <w:multiLevelType w:val="multilevel"/>
    <w:tmpl w:val="465534FE"/>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A41E9D"/>
    <w:multiLevelType w:val="hybridMultilevel"/>
    <w:tmpl w:val="76D074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B817EF"/>
    <w:multiLevelType w:val="multilevel"/>
    <w:tmpl w:val="65694CA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399C4D48"/>
    <w:multiLevelType w:val="hybridMultilevel"/>
    <w:tmpl w:val="D27465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B21061"/>
    <w:multiLevelType w:val="multilevel"/>
    <w:tmpl w:val="151578F4"/>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6B3177"/>
    <w:multiLevelType w:val="hybridMultilevel"/>
    <w:tmpl w:val="D884DA5C"/>
    <w:lvl w:ilvl="0" w:tplc="37C0180C">
      <w:start w:val="7"/>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78F166"/>
    <w:multiLevelType w:val="multilevel"/>
    <w:tmpl w:val="0CF6513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DFA13A"/>
    <w:multiLevelType w:val="multilevel"/>
    <w:tmpl w:val="D0AD32F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58B55F90"/>
    <w:multiLevelType w:val="hybridMultilevel"/>
    <w:tmpl w:val="0936D14C"/>
    <w:lvl w:ilvl="0" w:tplc="E34C83D0">
      <w:start w:val="5"/>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1771F5"/>
    <w:multiLevelType w:val="multilevel"/>
    <w:tmpl w:val="4CFEB06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4B77A3"/>
    <w:multiLevelType w:val="hybridMultilevel"/>
    <w:tmpl w:val="D23621BC"/>
    <w:lvl w:ilvl="0" w:tplc="A5BE1AA6">
      <w:start w:val="1"/>
      <w:numFmt w:val="decimal"/>
      <w:lvlText w:val="%1)"/>
      <w:lvlJc w:val="left"/>
      <w:pPr>
        <w:ind w:left="1020" w:hanging="360"/>
      </w:pPr>
    </w:lvl>
    <w:lvl w:ilvl="1" w:tplc="B7F268C4">
      <w:start w:val="1"/>
      <w:numFmt w:val="decimal"/>
      <w:lvlText w:val="%2)"/>
      <w:lvlJc w:val="left"/>
      <w:pPr>
        <w:ind w:left="1020" w:hanging="360"/>
      </w:pPr>
    </w:lvl>
    <w:lvl w:ilvl="2" w:tplc="933045C2">
      <w:start w:val="1"/>
      <w:numFmt w:val="decimal"/>
      <w:lvlText w:val="%3)"/>
      <w:lvlJc w:val="left"/>
      <w:pPr>
        <w:ind w:left="1020" w:hanging="360"/>
      </w:pPr>
    </w:lvl>
    <w:lvl w:ilvl="3" w:tplc="9C084920">
      <w:start w:val="1"/>
      <w:numFmt w:val="decimal"/>
      <w:lvlText w:val="%4)"/>
      <w:lvlJc w:val="left"/>
      <w:pPr>
        <w:ind w:left="1020" w:hanging="360"/>
      </w:pPr>
    </w:lvl>
    <w:lvl w:ilvl="4" w:tplc="D360C80C">
      <w:start w:val="1"/>
      <w:numFmt w:val="decimal"/>
      <w:lvlText w:val="%5)"/>
      <w:lvlJc w:val="left"/>
      <w:pPr>
        <w:ind w:left="1020" w:hanging="360"/>
      </w:pPr>
    </w:lvl>
    <w:lvl w:ilvl="5" w:tplc="18B05F22">
      <w:start w:val="1"/>
      <w:numFmt w:val="decimal"/>
      <w:lvlText w:val="%6)"/>
      <w:lvlJc w:val="left"/>
      <w:pPr>
        <w:ind w:left="1020" w:hanging="360"/>
      </w:pPr>
    </w:lvl>
    <w:lvl w:ilvl="6" w:tplc="FA845356">
      <w:start w:val="1"/>
      <w:numFmt w:val="decimal"/>
      <w:lvlText w:val="%7)"/>
      <w:lvlJc w:val="left"/>
      <w:pPr>
        <w:ind w:left="1020" w:hanging="360"/>
      </w:pPr>
    </w:lvl>
    <w:lvl w:ilvl="7" w:tplc="8978242C">
      <w:start w:val="1"/>
      <w:numFmt w:val="decimal"/>
      <w:lvlText w:val="%8)"/>
      <w:lvlJc w:val="left"/>
      <w:pPr>
        <w:ind w:left="1020" w:hanging="360"/>
      </w:pPr>
    </w:lvl>
    <w:lvl w:ilvl="8" w:tplc="309E6308">
      <w:start w:val="1"/>
      <w:numFmt w:val="decimal"/>
      <w:lvlText w:val="%9)"/>
      <w:lvlJc w:val="left"/>
      <w:pPr>
        <w:ind w:left="1020" w:hanging="360"/>
      </w:pPr>
    </w:lvl>
  </w:abstractNum>
  <w:abstractNum w:abstractNumId="15" w15:restartNumberingAfterBreak="0">
    <w:nsid w:val="6AA04C97"/>
    <w:multiLevelType w:val="hybridMultilevel"/>
    <w:tmpl w:val="41F83592"/>
    <w:lvl w:ilvl="0" w:tplc="A53ED4BC">
      <w:start w:val="1"/>
      <w:numFmt w:val="bullet"/>
      <w:pStyle w:val="Lijstopsomteken20"/>
      <w:lvlText w:val="–"/>
      <w:lvlJc w:val="left"/>
      <w:pPr>
        <w:tabs>
          <w:tab w:val="num" w:pos="227"/>
        </w:tabs>
        <w:ind w:left="454"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AB782E"/>
    <w:multiLevelType w:val="hybridMultilevel"/>
    <w:tmpl w:val="BB64A450"/>
    <w:lvl w:ilvl="0" w:tplc="3476E054">
      <w:start w:val="1"/>
      <w:numFmt w:val="decimal"/>
      <w:lvlText w:val="%1)"/>
      <w:lvlJc w:val="left"/>
      <w:pPr>
        <w:ind w:left="1020" w:hanging="360"/>
      </w:pPr>
    </w:lvl>
    <w:lvl w:ilvl="1" w:tplc="B5C4BA26">
      <w:start w:val="1"/>
      <w:numFmt w:val="decimal"/>
      <w:lvlText w:val="%2)"/>
      <w:lvlJc w:val="left"/>
      <w:pPr>
        <w:ind w:left="1020" w:hanging="360"/>
      </w:pPr>
    </w:lvl>
    <w:lvl w:ilvl="2" w:tplc="F8102B30">
      <w:start w:val="1"/>
      <w:numFmt w:val="decimal"/>
      <w:lvlText w:val="%3)"/>
      <w:lvlJc w:val="left"/>
      <w:pPr>
        <w:ind w:left="1020" w:hanging="360"/>
      </w:pPr>
    </w:lvl>
    <w:lvl w:ilvl="3" w:tplc="1488F0D2">
      <w:start w:val="1"/>
      <w:numFmt w:val="decimal"/>
      <w:lvlText w:val="%4)"/>
      <w:lvlJc w:val="left"/>
      <w:pPr>
        <w:ind w:left="1020" w:hanging="360"/>
      </w:pPr>
    </w:lvl>
    <w:lvl w:ilvl="4" w:tplc="34C02EDC">
      <w:start w:val="1"/>
      <w:numFmt w:val="decimal"/>
      <w:lvlText w:val="%5)"/>
      <w:lvlJc w:val="left"/>
      <w:pPr>
        <w:ind w:left="1020" w:hanging="360"/>
      </w:pPr>
    </w:lvl>
    <w:lvl w:ilvl="5" w:tplc="1876E546">
      <w:start w:val="1"/>
      <w:numFmt w:val="decimal"/>
      <w:lvlText w:val="%6)"/>
      <w:lvlJc w:val="left"/>
      <w:pPr>
        <w:ind w:left="1020" w:hanging="360"/>
      </w:pPr>
    </w:lvl>
    <w:lvl w:ilvl="6" w:tplc="42F2A60E">
      <w:start w:val="1"/>
      <w:numFmt w:val="decimal"/>
      <w:lvlText w:val="%7)"/>
      <w:lvlJc w:val="left"/>
      <w:pPr>
        <w:ind w:left="1020" w:hanging="360"/>
      </w:pPr>
    </w:lvl>
    <w:lvl w:ilvl="7" w:tplc="D38E8F4E">
      <w:start w:val="1"/>
      <w:numFmt w:val="decimal"/>
      <w:lvlText w:val="%8)"/>
      <w:lvlJc w:val="left"/>
      <w:pPr>
        <w:ind w:left="1020" w:hanging="360"/>
      </w:pPr>
    </w:lvl>
    <w:lvl w:ilvl="8" w:tplc="0A62B602">
      <w:start w:val="1"/>
      <w:numFmt w:val="decimal"/>
      <w:lvlText w:val="%9)"/>
      <w:lvlJc w:val="left"/>
      <w:pPr>
        <w:ind w:left="1020" w:hanging="360"/>
      </w:pPr>
    </w:lvl>
  </w:abstractNum>
  <w:abstractNum w:abstractNumId="17" w15:restartNumberingAfterBreak="0">
    <w:nsid w:val="6F6F4467"/>
    <w:multiLevelType w:val="hybridMultilevel"/>
    <w:tmpl w:val="C5642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8708825">
    <w:abstractNumId w:val="8"/>
  </w:num>
  <w:num w:numId="2" w16cid:durableId="1565869302">
    <w:abstractNumId w:val="4"/>
  </w:num>
  <w:num w:numId="3" w16cid:durableId="452482234">
    <w:abstractNumId w:val="6"/>
  </w:num>
  <w:num w:numId="4" w16cid:durableId="386228011">
    <w:abstractNumId w:val="11"/>
  </w:num>
  <w:num w:numId="5" w16cid:durableId="1191837853">
    <w:abstractNumId w:val="1"/>
  </w:num>
  <w:num w:numId="6" w16cid:durableId="1543637818">
    <w:abstractNumId w:val="10"/>
  </w:num>
  <w:num w:numId="7" w16cid:durableId="656617956">
    <w:abstractNumId w:val="13"/>
  </w:num>
  <w:num w:numId="8" w16cid:durableId="1715041586">
    <w:abstractNumId w:val="0"/>
  </w:num>
  <w:num w:numId="9" w16cid:durableId="1473524498">
    <w:abstractNumId w:val="7"/>
  </w:num>
  <w:num w:numId="10" w16cid:durableId="1385762504">
    <w:abstractNumId w:val="5"/>
  </w:num>
  <w:num w:numId="11" w16cid:durableId="1380209615">
    <w:abstractNumId w:val="12"/>
  </w:num>
  <w:num w:numId="12" w16cid:durableId="2004045746">
    <w:abstractNumId w:val="9"/>
  </w:num>
  <w:num w:numId="13" w16cid:durableId="650603311">
    <w:abstractNumId w:val="15"/>
  </w:num>
  <w:num w:numId="14" w16cid:durableId="1318455760">
    <w:abstractNumId w:val="2"/>
  </w:num>
  <w:num w:numId="15" w16cid:durableId="1486513565">
    <w:abstractNumId w:val="14"/>
  </w:num>
  <w:num w:numId="16" w16cid:durableId="221985515">
    <w:abstractNumId w:val="16"/>
  </w:num>
  <w:num w:numId="17" w16cid:durableId="1767799748">
    <w:abstractNumId w:val="17"/>
  </w:num>
  <w:num w:numId="18" w16cid:durableId="1256667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05F"/>
    <w:rsid w:val="00002913"/>
    <w:rsid w:val="00007AFE"/>
    <w:rsid w:val="000115AC"/>
    <w:rsid w:val="00011C09"/>
    <w:rsid w:val="00016F58"/>
    <w:rsid w:val="00023C39"/>
    <w:rsid w:val="000250A3"/>
    <w:rsid w:val="00027943"/>
    <w:rsid w:val="00030080"/>
    <w:rsid w:val="00032626"/>
    <w:rsid w:val="00036265"/>
    <w:rsid w:val="00040358"/>
    <w:rsid w:val="00040ABD"/>
    <w:rsid w:val="00043975"/>
    <w:rsid w:val="000447E9"/>
    <w:rsid w:val="000457F3"/>
    <w:rsid w:val="0004586B"/>
    <w:rsid w:val="0005350B"/>
    <w:rsid w:val="000535EF"/>
    <w:rsid w:val="000542BD"/>
    <w:rsid w:val="00064709"/>
    <w:rsid w:val="00064A5B"/>
    <w:rsid w:val="00064AA4"/>
    <w:rsid w:val="00065585"/>
    <w:rsid w:val="000657C8"/>
    <w:rsid w:val="00065A70"/>
    <w:rsid w:val="000664EF"/>
    <w:rsid w:val="00074094"/>
    <w:rsid w:val="00076026"/>
    <w:rsid w:val="00076436"/>
    <w:rsid w:val="00080C6D"/>
    <w:rsid w:val="00081D86"/>
    <w:rsid w:val="000830C1"/>
    <w:rsid w:val="00083882"/>
    <w:rsid w:val="000840AC"/>
    <w:rsid w:val="000847FF"/>
    <w:rsid w:val="00086AF6"/>
    <w:rsid w:val="00086F49"/>
    <w:rsid w:val="00087041"/>
    <w:rsid w:val="000940F4"/>
    <w:rsid w:val="00094C3A"/>
    <w:rsid w:val="00095F3D"/>
    <w:rsid w:val="000967EE"/>
    <w:rsid w:val="0009735F"/>
    <w:rsid w:val="0009742A"/>
    <w:rsid w:val="000A1FC3"/>
    <w:rsid w:val="000A3E94"/>
    <w:rsid w:val="000B3D78"/>
    <w:rsid w:val="000B52CF"/>
    <w:rsid w:val="000B6FB7"/>
    <w:rsid w:val="000C3257"/>
    <w:rsid w:val="000C3662"/>
    <w:rsid w:val="000D1553"/>
    <w:rsid w:val="000D46B0"/>
    <w:rsid w:val="000D4B2A"/>
    <w:rsid w:val="000D61F1"/>
    <w:rsid w:val="000E051D"/>
    <w:rsid w:val="000E2268"/>
    <w:rsid w:val="000E270E"/>
    <w:rsid w:val="000E37E7"/>
    <w:rsid w:val="000E64C6"/>
    <w:rsid w:val="000E689B"/>
    <w:rsid w:val="000E6AF4"/>
    <w:rsid w:val="00100547"/>
    <w:rsid w:val="001028AA"/>
    <w:rsid w:val="001036F3"/>
    <w:rsid w:val="001067AC"/>
    <w:rsid w:val="0011077D"/>
    <w:rsid w:val="001126E5"/>
    <w:rsid w:val="001157D4"/>
    <w:rsid w:val="00121F93"/>
    <w:rsid w:val="00122AB6"/>
    <w:rsid w:val="001236B7"/>
    <w:rsid w:val="00123B18"/>
    <w:rsid w:val="00123E2F"/>
    <w:rsid w:val="00125779"/>
    <w:rsid w:val="00127043"/>
    <w:rsid w:val="00131A00"/>
    <w:rsid w:val="00132A20"/>
    <w:rsid w:val="00136620"/>
    <w:rsid w:val="00137679"/>
    <w:rsid w:val="00137BBF"/>
    <w:rsid w:val="0014217D"/>
    <w:rsid w:val="001525C4"/>
    <w:rsid w:val="001548FD"/>
    <w:rsid w:val="00156BC9"/>
    <w:rsid w:val="0015719E"/>
    <w:rsid w:val="00162C30"/>
    <w:rsid w:val="00164302"/>
    <w:rsid w:val="0017023D"/>
    <w:rsid w:val="00173340"/>
    <w:rsid w:val="00173CC7"/>
    <w:rsid w:val="00174CB2"/>
    <w:rsid w:val="0017771A"/>
    <w:rsid w:val="00177EB9"/>
    <w:rsid w:val="001854B1"/>
    <w:rsid w:val="00187A1B"/>
    <w:rsid w:val="00190A41"/>
    <w:rsid w:val="0019238A"/>
    <w:rsid w:val="0019341A"/>
    <w:rsid w:val="001936D0"/>
    <w:rsid w:val="00193AE9"/>
    <w:rsid w:val="00193B57"/>
    <w:rsid w:val="00194245"/>
    <w:rsid w:val="00195446"/>
    <w:rsid w:val="00195623"/>
    <w:rsid w:val="001A072F"/>
    <w:rsid w:val="001A0C2B"/>
    <w:rsid w:val="001A51C6"/>
    <w:rsid w:val="001A5B32"/>
    <w:rsid w:val="001A6E23"/>
    <w:rsid w:val="001B306D"/>
    <w:rsid w:val="001B3C54"/>
    <w:rsid w:val="001C04F0"/>
    <w:rsid w:val="001C3C8E"/>
    <w:rsid w:val="001C47B8"/>
    <w:rsid w:val="001C6114"/>
    <w:rsid w:val="001C6279"/>
    <w:rsid w:val="001D12DF"/>
    <w:rsid w:val="001D35F2"/>
    <w:rsid w:val="001D3A71"/>
    <w:rsid w:val="001D42A1"/>
    <w:rsid w:val="001E2200"/>
    <w:rsid w:val="001E70F3"/>
    <w:rsid w:val="001F1FB6"/>
    <w:rsid w:val="001F2D1D"/>
    <w:rsid w:val="001F4392"/>
    <w:rsid w:val="00200A5F"/>
    <w:rsid w:val="00200CE0"/>
    <w:rsid w:val="002038C7"/>
    <w:rsid w:val="00205B11"/>
    <w:rsid w:val="00206302"/>
    <w:rsid w:val="00207028"/>
    <w:rsid w:val="00211E54"/>
    <w:rsid w:val="0021212E"/>
    <w:rsid w:val="00212EE2"/>
    <w:rsid w:val="00213FF9"/>
    <w:rsid w:val="00214401"/>
    <w:rsid w:val="00214B71"/>
    <w:rsid w:val="00215819"/>
    <w:rsid w:val="0022077E"/>
    <w:rsid w:val="00222D52"/>
    <w:rsid w:val="00225EB2"/>
    <w:rsid w:val="00234A25"/>
    <w:rsid w:val="002362A3"/>
    <w:rsid w:val="00237BA9"/>
    <w:rsid w:val="00240AD3"/>
    <w:rsid w:val="00241391"/>
    <w:rsid w:val="00241477"/>
    <w:rsid w:val="00241D66"/>
    <w:rsid w:val="00241F08"/>
    <w:rsid w:val="0024329A"/>
    <w:rsid w:val="00243AC6"/>
    <w:rsid w:val="00244513"/>
    <w:rsid w:val="00256A15"/>
    <w:rsid w:val="00257D33"/>
    <w:rsid w:val="00260039"/>
    <w:rsid w:val="00260D7D"/>
    <w:rsid w:val="00262506"/>
    <w:rsid w:val="00264275"/>
    <w:rsid w:val="00265786"/>
    <w:rsid w:val="00266780"/>
    <w:rsid w:val="00267CC7"/>
    <w:rsid w:val="0027122E"/>
    <w:rsid w:val="00271B17"/>
    <w:rsid w:val="00271C97"/>
    <w:rsid w:val="00274A68"/>
    <w:rsid w:val="00274DDA"/>
    <w:rsid w:val="00274EF9"/>
    <w:rsid w:val="00277E7D"/>
    <w:rsid w:val="00280752"/>
    <w:rsid w:val="0028417D"/>
    <w:rsid w:val="00284CFB"/>
    <w:rsid w:val="00287E38"/>
    <w:rsid w:val="0029148B"/>
    <w:rsid w:val="002931F4"/>
    <w:rsid w:val="00296420"/>
    <w:rsid w:val="002A0ABE"/>
    <w:rsid w:val="002A5286"/>
    <w:rsid w:val="002B1CE2"/>
    <w:rsid w:val="002B1EC1"/>
    <w:rsid w:val="002B3186"/>
    <w:rsid w:val="002B5A0B"/>
    <w:rsid w:val="002B5F5B"/>
    <w:rsid w:val="002B7845"/>
    <w:rsid w:val="002B797C"/>
    <w:rsid w:val="002C0F6C"/>
    <w:rsid w:val="002C13D3"/>
    <w:rsid w:val="002C1A14"/>
    <w:rsid w:val="002C2AF2"/>
    <w:rsid w:val="002D2BA6"/>
    <w:rsid w:val="002D3703"/>
    <w:rsid w:val="002D4062"/>
    <w:rsid w:val="002D723C"/>
    <w:rsid w:val="002E375B"/>
    <w:rsid w:val="002E40EA"/>
    <w:rsid w:val="002E6664"/>
    <w:rsid w:val="002E6891"/>
    <w:rsid w:val="002E728D"/>
    <w:rsid w:val="002F0089"/>
    <w:rsid w:val="002F11AB"/>
    <w:rsid w:val="002F1E92"/>
    <w:rsid w:val="002F2688"/>
    <w:rsid w:val="002F4CD6"/>
    <w:rsid w:val="0030099A"/>
    <w:rsid w:val="00300DF5"/>
    <w:rsid w:val="0030183C"/>
    <w:rsid w:val="00304AA8"/>
    <w:rsid w:val="00312F02"/>
    <w:rsid w:val="0031380C"/>
    <w:rsid w:val="00314E5A"/>
    <w:rsid w:val="003173C6"/>
    <w:rsid w:val="00317F56"/>
    <w:rsid w:val="0032098E"/>
    <w:rsid w:val="00322280"/>
    <w:rsid w:val="003236A5"/>
    <w:rsid w:val="003274FE"/>
    <w:rsid w:val="00330CD5"/>
    <w:rsid w:val="00342F5E"/>
    <w:rsid w:val="00345494"/>
    <w:rsid w:val="003477C7"/>
    <w:rsid w:val="00347D31"/>
    <w:rsid w:val="00350456"/>
    <w:rsid w:val="00350C1E"/>
    <w:rsid w:val="003515F7"/>
    <w:rsid w:val="00353A1D"/>
    <w:rsid w:val="00353F7F"/>
    <w:rsid w:val="003547D3"/>
    <w:rsid w:val="003548C0"/>
    <w:rsid w:val="00354B25"/>
    <w:rsid w:val="00360573"/>
    <w:rsid w:val="00360DDA"/>
    <w:rsid w:val="00362CB2"/>
    <w:rsid w:val="003667EB"/>
    <w:rsid w:val="0037018D"/>
    <w:rsid w:val="003704C1"/>
    <w:rsid w:val="00376BD9"/>
    <w:rsid w:val="003832B4"/>
    <w:rsid w:val="003845FF"/>
    <w:rsid w:val="003852B2"/>
    <w:rsid w:val="00385AFE"/>
    <w:rsid w:val="00386977"/>
    <w:rsid w:val="00387FFE"/>
    <w:rsid w:val="00392743"/>
    <w:rsid w:val="00394B7B"/>
    <w:rsid w:val="003A1758"/>
    <w:rsid w:val="003A65AF"/>
    <w:rsid w:val="003B0275"/>
    <w:rsid w:val="003B0F28"/>
    <w:rsid w:val="003B2AA9"/>
    <w:rsid w:val="003B45E3"/>
    <w:rsid w:val="003B4ADE"/>
    <w:rsid w:val="003B5544"/>
    <w:rsid w:val="003B587F"/>
    <w:rsid w:val="003B6E1A"/>
    <w:rsid w:val="003B7D06"/>
    <w:rsid w:val="003B7D46"/>
    <w:rsid w:val="003C1109"/>
    <w:rsid w:val="003C3112"/>
    <w:rsid w:val="003C403E"/>
    <w:rsid w:val="003C473E"/>
    <w:rsid w:val="003C58CA"/>
    <w:rsid w:val="003C5E49"/>
    <w:rsid w:val="003C65EC"/>
    <w:rsid w:val="003C6F23"/>
    <w:rsid w:val="003D1625"/>
    <w:rsid w:val="003D2379"/>
    <w:rsid w:val="003D29E3"/>
    <w:rsid w:val="003D2BF4"/>
    <w:rsid w:val="003D41BB"/>
    <w:rsid w:val="003D705F"/>
    <w:rsid w:val="003E17C4"/>
    <w:rsid w:val="003E54A8"/>
    <w:rsid w:val="003F0605"/>
    <w:rsid w:val="003F122F"/>
    <w:rsid w:val="003F18D4"/>
    <w:rsid w:val="003F4CFD"/>
    <w:rsid w:val="003F7C37"/>
    <w:rsid w:val="00400FA2"/>
    <w:rsid w:val="004037DD"/>
    <w:rsid w:val="00407155"/>
    <w:rsid w:val="004106EA"/>
    <w:rsid w:val="00412C7F"/>
    <w:rsid w:val="00412CD9"/>
    <w:rsid w:val="0042159B"/>
    <w:rsid w:val="00431656"/>
    <w:rsid w:val="00431783"/>
    <w:rsid w:val="00434FB1"/>
    <w:rsid w:val="00437EA7"/>
    <w:rsid w:val="00442589"/>
    <w:rsid w:val="004425F3"/>
    <w:rsid w:val="004430EB"/>
    <w:rsid w:val="004442CE"/>
    <w:rsid w:val="00455EF2"/>
    <w:rsid w:val="0045601D"/>
    <w:rsid w:val="00460C0A"/>
    <w:rsid w:val="00461B47"/>
    <w:rsid w:val="00462C0B"/>
    <w:rsid w:val="00462F01"/>
    <w:rsid w:val="0046343E"/>
    <w:rsid w:val="004658C7"/>
    <w:rsid w:val="00467ECB"/>
    <w:rsid w:val="00473F30"/>
    <w:rsid w:val="00474826"/>
    <w:rsid w:val="00476169"/>
    <w:rsid w:val="004803E0"/>
    <w:rsid w:val="004826FB"/>
    <w:rsid w:val="00483358"/>
    <w:rsid w:val="00492F5F"/>
    <w:rsid w:val="00492FF4"/>
    <w:rsid w:val="00495F50"/>
    <w:rsid w:val="004A1E21"/>
    <w:rsid w:val="004A3724"/>
    <w:rsid w:val="004A3C02"/>
    <w:rsid w:val="004A4284"/>
    <w:rsid w:val="004A54EE"/>
    <w:rsid w:val="004A6A8C"/>
    <w:rsid w:val="004A6CCD"/>
    <w:rsid w:val="004A7897"/>
    <w:rsid w:val="004B1451"/>
    <w:rsid w:val="004B26CA"/>
    <w:rsid w:val="004B4635"/>
    <w:rsid w:val="004B79AE"/>
    <w:rsid w:val="004C09CD"/>
    <w:rsid w:val="004C1D1A"/>
    <w:rsid w:val="004C31D2"/>
    <w:rsid w:val="004C4019"/>
    <w:rsid w:val="004C6330"/>
    <w:rsid w:val="004C663A"/>
    <w:rsid w:val="004C70FF"/>
    <w:rsid w:val="004D5BDF"/>
    <w:rsid w:val="004D5CA2"/>
    <w:rsid w:val="004E19BB"/>
    <w:rsid w:val="004E539D"/>
    <w:rsid w:val="004E60AD"/>
    <w:rsid w:val="004E61DC"/>
    <w:rsid w:val="004F2229"/>
    <w:rsid w:val="004F2B19"/>
    <w:rsid w:val="004F3628"/>
    <w:rsid w:val="004F3A6A"/>
    <w:rsid w:val="004F7550"/>
    <w:rsid w:val="004F764F"/>
    <w:rsid w:val="00501CD4"/>
    <w:rsid w:val="00504739"/>
    <w:rsid w:val="005052C7"/>
    <w:rsid w:val="005074B6"/>
    <w:rsid w:val="00511251"/>
    <w:rsid w:val="005127E6"/>
    <w:rsid w:val="00512A28"/>
    <w:rsid w:val="00514EF5"/>
    <w:rsid w:val="00515113"/>
    <w:rsid w:val="00517126"/>
    <w:rsid w:val="00520BB0"/>
    <w:rsid w:val="005229F6"/>
    <w:rsid w:val="00525327"/>
    <w:rsid w:val="005355BF"/>
    <w:rsid w:val="005358EB"/>
    <w:rsid w:val="005411DD"/>
    <w:rsid w:val="00541D62"/>
    <w:rsid w:val="005448B1"/>
    <w:rsid w:val="00545077"/>
    <w:rsid w:val="00550B38"/>
    <w:rsid w:val="005524A3"/>
    <w:rsid w:val="00554895"/>
    <w:rsid w:val="005548F7"/>
    <w:rsid w:val="005567FE"/>
    <w:rsid w:val="0056050D"/>
    <w:rsid w:val="005615DB"/>
    <w:rsid w:val="00561E85"/>
    <w:rsid w:val="00562CE8"/>
    <w:rsid w:val="00567784"/>
    <w:rsid w:val="00571D25"/>
    <w:rsid w:val="005747CB"/>
    <w:rsid w:val="00575334"/>
    <w:rsid w:val="005756F9"/>
    <w:rsid w:val="005802AE"/>
    <w:rsid w:val="00591593"/>
    <w:rsid w:val="00593463"/>
    <w:rsid w:val="00594F98"/>
    <w:rsid w:val="00597AF0"/>
    <w:rsid w:val="005A12DE"/>
    <w:rsid w:val="005A17E7"/>
    <w:rsid w:val="005A1BCE"/>
    <w:rsid w:val="005A3986"/>
    <w:rsid w:val="005A565E"/>
    <w:rsid w:val="005B2AEA"/>
    <w:rsid w:val="005B5061"/>
    <w:rsid w:val="005B6D7B"/>
    <w:rsid w:val="005B7357"/>
    <w:rsid w:val="005C04A2"/>
    <w:rsid w:val="005C0667"/>
    <w:rsid w:val="005C10D0"/>
    <w:rsid w:val="005C1D7B"/>
    <w:rsid w:val="005C3256"/>
    <w:rsid w:val="005C4133"/>
    <w:rsid w:val="005C7FE6"/>
    <w:rsid w:val="005D1D7A"/>
    <w:rsid w:val="005D2A65"/>
    <w:rsid w:val="005D428A"/>
    <w:rsid w:val="005D4C23"/>
    <w:rsid w:val="005E14EF"/>
    <w:rsid w:val="005E3B0E"/>
    <w:rsid w:val="005E3C4D"/>
    <w:rsid w:val="005E4A12"/>
    <w:rsid w:val="005F239F"/>
    <w:rsid w:val="005F35EA"/>
    <w:rsid w:val="005F3F8B"/>
    <w:rsid w:val="005F76F7"/>
    <w:rsid w:val="006009DF"/>
    <w:rsid w:val="00600F7B"/>
    <w:rsid w:val="00602FA0"/>
    <w:rsid w:val="00603A4F"/>
    <w:rsid w:val="00605BCD"/>
    <w:rsid w:val="0060639A"/>
    <w:rsid w:val="00607704"/>
    <w:rsid w:val="0061155A"/>
    <w:rsid w:val="00611CAA"/>
    <w:rsid w:val="00613426"/>
    <w:rsid w:val="00614626"/>
    <w:rsid w:val="0062374A"/>
    <w:rsid w:val="00623857"/>
    <w:rsid w:val="006251B2"/>
    <w:rsid w:val="0062673F"/>
    <w:rsid w:val="00627D54"/>
    <w:rsid w:val="00633152"/>
    <w:rsid w:val="006418F7"/>
    <w:rsid w:val="006472FA"/>
    <w:rsid w:val="0064755E"/>
    <w:rsid w:val="00647703"/>
    <w:rsid w:val="00650EC9"/>
    <w:rsid w:val="00651E54"/>
    <w:rsid w:val="00651E7E"/>
    <w:rsid w:val="00653840"/>
    <w:rsid w:val="00655626"/>
    <w:rsid w:val="006564DF"/>
    <w:rsid w:val="006571AA"/>
    <w:rsid w:val="00664A70"/>
    <w:rsid w:val="00666175"/>
    <w:rsid w:val="006703AB"/>
    <w:rsid w:val="0067397E"/>
    <w:rsid w:val="0067569B"/>
    <w:rsid w:val="00675AC0"/>
    <w:rsid w:val="00675E54"/>
    <w:rsid w:val="00680A94"/>
    <w:rsid w:val="00681F44"/>
    <w:rsid w:val="00683C8A"/>
    <w:rsid w:val="00685FCD"/>
    <w:rsid w:val="00686943"/>
    <w:rsid w:val="006879AC"/>
    <w:rsid w:val="006901DF"/>
    <w:rsid w:val="006903C3"/>
    <w:rsid w:val="006918F9"/>
    <w:rsid w:val="006955B0"/>
    <w:rsid w:val="0069608E"/>
    <w:rsid w:val="006A17F5"/>
    <w:rsid w:val="006A2A9F"/>
    <w:rsid w:val="006A4C95"/>
    <w:rsid w:val="006A7330"/>
    <w:rsid w:val="006B0F9A"/>
    <w:rsid w:val="006B1BAC"/>
    <w:rsid w:val="006B2B43"/>
    <w:rsid w:val="006C375A"/>
    <w:rsid w:val="006C4845"/>
    <w:rsid w:val="006C607B"/>
    <w:rsid w:val="006D0342"/>
    <w:rsid w:val="006D0929"/>
    <w:rsid w:val="006D4538"/>
    <w:rsid w:val="006D70F9"/>
    <w:rsid w:val="006E345B"/>
    <w:rsid w:val="006E464D"/>
    <w:rsid w:val="006E48DB"/>
    <w:rsid w:val="006E54E4"/>
    <w:rsid w:val="006E7768"/>
    <w:rsid w:val="006F0C79"/>
    <w:rsid w:val="006F29E3"/>
    <w:rsid w:val="006F3880"/>
    <w:rsid w:val="006F4540"/>
    <w:rsid w:val="006F550C"/>
    <w:rsid w:val="006F7275"/>
    <w:rsid w:val="00703268"/>
    <w:rsid w:val="007064C5"/>
    <w:rsid w:val="007109BA"/>
    <w:rsid w:val="00716C83"/>
    <w:rsid w:val="007172DB"/>
    <w:rsid w:val="00721C55"/>
    <w:rsid w:val="00722EDA"/>
    <w:rsid w:val="007233D8"/>
    <w:rsid w:val="0072434D"/>
    <w:rsid w:val="00727120"/>
    <w:rsid w:val="00732D14"/>
    <w:rsid w:val="0073467D"/>
    <w:rsid w:val="00736248"/>
    <w:rsid w:val="00737D24"/>
    <w:rsid w:val="00742570"/>
    <w:rsid w:val="00754FF3"/>
    <w:rsid w:val="00755CE7"/>
    <w:rsid w:val="00763225"/>
    <w:rsid w:val="007634E6"/>
    <w:rsid w:val="00763B01"/>
    <w:rsid w:val="00764487"/>
    <w:rsid w:val="007657B8"/>
    <w:rsid w:val="00765AF5"/>
    <w:rsid w:val="007703E8"/>
    <w:rsid w:val="00775F96"/>
    <w:rsid w:val="007804B1"/>
    <w:rsid w:val="0078124E"/>
    <w:rsid w:val="0078144B"/>
    <w:rsid w:val="00781CDD"/>
    <w:rsid w:val="00786AE9"/>
    <w:rsid w:val="00786B1A"/>
    <w:rsid w:val="00794BAA"/>
    <w:rsid w:val="007A2485"/>
    <w:rsid w:val="007A55A0"/>
    <w:rsid w:val="007A61FC"/>
    <w:rsid w:val="007A67B3"/>
    <w:rsid w:val="007A7188"/>
    <w:rsid w:val="007B1E7B"/>
    <w:rsid w:val="007B387B"/>
    <w:rsid w:val="007B485E"/>
    <w:rsid w:val="007B720B"/>
    <w:rsid w:val="007C19B3"/>
    <w:rsid w:val="007C266F"/>
    <w:rsid w:val="007D1437"/>
    <w:rsid w:val="007D7ACB"/>
    <w:rsid w:val="007E0990"/>
    <w:rsid w:val="007E1536"/>
    <w:rsid w:val="007E183A"/>
    <w:rsid w:val="007E1C56"/>
    <w:rsid w:val="007E3286"/>
    <w:rsid w:val="007F1C59"/>
    <w:rsid w:val="007F3CEC"/>
    <w:rsid w:val="007F49AD"/>
    <w:rsid w:val="007F7937"/>
    <w:rsid w:val="00804CC6"/>
    <w:rsid w:val="0080664B"/>
    <w:rsid w:val="008115B5"/>
    <w:rsid w:val="00811F78"/>
    <w:rsid w:val="0081372F"/>
    <w:rsid w:val="008143B8"/>
    <w:rsid w:val="00815ECA"/>
    <w:rsid w:val="00816524"/>
    <w:rsid w:val="00816EC3"/>
    <w:rsid w:val="0082290F"/>
    <w:rsid w:val="00822A62"/>
    <w:rsid w:val="00825870"/>
    <w:rsid w:val="00826907"/>
    <w:rsid w:val="008274EE"/>
    <w:rsid w:val="00830BC0"/>
    <w:rsid w:val="008310B3"/>
    <w:rsid w:val="0083201A"/>
    <w:rsid w:val="00841170"/>
    <w:rsid w:val="0084123B"/>
    <w:rsid w:val="00842B1D"/>
    <w:rsid w:val="00843C76"/>
    <w:rsid w:val="008455D5"/>
    <w:rsid w:val="00845815"/>
    <w:rsid w:val="00855171"/>
    <w:rsid w:val="008616FB"/>
    <w:rsid w:val="0086181E"/>
    <w:rsid w:val="00864B33"/>
    <w:rsid w:val="00865F91"/>
    <w:rsid w:val="00866449"/>
    <w:rsid w:val="00866CAB"/>
    <w:rsid w:val="008672B3"/>
    <w:rsid w:val="00867409"/>
    <w:rsid w:val="00870AE9"/>
    <w:rsid w:val="00872032"/>
    <w:rsid w:val="008737EF"/>
    <w:rsid w:val="008744D7"/>
    <w:rsid w:val="008753E0"/>
    <w:rsid w:val="0087743D"/>
    <w:rsid w:val="008801AD"/>
    <w:rsid w:val="00880702"/>
    <w:rsid w:val="00880D10"/>
    <w:rsid w:val="008824C9"/>
    <w:rsid w:val="008852EB"/>
    <w:rsid w:val="008879B1"/>
    <w:rsid w:val="008933CF"/>
    <w:rsid w:val="0089408D"/>
    <w:rsid w:val="0089586B"/>
    <w:rsid w:val="00896E4E"/>
    <w:rsid w:val="00896E6D"/>
    <w:rsid w:val="00896F52"/>
    <w:rsid w:val="00897D0B"/>
    <w:rsid w:val="008A08A6"/>
    <w:rsid w:val="008A0BDC"/>
    <w:rsid w:val="008A275C"/>
    <w:rsid w:val="008A5AE6"/>
    <w:rsid w:val="008A6C98"/>
    <w:rsid w:val="008A73A4"/>
    <w:rsid w:val="008A745E"/>
    <w:rsid w:val="008B0FF4"/>
    <w:rsid w:val="008B2368"/>
    <w:rsid w:val="008B6F4C"/>
    <w:rsid w:val="008B73FA"/>
    <w:rsid w:val="008C1B2B"/>
    <w:rsid w:val="008C3122"/>
    <w:rsid w:val="008C366F"/>
    <w:rsid w:val="008C406B"/>
    <w:rsid w:val="008C5406"/>
    <w:rsid w:val="008C698C"/>
    <w:rsid w:val="008C7CD5"/>
    <w:rsid w:val="008D1A7F"/>
    <w:rsid w:val="008D45AA"/>
    <w:rsid w:val="008D47FC"/>
    <w:rsid w:val="008D5B4A"/>
    <w:rsid w:val="008E05C8"/>
    <w:rsid w:val="008E0EDD"/>
    <w:rsid w:val="008E23D2"/>
    <w:rsid w:val="008E251D"/>
    <w:rsid w:val="008E46F7"/>
    <w:rsid w:val="008E5589"/>
    <w:rsid w:val="008F0948"/>
    <w:rsid w:val="008F4575"/>
    <w:rsid w:val="008F461C"/>
    <w:rsid w:val="008F4D94"/>
    <w:rsid w:val="008F7782"/>
    <w:rsid w:val="00903716"/>
    <w:rsid w:val="00913C5F"/>
    <w:rsid w:val="009167B1"/>
    <w:rsid w:val="009176AB"/>
    <w:rsid w:val="00917F27"/>
    <w:rsid w:val="0092042A"/>
    <w:rsid w:val="00920C64"/>
    <w:rsid w:val="0092131C"/>
    <w:rsid w:val="009215A4"/>
    <w:rsid w:val="00923286"/>
    <w:rsid w:val="00924DCF"/>
    <w:rsid w:val="009255B1"/>
    <w:rsid w:val="00926852"/>
    <w:rsid w:val="009269E7"/>
    <w:rsid w:val="0092730A"/>
    <w:rsid w:val="0093403A"/>
    <w:rsid w:val="009350C4"/>
    <w:rsid w:val="009364F3"/>
    <w:rsid w:val="009410A8"/>
    <w:rsid w:val="00944555"/>
    <w:rsid w:val="00944CD9"/>
    <w:rsid w:val="00944D97"/>
    <w:rsid w:val="009457D9"/>
    <w:rsid w:val="009464AF"/>
    <w:rsid w:val="00946C47"/>
    <w:rsid w:val="00952126"/>
    <w:rsid w:val="009527D5"/>
    <w:rsid w:val="0095299D"/>
    <w:rsid w:val="009535BD"/>
    <w:rsid w:val="00953BCC"/>
    <w:rsid w:val="0095407C"/>
    <w:rsid w:val="00954EB7"/>
    <w:rsid w:val="00955695"/>
    <w:rsid w:val="00961BF1"/>
    <w:rsid w:val="00962308"/>
    <w:rsid w:val="00963006"/>
    <w:rsid w:val="00966714"/>
    <w:rsid w:val="009725E8"/>
    <w:rsid w:val="009736BF"/>
    <w:rsid w:val="00973E0B"/>
    <w:rsid w:val="00974AC6"/>
    <w:rsid w:val="0097527B"/>
    <w:rsid w:val="00976D52"/>
    <w:rsid w:val="009853A1"/>
    <w:rsid w:val="0099067F"/>
    <w:rsid w:val="009917F0"/>
    <w:rsid w:val="00995D73"/>
    <w:rsid w:val="009962FC"/>
    <w:rsid w:val="0099633F"/>
    <w:rsid w:val="009973F4"/>
    <w:rsid w:val="009A3042"/>
    <w:rsid w:val="009B0136"/>
    <w:rsid w:val="009B0F7F"/>
    <w:rsid w:val="009B1113"/>
    <w:rsid w:val="009B3C6C"/>
    <w:rsid w:val="009B4E79"/>
    <w:rsid w:val="009B7832"/>
    <w:rsid w:val="009C2236"/>
    <w:rsid w:val="009C45AF"/>
    <w:rsid w:val="009C5517"/>
    <w:rsid w:val="009C694F"/>
    <w:rsid w:val="009D69C0"/>
    <w:rsid w:val="009E11C5"/>
    <w:rsid w:val="009E23FB"/>
    <w:rsid w:val="009E2530"/>
    <w:rsid w:val="009E380E"/>
    <w:rsid w:val="009E68E0"/>
    <w:rsid w:val="009F2266"/>
    <w:rsid w:val="009F3C6D"/>
    <w:rsid w:val="009F40AE"/>
    <w:rsid w:val="009F5B94"/>
    <w:rsid w:val="009F7038"/>
    <w:rsid w:val="009F784E"/>
    <w:rsid w:val="009F7C53"/>
    <w:rsid w:val="00A024BD"/>
    <w:rsid w:val="00A075B8"/>
    <w:rsid w:val="00A10761"/>
    <w:rsid w:val="00A11A45"/>
    <w:rsid w:val="00A122A3"/>
    <w:rsid w:val="00A14AF3"/>
    <w:rsid w:val="00A1632F"/>
    <w:rsid w:val="00A242F8"/>
    <w:rsid w:val="00A2650D"/>
    <w:rsid w:val="00A268BD"/>
    <w:rsid w:val="00A268EE"/>
    <w:rsid w:val="00A27276"/>
    <w:rsid w:val="00A27D57"/>
    <w:rsid w:val="00A300C4"/>
    <w:rsid w:val="00A31096"/>
    <w:rsid w:val="00A311D2"/>
    <w:rsid w:val="00A32FAA"/>
    <w:rsid w:val="00A44F8B"/>
    <w:rsid w:val="00A46CD5"/>
    <w:rsid w:val="00A501AB"/>
    <w:rsid w:val="00A5081B"/>
    <w:rsid w:val="00A53BB1"/>
    <w:rsid w:val="00A55EE2"/>
    <w:rsid w:val="00A6052F"/>
    <w:rsid w:val="00A611BA"/>
    <w:rsid w:val="00A63465"/>
    <w:rsid w:val="00A63FD0"/>
    <w:rsid w:val="00A67469"/>
    <w:rsid w:val="00A75C9B"/>
    <w:rsid w:val="00A7705A"/>
    <w:rsid w:val="00A80CC4"/>
    <w:rsid w:val="00A81C04"/>
    <w:rsid w:val="00A81DA3"/>
    <w:rsid w:val="00A824F6"/>
    <w:rsid w:val="00A87754"/>
    <w:rsid w:val="00A903A8"/>
    <w:rsid w:val="00A90ED0"/>
    <w:rsid w:val="00A95AD0"/>
    <w:rsid w:val="00A97365"/>
    <w:rsid w:val="00AA337F"/>
    <w:rsid w:val="00AA362F"/>
    <w:rsid w:val="00AA4573"/>
    <w:rsid w:val="00AA6E92"/>
    <w:rsid w:val="00AA7B8D"/>
    <w:rsid w:val="00AB2CEC"/>
    <w:rsid w:val="00AB4966"/>
    <w:rsid w:val="00AB68D3"/>
    <w:rsid w:val="00AB7893"/>
    <w:rsid w:val="00AB7F83"/>
    <w:rsid w:val="00AC00DA"/>
    <w:rsid w:val="00AC16A2"/>
    <w:rsid w:val="00AC5640"/>
    <w:rsid w:val="00AC59A0"/>
    <w:rsid w:val="00AD1BCC"/>
    <w:rsid w:val="00AD301B"/>
    <w:rsid w:val="00AD35D7"/>
    <w:rsid w:val="00AD57AA"/>
    <w:rsid w:val="00AE05DC"/>
    <w:rsid w:val="00AE2443"/>
    <w:rsid w:val="00AE6338"/>
    <w:rsid w:val="00AE63C1"/>
    <w:rsid w:val="00AF001B"/>
    <w:rsid w:val="00AF02BF"/>
    <w:rsid w:val="00AF0677"/>
    <w:rsid w:val="00AF2A3A"/>
    <w:rsid w:val="00B01462"/>
    <w:rsid w:val="00B0563D"/>
    <w:rsid w:val="00B0680C"/>
    <w:rsid w:val="00B10DD2"/>
    <w:rsid w:val="00B11D9C"/>
    <w:rsid w:val="00B13FA0"/>
    <w:rsid w:val="00B142C0"/>
    <w:rsid w:val="00B16BE4"/>
    <w:rsid w:val="00B16CFB"/>
    <w:rsid w:val="00B17330"/>
    <w:rsid w:val="00B17D90"/>
    <w:rsid w:val="00B276E0"/>
    <w:rsid w:val="00B32F22"/>
    <w:rsid w:val="00B343C8"/>
    <w:rsid w:val="00B35B9D"/>
    <w:rsid w:val="00B3604C"/>
    <w:rsid w:val="00B41484"/>
    <w:rsid w:val="00B41884"/>
    <w:rsid w:val="00B4246D"/>
    <w:rsid w:val="00B4606A"/>
    <w:rsid w:val="00B46CDE"/>
    <w:rsid w:val="00B50914"/>
    <w:rsid w:val="00B54A2B"/>
    <w:rsid w:val="00B57592"/>
    <w:rsid w:val="00B653DE"/>
    <w:rsid w:val="00B675C4"/>
    <w:rsid w:val="00B7141B"/>
    <w:rsid w:val="00B73E46"/>
    <w:rsid w:val="00B7466C"/>
    <w:rsid w:val="00B750A3"/>
    <w:rsid w:val="00B75EF7"/>
    <w:rsid w:val="00B76F7A"/>
    <w:rsid w:val="00B77E6A"/>
    <w:rsid w:val="00B816A3"/>
    <w:rsid w:val="00B81CED"/>
    <w:rsid w:val="00B848B0"/>
    <w:rsid w:val="00B84C38"/>
    <w:rsid w:val="00B86206"/>
    <w:rsid w:val="00B86698"/>
    <w:rsid w:val="00B93CC8"/>
    <w:rsid w:val="00B9520F"/>
    <w:rsid w:val="00B9579C"/>
    <w:rsid w:val="00B962FA"/>
    <w:rsid w:val="00BA0A21"/>
    <w:rsid w:val="00BA2118"/>
    <w:rsid w:val="00BA51E1"/>
    <w:rsid w:val="00BA578C"/>
    <w:rsid w:val="00BA5CCD"/>
    <w:rsid w:val="00BA6A6F"/>
    <w:rsid w:val="00BB010B"/>
    <w:rsid w:val="00BB0979"/>
    <w:rsid w:val="00BB459D"/>
    <w:rsid w:val="00BB5418"/>
    <w:rsid w:val="00BB7F41"/>
    <w:rsid w:val="00BC1EBC"/>
    <w:rsid w:val="00BC5398"/>
    <w:rsid w:val="00BC652E"/>
    <w:rsid w:val="00BC71A4"/>
    <w:rsid w:val="00BD1932"/>
    <w:rsid w:val="00BD24B9"/>
    <w:rsid w:val="00BD77C4"/>
    <w:rsid w:val="00BE587B"/>
    <w:rsid w:val="00BF0443"/>
    <w:rsid w:val="00BF10A2"/>
    <w:rsid w:val="00BF2D75"/>
    <w:rsid w:val="00C023A4"/>
    <w:rsid w:val="00C033AC"/>
    <w:rsid w:val="00C0406D"/>
    <w:rsid w:val="00C0613A"/>
    <w:rsid w:val="00C134DD"/>
    <w:rsid w:val="00C14DA8"/>
    <w:rsid w:val="00C157E2"/>
    <w:rsid w:val="00C2250A"/>
    <w:rsid w:val="00C23E04"/>
    <w:rsid w:val="00C24677"/>
    <w:rsid w:val="00C3020B"/>
    <w:rsid w:val="00C31FB2"/>
    <w:rsid w:val="00C33D7C"/>
    <w:rsid w:val="00C343BD"/>
    <w:rsid w:val="00C354E6"/>
    <w:rsid w:val="00C36679"/>
    <w:rsid w:val="00C36D09"/>
    <w:rsid w:val="00C436ED"/>
    <w:rsid w:val="00C458C9"/>
    <w:rsid w:val="00C52FFA"/>
    <w:rsid w:val="00C554C2"/>
    <w:rsid w:val="00C566C0"/>
    <w:rsid w:val="00C56B08"/>
    <w:rsid w:val="00C57212"/>
    <w:rsid w:val="00C605A0"/>
    <w:rsid w:val="00C627AF"/>
    <w:rsid w:val="00C62C65"/>
    <w:rsid w:val="00C706B3"/>
    <w:rsid w:val="00C70D38"/>
    <w:rsid w:val="00C73FE3"/>
    <w:rsid w:val="00C74377"/>
    <w:rsid w:val="00C74424"/>
    <w:rsid w:val="00C744A9"/>
    <w:rsid w:val="00C812D9"/>
    <w:rsid w:val="00C81367"/>
    <w:rsid w:val="00C828D3"/>
    <w:rsid w:val="00C845C0"/>
    <w:rsid w:val="00C849F8"/>
    <w:rsid w:val="00C84A2C"/>
    <w:rsid w:val="00C84B1D"/>
    <w:rsid w:val="00C87AFE"/>
    <w:rsid w:val="00C97085"/>
    <w:rsid w:val="00C976DE"/>
    <w:rsid w:val="00CA1F5E"/>
    <w:rsid w:val="00CA27E5"/>
    <w:rsid w:val="00CA2A46"/>
    <w:rsid w:val="00CA46D1"/>
    <w:rsid w:val="00CB129F"/>
    <w:rsid w:val="00CB49FA"/>
    <w:rsid w:val="00CB7F80"/>
    <w:rsid w:val="00CC180D"/>
    <w:rsid w:val="00CC4B2D"/>
    <w:rsid w:val="00CC705F"/>
    <w:rsid w:val="00CD19B1"/>
    <w:rsid w:val="00CD4541"/>
    <w:rsid w:val="00CD5853"/>
    <w:rsid w:val="00CD60DF"/>
    <w:rsid w:val="00CD6213"/>
    <w:rsid w:val="00CE1DD4"/>
    <w:rsid w:val="00CE4928"/>
    <w:rsid w:val="00CF0313"/>
    <w:rsid w:val="00CF05D1"/>
    <w:rsid w:val="00CF3097"/>
    <w:rsid w:val="00CF338A"/>
    <w:rsid w:val="00CF5A5B"/>
    <w:rsid w:val="00CF5B56"/>
    <w:rsid w:val="00D01D09"/>
    <w:rsid w:val="00D037AD"/>
    <w:rsid w:val="00D03AD5"/>
    <w:rsid w:val="00D044EA"/>
    <w:rsid w:val="00D10C4C"/>
    <w:rsid w:val="00D14161"/>
    <w:rsid w:val="00D14670"/>
    <w:rsid w:val="00D155F8"/>
    <w:rsid w:val="00D17155"/>
    <w:rsid w:val="00D17E2A"/>
    <w:rsid w:val="00D2228C"/>
    <w:rsid w:val="00D22333"/>
    <w:rsid w:val="00D23319"/>
    <w:rsid w:val="00D2645E"/>
    <w:rsid w:val="00D26F18"/>
    <w:rsid w:val="00D27AF7"/>
    <w:rsid w:val="00D30B43"/>
    <w:rsid w:val="00D322D4"/>
    <w:rsid w:val="00D347D9"/>
    <w:rsid w:val="00D3509C"/>
    <w:rsid w:val="00D44BA0"/>
    <w:rsid w:val="00D4519E"/>
    <w:rsid w:val="00D4520A"/>
    <w:rsid w:val="00D52916"/>
    <w:rsid w:val="00D561FD"/>
    <w:rsid w:val="00D60CA1"/>
    <w:rsid w:val="00D60FFD"/>
    <w:rsid w:val="00D62A13"/>
    <w:rsid w:val="00D63508"/>
    <w:rsid w:val="00D64FC2"/>
    <w:rsid w:val="00D656FD"/>
    <w:rsid w:val="00D70E10"/>
    <w:rsid w:val="00D747DB"/>
    <w:rsid w:val="00D75048"/>
    <w:rsid w:val="00D76D6E"/>
    <w:rsid w:val="00D77E64"/>
    <w:rsid w:val="00D81727"/>
    <w:rsid w:val="00D81AA4"/>
    <w:rsid w:val="00D835C3"/>
    <w:rsid w:val="00D84EC8"/>
    <w:rsid w:val="00D8606F"/>
    <w:rsid w:val="00D86182"/>
    <w:rsid w:val="00D865FD"/>
    <w:rsid w:val="00D877E9"/>
    <w:rsid w:val="00D900D6"/>
    <w:rsid w:val="00D90555"/>
    <w:rsid w:val="00D9243A"/>
    <w:rsid w:val="00D9578F"/>
    <w:rsid w:val="00D9790D"/>
    <w:rsid w:val="00DA1C5E"/>
    <w:rsid w:val="00DA37E5"/>
    <w:rsid w:val="00DA3AF2"/>
    <w:rsid w:val="00DA3F5F"/>
    <w:rsid w:val="00DA6DB9"/>
    <w:rsid w:val="00DB18B5"/>
    <w:rsid w:val="00DC05DC"/>
    <w:rsid w:val="00DC1334"/>
    <w:rsid w:val="00DC257A"/>
    <w:rsid w:val="00DC414B"/>
    <w:rsid w:val="00DC4287"/>
    <w:rsid w:val="00DC46B9"/>
    <w:rsid w:val="00DD13F6"/>
    <w:rsid w:val="00DD4FF8"/>
    <w:rsid w:val="00DD5080"/>
    <w:rsid w:val="00DD6B9C"/>
    <w:rsid w:val="00DE10D3"/>
    <w:rsid w:val="00DE16AF"/>
    <w:rsid w:val="00DE735E"/>
    <w:rsid w:val="00DF0675"/>
    <w:rsid w:val="00DF0979"/>
    <w:rsid w:val="00DF1AED"/>
    <w:rsid w:val="00DF1D0F"/>
    <w:rsid w:val="00DF2262"/>
    <w:rsid w:val="00DF4609"/>
    <w:rsid w:val="00E0091F"/>
    <w:rsid w:val="00E01067"/>
    <w:rsid w:val="00E03C7F"/>
    <w:rsid w:val="00E10934"/>
    <w:rsid w:val="00E109ED"/>
    <w:rsid w:val="00E10C6D"/>
    <w:rsid w:val="00E11410"/>
    <w:rsid w:val="00E121A2"/>
    <w:rsid w:val="00E12995"/>
    <w:rsid w:val="00E2048D"/>
    <w:rsid w:val="00E227A0"/>
    <w:rsid w:val="00E234D2"/>
    <w:rsid w:val="00E250E2"/>
    <w:rsid w:val="00E264A3"/>
    <w:rsid w:val="00E27B1D"/>
    <w:rsid w:val="00E35395"/>
    <w:rsid w:val="00E35D8D"/>
    <w:rsid w:val="00E36869"/>
    <w:rsid w:val="00E36A29"/>
    <w:rsid w:val="00E41C94"/>
    <w:rsid w:val="00E463C7"/>
    <w:rsid w:val="00E47055"/>
    <w:rsid w:val="00E52D7D"/>
    <w:rsid w:val="00E53325"/>
    <w:rsid w:val="00E54D0B"/>
    <w:rsid w:val="00E55018"/>
    <w:rsid w:val="00E57311"/>
    <w:rsid w:val="00E57665"/>
    <w:rsid w:val="00E602E8"/>
    <w:rsid w:val="00E60BF5"/>
    <w:rsid w:val="00E61C88"/>
    <w:rsid w:val="00E65D00"/>
    <w:rsid w:val="00E70D89"/>
    <w:rsid w:val="00E712C0"/>
    <w:rsid w:val="00E724FD"/>
    <w:rsid w:val="00E75643"/>
    <w:rsid w:val="00E770A4"/>
    <w:rsid w:val="00E770FA"/>
    <w:rsid w:val="00E82283"/>
    <w:rsid w:val="00E838BB"/>
    <w:rsid w:val="00E84342"/>
    <w:rsid w:val="00E87A67"/>
    <w:rsid w:val="00E9003E"/>
    <w:rsid w:val="00E90D93"/>
    <w:rsid w:val="00E93581"/>
    <w:rsid w:val="00EA15FC"/>
    <w:rsid w:val="00EA3344"/>
    <w:rsid w:val="00EB2B9A"/>
    <w:rsid w:val="00EB3C71"/>
    <w:rsid w:val="00EB40C9"/>
    <w:rsid w:val="00EC0B36"/>
    <w:rsid w:val="00EC0F8F"/>
    <w:rsid w:val="00EC1B42"/>
    <w:rsid w:val="00EC25FB"/>
    <w:rsid w:val="00EC3E9A"/>
    <w:rsid w:val="00EC4C82"/>
    <w:rsid w:val="00EC5D30"/>
    <w:rsid w:val="00EC6C3D"/>
    <w:rsid w:val="00EC7390"/>
    <w:rsid w:val="00ED3834"/>
    <w:rsid w:val="00ED40A1"/>
    <w:rsid w:val="00ED5B0D"/>
    <w:rsid w:val="00EE1DF5"/>
    <w:rsid w:val="00EE28F3"/>
    <w:rsid w:val="00EE4E56"/>
    <w:rsid w:val="00EF2C39"/>
    <w:rsid w:val="00EF358D"/>
    <w:rsid w:val="00EF50B5"/>
    <w:rsid w:val="00EF53CB"/>
    <w:rsid w:val="00F00979"/>
    <w:rsid w:val="00F0601C"/>
    <w:rsid w:val="00F11607"/>
    <w:rsid w:val="00F1424B"/>
    <w:rsid w:val="00F21ABD"/>
    <w:rsid w:val="00F22107"/>
    <w:rsid w:val="00F224D5"/>
    <w:rsid w:val="00F23858"/>
    <w:rsid w:val="00F26CF1"/>
    <w:rsid w:val="00F30358"/>
    <w:rsid w:val="00F32065"/>
    <w:rsid w:val="00F32371"/>
    <w:rsid w:val="00F341F3"/>
    <w:rsid w:val="00F3424B"/>
    <w:rsid w:val="00F401CE"/>
    <w:rsid w:val="00F4133B"/>
    <w:rsid w:val="00F4158C"/>
    <w:rsid w:val="00F42167"/>
    <w:rsid w:val="00F46960"/>
    <w:rsid w:val="00F46EDF"/>
    <w:rsid w:val="00F5128C"/>
    <w:rsid w:val="00F530A6"/>
    <w:rsid w:val="00F538F2"/>
    <w:rsid w:val="00F546E6"/>
    <w:rsid w:val="00F54D78"/>
    <w:rsid w:val="00F61048"/>
    <w:rsid w:val="00F63970"/>
    <w:rsid w:val="00F65A6A"/>
    <w:rsid w:val="00F66195"/>
    <w:rsid w:val="00F674F0"/>
    <w:rsid w:val="00F71126"/>
    <w:rsid w:val="00F715C6"/>
    <w:rsid w:val="00F71DCE"/>
    <w:rsid w:val="00F7578A"/>
    <w:rsid w:val="00F758EB"/>
    <w:rsid w:val="00F7798E"/>
    <w:rsid w:val="00F80923"/>
    <w:rsid w:val="00F813ED"/>
    <w:rsid w:val="00F8160A"/>
    <w:rsid w:val="00F81824"/>
    <w:rsid w:val="00F94C15"/>
    <w:rsid w:val="00F95DEE"/>
    <w:rsid w:val="00F95EDD"/>
    <w:rsid w:val="00F96F58"/>
    <w:rsid w:val="00FA109F"/>
    <w:rsid w:val="00FA1B63"/>
    <w:rsid w:val="00FA3A73"/>
    <w:rsid w:val="00FA6631"/>
    <w:rsid w:val="00FA71F5"/>
    <w:rsid w:val="00FB3C76"/>
    <w:rsid w:val="00FB48A1"/>
    <w:rsid w:val="00FB48C2"/>
    <w:rsid w:val="00FB6A39"/>
    <w:rsid w:val="00FB78BA"/>
    <w:rsid w:val="00FB7A6A"/>
    <w:rsid w:val="00FC2888"/>
    <w:rsid w:val="00FC4D52"/>
    <w:rsid w:val="00FC6200"/>
    <w:rsid w:val="00FC7937"/>
    <w:rsid w:val="00FD05A8"/>
    <w:rsid w:val="00FE2E1F"/>
    <w:rsid w:val="00FE34FC"/>
    <w:rsid w:val="00FE3E0C"/>
    <w:rsid w:val="00FE49D7"/>
    <w:rsid w:val="00FE6E35"/>
    <w:rsid w:val="00FE7435"/>
    <w:rsid w:val="00FE763A"/>
    <w:rsid w:val="00FF01B1"/>
    <w:rsid w:val="00FF7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D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4C70FF"/>
    <w:pPr>
      <w:ind w:left="720"/>
      <w:contextualSpacing/>
    </w:pPr>
  </w:style>
  <w:style w:type="character" w:styleId="Verwijzingopmerking">
    <w:name w:val="annotation reference"/>
    <w:basedOn w:val="Standaardalinea-lettertype"/>
    <w:unhideWhenUsed/>
    <w:rsid w:val="0082290F"/>
    <w:rPr>
      <w:sz w:val="16"/>
      <w:szCs w:val="16"/>
    </w:rPr>
  </w:style>
  <w:style w:type="paragraph" w:styleId="Tekstopmerking">
    <w:name w:val="annotation text"/>
    <w:basedOn w:val="Standaard"/>
    <w:link w:val="TekstopmerkingChar"/>
    <w:unhideWhenUsed/>
    <w:rsid w:val="0082290F"/>
    <w:pPr>
      <w:spacing w:line="240" w:lineRule="auto"/>
    </w:pPr>
    <w:rPr>
      <w:sz w:val="20"/>
      <w:szCs w:val="20"/>
    </w:rPr>
  </w:style>
  <w:style w:type="character" w:customStyle="1" w:styleId="TekstopmerkingChar">
    <w:name w:val="Tekst opmerking Char"/>
    <w:basedOn w:val="Standaardalinea-lettertype"/>
    <w:link w:val="Tekstopmerking"/>
    <w:rsid w:val="0082290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2290F"/>
    <w:rPr>
      <w:b/>
      <w:bCs/>
    </w:rPr>
  </w:style>
  <w:style w:type="character" w:customStyle="1" w:styleId="OnderwerpvanopmerkingChar">
    <w:name w:val="Onderwerp van opmerking Char"/>
    <w:basedOn w:val="TekstopmerkingChar"/>
    <w:link w:val="Onderwerpvanopmerking"/>
    <w:uiPriority w:val="99"/>
    <w:semiHidden/>
    <w:rsid w:val="0082290F"/>
    <w:rPr>
      <w:rFonts w:ascii="Verdana" w:hAnsi="Verdana"/>
      <w:b/>
      <w:bCs/>
      <w:color w:val="000000"/>
    </w:rPr>
  </w:style>
  <w:style w:type="paragraph" w:styleId="Revisie">
    <w:name w:val="Revision"/>
    <w:hidden/>
    <w:uiPriority w:val="99"/>
    <w:semiHidden/>
    <w:rsid w:val="004E19BB"/>
    <w:pPr>
      <w:autoSpaceDN/>
      <w:textAlignment w:val="auto"/>
    </w:pPr>
    <w:rPr>
      <w:rFonts w:ascii="Verdana" w:hAnsi="Verdana"/>
      <w:color w:val="000000"/>
      <w:sz w:val="18"/>
      <w:szCs w:val="18"/>
    </w:rPr>
  </w:style>
  <w:style w:type="paragraph" w:styleId="Voetnoottekst">
    <w:name w:val="footnote text"/>
    <w:basedOn w:val="Standaard"/>
    <w:link w:val="VoetnoottekstChar"/>
    <w:uiPriority w:val="99"/>
    <w:unhideWhenUsed/>
    <w:rsid w:val="004E19BB"/>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rsid w:val="004E19BB"/>
    <w:rPr>
      <w:rFonts w:ascii="Verdana" w:hAnsi="Verdana"/>
      <w:color w:val="000000"/>
    </w:rPr>
  </w:style>
  <w:style w:type="paragraph" w:customStyle="1" w:styleId="Default">
    <w:name w:val="Default"/>
    <w:rsid w:val="004E19BB"/>
    <w:pPr>
      <w:autoSpaceDE w:val="0"/>
      <w:adjustRightInd w:val="0"/>
      <w:textAlignment w:val="auto"/>
    </w:pPr>
    <w:rPr>
      <w:rFonts w:ascii="Verdana" w:eastAsia="Times New Roman" w:hAnsi="Verdana" w:cs="Verdana"/>
      <w:color w:val="000000"/>
      <w:sz w:val="24"/>
      <w:szCs w:val="24"/>
    </w:rPr>
  </w:style>
  <w:style w:type="character" w:styleId="Voetnootmarkering">
    <w:name w:val="footnote reference"/>
    <w:basedOn w:val="Standaardalinea-lettertype"/>
    <w:uiPriority w:val="99"/>
    <w:unhideWhenUsed/>
    <w:rsid w:val="004E19BB"/>
    <w:rPr>
      <w:vertAlign w:val="superscript"/>
    </w:rPr>
  </w:style>
  <w:style w:type="table" w:styleId="Tabelraster">
    <w:name w:val="Table Grid"/>
    <w:basedOn w:val="Standaardtabel"/>
    <w:uiPriority w:val="39"/>
    <w:rsid w:val="004E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E19BB"/>
    <w:rPr>
      <w:color w:val="605E5C"/>
      <w:shd w:val="clear" w:color="auto" w:fill="E1DFDD"/>
    </w:rPr>
  </w:style>
  <w:style w:type="paragraph" w:styleId="Lijstopsomteken20">
    <w:name w:val="List Bullet 2"/>
    <w:basedOn w:val="Standaard"/>
    <w:rsid w:val="00CE4928"/>
    <w:pPr>
      <w:numPr>
        <w:numId w:val="13"/>
      </w:numPr>
      <w:autoSpaceDN/>
      <w:textAlignment w:val="auto"/>
    </w:pPr>
    <w:rPr>
      <w:rFonts w:eastAsia="Times New Roman" w:cs="Times New Roman"/>
      <w:noProof/>
      <w:color w:val="auto"/>
      <w:kern w:val="2"/>
      <w:szCs w:val="24"/>
      <w14:ligatures w14:val="standardContextual"/>
    </w:rPr>
  </w:style>
  <w:style w:type="character" w:styleId="GevolgdeHyperlink">
    <w:name w:val="FollowedHyperlink"/>
    <w:basedOn w:val="Standaardalinea-lettertype"/>
    <w:uiPriority w:val="99"/>
    <w:semiHidden/>
    <w:unhideWhenUsed/>
    <w:rsid w:val="005D42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79">
      <w:bodyDiv w:val="1"/>
      <w:marLeft w:val="0"/>
      <w:marRight w:val="0"/>
      <w:marTop w:val="0"/>
      <w:marBottom w:val="0"/>
      <w:divBdr>
        <w:top w:val="none" w:sz="0" w:space="0" w:color="auto"/>
        <w:left w:val="none" w:sz="0" w:space="0" w:color="auto"/>
        <w:bottom w:val="none" w:sz="0" w:space="0" w:color="auto"/>
        <w:right w:val="none" w:sz="0" w:space="0" w:color="auto"/>
      </w:divBdr>
    </w:div>
    <w:div w:id="73747978">
      <w:bodyDiv w:val="1"/>
      <w:marLeft w:val="0"/>
      <w:marRight w:val="0"/>
      <w:marTop w:val="0"/>
      <w:marBottom w:val="0"/>
      <w:divBdr>
        <w:top w:val="none" w:sz="0" w:space="0" w:color="auto"/>
        <w:left w:val="none" w:sz="0" w:space="0" w:color="auto"/>
        <w:bottom w:val="none" w:sz="0" w:space="0" w:color="auto"/>
        <w:right w:val="none" w:sz="0" w:space="0" w:color="auto"/>
      </w:divBdr>
    </w:div>
    <w:div w:id="90125784">
      <w:bodyDiv w:val="1"/>
      <w:marLeft w:val="0"/>
      <w:marRight w:val="0"/>
      <w:marTop w:val="0"/>
      <w:marBottom w:val="0"/>
      <w:divBdr>
        <w:top w:val="none" w:sz="0" w:space="0" w:color="auto"/>
        <w:left w:val="none" w:sz="0" w:space="0" w:color="auto"/>
        <w:bottom w:val="none" w:sz="0" w:space="0" w:color="auto"/>
        <w:right w:val="none" w:sz="0" w:space="0" w:color="auto"/>
      </w:divBdr>
    </w:div>
    <w:div w:id="172191169">
      <w:bodyDiv w:val="1"/>
      <w:marLeft w:val="0"/>
      <w:marRight w:val="0"/>
      <w:marTop w:val="0"/>
      <w:marBottom w:val="0"/>
      <w:divBdr>
        <w:top w:val="none" w:sz="0" w:space="0" w:color="auto"/>
        <w:left w:val="none" w:sz="0" w:space="0" w:color="auto"/>
        <w:bottom w:val="none" w:sz="0" w:space="0" w:color="auto"/>
        <w:right w:val="none" w:sz="0" w:space="0" w:color="auto"/>
      </w:divBdr>
    </w:div>
    <w:div w:id="176585209">
      <w:bodyDiv w:val="1"/>
      <w:marLeft w:val="0"/>
      <w:marRight w:val="0"/>
      <w:marTop w:val="0"/>
      <w:marBottom w:val="0"/>
      <w:divBdr>
        <w:top w:val="none" w:sz="0" w:space="0" w:color="auto"/>
        <w:left w:val="none" w:sz="0" w:space="0" w:color="auto"/>
        <w:bottom w:val="none" w:sz="0" w:space="0" w:color="auto"/>
        <w:right w:val="none" w:sz="0" w:space="0" w:color="auto"/>
      </w:divBdr>
    </w:div>
    <w:div w:id="256788365">
      <w:bodyDiv w:val="1"/>
      <w:marLeft w:val="0"/>
      <w:marRight w:val="0"/>
      <w:marTop w:val="0"/>
      <w:marBottom w:val="0"/>
      <w:divBdr>
        <w:top w:val="none" w:sz="0" w:space="0" w:color="auto"/>
        <w:left w:val="none" w:sz="0" w:space="0" w:color="auto"/>
        <w:bottom w:val="none" w:sz="0" w:space="0" w:color="auto"/>
        <w:right w:val="none" w:sz="0" w:space="0" w:color="auto"/>
      </w:divBdr>
    </w:div>
    <w:div w:id="286666938">
      <w:bodyDiv w:val="1"/>
      <w:marLeft w:val="0"/>
      <w:marRight w:val="0"/>
      <w:marTop w:val="0"/>
      <w:marBottom w:val="0"/>
      <w:divBdr>
        <w:top w:val="none" w:sz="0" w:space="0" w:color="auto"/>
        <w:left w:val="none" w:sz="0" w:space="0" w:color="auto"/>
        <w:bottom w:val="none" w:sz="0" w:space="0" w:color="auto"/>
        <w:right w:val="none" w:sz="0" w:space="0" w:color="auto"/>
      </w:divBdr>
    </w:div>
    <w:div w:id="312101669">
      <w:bodyDiv w:val="1"/>
      <w:marLeft w:val="0"/>
      <w:marRight w:val="0"/>
      <w:marTop w:val="0"/>
      <w:marBottom w:val="0"/>
      <w:divBdr>
        <w:top w:val="none" w:sz="0" w:space="0" w:color="auto"/>
        <w:left w:val="none" w:sz="0" w:space="0" w:color="auto"/>
        <w:bottom w:val="none" w:sz="0" w:space="0" w:color="auto"/>
        <w:right w:val="none" w:sz="0" w:space="0" w:color="auto"/>
      </w:divBdr>
    </w:div>
    <w:div w:id="416442121">
      <w:bodyDiv w:val="1"/>
      <w:marLeft w:val="0"/>
      <w:marRight w:val="0"/>
      <w:marTop w:val="0"/>
      <w:marBottom w:val="0"/>
      <w:divBdr>
        <w:top w:val="none" w:sz="0" w:space="0" w:color="auto"/>
        <w:left w:val="none" w:sz="0" w:space="0" w:color="auto"/>
        <w:bottom w:val="none" w:sz="0" w:space="0" w:color="auto"/>
        <w:right w:val="none" w:sz="0" w:space="0" w:color="auto"/>
      </w:divBdr>
    </w:div>
    <w:div w:id="430904331">
      <w:bodyDiv w:val="1"/>
      <w:marLeft w:val="0"/>
      <w:marRight w:val="0"/>
      <w:marTop w:val="0"/>
      <w:marBottom w:val="0"/>
      <w:divBdr>
        <w:top w:val="none" w:sz="0" w:space="0" w:color="auto"/>
        <w:left w:val="none" w:sz="0" w:space="0" w:color="auto"/>
        <w:bottom w:val="none" w:sz="0" w:space="0" w:color="auto"/>
        <w:right w:val="none" w:sz="0" w:space="0" w:color="auto"/>
      </w:divBdr>
    </w:div>
    <w:div w:id="495850127">
      <w:bodyDiv w:val="1"/>
      <w:marLeft w:val="0"/>
      <w:marRight w:val="0"/>
      <w:marTop w:val="0"/>
      <w:marBottom w:val="0"/>
      <w:divBdr>
        <w:top w:val="none" w:sz="0" w:space="0" w:color="auto"/>
        <w:left w:val="none" w:sz="0" w:space="0" w:color="auto"/>
        <w:bottom w:val="none" w:sz="0" w:space="0" w:color="auto"/>
        <w:right w:val="none" w:sz="0" w:space="0" w:color="auto"/>
      </w:divBdr>
      <w:divsChild>
        <w:div w:id="84497007">
          <w:marLeft w:val="0"/>
          <w:marRight w:val="0"/>
          <w:marTop w:val="0"/>
          <w:marBottom w:val="240"/>
          <w:divBdr>
            <w:top w:val="none" w:sz="0" w:space="0" w:color="auto"/>
            <w:left w:val="none" w:sz="0" w:space="0" w:color="auto"/>
            <w:bottom w:val="none" w:sz="0" w:space="0" w:color="auto"/>
            <w:right w:val="none" w:sz="0" w:space="0" w:color="auto"/>
          </w:divBdr>
        </w:div>
        <w:div w:id="395591512">
          <w:marLeft w:val="0"/>
          <w:marRight w:val="0"/>
          <w:marTop w:val="0"/>
          <w:marBottom w:val="240"/>
          <w:divBdr>
            <w:top w:val="none" w:sz="0" w:space="0" w:color="auto"/>
            <w:left w:val="none" w:sz="0" w:space="0" w:color="auto"/>
            <w:bottom w:val="none" w:sz="0" w:space="0" w:color="auto"/>
            <w:right w:val="none" w:sz="0" w:space="0" w:color="auto"/>
          </w:divBdr>
        </w:div>
      </w:divsChild>
    </w:div>
    <w:div w:id="536236834">
      <w:bodyDiv w:val="1"/>
      <w:marLeft w:val="0"/>
      <w:marRight w:val="0"/>
      <w:marTop w:val="0"/>
      <w:marBottom w:val="0"/>
      <w:divBdr>
        <w:top w:val="none" w:sz="0" w:space="0" w:color="auto"/>
        <w:left w:val="none" w:sz="0" w:space="0" w:color="auto"/>
        <w:bottom w:val="none" w:sz="0" w:space="0" w:color="auto"/>
        <w:right w:val="none" w:sz="0" w:space="0" w:color="auto"/>
      </w:divBdr>
    </w:div>
    <w:div w:id="617756076">
      <w:bodyDiv w:val="1"/>
      <w:marLeft w:val="0"/>
      <w:marRight w:val="0"/>
      <w:marTop w:val="0"/>
      <w:marBottom w:val="0"/>
      <w:divBdr>
        <w:top w:val="none" w:sz="0" w:space="0" w:color="auto"/>
        <w:left w:val="none" w:sz="0" w:space="0" w:color="auto"/>
        <w:bottom w:val="none" w:sz="0" w:space="0" w:color="auto"/>
        <w:right w:val="none" w:sz="0" w:space="0" w:color="auto"/>
      </w:divBdr>
    </w:div>
    <w:div w:id="626279414">
      <w:bodyDiv w:val="1"/>
      <w:marLeft w:val="0"/>
      <w:marRight w:val="0"/>
      <w:marTop w:val="0"/>
      <w:marBottom w:val="0"/>
      <w:divBdr>
        <w:top w:val="none" w:sz="0" w:space="0" w:color="auto"/>
        <w:left w:val="none" w:sz="0" w:space="0" w:color="auto"/>
        <w:bottom w:val="none" w:sz="0" w:space="0" w:color="auto"/>
        <w:right w:val="none" w:sz="0" w:space="0" w:color="auto"/>
      </w:divBdr>
    </w:div>
    <w:div w:id="647438643">
      <w:bodyDiv w:val="1"/>
      <w:marLeft w:val="0"/>
      <w:marRight w:val="0"/>
      <w:marTop w:val="0"/>
      <w:marBottom w:val="0"/>
      <w:divBdr>
        <w:top w:val="none" w:sz="0" w:space="0" w:color="auto"/>
        <w:left w:val="none" w:sz="0" w:space="0" w:color="auto"/>
        <w:bottom w:val="none" w:sz="0" w:space="0" w:color="auto"/>
        <w:right w:val="none" w:sz="0" w:space="0" w:color="auto"/>
      </w:divBdr>
    </w:div>
    <w:div w:id="847908456">
      <w:bodyDiv w:val="1"/>
      <w:marLeft w:val="0"/>
      <w:marRight w:val="0"/>
      <w:marTop w:val="0"/>
      <w:marBottom w:val="0"/>
      <w:divBdr>
        <w:top w:val="none" w:sz="0" w:space="0" w:color="auto"/>
        <w:left w:val="none" w:sz="0" w:space="0" w:color="auto"/>
        <w:bottom w:val="none" w:sz="0" w:space="0" w:color="auto"/>
        <w:right w:val="none" w:sz="0" w:space="0" w:color="auto"/>
      </w:divBdr>
    </w:div>
    <w:div w:id="867107670">
      <w:bodyDiv w:val="1"/>
      <w:marLeft w:val="0"/>
      <w:marRight w:val="0"/>
      <w:marTop w:val="0"/>
      <w:marBottom w:val="0"/>
      <w:divBdr>
        <w:top w:val="none" w:sz="0" w:space="0" w:color="auto"/>
        <w:left w:val="none" w:sz="0" w:space="0" w:color="auto"/>
        <w:bottom w:val="none" w:sz="0" w:space="0" w:color="auto"/>
        <w:right w:val="none" w:sz="0" w:space="0" w:color="auto"/>
      </w:divBdr>
    </w:div>
    <w:div w:id="886137710">
      <w:bodyDiv w:val="1"/>
      <w:marLeft w:val="0"/>
      <w:marRight w:val="0"/>
      <w:marTop w:val="0"/>
      <w:marBottom w:val="0"/>
      <w:divBdr>
        <w:top w:val="none" w:sz="0" w:space="0" w:color="auto"/>
        <w:left w:val="none" w:sz="0" w:space="0" w:color="auto"/>
        <w:bottom w:val="none" w:sz="0" w:space="0" w:color="auto"/>
        <w:right w:val="none" w:sz="0" w:space="0" w:color="auto"/>
      </w:divBdr>
      <w:divsChild>
        <w:div w:id="2051369890">
          <w:marLeft w:val="0"/>
          <w:marRight w:val="0"/>
          <w:marTop w:val="0"/>
          <w:marBottom w:val="240"/>
          <w:divBdr>
            <w:top w:val="none" w:sz="0" w:space="0" w:color="auto"/>
            <w:left w:val="none" w:sz="0" w:space="0" w:color="auto"/>
            <w:bottom w:val="none" w:sz="0" w:space="0" w:color="auto"/>
            <w:right w:val="none" w:sz="0" w:space="0" w:color="auto"/>
          </w:divBdr>
        </w:div>
        <w:div w:id="1450783629">
          <w:marLeft w:val="0"/>
          <w:marRight w:val="0"/>
          <w:marTop w:val="0"/>
          <w:marBottom w:val="240"/>
          <w:divBdr>
            <w:top w:val="none" w:sz="0" w:space="0" w:color="auto"/>
            <w:left w:val="none" w:sz="0" w:space="0" w:color="auto"/>
            <w:bottom w:val="none" w:sz="0" w:space="0" w:color="auto"/>
            <w:right w:val="none" w:sz="0" w:space="0" w:color="auto"/>
          </w:divBdr>
        </w:div>
      </w:divsChild>
    </w:div>
    <w:div w:id="893388519">
      <w:bodyDiv w:val="1"/>
      <w:marLeft w:val="0"/>
      <w:marRight w:val="0"/>
      <w:marTop w:val="0"/>
      <w:marBottom w:val="0"/>
      <w:divBdr>
        <w:top w:val="none" w:sz="0" w:space="0" w:color="auto"/>
        <w:left w:val="none" w:sz="0" w:space="0" w:color="auto"/>
        <w:bottom w:val="none" w:sz="0" w:space="0" w:color="auto"/>
        <w:right w:val="none" w:sz="0" w:space="0" w:color="auto"/>
      </w:divBdr>
    </w:div>
    <w:div w:id="894705535">
      <w:bodyDiv w:val="1"/>
      <w:marLeft w:val="0"/>
      <w:marRight w:val="0"/>
      <w:marTop w:val="0"/>
      <w:marBottom w:val="0"/>
      <w:divBdr>
        <w:top w:val="none" w:sz="0" w:space="0" w:color="auto"/>
        <w:left w:val="none" w:sz="0" w:space="0" w:color="auto"/>
        <w:bottom w:val="none" w:sz="0" w:space="0" w:color="auto"/>
        <w:right w:val="none" w:sz="0" w:space="0" w:color="auto"/>
      </w:divBdr>
    </w:div>
    <w:div w:id="897861429">
      <w:bodyDiv w:val="1"/>
      <w:marLeft w:val="0"/>
      <w:marRight w:val="0"/>
      <w:marTop w:val="0"/>
      <w:marBottom w:val="0"/>
      <w:divBdr>
        <w:top w:val="none" w:sz="0" w:space="0" w:color="auto"/>
        <w:left w:val="none" w:sz="0" w:space="0" w:color="auto"/>
        <w:bottom w:val="none" w:sz="0" w:space="0" w:color="auto"/>
        <w:right w:val="none" w:sz="0" w:space="0" w:color="auto"/>
      </w:divBdr>
    </w:div>
    <w:div w:id="983895454">
      <w:bodyDiv w:val="1"/>
      <w:marLeft w:val="0"/>
      <w:marRight w:val="0"/>
      <w:marTop w:val="0"/>
      <w:marBottom w:val="0"/>
      <w:divBdr>
        <w:top w:val="none" w:sz="0" w:space="0" w:color="auto"/>
        <w:left w:val="none" w:sz="0" w:space="0" w:color="auto"/>
        <w:bottom w:val="none" w:sz="0" w:space="0" w:color="auto"/>
        <w:right w:val="none" w:sz="0" w:space="0" w:color="auto"/>
      </w:divBdr>
    </w:div>
    <w:div w:id="1024788436">
      <w:bodyDiv w:val="1"/>
      <w:marLeft w:val="0"/>
      <w:marRight w:val="0"/>
      <w:marTop w:val="0"/>
      <w:marBottom w:val="0"/>
      <w:divBdr>
        <w:top w:val="none" w:sz="0" w:space="0" w:color="auto"/>
        <w:left w:val="none" w:sz="0" w:space="0" w:color="auto"/>
        <w:bottom w:val="none" w:sz="0" w:space="0" w:color="auto"/>
        <w:right w:val="none" w:sz="0" w:space="0" w:color="auto"/>
      </w:divBdr>
    </w:div>
    <w:div w:id="1025640827">
      <w:bodyDiv w:val="1"/>
      <w:marLeft w:val="0"/>
      <w:marRight w:val="0"/>
      <w:marTop w:val="0"/>
      <w:marBottom w:val="0"/>
      <w:divBdr>
        <w:top w:val="none" w:sz="0" w:space="0" w:color="auto"/>
        <w:left w:val="none" w:sz="0" w:space="0" w:color="auto"/>
        <w:bottom w:val="none" w:sz="0" w:space="0" w:color="auto"/>
        <w:right w:val="none" w:sz="0" w:space="0" w:color="auto"/>
      </w:divBdr>
    </w:div>
    <w:div w:id="1033386314">
      <w:bodyDiv w:val="1"/>
      <w:marLeft w:val="0"/>
      <w:marRight w:val="0"/>
      <w:marTop w:val="0"/>
      <w:marBottom w:val="0"/>
      <w:divBdr>
        <w:top w:val="none" w:sz="0" w:space="0" w:color="auto"/>
        <w:left w:val="none" w:sz="0" w:space="0" w:color="auto"/>
        <w:bottom w:val="none" w:sz="0" w:space="0" w:color="auto"/>
        <w:right w:val="none" w:sz="0" w:space="0" w:color="auto"/>
      </w:divBdr>
    </w:div>
    <w:div w:id="1091852736">
      <w:bodyDiv w:val="1"/>
      <w:marLeft w:val="0"/>
      <w:marRight w:val="0"/>
      <w:marTop w:val="0"/>
      <w:marBottom w:val="0"/>
      <w:divBdr>
        <w:top w:val="none" w:sz="0" w:space="0" w:color="auto"/>
        <w:left w:val="none" w:sz="0" w:space="0" w:color="auto"/>
        <w:bottom w:val="none" w:sz="0" w:space="0" w:color="auto"/>
        <w:right w:val="none" w:sz="0" w:space="0" w:color="auto"/>
      </w:divBdr>
    </w:div>
    <w:div w:id="1135831408">
      <w:bodyDiv w:val="1"/>
      <w:marLeft w:val="0"/>
      <w:marRight w:val="0"/>
      <w:marTop w:val="0"/>
      <w:marBottom w:val="0"/>
      <w:divBdr>
        <w:top w:val="none" w:sz="0" w:space="0" w:color="auto"/>
        <w:left w:val="none" w:sz="0" w:space="0" w:color="auto"/>
        <w:bottom w:val="none" w:sz="0" w:space="0" w:color="auto"/>
        <w:right w:val="none" w:sz="0" w:space="0" w:color="auto"/>
      </w:divBdr>
    </w:div>
    <w:div w:id="1264343524">
      <w:bodyDiv w:val="1"/>
      <w:marLeft w:val="0"/>
      <w:marRight w:val="0"/>
      <w:marTop w:val="0"/>
      <w:marBottom w:val="0"/>
      <w:divBdr>
        <w:top w:val="none" w:sz="0" w:space="0" w:color="auto"/>
        <w:left w:val="none" w:sz="0" w:space="0" w:color="auto"/>
        <w:bottom w:val="none" w:sz="0" w:space="0" w:color="auto"/>
        <w:right w:val="none" w:sz="0" w:space="0" w:color="auto"/>
      </w:divBdr>
    </w:div>
    <w:div w:id="1271619371">
      <w:bodyDiv w:val="1"/>
      <w:marLeft w:val="0"/>
      <w:marRight w:val="0"/>
      <w:marTop w:val="0"/>
      <w:marBottom w:val="0"/>
      <w:divBdr>
        <w:top w:val="none" w:sz="0" w:space="0" w:color="auto"/>
        <w:left w:val="none" w:sz="0" w:space="0" w:color="auto"/>
        <w:bottom w:val="none" w:sz="0" w:space="0" w:color="auto"/>
        <w:right w:val="none" w:sz="0" w:space="0" w:color="auto"/>
      </w:divBdr>
    </w:div>
    <w:div w:id="1348675974">
      <w:bodyDiv w:val="1"/>
      <w:marLeft w:val="0"/>
      <w:marRight w:val="0"/>
      <w:marTop w:val="0"/>
      <w:marBottom w:val="0"/>
      <w:divBdr>
        <w:top w:val="none" w:sz="0" w:space="0" w:color="auto"/>
        <w:left w:val="none" w:sz="0" w:space="0" w:color="auto"/>
        <w:bottom w:val="none" w:sz="0" w:space="0" w:color="auto"/>
        <w:right w:val="none" w:sz="0" w:space="0" w:color="auto"/>
      </w:divBdr>
    </w:div>
    <w:div w:id="1397821884">
      <w:bodyDiv w:val="1"/>
      <w:marLeft w:val="0"/>
      <w:marRight w:val="0"/>
      <w:marTop w:val="0"/>
      <w:marBottom w:val="0"/>
      <w:divBdr>
        <w:top w:val="none" w:sz="0" w:space="0" w:color="auto"/>
        <w:left w:val="none" w:sz="0" w:space="0" w:color="auto"/>
        <w:bottom w:val="none" w:sz="0" w:space="0" w:color="auto"/>
        <w:right w:val="none" w:sz="0" w:space="0" w:color="auto"/>
      </w:divBdr>
    </w:div>
    <w:div w:id="1499537051">
      <w:bodyDiv w:val="1"/>
      <w:marLeft w:val="0"/>
      <w:marRight w:val="0"/>
      <w:marTop w:val="0"/>
      <w:marBottom w:val="0"/>
      <w:divBdr>
        <w:top w:val="none" w:sz="0" w:space="0" w:color="auto"/>
        <w:left w:val="none" w:sz="0" w:space="0" w:color="auto"/>
        <w:bottom w:val="none" w:sz="0" w:space="0" w:color="auto"/>
        <w:right w:val="none" w:sz="0" w:space="0" w:color="auto"/>
      </w:divBdr>
    </w:div>
    <w:div w:id="1552812516">
      <w:bodyDiv w:val="1"/>
      <w:marLeft w:val="0"/>
      <w:marRight w:val="0"/>
      <w:marTop w:val="0"/>
      <w:marBottom w:val="0"/>
      <w:divBdr>
        <w:top w:val="none" w:sz="0" w:space="0" w:color="auto"/>
        <w:left w:val="none" w:sz="0" w:space="0" w:color="auto"/>
        <w:bottom w:val="none" w:sz="0" w:space="0" w:color="auto"/>
        <w:right w:val="none" w:sz="0" w:space="0" w:color="auto"/>
      </w:divBdr>
    </w:div>
    <w:div w:id="1623533561">
      <w:bodyDiv w:val="1"/>
      <w:marLeft w:val="0"/>
      <w:marRight w:val="0"/>
      <w:marTop w:val="0"/>
      <w:marBottom w:val="0"/>
      <w:divBdr>
        <w:top w:val="none" w:sz="0" w:space="0" w:color="auto"/>
        <w:left w:val="none" w:sz="0" w:space="0" w:color="auto"/>
        <w:bottom w:val="none" w:sz="0" w:space="0" w:color="auto"/>
        <w:right w:val="none" w:sz="0" w:space="0" w:color="auto"/>
      </w:divBdr>
    </w:div>
    <w:div w:id="1634870316">
      <w:bodyDiv w:val="1"/>
      <w:marLeft w:val="0"/>
      <w:marRight w:val="0"/>
      <w:marTop w:val="0"/>
      <w:marBottom w:val="0"/>
      <w:divBdr>
        <w:top w:val="none" w:sz="0" w:space="0" w:color="auto"/>
        <w:left w:val="none" w:sz="0" w:space="0" w:color="auto"/>
        <w:bottom w:val="none" w:sz="0" w:space="0" w:color="auto"/>
        <w:right w:val="none" w:sz="0" w:space="0" w:color="auto"/>
      </w:divBdr>
    </w:div>
    <w:div w:id="1651712683">
      <w:bodyDiv w:val="1"/>
      <w:marLeft w:val="0"/>
      <w:marRight w:val="0"/>
      <w:marTop w:val="0"/>
      <w:marBottom w:val="0"/>
      <w:divBdr>
        <w:top w:val="none" w:sz="0" w:space="0" w:color="auto"/>
        <w:left w:val="none" w:sz="0" w:space="0" w:color="auto"/>
        <w:bottom w:val="none" w:sz="0" w:space="0" w:color="auto"/>
        <w:right w:val="none" w:sz="0" w:space="0" w:color="auto"/>
      </w:divBdr>
    </w:div>
    <w:div w:id="1807118713">
      <w:bodyDiv w:val="1"/>
      <w:marLeft w:val="0"/>
      <w:marRight w:val="0"/>
      <w:marTop w:val="0"/>
      <w:marBottom w:val="0"/>
      <w:divBdr>
        <w:top w:val="none" w:sz="0" w:space="0" w:color="auto"/>
        <w:left w:val="none" w:sz="0" w:space="0" w:color="auto"/>
        <w:bottom w:val="none" w:sz="0" w:space="0" w:color="auto"/>
        <w:right w:val="none" w:sz="0" w:space="0" w:color="auto"/>
      </w:divBdr>
    </w:div>
    <w:div w:id="1827286379">
      <w:bodyDiv w:val="1"/>
      <w:marLeft w:val="0"/>
      <w:marRight w:val="0"/>
      <w:marTop w:val="0"/>
      <w:marBottom w:val="0"/>
      <w:divBdr>
        <w:top w:val="none" w:sz="0" w:space="0" w:color="auto"/>
        <w:left w:val="none" w:sz="0" w:space="0" w:color="auto"/>
        <w:bottom w:val="none" w:sz="0" w:space="0" w:color="auto"/>
        <w:right w:val="none" w:sz="0" w:space="0" w:color="auto"/>
      </w:divBdr>
    </w:div>
    <w:div w:id="1860972947">
      <w:bodyDiv w:val="1"/>
      <w:marLeft w:val="0"/>
      <w:marRight w:val="0"/>
      <w:marTop w:val="0"/>
      <w:marBottom w:val="0"/>
      <w:divBdr>
        <w:top w:val="none" w:sz="0" w:space="0" w:color="auto"/>
        <w:left w:val="none" w:sz="0" w:space="0" w:color="auto"/>
        <w:bottom w:val="none" w:sz="0" w:space="0" w:color="auto"/>
        <w:right w:val="none" w:sz="0" w:space="0" w:color="auto"/>
      </w:divBdr>
    </w:div>
    <w:div w:id="1873377060">
      <w:bodyDiv w:val="1"/>
      <w:marLeft w:val="0"/>
      <w:marRight w:val="0"/>
      <w:marTop w:val="0"/>
      <w:marBottom w:val="0"/>
      <w:divBdr>
        <w:top w:val="none" w:sz="0" w:space="0" w:color="auto"/>
        <w:left w:val="none" w:sz="0" w:space="0" w:color="auto"/>
        <w:bottom w:val="none" w:sz="0" w:space="0" w:color="auto"/>
        <w:right w:val="none" w:sz="0" w:space="0" w:color="auto"/>
      </w:divBdr>
    </w:div>
    <w:div w:id="1877817291">
      <w:bodyDiv w:val="1"/>
      <w:marLeft w:val="0"/>
      <w:marRight w:val="0"/>
      <w:marTop w:val="0"/>
      <w:marBottom w:val="0"/>
      <w:divBdr>
        <w:top w:val="none" w:sz="0" w:space="0" w:color="auto"/>
        <w:left w:val="none" w:sz="0" w:space="0" w:color="auto"/>
        <w:bottom w:val="none" w:sz="0" w:space="0" w:color="auto"/>
        <w:right w:val="none" w:sz="0" w:space="0" w:color="auto"/>
      </w:divBdr>
    </w:div>
    <w:div w:id="1921137598">
      <w:bodyDiv w:val="1"/>
      <w:marLeft w:val="0"/>
      <w:marRight w:val="0"/>
      <w:marTop w:val="0"/>
      <w:marBottom w:val="0"/>
      <w:divBdr>
        <w:top w:val="none" w:sz="0" w:space="0" w:color="auto"/>
        <w:left w:val="none" w:sz="0" w:space="0" w:color="auto"/>
        <w:bottom w:val="none" w:sz="0" w:space="0" w:color="auto"/>
        <w:right w:val="none" w:sz="0" w:space="0" w:color="auto"/>
      </w:divBdr>
    </w:div>
    <w:div w:id="1930239272">
      <w:bodyDiv w:val="1"/>
      <w:marLeft w:val="0"/>
      <w:marRight w:val="0"/>
      <w:marTop w:val="0"/>
      <w:marBottom w:val="0"/>
      <w:divBdr>
        <w:top w:val="none" w:sz="0" w:space="0" w:color="auto"/>
        <w:left w:val="none" w:sz="0" w:space="0" w:color="auto"/>
        <w:bottom w:val="none" w:sz="0" w:space="0" w:color="auto"/>
        <w:right w:val="none" w:sz="0" w:space="0" w:color="auto"/>
      </w:divBdr>
    </w:div>
    <w:div w:id="1965456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 Target="webSettings0.xml" Id="rId26"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chart" Target="charts/chart2.xml" Id="rId10" /><Relationship Type="http://schemas.openxmlformats.org/officeDocument/2006/relationships/styles" Target="styles.xml" Id="rId4" /><Relationship Type="http://schemas.openxmlformats.org/officeDocument/2006/relationships/chart" Target="charts/chart1.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r>
              <a:rPr lang="nl-NL" sz="1200" b="1">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rPr>
              <a:t>Figuur 1: Vergoedingspercentage KOT (1e kind)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title>
    <c:autoTitleDeleted val="0"/>
    <c:plotArea>
      <c:layout/>
      <c:scatterChart>
        <c:scatterStyle val="smoothMarker"/>
        <c:varyColors val="0"/>
        <c:ser>
          <c:idx val="1"/>
          <c:order val="0"/>
          <c:tx>
            <c:strRef>
              <c:f>'grafiek 2026-2027'!$D$5</c:f>
              <c:strCache>
                <c:ptCount val="1"/>
                <c:pt idx="0">
                  <c:v>2026</c:v>
                </c:pt>
              </c:strCache>
            </c:strRef>
          </c:tx>
          <c:spPr>
            <a:ln w="19050" cap="rnd">
              <a:solidFill>
                <a:schemeClr val="accent2"/>
              </a:solidFill>
              <a:round/>
            </a:ln>
            <a:effectLst/>
          </c:spPr>
          <c:marker>
            <c:symbol val="none"/>
          </c:marker>
          <c:xVal>
            <c:numRef>
              <c:f>'grafiek 2026-2027'!$C$6:$C$75</c:f>
              <c:numCache>
                <c:formatCode>#,##0</c:formatCode>
                <c:ptCount val="70"/>
                <c:pt idx="0">
                  <c:v>0</c:v>
                </c:pt>
                <c:pt idx="1">
                  <c:v>24150</c:v>
                </c:pt>
                <c:pt idx="2">
                  <c:v>25757</c:v>
                </c:pt>
                <c:pt idx="3">
                  <c:v>27364</c:v>
                </c:pt>
                <c:pt idx="4">
                  <c:v>28974</c:v>
                </c:pt>
                <c:pt idx="5">
                  <c:v>30580</c:v>
                </c:pt>
                <c:pt idx="6">
                  <c:v>32190</c:v>
                </c:pt>
                <c:pt idx="7">
                  <c:v>33796</c:v>
                </c:pt>
                <c:pt idx="8">
                  <c:v>35401</c:v>
                </c:pt>
                <c:pt idx="9">
                  <c:v>37130</c:v>
                </c:pt>
                <c:pt idx="10">
                  <c:v>38856</c:v>
                </c:pt>
                <c:pt idx="11">
                  <c:v>40587</c:v>
                </c:pt>
                <c:pt idx="12">
                  <c:v>42314</c:v>
                </c:pt>
                <c:pt idx="13">
                  <c:v>44047</c:v>
                </c:pt>
                <c:pt idx="14">
                  <c:v>45777</c:v>
                </c:pt>
                <c:pt idx="15">
                  <c:v>47547</c:v>
                </c:pt>
                <c:pt idx="16">
                  <c:v>49319</c:v>
                </c:pt>
                <c:pt idx="17">
                  <c:v>51093</c:v>
                </c:pt>
                <c:pt idx="18">
                  <c:v>52865</c:v>
                </c:pt>
                <c:pt idx="19">
                  <c:v>54642</c:v>
                </c:pt>
                <c:pt idx="20">
                  <c:v>56413</c:v>
                </c:pt>
                <c:pt idx="21">
                  <c:v>58185</c:v>
                </c:pt>
                <c:pt idx="22">
                  <c:v>59958</c:v>
                </c:pt>
                <c:pt idx="23">
                  <c:v>61896</c:v>
                </c:pt>
                <c:pt idx="24">
                  <c:v>65696</c:v>
                </c:pt>
                <c:pt idx="25">
                  <c:v>69493</c:v>
                </c:pt>
                <c:pt idx="26">
                  <c:v>73293</c:v>
                </c:pt>
                <c:pt idx="27">
                  <c:v>77095</c:v>
                </c:pt>
                <c:pt idx="28">
                  <c:v>80892</c:v>
                </c:pt>
                <c:pt idx="29">
                  <c:v>84694</c:v>
                </c:pt>
                <c:pt idx="30">
                  <c:v>88492</c:v>
                </c:pt>
                <c:pt idx="31">
                  <c:v>92292</c:v>
                </c:pt>
                <c:pt idx="32">
                  <c:v>96092</c:v>
                </c:pt>
                <c:pt idx="33">
                  <c:v>99890</c:v>
                </c:pt>
                <c:pt idx="34">
                  <c:v>103695</c:v>
                </c:pt>
                <c:pt idx="35">
                  <c:v>107493</c:v>
                </c:pt>
                <c:pt idx="36">
                  <c:v>111291</c:v>
                </c:pt>
                <c:pt idx="37">
                  <c:v>115091</c:v>
                </c:pt>
                <c:pt idx="38">
                  <c:v>118964</c:v>
                </c:pt>
                <c:pt idx="39">
                  <c:v>122858</c:v>
                </c:pt>
                <c:pt idx="40">
                  <c:v>126748</c:v>
                </c:pt>
                <c:pt idx="41">
                  <c:v>130639</c:v>
                </c:pt>
                <c:pt idx="42">
                  <c:v>134528</c:v>
                </c:pt>
                <c:pt idx="43">
                  <c:v>138421</c:v>
                </c:pt>
                <c:pt idx="44">
                  <c:v>142313</c:v>
                </c:pt>
                <c:pt idx="45">
                  <c:v>146206</c:v>
                </c:pt>
                <c:pt idx="46">
                  <c:v>150093</c:v>
                </c:pt>
                <c:pt idx="47">
                  <c:v>153983</c:v>
                </c:pt>
                <c:pt idx="48">
                  <c:v>157878</c:v>
                </c:pt>
                <c:pt idx="49">
                  <c:v>161767</c:v>
                </c:pt>
                <c:pt idx="50">
                  <c:v>165658</c:v>
                </c:pt>
                <c:pt idx="51">
                  <c:v>169548</c:v>
                </c:pt>
                <c:pt idx="52">
                  <c:v>173441</c:v>
                </c:pt>
                <c:pt idx="53">
                  <c:v>177336</c:v>
                </c:pt>
                <c:pt idx="54">
                  <c:v>181224</c:v>
                </c:pt>
                <c:pt idx="55">
                  <c:v>185115</c:v>
                </c:pt>
                <c:pt idx="56">
                  <c:v>189003</c:v>
                </c:pt>
                <c:pt idx="57">
                  <c:v>192897</c:v>
                </c:pt>
                <c:pt idx="58">
                  <c:v>196790</c:v>
                </c:pt>
                <c:pt idx="59">
                  <c:v>200682</c:v>
                </c:pt>
                <c:pt idx="60">
                  <c:v>204572</c:v>
                </c:pt>
                <c:pt idx="61">
                  <c:v>208459</c:v>
                </c:pt>
                <c:pt idx="62">
                  <c:v>212354</c:v>
                </c:pt>
                <c:pt idx="63">
                  <c:v>216243</c:v>
                </c:pt>
                <c:pt idx="64">
                  <c:v>220135</c:v>
                </c:pt>
                <c:pt idx="65">
                  <c:v>224027</c:v>
                </c:pt>
                <c:pt idx="66">
                  <c:v>227916</c:v>
                </c:pt>
                <c:pt idx="67">
                  <c:v>231808</c:v>
                </c:pt>
                <c:pt idx="68">
                  <c:v>235698</c:v>
                </c:pt>
                <c:pt idx="69">
                  <c:v>250000</c:v>
                </c:pt>
              </c:numCache>
            </c:numRef>
          </c:xVal>
          <c:yVal>
            <c:numRef>
              <c:f>'grafiek 2026-2027'!$D$6:$D$75</c:f>
              <c:numCache>
                <c:formatCode>0.0%</c:formatCode>
                <c:ptCount val="70"/>
                <c:pt idx="0">
                  <c:v>0.96</c:v>
                </c:pt>
                <c:pt idx="1">
                  <c:v>0.96</c:v>
                </c:pt>
                <c:pt idx="2">
                  <c:v>0.96</c:v>
                </c:pt>
                <c:pt idx="3">
                  <c:v>0.96</c:v>
                </c:pt>
                <c:pt idx="4">
                  <c:v>0.96</c:v>
                </c:pt>
                <c:pt idx="5">
                  <c:v>0.96</c:v>
                </c:pt>
                <c:pt idx="6">
                  <c:v>0.96</c:v>
                </c:pt>
                <c:pt idx="7">
                  <c:v>0.96</c:v>
                </c:pt>
                <c:pt idx="8">
                  <c:v>0.96</c:v>
                </c:pt>
                <c:pt idx="9">
                  <c:v>0.96</c:v>
                </c:pt>
                <c:pt idx="10">
                  <c:v>0.96</c:v>
                </c:pt>
                <c:pt idx="11">
                  <c:v>0.96</c:v>
                </c:pt>
                <c:pt idx="12">
                  <c:v>0.96</c:v>
                </c:pt>
                <c:pt idx="13">
                  <c:v>0.96</c:v>
                </c:pt>
                <c:pt idx="14">
                  <c:v>0.96</c:v>
                </c:pt>
                <c:pt idx="15">
                  <c:v>0.96</c:v>
                </c:pt>
                <c:pt idx="16">
                  <c:v>0.96</c:v>
                </c:pt>
                <c:pt idx="17">
                  <c:v>0.96</c:v>
                </c:pt>
                <c:pt idx="18">
                  <c:v>0.96</c:v>
                </c:pt>
                <c:pt idx="19">
                  <c:v>0.96</c:v>
                </c:pt>
                <c:pt idx="20">
                  <c:v>0.95499999999999996</c:v>
                </c:pt>
                <c:pt idx="21">
                  <c:v>0.94799999999999995</c:v>
                </c:pt>
                <c:pt idx="22">
                  <c:v>0.93899999999999995</c:v>
                </c:pt>
                <c:pt idx="23">
                  <c:v>0.92400000000000004</c:v>
                </c:pt>
                <c:pt idx="24">
                  <c:v>0.91600000000000004</c:v>
                </c:pt>
                <c:pt idx="25">
                  <c:v>0.90500000000000003</c:v>
                </c:pt>
                <c:pt idx="26">
                  <c:v>0.88200000000000001</c:v>
                </c:pt>
                <c:pt idx="27">
                  <c:v>0.85899999999999999</c:v>
                </c:pt>
                <c:pt idx="28">
                  <c:v>0.83699999999999997</c:v>
                </c:pt>
                <c:pt idx="29">
                  <c:v>0.81199999999999994</c:v>
                </c:pt>
                <c:pt idx="30">
                  <c:v>0.78900000000000003</c:v>
                </c:pt>
                <c:pt idx="31">
                  <c:v>0.76700000000000002</c:v>
                </c:pt>
                <c:pt idx="32">
                  <c:v>0.74299999999999999</c:v>
                </c:pt>
                <c:pt idx="33">
                  <c:v>0.72099999999999997</c:v>
                </c:pt>
                <c:pt idx="34">
                  <c:v>0.69599999999999995</c:v>
                </c:pt>
                <c:pt idx="35">
                  <c:v>0.67300000000000004</c:v>
                </c:pt>
                <c:pt idx="36">
                  <c:v>0.65100000000000002</c:v>
                </c:pt>
                <c:pt idx="37">
                  <c:v>0.627</c:v>
                </c:pt>
                <c:pt idx="38">
                  <c:v>0.60599999999999998</c:v>
                </c:pt>
                <c:pt idx="39">
                  <c:v>0.58500000000000008</c:v>
                </c:pt>
                <c:pt idx="40">
                  <c:v>0.56400000000000006</c:v>
                </c:pt>
                <c:pt idx="41">
                  <c:v>0.54200000000000004</c:v>
                </c:pt>
                <c:pt idx="42">
                  <c:v>0.52300000000000002</c:v>
                </c:pt>
                <c:pt idx="43">
                  <c:v>0.504</c:v>
                </c:pt>
                <c:pt idx="44">
                  <c:v>0.48499999999999999</c:v>
                </c:pt>
                <c:pt idx="45">
                  <c:v>0.46499999999999997</c:v>
                </c:pt>
                <c:pt idx="46">
                  <c:v>0.44499999999999995</c:v>
                </c:pt>
                <c:pt idx="47">
                  <c:v>0.42499999999999993</c:v>
                </c:pt>
                <c:pt idx="48">
                  <c:v>0.40499999999999992</c:v>
                </c:pt>
                <c:pt idx="49">
                  <c:v>0.3849999999999999</c:v>
                </c:pt>
                <c:pt idx="50">
                  <c:v>0.36499999999999999</c:v>
                </c:pt>
                <c:pt idx="51">
                  <c:v>0.36499999999999999</c:v>
                </c:pt>
                <c:pt idx="52">
                  <c:v>0.36499999999999999</c:v>
                </c:pt>
                <c:pt idx="53">
                  <c:v>0.36499999999999999</c:v>
                </c:pt>
                <c:pt idx="54">
                  <c:v>0.36499999999999999</c:v>
                </c:pt>
                <c:pt idx="55">
                  <c:v>0.36499999999999999</c:v>
                </c:pt>
                <c:pt idx="56">
                  <c:v>0.36499999999999999</c:v>
                </c:pt>
                <c:pt idx="57">
                  <c:v>0.36499999999999999</c:v>
                </c:pt>
                <c:pt idx="58">
                  <c:v>0.36499999999999999</c:v>
                </c:pt>
                <c:pt idx="59">
                  <c:v>0.36499999999999999</c:v>
                </c:pt>
                <c:pt idx="60">
                  <c:v>0.36499999999999999</c:v>
                </c:pt>
                <c:pt idx="61">
                  <c:v>0.36499999999999999</c:v>
                </c:pt>
                <c:pt idx="62">
                  <c:v>0.36499999999999999</c:v>
                </c:pt>
                <c:pt idx="63">
                  <c:v>0.36499999999999999</c:v>
                </c:pt>
                <c:pt idx="64">
                  <c:v>0.36499999999999999</c:v>
                </c:pt>
                <c:pt idx="65">
                  <c:v>0.36499999999999999</c:v>
                </c:pt>
                <c:pt idx="66">
                  <c:v>0.36499999999999999</c:v>
                </c:pt>
                <c:pt idx="67">
                  <c:v>0.36499999999999999</c:v>
                </c:pt>
                <c:pt idx="68">
                  <c:v>0.36499999999999999</c:v>
                </c:pt>
                <c:pt idx="69">
                  <c:v>0.36499999999999999</c:v>
                </c:pt>
              </c:numCache>
            </c:numRef>
          </c:yVal>
          <c:smooth val="0"/>
          <c:extLst>
            <c:ext xmlns:c16="http://schemas.microsoft.com/office/drawing/2014/chart" uri="{C3380CC4-5D6E-409C-BE32-E72D297353CC}">
              <c16:uniqueId val="{00000000-C06A-47BF-9E28-2542DF95E78E}"/>
            </c:ext>
          </c:extLst>
        </c:ser>
        <c:ser>
          <c:idx val="2"/>
          <c:order val="1"/>
          <c:tx>
            <c:strRef>
              <c:f>'grafiek 2026-2027'!$E$5</c:f>
              <c:strCache>
                <c:ptCount val="1"/>
                <c:pt idx="0">
                  <c:v>2027</c:v>
                </c:pt>
              </c:strCache>
            </c:strRef>
          </c:tx>
          <c:spPr>
            <a:ln w="19050" cap="rnd">
              <a:solidFill>
                <a:schemeClr val="accent3"/>
              </a:solidFill>
              <a:round/>
            </a:ln>
            <a:effectLst/>
          </c:spPr>
          <c:marker>
            <c:symbol val="none"/>
          </c:marker>
          <c:xVal>
            <c:numRef>
              <c:f>'grafiek 2026-2027'!$C$6:$C$75</c:f>
              <c:numCache>
                <c:formatCode>#,##0</c:formatCode>
                <c:ptCount val="70"/>
                <c:pt idx="0">
                  <c:v>0</c:v>
                </c:pt>
                <c:pt idx="1">
                  <c:v>24150</c:v>
                </c:pt>
                <c:pt idx="2">
                  <c:v>25757</c:v>
                </c:pt>
                <c:pt idx="3">
                  <c:v>27364</c:v>
                </c:pt>
                <c:pt idx="4">
                  <c:v>28974</c:v>
                </c:pt>
                <c:pt idx="5">
                  <c:v>30580</c:v>
                </c:pt>
                <c:pt idx="6">
                  <c:v>32190</c:v>
                </c:pt>
                <c:pt idx="7">
                  <c:v>33796</c:v>
                </c:pt>
                <c:pt idx="8">
                  <c:v>35401</c:v>
                </c:pt>
                <c:pt idx="9">
                  <c:v>37130</c:v>
                </c:pt>
                <c:pt idx="10">
                  <c:v>38856</c:v>
                </c:pt>
                <c:pt idx="11">
                  <c:v>40587</c:v>
                </c:pt>
                <c:pt idx="12">
                  <c:v>42314</c:v>
                </c:pt>
                <c:pt idx="13">
                  <c:v>44047</c:v>
                </c:pt>
                <c:pt idx="14">
                  <c:v>45777</c:v>
                </c:pt>
                <c:pt idx="15">
                  <c:v>47547</c:v>
                </c:pt>
                <c:pt idx="16">
                  <c:v>49319</c:v>
                </c:pt>
                <c:pt idx="17">
                  <c:v>51093</c:v>
                </c:pt>
                <c:pt idx="18">
                  <c:v>52865</c:v>
                </c:pt>
                <c:pt idx="19">
                  <c:v>54642</c:v>
                </c:pt>
                <c:pt idx="20">
                  <c:v>56413</c:v>
                </c:pt>
                <c:pt idx="21">
                  <c:v>58185</c:v>
                </c:pt>
                <c:pt idx="22">
                  <c:v>59958</c:v>
                </c:pt>
                <c:pt idx="23">
                  <c:v>61896</c:v>
                </c:pt>
                <c:pt idx="24">
                  <c:v>65696</c:v>
                </c:pt>
                <c:pt idx="25">
                  <c:v>69493</c:v>
                </c:pt>
                <c:pt idx="26">
                  <c:v>73293</c:v>
                </c:pt>
                <c:pt idx="27">
                  <c:v>77095</c:v>
                </c:pt>
                <c:pt idx="28">
                  <c:v>80892</c:v>
                </c:pt>
                <c:pt idx="29">
                  <c:v>84694</c:v>
                </c:pt>
                <c:pt idx="30">
                  <c:v>88492</c:v>
                </c:pt>
                <c:pt idx="31">
                  <c:v>92292</c:v>
                </c:pt>
                <c:pt idx="32">
                  <c:v>96092</c:v>
                </c:pt>
                <c:pt idx="33">
                  <c:v>99890</c:v>
                </c:pt>
                <c:pt idx="34">
                  <c:v>103695</c:v>
                </c:pt>
                <c:pt idx="35">
                  <c:v>107493</c:v>
                </c:pt>
                <c:pt idx="36">
                  <c:v>111291</c:v>
                </c:pt>
                <c:pt idx="37">
                  <c:v>115091</c:v>
                </c:pt>
                <c:pt idx="38">
                  <c:v>118964</c:v>
                </c:pt>
                <c:pt idx="39">
                  <c:v>122858</c:v>
                </c:pt>
                <c:pt idx="40">
                  <c:v>126748</c:v>
                </c:pt>
                <c:pt idx="41">
                  <c:v>130639</c:v>
                </c:pt>
                <c:pt idx="42">
                  <c:v>134528</c:v>
                </c:pt>
                <c:pt idx="43">
                  <c:v>138421</c:v>
                </c:pt>
                <c:pt idx="44">
                  <c:v>142313</c:v>
                </c:pt>
                <c:pt idx="45">
                  <c:v>146206</c:v>
                </c:pt>
                <c:pt idx="46">
                  <c:v>150093</c:v>
                </c:pt>
                <c:pt idx="47">
                  <c:v>153983</c:v>
                </c:pt>
                <c:pt idx="48">
                  <c:v>157878</c:v>
                </c:pt>
                <c:pt idx="49">
                  <c:v>161767</c:v>
                </c:pt>
                <c:pt idx="50">
                  <c:v>165658</c:v>
                </c:pt>
                <c:pt idx="51">
                  <c:v>169548</c:v>
                </c:pt>
                <c:pt idx="52">
                  <c:v>173441</c:v>
                </c:pt>
                <c:pt idx="53">
                  <c:v>177336</c:v>
                </c:pt>
                <c:pt idx="54">
                  <c:v>181224</c:v>
                </c:pt>
                <c:pt idx="55">
                  <c:v>185115</c:v>
                </c:pt>
                <c:pt idx="56">
                  <c:v>189003</c:v>
                </c:pt>
                <c:pt idx="57">
                  <c:v>192897</c:v>
                </c:pt>
                <c:pt idx="58">
                  <c:v>196790</c:v>
                </c:pt>
                <c:pt idx="59">
                  <c:v>200682</c:v>
                </c:pt>
                <c:pt idx="60">
                  <c:v>204572</c:v>
                </c:pt>
                <c:pt idx="61">
                  <c:v>208459</c:v>
                </c:pt>
                <c:pt idx="62">
                  <c:v>212354</c:v>
                </c:pt>
                <c:pt idx="63">
                  <c:v>216243</c:v>
                </c:pt>
                <c:pt idx="64">
                  <c:v>220135</c:v>
                </c:pt>
                <c:pt idx="65">
                  <c:v>224027</c:v>
                </c:pt>
                <c:pt idx="66">
                  <c:v>227916</c:v>
                </c:pt>
                <c:pt idx="67">
                  <c:v>231808</c:v>
                </c:pt>
                <c:pt idx="68">
                  <c:v>235698</c:v>
                </c:pt>
                <c:pt idx="69">
                  <c:v>250000</c:v>
                </c:pt>
              </c:numCache>
            </c:numRef>
          </c:xVal>
          <c:yVal>
            <c:numRef>
              <c:f>'grafiek 2026-2027'!$E$6:$E$75</c:f>
              <c:numCache>
                <c:formatCode>0.0%</c:formatCode>
                <c:ptCount val="70"/>
                <c:pt idx="0">
                  <c:v>0.96</c:v>
                </c:pt>
                <c:pt idx="1">
                  <c:v>0.96</c:v>
                </c:pt>
                <c:pt idx="2">
                  <c:v>0.96</c:v>
                </c:pt>
                <c:pt idx="3">
                  <c:v>0.96</c:v>
                </c:pt>
                <c:pt idx="4">
                  <c:v>0.96</c:v>
                </c:pt>
                <c:pt idx="5">
                  <c:v>0.96</c:v>
                </c:pt>
                <c:pt idx="6">
                  <c:v>0.96</c:v>
                </c:pt>
                <c:pt idx="7">
                  <c:v>0.96</c:v>
                </c:pt>
                <c:pt idx="8">
                  <c:v>0.96</c:v>
                </c:pt>
                <c:pt idx="9">
                  <c:v>0.96</c:v>
                </c:pt>
                <c:pt idx="10">
                  <c:v>0.96</c:v>
                </c:pt>
                <c:pt idx="11">
                  <c:v>0.96</c:v>
                </c:pt>
                <c:pt idx="12">
                  <c:v>0.96</c:v>
                </c:pt>
                <c:pt idx="13">
                  <c:v>0.96</c:v>
                </c:pt>
                <c:pt idx="14">
                  <c:v>0.96</c:v>
                </c:pt>
                <c:pt idx="15">
                  <c:v>0.96</c:v>
                </c:pt>
                <c:pt idx="16">
                  <c:v>0.96</c:v>
                </c:pt>
                <c:pt idx="17">
                  <c:v>0.96</c:v>
                </c:pt>
                <c:pt idx="18">
                  <c:v>0.96</c:v>
                </c:pt>
                <c:pt idx="19">
                  <c:v>0.96</c:v>
                </c:pt>
                <c:pt idx="20">
                  <c:v>0.96</c:v>
                </c:pt>
                <c:pt idx="21">
                  <c:v>0.96</c:v>
                </c:pt>
                <c:pt idx="22">
                  <c:v>0.96</c:v>
                </c:pt>
                <c:pt idx="23">
                  <c:v>0.96</c:v>
                </c:pt>
                <c:pt idx="24">
                  <c:v>0.96</c:v>
                </c:pt>
                <c:pt idx="25">
                  <c:v>0.95600000000000007</c:v>
                </c:pt>
                <c:pt idx="26">
                  <c:v>0.93300000000000005</c:v>
                </c:pt>
                <c:pt idx="27">
                  <c:v>0.91</c:v>
                </c:pt>
                <c:pt idx="28">
                  <c:v>0.88800000000000001</c:v>
                </c:pt>
                <c:pt idx="29">
                  <c:v>0.86299999999999999</c:v>
                </c:pt>
                <c:pt idx="30">
                  <c:v>0.84000000000000008</c:v>
                </c:pt>
                <c:pt idx="31">
                  <c:v>0.81800000000000006</c:v>
                </c:pt>
                <c:pt idx="32">
                  <c:v>0.79400000000000004</c:v>
                </c:pt>
                <c:pt idx="33">
                  <c:v>0.77200000000000002</c:v>
                </c:pt>
                <c:pt idx="34">
                  <c:v>0.747</c:v>
                </c:pt>
                <c:pt idx="35">
                  <c:v>0.72400000000000009</c:v>
                </c:pt>
                <c:pt idx="36">
                  <c:v>0.70200000000000007</c:v>
                </c:pt>
                <c:pt idx="37">
                  <c:v>0.67800000000000005</c:v>
                </c:pt>
                <c:pt idx="38">
                  <c:v>0.65700000000000003</c:v>
                </c:pt>
                <c:pt idx="39">
                  <c:v>0.63600000000000012</c:v>
                </c:pt>
                <c:pt idx="40">
                  <c:v>0.6150000000000001</c:v>
                </c:pt>
                <c:pt idx="41">
                  <c:v>0.59300000000000008</c:v>
                </c:pt>
                <c:pt idx="42">
                  <c:v>0.57400000000000007</c:v>
                </c:pt>
                <c:pt idx="43">
                  <c:v>0.55500000000000005</c:v>
                </c:pt>
                <c:pt idx="44">
                  <c:v>0.53600000000000003</c:v>
                </c:pt>
                <c:pt idx="45">
                  <c:v>0.51600000000000001</c:v>
                </c:pt>
                <c:pt idx="46">
                  <c:v>0.49599999999999994</c:v>
                </c:pt>
                <c:pt idx="47">
                  <c:v>0.47599999999999992</c:v>
                </c:pt>
                <c:pt idx="48">
                  <c:v>0.45599999999999991</c:v>
                </c:pt>
                <c:pt idx="49">
                  <c:v>0.43599999999999989</c:v>
                </c:pt>
                <c:pt idx="50">
                  <c:v>0.41599999999999998</c:v>
                </c:pt>
                <c:pt idx="51">
                  <c:v>0.39599999999999996</c:v>
                </c:pt>
                <c:pt idx="52">
                  <c:v>0.39100000000000001</c:v>
                </c:pt>
                <c:pt idx="53">
                  <c:v>0.39100000000000001</c:v>
                </c:pt>
                <c:pt idx="54">
                  <c:v>0.39100000000000001</c:v>
                </c:pt>
                <c:pt idx="55">
                  <c:v>0.39100000000000001</c:v>
                </c:pt>
                <c:pt idx="56">
                  <c:v>0.39100000000000001</c:v>
                </c:pt>
                <c:pt idx="57">
                  <c:v>0.39100000000000001</c:v>
                </c:pt>
                <c:pt idx="58">
                  <c:v>0.39100000000000001</c:v>
                </c:pt>
                <c:pt idx="59">
                  <c:v>0.39100000000000001</c:v>
                </c:pt>
                <c:pt idx="60">
                  <c:v>0.39100000000000001</c:v>
                </c:pt>
                <c:pt idx="61">
                  <c:v>0.39100000000000001</c:v>
                </c:pt>
                <c:pt idx="62">
                  <c:v>0.39100000000000001</c:v>
                </c:pt>
                <c:pt idx="63">
                  <c:v>0.39100000000000001</c:v>
                </c:pt>
                <c:pt idx="64">
                  <c:v>0.39100000000000001</c:v>
                </c:pt>
                <c:pt idx="65">
                  <c:v>0.39100000000000001</c:v>
                </c:pt>
                <c:pt idx="66">
                  <c:v>0.39100000000000001</c:v>
                </c:pt>
                <c:pt idx="67">
                  <c:v>0.39100000000000001</c:v>
                </c:pt>
                <c:pt idx="68">
                  <c:v>0.39100000000000001</c:v>
                </c:pt>
                <c:pt idx="69">
                  <c:v>0.39100000000000001</c:v>
                </c:pt>
              </c:numCache>
            </c:numRef>
          </c:yVal>
          <c:smooth val="0"/>
          <c:extLst>
            <c:ext xmlns:c16="http://schemas.microsoft.com/office/drawing/2014/chart" uri="{C3380CC4-5D6E-409C-BE32-E72D297353CC}">
              <c16:uniqueId val="{00000001-C06A-47BF-9E28-2542DF95E78E}"/>
            </c:ext>
          </c:extLst>
        </c:ser>
        <c:dLbls>
          <c:showLegendKey val="0"/>
          <c:showVal val="0"/>
          <c:showCatName val="0"/>
          <c:showSerName val="0"/>
          <c:showPercent val="0"/>
          <c:showBubbleSize val="0"/>
        </c:dLbls>
        <c:axId val="268531536"/>
        <c:axId val="268531056"/>
      </c:scatterChart>
      <c:valAx>
        <c:axId val="268531536"/>
        <c:scaling>
          <c:orientation val="minMax"/>
          <c:max val="2500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nl-NL" sz="1100">
                    <a:solidFill>
                      <a:schemeClr val="tx1">
                        <a:lumMod val="85000"/>
                        <a:lumOff val="15000"/>
                      </a:schemeClr>
                    </a:solidFill>
                  </a:rPr>
                  <a:t>Inkomen, loonpeil 2026</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l-NL"/>
            </a:p>
          </c:txPr>
        </c:title>
        <c:numFmt formatCode="[$€-2]\ #,##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crossAx val="268531056"/>
        <c:crosses val="autoZero"/>
        <c:crossBetween val="midCat"/>
        <c:majorUnit val="40000"/>
      </c:valAx>
      <c:valAx>
        <c:axId val="268531056"/>
        <c:scaling>
          <c:orientation val="minMax"/>
          <c:max val="1"/>
        </c:scaling>
        <c:delete val="0"/>
        <c:axPos val="l"/>
        <c:majorGridlines>
          <c:spPr>
            <a:ln w="9525" cap="flat" cmpd="sng" algn="ctr">
              <a:no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r>
                  <a:rPr lang="nl-NL" b="1">
                    <a:solidFill>
                      <a:schemeClr val="tx1">
                        <a:lumMod val="85000"/>
                        <a:lumOff val="15000"/>
                      </a:schemeClr>
                    </a:solidFill>
                  </a:rPr>
                  <a:t>Vergoedingspercentage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endParaRPr lang="nl-NL"/>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crossAx val="268531536"/>
        <c:crosses val="autoZero"/>
        <c:crossBetween val="midCat"/>
      </c:valAx>
      <c:spPr>
        <a:noFill/>
        <a:ln>
          <a:noFill/>
        </a:ln>
        <a:effectLst/>
      </c:spPr>
    </c:plotArea>
    <c:legend>
      <c:legendPos val="b"/>
      <c:layout>
        <c:manualLayout>
          <c:xMode val="edge"/>
          <c:yMode val="edge"/>
          <c:x val="0.35523833333333338"/>
          <c:y val="0.90038701923076925"/>
          <c:w val="0.30833796296296295"/>
          <c:h val="6.379250000000000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nl-N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r>
              <a:rPr lang="nl-NL" sz="1200" b="1">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rPr>
              <a:t>Figuur</a:t>
            </a:r>
            <a:r>
              <a:rPr lang="nl-NL" sz="1200" b="1"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rPr>
              <a:t> 2</a:t>
            </a:r>
            <a:r>
              <a:rPr lang="nl-NL" sz="1200" b="1">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rPr>
              <a:t>: Vergoedingspercentage KOT (2e kind)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title>
    <c:autoTitleDeleted val="0"/>
    <c:plotArea>
      <c:layout/>
      <c:scatterChart>
        <c:scatterStyle val="smoothMarker"/>
        <c:varyColors val="0"/>
        <c:ser>
          <c:idx val="1"/>
          <c:order val="0"/>
          <c:tx>
            <c:strRef>
              <c:f>'grafiek 2026-2027'!$D$5</c:f>
              <c:strCache>
                <c:ptCount val="1"/>
                <c:pt idx="0">
                  <c:v>2026</c:v>
                </c:pt>
              </c:strCache>
            </c:strRef>
          </c:tx>
          <c:spPr>
            <a:ln w="19050" cap="rnd">
              <a:solidFill>
                <a:schemeClr val="accent2"/>
              </a:solidFill>
              <a:round/>
            </a:ln>
            <a:effectLst/>
          </c:spPr>
          <c:marker>
            <c:symbol val="none"/>
          </c:marker>
          <c:xVal>
            <c:numRef>
              <c:f>'grafiek 2026-2027'!$C$6:$C$75</c:f>
              <c:numCache>
                <c:formatCode>#,##0</c:formatCode>
                <c:ptCount val="70"/>
                <c:pt idx="0">
                  <c:v>0</c:v>
                </c:pt>
                <c:pt idx="1">
                  <c:v>24150</c:v>
                </c:pt>
                <c:pt idx="2">
                  <c:v>25757</c:v>
                </c:pt>
                <c:pt idx="3">
                  <c:v>27364</c:v>
                </c:pt>
                <c:pt idx="4">
                  <c:v>28974</c:v>
                </c:pt>
                <c:pt idx="5">
                  <c:v>30580</c:v>
                </c:pt>
                <c:pt idx="6">
                  <c:v>32190</c:v>
                </c:pt>
                <c:pt idx="7">
                  <c:v>33796</c:v>
                </c:pt>
                <c:pt idx="8">
                  <c:v>35401</c:v>
                </c:pt>
                <c:pt idx="9">
                  <c:v>37130</c:v>
                </c:pt>
                <c:pt idx="10">
                  <c:v>38856</c:v>
                </c:pt>
                <c:pt idx="11">
                  <c:v>40587</c:v>
                </c:pt>
                <c:pt idx="12">
                  <c:v>42314</c:v>
                </c:pt>
                <c:pt idx="13">
                  <c:v>44047</c:v>
                </c:pt>
                <c:pt idx="14">
                  <c:v>45777</c:v>
                </c:pt>
                <c:pt idx="15">
                  <c:v>47547</c:v>
                </c:pt>
                <c:pt idx="16">
                  <c:v>49319</c:v>
                </c:pt>
                <c:pt idx="17">
                  <c:v>51093</c:v>
                </c:pt>
                <c:pt idx="18">
                  <c:v>52865</c:v>
                </c:pt>
                <c:pt idx="19">
                  <c:v>54642</c:v>
                </c:pt>
                <c:pt idx="20">
                  <c:v>56413</c:v>
                </c:pt>
                <c:pt idx="21">
                  <c:v>58185</c:v>
                </c:pt>
                <c:pt idx="22">
                  <c:v>59958</c:v>
                </c:pt>
                <c:pt idx="23">
                  <c:v>61896</c:v>
                </c:pt>
                <c:pt idx="24">
                  <c:v>65696</c:v>
                </c:pt>
                <c:pt idx="25">
                  <c:v>69493</c:v>
                </c:pt>
                <c:pt idx="26">
                  <c:v>73293</c:v>
                </c:pt>
                <c:pt idx="27">
                  <c:v>77095</c:v>
                </c:pt>
                <c:pt idx="28">
                  <c:v>80892</c:v>
                </c:pt>
                <c:pt idx="29">
                  <c:v>84694</c:v>
                </c:pt>
                <c:pt idx="30">
                  <c:v>88492</c:v>
                </c:pt>
                <c:pt idx="31">
                  <c:v>92292</c:v>
                </c:pt>
                <c:pt idx="32">
                  <c:v>96092</c:v>
                </c:pt>
                <c:pt idx="33">
                  <c:v>99890</c:v>
                </c:pt>
                <c:pt idx="34">
                  <c:v>103695</c:v>
                </c:pt>
                <c:pt idx="35">
                  <c:v>107493</c:v>
                </c:pt>
                <c:pt idx="36">
                  <c:v>111291</c:v>
                </c:pt>
                <c:pt idx="37">
                  <c:v>115091</c:v>
                </c:pt>
                <c:pt idx="38">
                  <c:v>118964</c:v>
                </c:pt>
                <c:pt idx="39">
                  <c:v>122858</c:v>
                </c:pt>
                <c:pt idx="40">
                  <c:v>126748</c:v>
                </c:pt>
                <c:pt idx="41">
                  <c:v>130639</c:v>
                </c:pt>
                <c:pt idx="42">
                  <c:v>134528</c:v>
                </c:pt>
                <c:pt idx="43">
                  <c:v>138421</c:v>
                </c:pt>
                <c:pt idx="44">
                  <c:v>142313</c:v>
                </c:pt>
                <c:pt idx="45">
                  <c:v>146206</c:v>
                </c:pt>
                <c:pt idx="46">
                  <c:v>150093</c:v>
                </c:pt>
                <c:pt idx="47">
                  <c:v>153983</c:v>
                </c:pt>
                <c:pt idx="48">
                  <c:v>157878</c:v>
                </c:pt>
                <c:pt idx="49">
                  <c:v>161767</c:v>
                </c:pt>
                <c:pt idx="50">
                  <c:v>165658</c:v>
                </c:pt>
                <c:pt idx="51">
                  <c:v>169548</c:v>
                </c:pt>
                <c:pt idx="52">
                  <c:v>173441</c:v>
                </c:pt>
                <c:pt idx="53">
                  <c:v>177336</c:v>
                </c:pt>
                <c:pt idx="54">
                  <c:v>181224</c:v>
                </c:pt>
                <c:pt idx="55">
                  <c:v>185115</c:v>
                </c:pt>
                <c:pt idx="56">
                  <c:v>189003</c:v>
                </c:pt>
                <c:pt idx="57">
                  <c:v>192897</c:v>
                </c:pt>
                <c:pt idx="58">
                  <c:v>196790</c:v>
                </c:pt>
                <c:pt idx="59">
                  <c:v>200682</c:v>
                </c:pt>
                <c:pt idx="60">
                  <c:v>204572</c:v>
                </c:pt>
                <c:pt idx="61">
                  <c:v>208459</c:v>
                </c:pt>
                <c:pt idx="62">
                  <c:v>212354</c:v>
                </c:pt>
                <c:pt idx="63">
                  <c:v>216243</c:v>
                </c:pt>
                <c:pt idx="64">
                  <c:v>220135</c:v>
                </c:pt>
                <c:pt idx="65">
                  <c:v>224027</c:v>
                </c:pt>
                <c:pt idx="66">
                  <c:v>227916</c:v>
                </c:pt>
                <c:pt idx="67">
                  <c:v>231808</c:v>
                </c:pt>
                <c:pt idx="68">
                  <c:v>235698</c:v>
                </c:pt>
                <c:pt idx="69">
                  <c:v>250000</c:v>
                </c:pt>
              </c:numCache>
            </c:numRef>
          </c:xVal>
          <c:yVal>
            <c:numRef>
              <c:f>'percentages 2026-2027'!$E$16:$E$84</c:f>
              <c:numCache>
                <c:formatCode>0.0%</c:formatCode>
                <c:ptCount val="69"/>
                <c:pt idx="0">
                  <c:v>0.96</c:v>
                </c:pt>
                <c:pt idx="1">
                  <c:v>0.96</c:v>
                </c:pt>
                <c:pt idx="2">
                  <c:v>0.96</c:v>
                </c:pt>
                <c:pt idx="3">
                  <c:v>0.96</c:v>
                </c:pt>
                <c:pt idx="4">
                  <c:v>0.96</c:v>
                </c:pt>
                <c:pt idx="5">
                  <c:v>0.96</c:v>
                </c:pt>
                <c:pt idx="6">
                  <c:v>0.96</c:v>
                </c:pt>
                <c:pt idx="7">
                  <c:v>0.96</c:v>
                </c:pt>
                <c:pt idx="8">
                  <c:v>0.96</c:v>
                </c:pt>
                <c:pt idx="9">
                  <c:v>0.96</c:v>
                </c:pt>
                <c:pt idx="10">
                  <c:v>0.96</c:v>
                </c:pt>
                <c:pt idx="11">
                  <c:v>0.96</c:v>
                </c:pt>
                <c:pt idx="12">
                  <c:v>0.96</c:v>
                </c:pt>
                <c:pt idx="13">
                  <c:v>0.96</c:v>
                </c:pt>
                <c:pt idx="14">
                  <c:v>0.96</c:v>
                </c:pt>
                <c:pt idx="15">
                  <c:v>0.96</c:v>
                </c:pt>
                <c:pt idx="16">
                  <c:v>0.96</c:v>
                </c:pt>
                <c:pt idx="17">
                  <c:v>0.96</c:v>
                </c:pt>
                <c:pt idx="18">
                  <c:v>0.96</c:v>
                </c:pt>
                <c:pt idx="19">
                  <c:v>0.96</c:v>
                </c:pt>
                <c:pt idx="20">
                  <c:v>0.95599999999999996</c:v>
                </c:pt>
                <c:pt idx="21">
                  <c:v>0.95599999999999996</c:v>
                </c:pt>
                <c:pt idx="22">
                  <c:v>0.95599999999999996</c:v>
                </c:pt>
                <c:pt idx="23">
                  <c:v>0.95599999999999996</c:v>
                </c:pt>
                <c:pt idx="24">
                  <c:v>0.95199999999999996</c:v>
                </c:pt>
                <c:pt idx="25">
                  <c:v>0.94599999999999995</c:v>
                </c:pt>
                <c:pt idx="26">
                  <c:v>0.94199999999999995</c:v>
                </c:pt>
                <c:pt idx="27">
                  <c:v>0.93899999999999995</c:v>
                </c:pt>
                <c:pt idx="28">
                  <c:v>0.93200000000000005</c:v>
                </c:pt>
                <c:pt idx="29">
                  <c:v>0.92700000000000005</c:v>
                </c:pt>
                <c:pt idx="30">
                  <c:v>0.92200000000000004</c:v>
                </c:pt>
                <c:pt idx="31">
                  <c:v>0.91500000000000004</c:v>
                </c:pt>
                <c:pt idx="32">
                  <c:v>0.90900000000000003</c:v>
                </c:pt>
                <c:pt idx="33">
                  <c:v>0.90500000000000003</c:v>
                </c:pt>
                <c:pt idx="34">
                  <c:v>0.90200000000000002</c:v>
                </c:pt>
                <c:pt idx="35">
                  <c:v>0.89500000000000002</c:v>
                </c:pt>
                <c:pt idx="36">
                  <c:v>0.89100000000000001</c:v>
                </c:pt>
                <c:pt idx="37">
                  <c:v>0.88600000000000001</c:v>
                </c:pt>
                <c:pt idx="38">
                  <c:v>0.879</c:v>
                </c:pt>
                <c:pt idx="39">
                  <c:v>0.874</c:v>
                </c:pt>
                <c:pt idx="40">
                  <c:v>0.87</c:v>
                </c:pt>
                <c:pt idx="41">
                  <c:v>0.86699999999999999</c:v>
                </c:pt>
                <c:pt idx="42">
                  <c:v>0.86</c:v>
                </c:pt>
                <c:pt idx="43">
                  <c:v>0.85399999999999998</c:v>
                </c:pt>
                <c:pt idx="44">
                  <c:v>0.85</c:v>
                </c:pt>
                <c:pt idx="45">
                  <c:v>0.84399999999999997</c:v>
                </c:pt>
                <c:pt idx="46">
                  <c:v>0.84</c:v>
                </c:pt>
                <c:pt idx="47">
                  <c:v>0.83299999999999996</c:v>
                </c:pt>
                <c:pt idx="48">
                  <c:v>0.82699999999999996</c:v>
                </c:pt>
                <c:pt idx="49">
                  <c:v>0.81699999999999995</c:v>
                </c:pt>
                <c:pt idx="50">
                  <c:v>0.81399999999999995</c:v>
                </c:pt>
                <c:pt idx="51">
                  <c:v>0.80600000000000005</c:v>
                </c:pt>
                <c:pt idx="52">
                  <c:v>0.79700000000000004</c:v>
                </c:pt>
                <c:pt idx="53">
                  <c:v>0.79100000000000004</c:v>
                </c:pt>
                <c:pt idx="54">
                  <c:v>0.78200000000000003</c:v>
                </c:pt>
                <c:pt idx="55">
                  <c:v>0.77700000000000002</c:v>
                </c:pt>
                <c:pt idx="56">
                  <c:v>0.76900000000000002</c:v>
                </c:pt>
                <c:pt idx="57">
                  <c:v>0.76200000000000001</c:v>
                </c:pt>
                <c:pt idx="58">
                  <c:v>0.755</c:v>
                </c:pt>
                <c:pt idx="59">
                  <c:v>0.745</c:v>
                </c:pt>
                <c:pt idx="60">
                  <c:v>0.74</c:v>
                </c:pt>
                <c:pt idx="61">
                  <c:v>0.73299999999999998</c:v>
                </c:pt>
                <c:pt idx="62">
                  <c:v>0.72499999999999998</c:v>
                </c:pt>
                <c:pt idx="63">
                  <c:v>0.71799999999999997</c:v>
                </c:pt>
                <c:pt idx="64">
                  <c:v>0.71199999999999997</c:v>
                </c:pt>
                <c:pt idx="65">
                  <c:v>0.70399999999999996</c:v>
                </c:pt>
                <c:pt idx="66">
                  <c:v>0.69599999999999995</c:v>
                </c:pt>
                <c:pt idx="67">
                  <c:v>0.69099999999999995</c:v>
                </c:pt>
                <c:pt idx="68">
                  <c:v>0.68200000000000005</c:v>
                </c:pt>
              </c:numCache>
            </c:numRef>
          </c:yVal>
          <c:smooth val="0"/>
          <c:extLst>
            <c:ext xmlns:c16="http://schemas.microsoft.com/office/drawing/2014/chart" uri="{C3380CC4-5D6E-409C-BE32-E72D297353CC}">
              <c16:uniqueId val="{00000000-0D6C-4ECE-8B89-19F32DFC5005}"/>
            </c:ext>
          </c:extLst>
        </c:ser>
        <c:ser>
          <c:idx val="2"/>
          <c:order val="1"/>
          <c:tx>
            <c:strRef>
              <c:f>'grafiek 2026-2027'!$E$5</c:f>
              <c:strCache>
                <c:ptCount val="1"/>
                <c:pt idx="0">
                  <c:v>2027</c:v>
                </c:pt>
              </c:strCache>
            </c:strRef>
          </c:tx>
          <c:spPr>
            <a:ln w="19050" cap="rnd">
              <a:solidFill>
                <a:schemeClr val="accent3"/>
              </a:solidFill>
              <a:round/>
            </a:ln>
            <a:effectLst/>
          </c:spPr>
          <c:marker>
            <c:symbol val="none"/>
          </c:marker>
          <c:xVal>
            <c:numRef>
              <c:f>'grafiek 2026-2027'!$C$6:$C$75</c:f>
              <c:numCache>
                <c:formatCode>#,##0</c:formatCode>
                <c:ptCount val="70"/>
                <c:pt idx="0">
                  <c:v>0</c:v>
                </c:pt>
                <c:pt idx="1">
                  <c:v>24150</c:v>
                </c:pt>
                <c:pt idx="2">
                  <c:v>25757</c:v>
                </c:pt>
                <c:pt idx="3">
                  <c:v>27364</c:v>
                </c:pt>
                <c:pt idx="4">
                  <c:v>28974</c:v>
                </c:pt>
                <c:pt idx="5">
                  <c:v>30580</c:v>
                </c:pt>
                <c:pt idx="6">
                  <c:v>32190</c:v>
                </c:pt>
                <c:pt idx="7">
                  <c:v>33796</c:v>
                </c:pt>
                <c:pt idx="8">
                  <c:v>35401</c:v>
                </c:pt>
                <c:pt idx="9">
                  <c:v>37130</c:v>
                </c:pt>
                <c:pt idx="10">
                  <c:v>38856</c:v>
                </c:pt>
                <c:pt idx="11">
                  <c:v>40587</c:v>
                </c:pt>
                <c:pt idx="12">
                  <c:v>42314</c:v>
                </c:pt>
                <c:pt idx="13">
                  <c:v>44047</c:v>
                </c:pt>
                <c:pt idx="14">
                  <c:v>45777</c:v>
                </c:pt>
                <c:pt idx="15">
                  <c:v>47547</c:v>
                </c:pt>
                <c:pt idx="16">
                  <c:v>49319</c:v>
                </c:pt>
                <c:pt idx="17">
                  <c:v>51093</c:v>
                </c:pt>
                <c:pt idx="18">
                  <c:v>52865</c:v>
                </c:pt>
                <c:pt idx="19">
                  <c:v>54642</c:v>
                </c:pt>
                <c:pt idx="20">
                  <c:v>56413</c:v>
                </c:pt>
                <c:pt idx="21">
                  <c:v>58185</c:v>
                </c:pt>
                <c:pt idx="22">
                  <c:v>59958</c:v>
                </c:pt>
                <c:pt idx="23">
                  <c:v>61896</c:v>
                </c:pt>
                <c:pt idx="24">
                  <c:v>65696</c:v>
                </c:pt>
                <c:pt idx="25">
                  <c:v>69493</c:v>
                </c:pt>
                <c:pt idx="26">
                  <c:v>73293</c:v>
                </c:pt>
                <c:pt idx="27">
                  <c:v>77095</c:v>
                </c:pt>
                <c:pt idx="28">
                  <c:v>80892</c:v>
                </c:pt>
                <c:pt idx="29">
                  <c:v>84694</c:v>
                </c:pt>
                <c:pt idx="30">
                  <c:v>88492</c:v>
                </c:pt>
                <c:pt idx="31">
                  <c:v>92292</c:v>
                </c:pt>
                <c:pt idx="32">
                  <c:v>96092</c:v>
                </c:pt>
                <c:pt idx="33">
                  <c:v>99890</c:v>
                </c:pt>
                <c:pt idx="34">
                  <c:v>103695</c:v>
                </c:pt>
                <c:pt idx="35">
                  <c:v>107493</c:v>
                </c:pt>
                <c:pt idx="36">
                  <c:v>111291</c:v>
                </c:pt>
                <c:pt idx="37">
                  <c:v>115091</c:v>
                </c:pt>
                <c:pt idx="38">
                  <c:v>118964</c:v>
                </c:pt>
                <c:pt idx="39">
                  <c:v>122858</c:v>
                </c:pt>
                <c:pt idx="40">
                  <c:v>126748</c:v>
                </c:pt>
                <c:pt idx="41">
                  <c:v>130639</c:v>
                </c:pt>
                <c:pt idx="42">
                  <c:v>134528</c:v>
                </c:pt>
                <c:pt idx="43">
                  <c:v>138421</c:v>
                </c:pt>
                <c:pt idx="44">
                  <c:v>142313</c:v>
                </c:pt>
                <c:pt idx="45">
                  <c:v>146206</c:v>
                </c:pt>
                <c:pt idx="46">
                  <c:v>150093</c:v>
                </c:pt>
                <c:pt idx="47">
                  <c:v>153983</c:v>
                </c:pt>
                <c:pt idx="48">
                  <c:v>157878</c:v>
                </c:pt>
                <c:pt idx="49">
                  <c:v>161767</c:v>
                </c:pt>
                <c:pt idx="50">
                  <c:v>165658</c:v>
                </c:pt>
                <c:pt idx="51">
                  <c:v>169548</c:v>
                </c:pt>
                <c:pt idx="52">
                  <c:v>173441</c:v>
                </c:pt>
                <c:pt idx="53">
                  <c:v>177336</c:v>
                </c:pt>
                <c:pt idx="54">
                  <c:v>181224</c:v>
                </c:pt>
                <c:pt idx="55">
                  <c:v>185115</c:v>
                </c:pt>
                <c:pt idx="56">
                  <c:v>189003</c:v>
                </c:pt>
                <c:pt idx="57">
                  <c:v>192897</c:v>
                </c:pt>
                <c:pt idx="58">
                  <c:v>196790</c:v>
                </c:pt>
                <c:pt idx="59">
                  <c:v>200682</c:v>
                </c:pt>
                <c:pt idx="60">
                  <c:v>204572</c:v>
                </c:pt>
                <c:pt idx="61">
                  <c:v>208459</c:v>
                </c:pt>
                <c:pt idx="62">
                  <c:v>212354</c:v>
                </c:pt>
                <c:pt idx="63">
                  <c:v>216243</c:v>
                </c:pt>
                <c:pt idx="64">
                  <c:v>220135</c:v>
                </c:pt>
                <c:pt idx="65">
                  <c:v>224027</c:v>
                </c:pt>
                <c:pt idx="66">
                  <c:v>227916</c:v>
                </c:pt>
                <c:pt idx="67">
                  <c:v>231808</c:v>
                </c:pt>
                <c:pt idx="68">
                  <c:v>235698</c:v>
                </c:pt>
                <c:pt idx="69">
                  <c:v>250000</c:v>
                </c:pt>
              </c:numCache>
            </c:numRef>
          </c:xVal>
          <c:yVal>
            <c:numRef>
              <c:f>'percentages 2026-2027'!$K$16:$K$84</c:f>
              <c:numCache>
                <c:formatCode>0.0%</c:formatCode>
                <c:ptCount val="69"/>
                <c:pt idx="0">
                  <c:v>0.96</c:v>
                </c:pt>
                <c:pt idx="1">
                  <c:v>0.96</c:v>
                </c:pt>
                <c:pt idx="2">
                  <c:v>0.96</c:v>
                </c:pt>
                <c:pt idx="3">
                  <c:v>0.96</c:v>
                </c:pt>
                <c:pt idx="4">
                  <c:v>0.96</c:v>
                </c:pt>
                <c:pt idx="5">
                  <c:v>0.96</c:v>
                </c:pt>
                <c:pt idx="6">
                  <c:v>0.96</c:v>
                </c:pt>
                <c:pt idx="7">
                  <c:v>0.96</c:v>
                </c:pt>
                <c:pt idx="8">
                  <c:v>0.96</c:v>
                </c:pt>
                <c:pt idx="9">
                  <c:v>0.96</c:v>
                </c:pt>
                <c:pt idx="10">
                  <c:v>0.96</c:v>
                </c:pt>
                <c:pt idx="11">
                  <c:v>0.96</c:v>
                </c:pt>
                <c:pt idx="12">
                  <c:v>0.96</c:v>
                </c:pt>
                <c:pt idx="13">
                  <c:v>0.96</c:v>
                </c:pt>
                <c:pt idx="14">
                  <c:v>0.96</c:v>
                </c:pt>
                <c:pt idx="15">
                  <c:v>0.96</c:v>
                </c:pt>
                <c:pt idx="16">
                  <c:v>0.96</c:v>
                </c:pt>
                <c:pt idx="17">
                  <c:v>0.96</c:v>
                </c:pt>
                <c:pt idx="18">
                  <c:v>0.96</c:v>
                </c:pt>
                <c:pt idx="19">
                  <c:v>0.96</c:v>
                </c:pt>
                <c:pt idx="20">
                  <c:v>0.96</c:v>
                </c:pt>
                <c:pt idx="21">
                  <c:v>0.96</c:v>
                </c:pt>
                <c:pt idx="22">
                  <c:v>0.96</c:v>
                </c:pt>
                <c:pt idx="23">
                  <c:v>0.96</c:v>
                </c:pt>
                <c:pt idx="24">
                  <c:v>0.96</c:v>
                </c:pt>
                <c:pt idx="25">
                  <c:v>0.96</c:v>
                </c:pt>
                <c:pt idx="26">
                  <c:v>0.95700000000000007</c:v>
                </c:pt>
                <c:pt idx="27">
                  <c:v>0.95400000000000007</c:v>
                </c:pt>
                <c:pt idx="28">
                  <c:v>0.94700000000000006</c:v>
                </c:pt>
                <c:pt idx="29">
                  <c:v>0.94200000000000006</c:v>
                </c:pt>
                <c:pt idx="30">
                  <c:v>0.93700000000000006</c:v>
                </c:pt>
                <c:pt idx="31">
                  <c:v>0.93</c:v>
                </c:pt>
                <c:pt idx="32">
                  <c:v>0.92400000000000004</c:v>
                </c:pt>
                <c:pt idx="33">
                  <c:v>0.92</c:v>
                </c:pt>
                <c:pt idx="34">
                  <c:v>0.91700000000000004</c:v>
                </c:pt>
                <c:pt idx="35">
                  <c:v>0.91</c:v>
                </c:pt>
                <c:pt idx="36">
                  <c:v>0.90600000000000003</c:v>
                </c:pt>
                <c:pt idx="37">
                  <c:v>0.90100000000000002</c:v>
                </c:pt>
                <c:pt idx="38">
                  <c:v>0.89400000000000002</c:v>
                </c:pt>
                <c:pt idx="39">
                  <c:v>0.88900000000000001</c:v>
                </c:pt>
                <c:pt idx="40">
                  <c:v>0.88500000000000001</c:v>
                </c:pt>
                <c:pt idx="41">
                  <c:v>0.88200000000000001</c:v>
                </c:pt>
                <c:pt idx="42">
                  <c:v>0.875</c:v>
                </c:pt>
                <c:pt idx="43">
                  <c:v>0.86899999999999999</c:v>
                </c:pt>
                <c:pt idx="44">
                  <c:v>0.86499999999999999</c:v>
                </c:pt>
                <c:pt idx="45">
                  <c:v>0.85899999999999999</c:v>
                </c:pt>
                <c:pt idx="46">
                  <c:v>0.85499999999999998</c:v>
                </c:pt>
                <c:pt idx="47">
                  <c:v>0.84799999999999998</c:v>
                </c:pt>
                <c:pt idx="48">
                  <c:v>0.84199999999999997</c:v>
                </c:pt>
                <c:pt idx="49">
                  <c:v>0.83200000000000007</c:v>
                </c:pt>
                <c:pt idx="50">
                  <c:v>0.82900000000000007</c:v>
                </c:pt>
                <c:pt idx="51">
                  <c:v>0.82100000000000006</c:v>
                </c:pt>
                <c:pt idx="52">
                  <c:v>0.81200000000000006</c:v>
                </c:pt>
                <c:pt idx="53">
                  <c:v>0.80600000000000005</c:v>
                </c:pt>
                <c:pt idx="54">
                  <c:v>0.79700000000000004</c:v>
                </c:pt>
                <c:pt idx="55">
                  <c:v>0.79200000000000004</c:v>
                </c:pt>
                <c:pt idx="56">
                  <c:v>0.78400000000000003</c:v>
                </c:pt>
                <c:pt idx="57">
                  <c:v>0.77700000000000002</c:v>
                </c:pt>
                <c:pt idx="58">
                  <c:v>0.77</c:v>
                </c:pt>
                <c:pt idx="59">
                  <c:v>0.76</c:v>
                </c:pt>
                <c:pt idx="60">
                  <c:v>0.755</c:v>
                </c:pt>
                <c:pt idx="61">
                  <c:v>0.748</c:v>
                </c:pt>
                <c:pt idx="62">
                  <c:v>0.74</c:v>
                </c:pt>
                <c:pt idx="63">
                  <c:v>0.73299999999999998</c:v>
                </c:pt>
                <c:pt idx="64">
                  <c:v>0.72699999999999998</c:v>
                </c:pt>
                <c:pt idx="65">
                  <c:v>0.71899999999999997</c:v>
                </c:pt>
                <c:pt idx="66">
                  <c:v>0.71100000000000008</c:v>
                </c:pt>
                <c:pt idx="67">
                  <c:v>0.70600000000000007</c:v>
                </c:pt>
                <c:pt idx="68">
                  <c:v>0.69700000000000006</c:v>
                </c:pt>
              </c:numCache>
            </c:numRef>
          </c:yVal>
          <c:smooth val="0"/>
          <c:extLst>
            <c:ext xmlns:c16="http://schemas.microsoft.com/office/drawing/2014/chart" uri="{C3380CC4-5D6E-409C-BE32-E72D297353CC}">
              <c16:uniqueId val="{00000001-0D6C-4ECE-8B89-19F32DFC5005}"/>
            </c:ext>
          </c:extLst>
        </c:ser>
        <c:dLbls>
          <c:showLegendKey val="0"/>
          <c:showVal val="0"/>
          <c:showCatName val="0"/>
          <c:showSerName val="0"/>
          <c:showPercent val="0"/>
          <c:showBubbleSize val="0"/>
        </c:dLbls>
        <c:axId val="268531536"/>
        <c:axId val="268531056"/>
      </c:scatterChart>
      <c:valAx>
        <c:axId val="268531536"/>
        <c:scaling>
          <c:orientation val="minMax"/>
          <c:max val="2500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nl-NL" sz="1100">
                    <a:solidFill>
                      <a:schemeClr val="tx1">
                        <a:lumMod val="85000"/>
                        <a:lumOff val="15000"/>
                      </a:schemeClr>
                    </a:solidFill>
                  </a:rPr>
                  <a:t>Inkomen, loonpeil 2026</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l-NL"/>
            </a:p>
          </c:txPr>
        </c:title>
        <c:numFmt formatCode="[$€-2]\ #,##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crossAx val="268531056"/>
        <c:crosses val="autoZero"/>
        <c:crossBetween val="midCat"/>
        <c:majorUnit val="40000"/>
      </c:valAx>
      <c:valAx>
        <c:axId val="268531056"/>
        <c:scaling>
          <c:orientation val="minMax"/>
          <c:max val="1"/>
        </c:scaling>
        <c:delete val="0"/>
        <c:axPos val="l"/>
        <c:majorGridlines>
          <c:spPr>
            <a:ln w="9525" cap="flat" cmpd="sng" algn="ctr">
              <a:no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r>
                  <a:rPr lang="nl-NL" b="1">
                    <a:solidFill>
                      <a:schemeClr val="tx1">
                        <a:lumMod val="85000"/>
                        <a:lumOff val="15000"/>
                      </a:schemeClr>
                    </a:solidFill>
                  </a:rPr>
                  <a:t>Vergoedingspercentage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endParaRPr lang="nl-NL"/>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crossAx val="268531536"/>
        <c:crosses val="autoZero"/>
        <c:crossBetween val="midCat"/>
      </c:valAx>
      <c:spPr>
        <a:noFill/>
        <a:ln>
          <a:noFill/>
        </a:ln>
        <a:effectLst/>
      </c:spPr>
    </c:plotArea>
    <c:legend>
      <c:legendPos val="b"/>
      <c:layout>
        <c:manualLayout>
          <c:xMode val="edge"/>
          <c:yMode val="edge"/>
          <c:x val="0.35523833333333338"/>
          <c:y val="0.90038701923076925"/>
          <c:w val="0.30833796296296295"/>
          <c:h val="6.379250000000000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Rijkshuisstijl">
    <a:dk1>
      <a:sysClr val="windowText" lastClr="000000"/>
    </a:dk1>
    <a:lt1>
      <a:sysClr val="window" lastClr="FFFFFF"/>
    </a:lt1>
    <a:dk2>
      <a:srgbClr val="44546A"/>
    </a:dk2>
    <a:lt2>
      <a:srgbClr val="E7E6E6"/>
    </a:lt2>
    <a:accent1>
      <a:srgbClr val="154273"/>
    </a:accent1>
    <a:accent2>
      <a:srgbClr val="42145F"/>
    </a:accent2>
    <a:accent3>
      <a:srgbClr val="A90061"/>
    </a:accent3>
    <a:accent4>
      <a:srgbClr val="CA005D"/>
    </a:accent4>
    <a:accent5>
      <a:srgbClr val="F092CD"/>
    </a:accent5>
    <a:accent6>
      <a:srgbClr val="D52B1E"/>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Rijkshuisstijl">
    <a:dk1>
      <a:sysClr val="windowText" lastClr="000000"/>
    </a:dk1>
    <a:lt1>
      <a:sysClr val="window" lastClr="FFFFFF"/>
    </a:lt1>
    <a:dk2>
      <a:srgbClr val="44546A"/>
    </a:dk2>
    <a:lt2>
      <a:srgbClr val="E7E6E6"/>
    </a:lt2>
    <a:accent1>
      <a:srgbClr val="154273"/>
    </a:accent1>
    <a:accent2>
      <a:srgbClr val="42145F"/>
    </a:accent2>
    <a:accent3>
      <a:srgbClr val="A90061"/>
    </a:accent3>
    <a:accent4>
      <a:srgbClr val="CA005D"/>
    </a:accent4>
    <a:accent5>
      <a:srgbClr val="F092CD"/>
    </a:accent5>
    <a:accent6>
      <a:srgbClr val="D52B1E"/>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ap:Properties xmlns:vt="http://schemas.openxmlformats.org/officeDocument/2006/docPropsVTypes" xmlns:ap="http://schemas.openxmlformats.org/officeDocument/2006/extended-properties">
  <ap:Pages>16</ap:Pages>
  <ap:Words>4858</ap:Words>
  <ap:Characters>26720</ap:Characters>
  <ap:DocSecurity>0</ap:DocSecurity>
  <ap:Lines>222</ap:Lines>
  <ap:Paragraphs>63</ap:Paragraphs>
  <ap:ScaleCrop>false</ap:ScaleCrop>
  <ap:HeadingPairs>
    <vt:vector baseType="variant" size="2">
      <vt:variant>
        <vt:lpstr>Titel</vt:lpstr>
      </vt:variant>
      <vt:variant>
        <vt:i4>1</vt:i4>
      </vt:variant>
    </vt:vector>
  </ap:HeadingPairs>
  <ap:TitlesOfParts>
    <vt:vector baseType="lpstr" size="1">
      <vt:lpstr>Wij Willem Alexander - vaststelling van de maximumuurprijs voor de kinderopvangtoeslag in 2026</vt:lpstr>
    </vt:vector>
  </ap:TitlesOfParts>
  <ap:LinksUpToDate>false</ap:LinksUpToDate>
  <ap:CharactersWithSpaces>31515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2025-07-14T08:08:00.0000000Z</lastPrinted>
  <dcterms:created xsi:type="dcterms:W3CDTF">2026-09-02T06:05:00.0000000Z</dcterms:created>
  <dcterms:modified xsi:type="dcterms:W3CDTF">2026-09-14T09:20:00.0000000Z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Wij Willem Alexander - vaststelling van de maximumuurprijs voor de kinderopvangtoeslag in 2026</vt:lpwstr>
  </property>
  <property fmtid="{D5CDD505-2E9C-101B-9397-08002B2CF9AE}" pid="5" name="Publicatiedatum">
    <vt:lpwstr/>
  </property>
  <property fmtid="{D5CDD505-2E9C-101B-9397-08002B2CF9AE}" pid="6" name="Verantwoordelijke organisatie">
    <vt:lpwstr>Secretaris-Generaal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 Breeman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DocGen_Wij Willem-Alexander_nl_NL</vt:lpwstr>
  </property>
  <property fmtid="{D5CDD505-2E9C-101B-9397-08002B2CF9AE}" pid="29" name="iAuteur">
    <vt:lpwstr/>
  </property>
  <property fmtid="{D5CDD505-2E9C-101B-9397-08002B2CF9AE}" pid="30" name="iOnderwerp">
    <vt:lpwstr>vaststelling van de maximumuurprijs voor de kinderopvangtoeslag in 2026</vt:lpwstr>
  </property>
  <property fmtid="{D5CDD505-2E9C-101B-9397-08002B2CF9AE}" pid="31" name="iOnsKenmerk">
    <vt:lpwstr>2026-0000305598</vt:lpwstr>
  </property>
</Properties>
</file>