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537AFF" w:rsidP="00537AFF" w14:paraId="4BF3EBC1" w14:textId="77777777">
      <w:r w:rsidRPr="00AA1A48">
        <w:t>Bij deze wil ik</w:t>
      </w:r>
      <w:r>
        <w:t xml:space="preserve"> uw Kamer</w:t>
      </w:r>
      <w:r w:rsidRPr="00AA1A48">
        <w:t xml:space="preserve">, mede namens de staatssecretaris </w:t>
      </w:r>
      <w:r w:rsidR="009B511D">
        <w:t xml:space="preserve">van </w:t>
      </w:r>
      <w:r w:rsidRPr="00AA1A48">
        <w:t xml:space="preserve">Financiën, </w:t>
      </w:r>
      <w:r>
        <w:t xml:space="preserve">informeren over het </w:t>
      </w:r>
      <w:r>
        <w:t>ingroeipad</w:t>
      </w:r>
      <w:r>
        <w:t xml:space="preserve"> - </w:t>
      </w:r>
      <w:r w:rsidRPr="00992466">
        <w:t xml:space="preserve">het pad waarmee gemeenten sinds 1 januari 2023 naar de nieuwe verdeling </w:t>
      </w:r>
      <w:r>
        <w:t xml:space="preserve">van de algemene uitkering </w:t>
      </w:r>
      <w:r w:rsidRPr="00992466">
        <w:t>ingroeien</w:t>
      </w:r>
      <w:r>
        <w:t xml:space="preserve"> - van het gemeentefonds per 1 januari 2028</w:t>
      </w:r>
      <w:r w:rsidRPr="00AA1A48">
        <w:t>.</w:t>
      </w:r>
      <w:r>
        <w:t xml:space="preserve"> Het </w:t>
      </w:r>
      <w:r>
        <w:t>ingroeipad</w:t>
      </w:r>
      <w:r>
        <w:t xml:space="preserve"> voor het jaar 2028 zal gelijk zijn aan het </w:t>
      </w:r>
      <w:r>
        <w:t>ingroeipad</w:t>
      </w:r>
      <w:r>
        <w:t xml:space="preserve"> van het jaar 2027 en er zal dus geen indexatie worden toegepast. Per 1 januari 2029 zal een volgende stap in het </w:t>
      </w:r>
      <w:r>
        <w:t>ingroeipad</w:t>
      </w:r>
      <w:r>
        <w:t xml:space="preserve"> worden gedaan. Hieronder vindt u een toelichting op het besluit </w:t>
      </w:r>
      <w:r>
        <w:t>aangaande</w:t>
      </w:r>
      <w:r>
        <w:t xml:space="preserve"> het </w:t>
      </w:r>
      <w:r>
        <w:t>ingroeipad</w:t>
      </w:r>
      <w:r>
        <w:t xml:space="preserve"> voor het jaar 2028. Zoals toegezegd in de brief van 28 mei jl. zullen we uw Kamer binnenkort ook informeren over het vervolgtraject voor de herziening van het verdeelmodel per 1 januari 2029. </w:t>
      </w:r>
    </w:p>
    <w:p w:rsidR="00537AFF" w:rsidP="00537AFF" w14:paraId="67A82C98" w14:textId="77777777"/>
    <w:p w:rsidR="00537AFF" w:rsidP="00537AFF" w14:paraId="39C3A91F" w14:textId="77777777">
      <w:r>
        <w:t>Zoals in de brief van 28 mei jl.</w:t>
      </w:r>
      <w:r w:rsidRPr="00B8527C">
        <w:rPr>
          <w:rStyle w:val="FootnoteReference"/>
        </w:rPr>
        <w:t xml:space="preserve"> </w:t>
      </w:r>
      <w:r>
        <w:rPr>
          <w:rStyle w:val="FootnoteReference"/>
        </w:rPr>
        <w:footnoteReference w:id="2"/>
      </w:r>
      <w:r>
        <w:t xml:space="preserve"> aangegeven is </w:t>
      </w:r>
      <w:r>
        <w:t>conform</w:t>
      </w:r>
      <w:r>
        <w:t xml:space="preserve"> het advies van de ROB van 1 april jl.</w:t>
      </w:r>
      <w:r>
        <w:rPr>
          <w:rStyle w:val="FootnoteReference"/>
        </w:rPr>
        <w:footnoteReference w:id="3"/>
      </w:r>
      <w:r>
        <w:t xml:space="preserve"> het </w:t>
      </w:r>
      <w:r>
        <w:t>ingroeipad</w:t>
      </w:r>
      <w:r>
        <w:t xml:space="preserve"> voor de jaren 2027 en 2028 bevroren. Dit aangezien zoals de ROB schrijft, </w:t>
      </w:r>
      <w:r w:rsidRPr="006552F3">
        <w:t>de beoogde richting van de totale herverdeling door de voorstellen ongewis is geworden.</w:t>
      </w:r>
      <w:r>
        <w:t xml:space="preserve"> De ROB deed in zijn advies het voorstel dit bevroren </w:t>
      </w:r>
      <w:r>
        <w:t>ingroeipad</w:t>
      </w:r>
      <w:r>
        <w:t xml:space="preserve"> te indexeren. </w:t>
      </w:r>
    </w:p>
    <w:p w:rsidR="00537AFF" w:rsidP="00537AFF" w14:paraId="223BE54D" w14:textId="77777777"/>
    <w:p w:rsidR="00537AFF" w:rsidP="00537AFF" w14:paraId="6ED8890C" w14:textId="77777777">
      <w:r>
        <w:t>Op 8 juni jl. heb ik uw Kamer</w:t>
      </w:r>
      <w:r>
        <w:rPr>
          <w:rStyle w:val="FootnoteReference"/>
        </w:rPr>
        <w:footnoteReference w:id="4"/>
      </w:r>
      <w:r>
        <w:t xml:space="preserve">, mede namens de staatsecretaris van Financiën, geïnformeerd dat het </w:t>
      </w:r>
      <w:r>
        <w:t>ingroeipad</w:t>
      </w:r>
      <w:r>
        <w:t xml:space="preserve"> door ons inderdaad is bevroren voor de jaren 2027 en 2028. Echter, ik heb u toen ook geïnformeerd dat de indexatie</w:t>
      </w:r>
      <w:r w:rsidRPr="00A43033">
        <w:rPr>
          <w:rFonts w:ascii="Arial" w:hAnsi="Arial" w:cs="Arial"/>
          <w:color w:val="132439"/>
          <w:shd w:val="clear" w:color="auto" w:fill="FFFFFF"/>
        </w:rPr>
        <w:t xml:space="preserve"> </w:t>
      </w:r>
      <w:r w:rsidRPr="00A43033">
        <w:t xml:space="preserve">door ons op een andere wijze </w:t>
      </w:r>
      <w:r>
        <w:t xml:space="preserve">was </w:t>
      </w:r>
      <w:r w:rsidRPr="00A43033">
        <w:t>doorgevoerd</w:t>
      </w:r>
      <w:r>
        <w:t xml:space="preserve"> dan dat de ROB in zijn advies had bedoeld. Zoals in de brief van 8 juni jl. aangege</w:t>
      </w:r>
      <w:r w:rsidRPr="00A43033">
        <w:t>ven</w:t>
      </w:r>
      <w:r>
        <w:t xml:space="preserve"> is toen door ons, gegeven</w:t>
      </w:r>
      <w:r w:rsidRPr="00A43033">
        <w:t xml:space="preserve"> de behoefte aan duidelijkheid</w:t>
      </w:r>
      <w:r>
        <w:t xml:space="preserve"> </w:t>
      </w:r>
      <w:r w:rsidRPr="00A43033">
        <w:t>op korte termijn en het belang dat ook wij hechten aan stabiliteit en voorspelbaarheid</w:t>
      </w:r>
      <w:r>
        <w:t xml:space="preserve"> </w:t>
      </w:r>
      <w:r w:rsidRPr="00A43033">
        <w:t>voor de begrotingen</w:t>
      </w:r>
      <w:r>
        <w:t>,</w:t>
      </w:r>
      <w:r w:rsidRPr="00A43033">
        <w:t xml:space="preserve"> besloten om voor het jaar 2027 het huidige </w:t>
      </w:r>
      <w:r w:rsidRPr="00A43033">
        <w:t>ingroeipad</w:t>
      </w:r>
      <w:r>
        <w:t xml:space="preserve"> te continueren en geen indexatie toe te passen. Tegelijkertijd is aan uw Kamer toen toegezegd dat we u na de zomer zouden informeren over het </w:t>
      </w:r>
      <w:r>
        <w:t>ingroeipad</w:t>
      </w:r>
      <w:r>
        <w:t xml:space="preserve"> voor het jaar 2028</w:t>
      </w:r>
      <w:r w:rsidR="009B511D">
        <w:t>.</w:t>
      </w:r>
      <w:r>
        <w:rPr>
          <w:rStyle w:val="FootnoteReference"/>
        </w:rPr>
        <w:footnoteReference w:id="5"/>
      </w:r>
      <w:r w:rsidR="009B511D">
        <w:t xml:space="preserve"> </w:t>
      </w:r>
      <w:r>
        <w:t xml:space="preserve">De afgelopen tijd is door ons gebruikt </w:t>
      </w:r>
      <w:r w:rsidRPr="00823397">
        <w:t xml:space="preserve">om een </w:t>
      </w:r>
      <w:r>
        <w:t xml:space="preserve">zorgvuldige </w:t>
      </w:r>
      <w:r w:rsidRPr="00823397">
        <w:t xml:space="preserve">afweging te maken </w:t>
      </w:r>
      <w:r>
        <w:t xml:space="preserve">over het </w:t>
      </w:r>
      <w:r>
        <w:t>ingroeipad</w:t>
      </w:r>
      <w:r>
        <w:t xml:space="preserve"> </w:t>
      </w:r>
      <w:r w:rsidRPr="00823397">
        <w:t>voor het jaar 2028</w:t>
      </w:r>
      <w:r>
        <w:t xml:space="preserve">. </w:t>
      </w:r>
    </w:p>
    <w:p w:rsidR="00B61EC1" w:rsidP="00537AFF" w14:paraId="040E758B" w14:textId="77777777"/>
    <w:p w:rsidR="00537AFF" w:rsidP="00537AFF" w14:paraId="39C0036E" w14:textId="77777777">
      <w:r>
        <w:t xml:space="preserve">Ons besluit om het </w:t>
      </w:r>
      <w:r>
        <w:t>ingroeipad</w:t>
      </w:r>
      <w:r>
        <w:t xml:space="preserve"> voor het jaar 2028 gelijk te laten zijn aan dit van 2027 is een afweging geweest tussen het technisch zo correct mogelijk doen (met indexatie) </w:t>
      </w:r>
      <w:r>
        <w:t>conform</w:t>
      </w:r>
      <w:r>
        <w:t xml:space="preserve"> het ROB advies van 1 april jl.</w:t>
      </w:r>
      <w:r>
        <w:rPr>
          <w:rStyle w:val="FootnoteReference"/>
        </w:rPr>
        <w:footnoteReference w:id="6"/>
      </w:r>
      <w:r>
        <w:t xml:space="preserve"> en de navolgbaarheid (zonder indexatie), gegeven dat er per 1 januari 2029 een volgende stap in het </w:t>
      </w:r>
      <w:r>
        <w:t>ingroeipad</w:t>
      </w:r>
      <w:r>
        <w:t xml:space="preserve"> zal worden gedaan.</w:t>
      </w:r>
    </w:p>
    <w:p w:rsidR="00537AFF" w:rsidP="00537AFF" w14:paraId="165053B4" w14:textId="77777777">
      <w:r>
        <w:t xml:space="preserve">Om een goede afweging te maken is door ons gekeken naar de financiële impact van het al dan niet toepassen van indexatie van het bevroren </w:t>
      </w:r>
      <w:r>
        <w:t>ingroeipad</w:t>
      </w:r>
      <w:r>
        <w:t xml:space="preserve">. Op dit moment zijn 131 gemeenten </w:t>
      </w:r>
      <w:r>
        <w:t>reeds</w:t>
      </w:r>
      <w:r>
        <w:t xml:space="preserve"> volledig ingegroeid. Er zijn nog 102 gemeenten met een positief </w:t>
      </w:r>
      <w:r>
        <w:t>ingroeipad</w:t>
      </w:r>
      <w:r>
        <w:t xml:space="preserve"> en 109 gemeenten met een negatief </w:t>
      </w:r>
      <w:r>
        <w:t>ingroeipad</w:t>
      </w:r>
      <w:r>
        <w:t xml:space="preserve">. </w:t>
      </w:r>
    </w:p>
    <w:p w:rsidR="00537AFF" w:rsidP="00537AFF" w14:paraId="22A7D179" w14:textId="77777777"/>
    <w:p w:rsidR="00537AFF" w:rsidP="00537AFF" w14:paraId="1B1BC176" w14:textId="77777777">
      <w:r>
        <w:t xml:space="preserve">Het toepassen van indexatie heeft maximaal een effect van </w:t>
      </w:r>
      <w:r>
        <w:t>circa</w:t>
      </w:r>
      <w:r>
        <w:t xml:space="preserve"> -/+0,3% op de algemene uitkering die een individuele gemeente uit het gemeentefonds ontvangt. Een voordeelgemeente ontvangt maximaal </w:t>
      </w:r>
      <w:r>
        <w:t>circa</w:t>
      </w:r>
      <w:r>
        <w:t xml:space="preserve"> 0,3% minder aan uitkering en een nadeelgemeente circa maximaal 0,3% meer aan uitkering.</w:t>
      </w:r>
    </w:p>
    <w:p w:rsidR="00537AFF" w:rsidP="00537AFF" w14:paraId="12D98FAE" w14:textId="77777777"/>
    <w:p w:rsidRPr="003C68AF" w:rsidR="00537AFF" w:rsidP="00537AFF" w14:paraId="3F69C873" w14:textId="77777777">
      <w:r>
        <w:t xml:space="preserve">Gezien de beperkte financiële impact van het al dan niet toepassen van de indexatie en gegeven dat er per 1 januari 2029 een volgende stap in het </w:t>
      </w:r>
      <w:r>
        <w:t>ingroeipad</w:t>
      </w:r>
      <w:r>
        <w:t xml:space="preserve"> zal worden gedaan, is in het kader van de navolgbaarheid en uitlegbaarheid ervoor gekozen om ook voor het jaar 2028 geen indexatie toe te passen.  </w:t>
      </w:r>
    </w:p>
    <w:p w:rsidR="00537AFF" w:rsidP="00537AFF" w14:paraId="583BAD22" w14:textId="77777777"/>
    <w:p w:rsidR="00537AFF" w:rsidP="00537AFF" w14:paraId="046DC487" w14:textId="77777777"/>
    <w:p w:rsidR="00537AFF" w:rsidP="00537AFF" w14:paraId="021913FD" w14:textId="77777777">
      <w:r>
        <w:t>De minister van Binnenlandse Zaken en Koninkrijksrelaties,</w:t>
      </w:r>
    </w:p>
    <w:p w:rsidR="00537AFF" w:rsidP="00537AFF" w14:paraId="17207315" w14:textId="77777777"/>
    <w:p w:rsidR="00537AFF" w:rsidP="00537AFF" w14:paraId="52EB9983" w14:textId="77777777">
      <w:r>
        <w:t xml:space="preserve"> </w:t>
      </w:r>
    </w:p>
    <w:p w:rsidR="00537AFF" w:rsidP="00537AFF" w14:paraId="336D1FDD" w14:textId="77777777">
      <w:r>
        <w:t xml:space="preserve"> </w:t>
      </w:r>
    </w:p>
    <w:p w:rsidR="00537AFF" w:rsidP="00537AFF" w14:paraId="7C6C42FD" w14:textId="77777777">
      <w:r>
        <w:t xml:space="preserve"> </w:t>
      </w:r>
    </w:p>
    <w:p w:rsidR="00537AFF" w:rsidP="00537AFF" w14:paraId="6052DEB7" w14:textId="77777777">
      <w:r>
        <w:t xml:space="preserve"> </w:t>
      </w:r>
    </w:p>
    <w:p w:rsidR="00537AFF" w:rsidP="00537AFF" w14:paraId="66370797" w14:textId="77777777">
      <w:r>
        <w:t>Pieter Heerma</w:t>
      </w:r>
    </w:p>
    <w:p w:rsidR="00537AFF" w:rsidP="00537AFF" w14:paraId="682B2862" w14:textId="77777777"/>
    <w:p w:rsidR="00537AFF" w:rsidP="00537AFF" w14:paraId="5AB93375" w14:textId="77777777"/>
    <w:p w:rsidR="00537AFF" w:rsidP="00537AFF" w14:paraId="0DF7F303" w14:textId="77777777"/>
    <w:p w:rsidR="00537AFF" w:rsidP="00537AFF" w14:paraId="7C3275F4" w14:textId="77777777"/>
    <w:p w:rsidRPr="00537AFF" w:rsidR="008637C7" w:rsidP="00537AFF" w14:paraId="36E416DD" w14:textId="77777777"/>
    <w:sectPr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37C7" w14:paraId="172B6295" w14:textId="77777777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41F01" w14:paraId="2B562980" w14:textId="77777777">
      <w:pPr>
        <w:pStyle w:val="FootnoteText"/>
      </w:pPr>
    </w:p>
  </w:footnote>
  <w:footnote w:type="continuationSeparator" w:id="1">
    <w:p w:rsidR="00F41F01" w14:paraId="6F738450" w14:textId="77777777">
      <w:pPr>
        <w:pStyle w:val="FootnoteText"/>
      </w:pPr>
    </w:p>
  </w:footnote>
  <w:footnote w:id="2">
    <w:p w:rsidR="00537AFF" w:rsidP="00537AFF" w14:paraId="4BB1040E" w14:textId="77777777">
      <w:pPr>
        <w:pStyle w:val="FootnoteText"/>
      </w:pPr>
      <w:r>
        <w:rPr>
          <w:rStyle w:val="FootnoteReference"/>
        </w:rPr>
        <w:footnoteRef/>
      </w:r>
      <w:r>
        <w:t xml:space="preserve"> Kamerstukken II 2025</w:t>
      </w:r>
      <w:r w:rsidR="00294FDF">
        <w:t>/</w:t>
      </w:r>
      <w:r>
        <w:t>26, 36 800 B, nr. 25</w:t>
      </w:r>
      <w:r w:rsidR="00294FDF">
        <w:t>.</w:t>
      </w:r>
    </w:p>
  </w:footnote>
  <w:footnote w:id="3">
    <w:p w:rsidR="00537AFF" w:rsidP="00537AFF" w14:paraId="60F56D4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552F3">
        <w:t>Kamerstukken II 2025</w:t>
      </w:r>
      <w:r w:rsidR="00294FDF">
        <w:t>/</w:t>
      </w:r>
      <w:r w:rsidRPr="006552F3">
        <w:t>26, 36 800 B, nr. 20</w:t>
      </w:r>
      <w:r w:rsidR="00294FDF">
        <w:t>.</w:t>
      </w:r>
    </w:p>
  </w:footnote>
  <w:footnote w:id="4">
    <w:p w:rsidR="00537AFF" w:rsidP="00537AFF" w14:paraId="426EB8C7" w14:textId="77777777">
      <w:pPr>
        <w:pStyle w:val="FootnoteText"/>
      </w:pPr>
      <w:r>
        <w:rPr>
          <w:rStyle w:val="FootnoteReference"/>
        </w:rPr>
        <w:footnoteRef/>
      </w:r>
      <w:r>
        <w:t xml:space="preserve"> Kamerstukken II 2025</w:t>
      </w:r>
      <w:r w:rsidR="00294FDF">
        <w:t>/</w:t>
      </w:r>
      <w:r>
        <w:t>26, 36 800 B, nr. 28</w:t>
      </w:r>
      <w:r w:rsidR="00294FDF">
        <w:t>.</w:t>
      </w:r>
    </w:p>
  </w:footnote>
  <w:footnote w:id="5">
    <w:p w:rsidR="00537AFF" w:rsidP="00537AFF" w14:paraId="2CB37EAA" w14:textId="77777777">
      <w:pPr>
        <w:pStyle w:val="FootnoteText"/>
      </w:pPr>
      <w:r>
        <w:rPr>
          <w:rStyle w:val="FootnoteReference"/>
        </w:rPr>
        <w:footnoteRef/>
      </w:r>
      <w:r>
        <w:t xml:space="preserve"> Toezegging: </w:t>
      </w:r>
      <w:r w:rsidRPr="00277252">
        <w:t>TZ202606-132</w:t>
      </w:r>
      <w:r w:rsidR="00294FDF">
        <w:t>.</w:t>
      </w:r>
    </w:p>
  </w:footnote>
  <w:footnote w:id="6">
    <w:p w:rsidR="00537AFF" w:rsidP="00537AFF" w14:paraId="7D0F0776" w14:textId="77777777">
      <w:pPr>
        <w:pStyle w:val="FootnoteText"/>
      </w:pPr>
      <w:r>
        <w:rPr>
          <w:rStyle w:val="FootnoteReference"/>
        </w:rPr>
        <w:footnoteRef/>
      </w:r>
      <w:r>
        <w:t xml:space="preserve"> Kamerstukken II</w:t>
      </w:r>
      <w:r w:rsidRPr="00823397">
        <w:t xml:space="preserve"> 2025</w:t>
      </w:r>
      <w:r w:rsidR="00294FDF">
        <w:t>/</w:t>
      </w:r>
      <w:r w:rsidRPr="00823397">
        <w:t>26, 36 800 B, nr. 20</w:t>
      </w:r>
      <w:r w:rsidR="00294FD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37C7" w14:paraId="2B785DD1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27C3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727C3C" w14:paraId="042C817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637C7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r>
                            <w:t>Democr</w:t>
                          </w:r>
                          <w:r>
                            <w:t xml:space="preserve"> Rechtsstaat</w:t>
                          </w:r>
                        </w:p>
                        <w:p w:rsidR="008637C7" w14:textId="77777777">
                          <w:pPr>
                            <w:pStyle w:val="Referentiegegevens"/>
                          </w:pPr>
                          <w:r>
                            <w:t xml:space="preserve">DGOBDR-BFR-Bekostiging </w:t>
                          </w:r>
                          <w:r>
                            <w:t>Binnenl</w:t>
                          </w:r>
                          <w:r>
                            <w:t>. Bestuur</w:t>
                          </w:r>
                        </w:p>
                        <w:p w:rsidR="008637C7" w14:textId="77777777">
                          <w:pPr>
                            <w:pStyle w:val="WitregelW2"/>
                          </w:pPr>
                        </w:p>
                        <w:p w:rsidR="008637C7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5C2D9C" w14:textId="1EB9E56A">
                          <w:pPr>
                            <w:pStyle w:val="Referentiegegevens"/>
                          </w:pPr>
                        </w:p>
                        <w:p w:rsidR="008637C7" w14:textId="77777777">
                          <w:pPr>
                            <w:pStyle w:val="WitregelW1"/>
                          </w:pPr>
                        </w:p>
                        <w:p w:rsidR="008637C7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5C2D9C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0683B">
                            <w:t>2026-0000478244</w:t>
                          </w:r>
                          <w:r w:rsidR="0010683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8637C7" w14:paraId="60892C4F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r>
                      <w:t>Democr</w:t>
                    </w:r>
                    <w:r>
                      <w:t xml:space="preserve"> Rechtsstaat</w:t>
                    </w:r>
                  </w:p>
                  <w:p w:rsidR="008637C7" w14:paraId="0975C44B" w14:textId="77777777">
                    <w:pPr>
                      <w:pStyle w:val="Referentiegegevens"/>
                    </w:pPr>
                    <w:r>
                      <w:t xml:space="preserve">DGOBDR-BFR-Bekostiging </w:t>
                    </w:r>
                    <w:r>
                      <w:t>Binnenl</w:t>
                    </w:r>
                    <w:r>
                      <w:t>. Bestuur</w:t>
                    </w:r>
                  </w:p>
                  <w:p w:rsidR="008637C7" w14:paraId="05F832D0" w14:textId="77777777">
                    <w:pPr>
                      <w:pStyle w:val="WitregelW2"/>
                    </w:pPr>
                  </w:p>
                  <w:p w:rsidR="008637C7" w14:paraId="1DC20691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5C2D9C" w14:paraId="3782BA93" w14:textId="1EB9E56A">
                    <w:pPr>
                      <w:pStyle w:val="Referentiegegevens"/>
                    </w:pPr>
                  </w:p>
                  <w:p w:rsidR="008637C7" w14:paraId="2D3C6156" w14:textId="77777777">
                    <w:pPr>
                      <w:pStyle w:val="WitregelW1"/>
                    </w:pPr>
                  </w:p>
                  <w:p w:rsidR="008637C7" w14:paraId="006EE21C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5C2D9C" w14:paraId="38E4F2B0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0683B">
                      <w:t>2026-0000478244</w:t>
                    </w:r>
                    <w:r w:rsidR="0010683B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27C3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727C3C" w14:paraId="07A35098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2D9C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5C2D9C" w14:paraId="7B488DA7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37C7" w14:paraId="0337279E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637C7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61477540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4775406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8637C7" w14:paraId="2C3FBC58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637C7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779544277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9544277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8637C7" w14:paraId="5DA5FC36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637C7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8637C7" w14:paraId="24DE97AB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637C7" w14:textId="77777777">
                          <w:r>
                            <w:t>Aan de Voorzitter van de Tweede Kamer der Staten-Generaal</w:t>
                          </w:r>
                        </w:p>
                        <w:p w:rsidR="008637C7" w14:textId="77777777">
                          <w:r>
                            <w:t>Postbus 20018</w:t>
                          </w:r>
                        </w:p>
                        <w:p w:rsidR="008637C7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8637C7" w14:paraId="1C16F8EF" w14:textId="77777777">
                    <w:r>
                      <w:t>Aan de Voorzitter van de Tweede Kamer der Staten-Generaal</w:t>
                    </w:r>
                  </w:p>
                  <w:p w:rsidR="008637C7" w14:paraId="3858AE0F" w14:textId="77777777">
                    <w:r>
                      <w:t>Postbus 20018</w:t>
                    </w:r>
                  </w:p>
                  <w:p w:rsidR="008637C7" w14:paraId="3D1A48FF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1009015</wp:posOffset>
              </wp:positionH>
              <wp:positionV relativeFrom="paragraph">
                <wp:posOffset>3354704</wp:posOffset>
              </wp:positionV>
              <wp:extent cx="4787900" cy="3238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/>
                          </w:tblPr>
                          <w:tblGrid>
                            <w:gridCol w:w="1140"/>
                            <w:gridCol w:w="5918"/>
                          </w:tblGrid>
                          <w:tr w14:paraId="6A2F251E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637C7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C2D9C" w14:textId="16DDBAE7">
                                <w:r>
                                  <w:t>15 september 2026</w:t>
                                </w:r>
                              </w:p>
                            </w:tc>
                          </w:tr>
                          <w:tr w14:paraId="596BC6F0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637C7" w14:textId="77777777">
                                <w:r>
                                  <w:t>Betreft</w:t>
                                </w:r>
                              </w:p>
                            </w:tc>
                            <w:bookmarkStart w:id="0" w:name="_Hlk240300074"/>
                            <w:tc>
                              <w:tcPr>
                                <w:tcW w:w="5918" w:type="dxa"/>
                              </w:tcPr>
                              <w:p w:rsidR="005C2D9C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10683B">
                                  <w:t xml:space="preserve">Gemeentefonds </w:t>
                                </w:r>
                                <w:r w:rsidR="0010683B">
                                  <w:t>ingroeipad</w:t>
                                </w:r>
                                <w:r w:rsidR="0010683B">
                                  <w:t xml:space="preserve"> 2028</w:t>
                                </w:r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</w:tbl>
                        <w:p w:rsidR="00727C3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1670fa0c-13cb-45ec-92be-ef1f34d237c5" o:spid="_x0000_s2057" type="#_x0000_t202" style="width:377pt;height:25.5pt;margin-top:264.15pt;margin-left:79.45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/>
                    </w:tblPr>
                    <w:tblGrid>
                      <w:gridCol w:w="1140"/>
                      <w:gridCol w:w="5918"/>
                    </w:tblGrid>
                    <w:tr w14:paraId="6A2F251D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637C7" w14:paraId="2721B129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C2D9C" w14:paraId="52964703" w14:textId="16DDBAE7">
                          <w:r>
                            <w:t>15 september 2026</w:t>
                          </w:r>
                        </w:p>
                      </w:tc>
                    </w:tr>
                    <w:tr w14:paraId="596BC6EF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637C7" w14:paraId="2DAFC05F" w14:textId="77777777">
                          <w:r>
                            <w:t>Betreft</w:t>
                          </w:r>
                        </w:p>
                      </w:tc>
                      <w:bookmarkStart w:id="0" w:name="_Hlk240300074"/>
                      <w:tc>
                        <w:tcPr>
                          <w:tcW w:w="5918" w:type="dxa"/>
                        </w:tcPr>
                        <w:p w:rsidR="005C2D9C" w14:paraId="4A73D97F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10683B">
                            <w:t xml:space="preserve">Gemeentefonds </w:t>
                          </w:r>
                          <w:r w:rsidR="0010683B">
                            <w:t>ingroeipad</w:t>
                          </w:r>
                          <w:r w:rsidR="0010683B">
                            <w:t xml:space="preserve"> 2028</w:t>
                          </w:r>
                          <w:r>
                            <w:fldChar w:fldCharType="end"/>
                          </w:r>
                          <w:bookmarkEnd w:id="0"/>
                        </w:p>
                      </w:tc>
                    </w:tr>
                  </w:tbl>
                  <w:p w:rsidR="00727C3C" w14:paraId="16BBAAF3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637C7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r>
                            <w:t>Democr</w:t>
                          </w:r>
                          <w:r>
                            <w:t xml:space="preserve"> Rechtsstaat</w:t>
                          </w:r>
                        </w:p>
                        <w:p w:rsidR="008637C7" w14:textId="77777777">
                          <w:pPr>
                            <w:pStyle w:val="Referentiegegevens"/>
                          </w:pPr>
                          <w:r>
                            <w:t xml:space="preserve">DGOBDR-BFR-Bekostiging </w:t>
                          </w:r>
                          <w:r>
                            <w:t>Binnenl</w:t>
                          </w:r>
                          <w:r>
                            <w:t>. Bestuur</w:t>
                          </w:r>
                        </w:p>
                        <w:p w:rsidR="008637C7" w14:textId="77777777">
                          <w:pPr>
                            <w:pStyle w:val="WitregelW1"/>
                          </w:pPr>
                        </w:p>
                        <w:p w:rsidR="008637C7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8637C7" w14:textId="77777777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:rsidR="008637C7" w14:textId="77777777">
                          <w:pPr>
                            <w:pStyle w:val="Referentiegegevens"/>
                          </w:pPr>
                          <w:r>
                            <w:t>Postbus 20011</w:t>
                          </w:r>
                        </w:p>
                        <w:p w:rsidR="008637C7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8637C7" w14:textId="77777777">
                          <w:pPr>
                            <w:pStyle w:val="Referentiegegevens"/>
                          </w:pPr>
                          <w:r>
                            <w:t>www.rijksoverheid.nl</w:t>
                          </w:r>
                        </w:p>
                        <w:p w:rsidR="008637C7" w14:textId="77777777">
                          <w:pPr>
                            <w:pStyle w:val="WitregelW1"/>
                          </w:pPr>
                        </w:p>
                        <w:p w:rsidR="008637C7" w14:textId="77777777">
                          <w:pPr>
                            <w:pStyle w:val="Referentiegegevensbold"/>
                          </w:pPr>
                          <w:r>
                            <w:t>Contactpersoon</w:t>
                          </w:r>
                        </w:p>
                        <w:p w:rsidR="008637C7" w14:textId="77777777">
                          <w:pPr>
                            <w:pStyle w:val="Referentiegegevens"/>
                          </w:pPr>
                          <w:r>
                            <w:t>BFR</w:t>
                          </w:r>
                        </w:p>
                        <w:p w:rsidR="008637C7" w14:textId="77777777">
                          <w:pPr>
                            <w:pStyle w:val="WitregelW2"/>
                          </w:pPr>
                        </w:p>
                        <w:p w:rsidR="008637C7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5C2D9C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0683B">
                            <w:t>2026-0000478244</w:t>
                          </w:r>
                          <w:r w:rsidR="0010683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8637C7" w14:paraId="02C7D9AD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r>
                      <w:t>Democr</w:t>
                    </w:r>
                    <w:r>
                      <w:t xml:space="preserve"> Rechtsstaat</w:t>
                    </w:r>
                  </w:p>
                  <w:p w:rsidR="008637C7" w14:paraId="47F67865" w14:textId="77777777">
                    <w:pPr>
                      <w:pStyle w:val="Referentiegegevens"/>
                    </w:pPr>
                    <w:r>
                      <w:t xml:space="preserve">DGOBDR-BFR-Bekostiging </w:t>
                    </w:r>
                    <w:r>
                      <w:t>Binnenl</w:t>
                    </w:r>
                    <w:r>
                      <w:t>. Bestuur</w:t>
                    </w:r>
                  </w:p>
                  <w:p w:rsidR="008637C7" w14:paraId="55759D86" w14:textId="77777777">
                    <w:pPr>
                      <w:pStyle w:val="WitregelW1"/>
                    </w:pPr>
                  </w:p>
                  <w:p w:rsidR="008637C7" w14:paraId="1C28FE91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8637C7" w14:paraId="6BBAAED4" w14:textId="77777777">
                    <w:pPr>
                      <w:pStyle w:val="Referentiegegevens"/>
                    </w:pPr>
                    <w:r>
                      <w:t>2511 DP  Den Haag</w:t>
                    </w:r>
                  </w:p>
                  <w:p w:rsidR="008637C7" w14:paraId="73D1F705" w14:textId="77777777">
                    <w:pPr>
                      <w:pStyle w:val="Referentiegegevens"/>
                    </w:pPr>
                    <w:r>
                      <w:t>Postbus 20011</w:t>
                    </w:r>
                  </w:p>
                  <w:p w:rsidR="008637C7" w14:paraId="58FE6C55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8637C7" w14:paraId="338ED9EA" w14:textId="77777777">
                    <w:pPr>
                      <w:pStyle w:val="Referentiegegevens"/>
                    </w:pPr>
                    <w:r>
                      <w:t>www.rijksoverheid.nl</w:t>
                    </w:r>
                  </w:p>
                  <w:p w:rsidR="008637C7" w14:paraId="0A4AA21B" w14:textId="77777777">
                    <w:pPr>
                      <w:pStyle w:val="WitregelW1"/>
                    </w:pPr>
                  </w:p>
                  <w:p w:rsidR="008637C7" w14:paraId="6C398CD8" w14:textId="77777777">
                    <w:pPr>
                      <w:pStyle w:val="Referentiegegevensbold"/>
                    </w:pPr>
                    <w:r>
                      <w:t>Contactpersoon</w:t>
                    </w:r>
                  </w:p>
                  <w:p w:rsidR="008637C7" w14:paraId="76DD2CA8" w14:textId="77777777">
                    <w:pPr>
                      <w:pStyle w:val="Referentiegegevens"/>
                    </w:pPr>
                    <w:r>
                      <w:t>BFR</w:t>
                    </w:r>
                  </w:p>
                  <w:p w:rsidR="008637C7" w14:paraId="1E072258" w14:textId="77777777">
                    <w:pPr>
                      <w:pStyle w:val="WitregelW2"/>
                    </w:pPr>
                  </w:p>
                  <w:p w:rsidR="008637C7" w14:paraId="12BD4072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5C2D9C" w14:paraId="015E0AEB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0683B">
                      <w:t>2026-0000478244</w:t>
                    </w:r>
                    <w:r w:rsidR="0010683B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2D9C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5C2D9C" w14:paraId="0CC306F1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27C3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727C3C" w14:paraId="36DD3FF3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9E80561C"/>
    <w:multiLevelType w:val="multilevel"/>
    <w:tmpl w:val="FBF99366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AC8269A3"/>
    <w:multiLevelType w:val="multilevel"/>
    <w:tmpl w:val="B1DC4B74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F20EBF61"/>
    <w:multiLevelType w:val="multilevel"/>
    <w:tmpl w:val="F54F1105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158B2893"/>
    <w:multiLevelType w:val="hybridMultilevel"/>
    <w:tmpl w:val="80D86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363A70"/>
    <w:multiLevelType w:val="hybridMultilevel"/>
    <w:tmpl w:val="295E76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8F0E42C"/>
    <w:multiLevelType w:val="multilevel"/>
    <w:tmpl w:val="961677A3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436102421">
    <w:abstractNumId w:val="2"/>
  </w:num>
  <w:num w:numId="2" w16cid:durableId="1296369034">
    <w:abstractNumId w:val="1"/>
  </w:num>
  <w:num w:numId="3" w16cid:durableId="2033916070">
    <w:abstractNumId w:val="0"/>
  </w:num>
  <w:num w:numId="4" w16cid:durableId="967475043">
    <w:abstractNumId w:val="5"/>
  </w:num>
  <w:num w:numId="5" w16cid:durableId="1246575574">
    <w:abstractNumId w:val="4"/>
  </w:num>
  <w:num w:numId="6" w16cid:durableId="8385398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efaultTableStyle w:val="TableNormal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7C7"/>
    <w:rsid w:val="00015F85"/>
    <w:rsid w:val="00055E20"/>
    <w:rsid w:val="000D522A"/>
    <w:rsid w:val="0010683B"/>
    <w:rsid w:val="001B66BA"/>
    <w:rsid w:val="001E65CF"/>
    <w:rsid w:val="00277252"/>
    <w:rsid w:val="00286942"/>
    <w:rsid w:val="00294FDF"/>
    <w:rsid w:val="002D3376"/>
    <w:rsid w:val="002D65FE"/>
    <w:rsid w:val="003A63DB"/>
    <w:rsid w:val="003C68AF"/>
    <w:rsid w:val="0041422C"/>
    <w:rsid w:val="00452965"/>
    <w:rsid w:val="004544D6"/>
    <w:rsid w:val="004F46AE"/>
    <w:rsid w:val="005305B8"/>
    <w:rsid w:val="00537AFF"/>
    <w:rsid w:val="005C2D9C"/>
    <w:rsid w:val="005F52B9"/>
    <w:rsid w:val="00621CA8"/>
    <w:rsid w:val="00633F57"/>
    <w:rsid w:val="006552F3"/>
    <w:rsid w:val="00691046"/>
    <w:rsid w:val="007018BB"/>
    <w:rsid w:val="00727C3C"/>
    <w:rsid w:val="00823397"/>
    <w:rsid w:val="00841721"/>
    <w:rsid w:val="008637C7"/>
    <w:rsid w:val="008E58A0"/>
    <w:rsid w:val="00906478"/>
    <w:rsid w:val="0098627B"/>
    <w:rsid w:val="00992466"/>
    <w:rsid w:val="009A46BB"/>
    <w:rsid w:val="009B511D"/>
    <w:rsid w:val="00A43033"/>
    <w:rsid w:val="00AA1A48"/>
    <w:rsid w:val="00AD6B4B"/>
    <w:rsid w:val="00B06448"/>
    <w:rsid w:val="00B61EC1"/>
    <w:rsid w:val="00B8527C"/>
    <w:rsid w:val="00CD5923"/>
    <w:rsid w:val="00D24A43"/>
    <w:rsid w:val="00D26CC5"/>
    <w:rsid w:val="00E1356C"/>
    <w:rsid w:val="00E53AEC"/>
    <w:rsid w:val="00ED3A1C"/>
    <w:rsid w:val="00F41F01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4B4A7E"/>
  <w15:docId w15:val="{D7369E9F-3628-4007-8F0C-900BF842F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FootnoteTex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727C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727C3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727C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727C3C"/>
    <w:rPr>
      <w:rFonts w:ascii="Verdana" w:hAnsi="Verdana"/>
      <w:color w:val="000000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992466"/>
    <w:rPr>
      <w:vertAlign w:val="superscript"/>
    </w:rPr>
  </w:style>
  <w:style w:type="paragraph" w:styleId="ListParagraph">
    <w:name w:val="List Paragraph"/>
    <w:basedOn w:val="Normal"/>
    <w:uiPriority w:val="34"/>
    <w:semiHidden/>
    <w:rsid w:val="00992466"/>
    <w:pPr>
      <w:spacing w:line="240" w:lineRule="exact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1" /><Relationship Type="http://schemas.openxmlformats.org/officeDocument/2006/relationships/theme" Target="theme/theme1.xml" Id="rId10" /><Relationship Type="http://schemas.openxmlformats.org/officeDocument/2006/relationships/numbering" Target="numbering.xml" Id="rId11" /><Relationship Type="http://schemas.openxmlformats.org/officeDocument/2006/relationships/styles" Target="styles.xml" Id="rId12" /><Relationship Type="http://schemas.openxmlformats.org/officeDocument/2006/relationships/settings" Target="settings.xml" Id="rId2" /><Relationship Type="http://schemas.openxmlformats.org/officeDocument/2006/relationships/webSettings" Target="webSettings.xml" Id="rId3" /><Relationship Type="http://schemas.openxmlformats.org/officeDocument/2006/relationships/fontTable" Target="fontTable.xml" Id="rId4" /><Relationship Type="http://schemas.openxmlformats.org/officeDocument/2006/relationships/header" Target="header1.xml" Id="rId7" /><Relationship Type="http://schemas.openxmlformats.org/officeDocument/2006/relationships/footer" Target="footer1.xml" Id="rId8" /><Relationship Type="http://schemas.openxmlformats.org/officeDocument/2006/relationships/header" Target="header2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506</ap:Words>
  <ap:Characters>2789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Gemeentefonds ingroeipad 2028</vt:lpstr>
    </vt:vector>
  </ap:TitlesOfParts>
  <ap:LinksUpToDate>false</ap:LinksUpToDate>
  <ap:CharactersWithSpaces>3289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2026-09-14T15:41:00.0000000Z</dcterms:created>
  <dcterms:modified xsi:type="dcterms:W3CDTF">2026-09-14T15:41:00.0000000Z</dcterms:modified>
  <dc:creator/>
  <lastModifiedBy/>
  <dc:description>------------------------</dc:description>
  <dc:subject/>
  <keywords/>
  <version/>
  <category/>
</coreProperties>
</file>