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892" w:rsidP="005E4D7A" w:rsidRDefault="00942892" w14:paraId="38CB8F23" w14:textId="14590AC4">
      <w:bookmarkStart w:name="_GoBack" w:id="0"/>
      <w:bookmarkEnd w:id="0"/>
      <w:r>
        <w:t>Geachte voorzitter,</w:t>
      </w:r>
    </w:p>
    <w:p w:rsidR="005E4D7A" w:rsidP="005E4D7A" w:rsidRDefault="00942892" w14:paraId="6F3C1CBC" w14:textId="4C84F0A0">
      <w:r>
        <w:br/>
      </w:r>
      <w:r>
        <w:br/>
      </w:r>
      <w:bookmarkStart w:name="_Hlk226022833" w:id="1"/>
      <w:r>
        <w:t>Met de</w:t>
      </w:r>
      <w:r w:rsidR="005E4D7A">
        <w:t xml:space="preserve"> brief van 19 september 2024</w:t>
      </w:r>
      <w:r w:rsidR="005E4D7A">
        <w:rPr>
          <w:rStyle w:val="FootnoteReference"/>
        </w:rPr>
        <w:footnoteReference w:id="1"/>
      </w:r>
      <w:r w:rsidR="005E4D7A">
        <w:t xml:space="preserve"> heeft mijn voorganger een </w:t>
      </w:r>
      <w:r>
        <w:t>periodieke rapportage aangekondigd van</w:t>
      </w:r>
      <w:r w:rsidR="005E4D7A">
        <w:t xml:space="preserve"> beleidsartikel 16: Openbaar Vervoer en Spoor</w:t>
      </w:r>
      <w:r>
        <w:t xml:space="preserve"> en aanverwante artikelen</w:t>
      </w:r>
      <w:r w:rsidR="005E4D7A">
        <w:t>. Conform De Regeling Periodiek Evaluatieonderzoek</w:t>
      </w:r>
      <w:r>
        <w:t xml:space="preserve"> </w:t>
      </w:r>
      <w:r w:rsidR="005E4D7A">
        <w:t>(RPE) is onderzoek gedaan naar de doeltreffendheid en doelmatigheid van het beleid.</w:t>
      </w:r>
    </w:p>
    <w:p w:rsidR="00942892" w:rsidP="005E4D7A" w:rsidRDefault="00942892" w14:paraId="7006186E" w14:textId="77777777"/>
    <w:p w:rsidR="00A67F4A" w:rsidP="00A67F4A" w:rsidRDefault="005E4D7A" w14:paraId="668D2A56" w14:textId="408FCF59">
      <w:r>
        <w:t xml:space="preserve">De </w:t>
      </w:r>
      <w:r w:rsidR="00942892">
        <w:t xml:space="preserve">periodieke rapportage </w:t>
      </w:r>
      <w:r>
        <w:t>is uitgevoerd door het adviesbureau</w:t>
      </w:r>
      <w:r w:rsidR="00942892">
        <w:t xml:space="preserve"> Ecorys (in samenwerking met KPMG) </w:t>
      </w:r>
      <w:r>
        <w:t>en heeft betrekking op de periode 201</w:t>
      </w:r>
      <w:r w:rsidR="00942892">
        <w:t>8</w:t>
      </w:r>
      <w:r>
        <w:t>–20</w:t>
      </w:r>
      <w:r w:rsidR="00942892">
        <w:t>23</w:t>
      </w:r>
      <w:r>
        <w:t>. Prof. dr. E</w:t>
      </w:r>
      <w:r w:rsidR="001E062D">
        <w:t>.T.</w:t>
      </w:r>
      <w:r w:rsidR="00942892">
        <w:t xml:space="preserve"> Verhoef</w:t>
      </w:r>
      <w:r w:rsidR="00942892">
        <w:rPr>
          <w:rStyle w:val="FootnoteReference"/>
        </w:rPr>
        <w:footnoteReference w:id="2"/>
      </w:r>
      <w:r>
        <w:t xml:space="preserve"> heeft als onafhankelijk deskundige door middel van een second opinion een kwaliteitsoordeel gegeven over </w:t>
      </w:r>
      <w:r w:rsidR="00942892">
        <w:t>de eindrapportage</w:t>
      </w:r>
      <w:r>
        <w:t>. Hierbij bied ik u het onderzoeksrapport</w:t>
      </w:r>
      <w:r w:rsidR="00942892">
        <w:t xml:space="preserve"> </w:t>
      </w:r>
      <w:r>
        <w:t>en de second opinion aan. In deze brief is tevens de beleidsreactie opgenome</w:t>
      </w:r>
      <w:r w:rsidR="00942892">
        <w:t>n.</w:t>
      </w:r>
      <w:r w:rsidR="00942892">
        <w:br/>
      </w:r>
      <w:bookmarkEnd w:id="1"/>
      <w:r w:rsidR="00942892">
        <w:br/>
      </w:r>
      <w:r w:rsidRPr="00C77292" w:rsidR="00A67F4A">
        <w:t xml:space="preserve">In de brief van 19 september 2024 werd eveneens de beleidsevaluatie van de BVOV-en TVOV-regelingen aangekondigd (BVOV 2020, 2021, 2022 en TVOV). Omdat deze </w:t>
      </w:r>
      <w:r w:rsidR="00661936">
        <w:t xml:space="preserve">tijdelijke </w:t>
      </w:r>
      <w:r w:rsidRPr="00C77292" w:rsidR="00A67F4A">
        <w:t xml:space="preserve">regelingen nog niet eerder </w:t>
      </w:r>
      <w:r w:rsidR="00661936">
        <w:t xml:space="preserve">konden worden </w:t>
      </w:r>
      <w:r w:rsidRPr="00C77292" w:rsidR="00A67F4A">
        <w:t xml:space="preserve">geëvalueerd, is de beleidsevaluatie ervan parallel uitgevoerd aan die van beleidsartikel 16. De resultaten ervan hebben ook betrekking op het beleidsveld </w:t>
      </w:r>
      <w:r w:rsidR="00142286">
        <w:t>openbaar vervoer en spoor</w:t>
      </w:r>
      <w:r w:rsidRPr="00C77292" w:rsidR="00A67F4A">
        <w:t xml:space="preserve"> van beleidsartikel 16. </w:t>
      </w:r>
    </w:p>
    <w:p w:rsidR="00AF12C5" w:rsidP="00A67F4A" w:rsidRDefault="00AF12C5" w14:paraId="2134A609" w14:textId="77777777"/>
    <w:p w:rsidRPr="00C77292" w:rsidR="00A67F4A" w:rsidP="00A67F4A" w:rsidRDefault="00A67F4A" w14:paraId="59072415" w14:textId="4230D5F7">
      <w:r w:rsidRPr="00C77292">
        <w:t>Tot slot wordt in deze brief gereageerd op motie 31305-357.</w:t>
      </w:r>
    </w:p>
    <w:p w:rsidR="00A67F4A" w:rsidP="00C12638" w:rsidRDefault="00A67F4A" w14:paraId="4CA3FBF3" w14:textId="77777777">
      <w:pPr>
        <w:rPr>
          <w:b/>
          <w:bCs/>
        </w:rPr>
      </w:pPr>
    </w:p>
    <w:p w:rsidR="0003434A" w:rsidP="00C12638" w:rsidRDefault="00942892" w14:paraId="6CFB2D97" w14:textId="692F57B9">
      <w:r w:rsidRPr="00942892">
        <w:rPr>
          <w:b/>
          <w:bCs/>
        </w:rPr>
        <w:t>Periodieke rapportage</w:t>
      </w:r>
      <w:r w:rsidR="00661936">
        <w:rPr>
          <w:b/>
          <w:bCs/>
        </w:rPr>
        <w:t xml:space="preserve"> 2018-2023</w:t>
      </w:r>
      <w:r>
        <w:br/>
      </w:r>
      <w:r w:rsidR="00052290">
        <w:t xml:space="preserve">De periode 2018-2023 is bijzonder vanwege de COVID-pandemie van 2020-2023. Dat werkt ook door in het beleid en </w:t>
      </w:r>
      <w:r w:rsidR="00C536C1">
        <w:t xml:space="preserve">het </w:t>
      </w:r>
      <w:r w:rsidR="00052290">
        <w:t>kunnen realiseren van beleidsdoelstellingen in een deel van de periode. Desondanks wordt in het onderzoeksrapport geconcludeerd dat h</w:t>
      </w:r>
      <w:r w:rsidRPr="009A3EC6" w:rsidR="00052290">
        <w:t xml:space="preserve">et </w:t>
      </w:r>
      <w:r w:rsidR="00052290">
        <w:t xml:space="preserve">in de periode 2018-2023 </w:t>
      </w:r>
      <w:r w:rsidRPr="009A3EC6" w:rsidR="00052290">
        <w:t xml:space="preserve">gevoerde beleid </w:t>
      </w:r>
      <w:r w:rsidR="00052290">
        <w:t>in algemene zin bij</w:t>
      </w:r>
      <w:r w:rsidRPr="009A3EC6" w:rsidR="00052290">
        <w:t xml:space="preserve">draagt </w:t>
      </w:r>
      <w:r w:rsidR="00052290">
        <w:t>a</w:t>
      </w:r>
      <w:r w:rsidRPr="009A3EC6" w:rsidR="00052290">
        <w:t>an de doelstelling van een veilig, betrouwbaar en aantrekkelijk spoor- en ov-systeem.</w:t>
      </w:r>
      <w:r w:rsidRPr="009A3EC6" w:rsidR="009A3EC6">
        <w:t xml:space="preserve"> </w:t>
      </w:r>
      <w:r w:rsidR="00BF4853">
        <w:t>Over de</w:t>
      </w:r>
      <w:r w:rsidRPr="009A3EC6" w:rsidR="009A3EC6">
        <w:t xml:space="preserve"> doeltreffendheid </w:t>
      </w:r>
      <w:r w:rsidR="00BF4853">
        <w:t>wordt o</w:t>
      </w:r>
      <w:r w:rsidRPr="009A3EC6" w:rsidR="009A3EC6">
        <w:t>verwegend positief</w:t>
      </w:r>
      <w:r w:rsidR="00BF4853">
        <w:t xml:space="preserve"> geoordeeld</w:t>
      </w:r>
      <w:r w:rsidRPr="009A3EC6" w:rsidR="009A3EC6">
        <w:t xml:space="preserve"> bij </w:t>
      </w:r>
      <w:r w:rsidR="009A3EC6">
        <w:t xml:space="preserve">thema’s als </w:t>
      </w:r>
      <w:r w:rsidRPr="009A3EC6" w:rsidR="009A3EC6">
        <w:t>onderhoud, capaciteitsverdeling</w:t>
      </w:r>
      <w:r w:rsidR="00C12638">
        <w:t>,</w:t>
      </w:r>
      <w:r w:rsidRPr="009A3EC6" w:rsidR="009A3EC6">
        <w:t xml:space="preserve"> concessieverlening, regionaal openbaar vervoer, de OV-keten en spoorveiligheid. </w:t>
      </w:r>
      <w:r w:rsidR="009A3EC6">
        <w:lastRenderedPageBreak/>
        <w:t>Een andere conclusie in het rapport is dat b</w:t>
      </w:r>
      <w:r w:rsidRPr="009A3EC6" w:rsidR="009A3EC6">
        <w:t>ij complexe en langlopende projecten zoals ERTMS, PHS, HSL-Zuid en grote aanlegprojecten de voortgang of batenrealisatie minder eenduidig</w:t>
      </w:r>
      <w:r w:rsidR="00142286">
        <w:t xml:space="preserve"> is</w:t>
      </w:r>
      <w:r w:rsidRPr="009A3EC6" w:rsidR="009A3EC6">
        <w:t xml:space="preserve">, mede door externe factoren en lange doorlooptijden. </w:t>
      </w:r>
      <w:r w:rsidR="009A3EC6">
        <w:br/>
      </w:r>
    </w:p>
    <w:p w:rsidR="0003434A" w:rsidP="00C12638" w:rsidRDefault="009A3EC6" w14:paraId="505F5C5B" w14:textId="7CE1929F">
      <w:r>
        <w:t>Ten aanzien van doelmatigheid wordt geconcludeerd dat die</w:t>
      </w:r>
      <w:r w:rsidRPr="009A3EC6">
        <w:t xml:space="preserve"> niet altijd</w:t>
      </w:r>
      <w:r>
        <w:t xml:space="preserve"> kan</w:t>
      </w:r>
      <w:r w:rsidRPr="009A3EC6">
        <w:t xml:space="preserve"> worden vastgesteld</w:t>
      </w:r>
      <w:r>
        <w:t xml:space="preserve">. Dit komt </w:t>
      </w:r>
      <w:r w:rsidRPr="009A3EC6">
        <w:t xml:space="preserve">onder meer door decentrale verantwoordelijkheden of </w:t>
      </w:r>
      <w:r>
        <w:t>(lang)</w:t>
      </w:r>
      <w:r w:rsidRPr="009A3EC6">
        <w:t>lopende projecten</w:t>
      </w:r>
      <w:r w:rsidR="00C12638">
        <w:t>, maar ook omdat de doelmatigheid vanwege complexiteit of samenhang met andere factoren lastig kan worden bepaald</w:t>
      </w:r>
      <w:r w:rsidRPr="009A3EC6">
        <w:t>. Waar</w:t>
      </w:r>
      <w:r>
        <w:t xml:space="preserve"> concrete </w:t>
      </w:r>
      <w:r w:rsidRPr="009A3EC6">
        <w:t>prestatie</w:t>
      </w:r>
      <w:r w:rsidR="00142286">
        <w:t>-</w:t>
      </w:r>
      <w:r w:rsidRPr="009A3EC6">
        <w:t>indicatoren beschikbaar waren (bijvoorbeeld bij concessies aan ProRail, NS en Waddenveren), werd de doelmatigheid</w:t>
      </w:r>
      <w:r>
        <w:t xml:space="preserve"> door de onderzoekers</w:t>
      </w:r>
      <w:r w:rsidRPr="009A3EC6">
        <w:t xml:space="preserve"> overwegend positief beoordeeld.</w:t>
      </w:r>
      <w:r w:rsidR="00C12638">
        <w:t xml:space="preserve"> </w:t>
      </w:r>
      <w:r w:rsidR="00C12638">
        <w:br/>
      </w:r>
    </w:p>
    <w:p w:rsidR="00494C26" w:rsidP="00F27C28" w:rsidRDefault="0003434A" w14:paraId="291F8739" w14:textId="1D2AD80F">
      <w:r>
        <w:t>In het eindrapport wordt genoemd dat één</w:t>
      </w:r>
      <w:r w:rsidR="00C12638">
        <w:t xml:space="preserve"> van de oorzaken van het lastig vaststellen van de doelmatigheid samen</w:t>
      </w:r>
      <w:r>
        <w:t>hangt</w:t>
      </w:r>
      <w:r w:rsidR="00C12638">
        <w:t xml:space="preserve"> met het gegeven dat het OV- en spoorbeleid </w:t>
      </w:r>
      <w:r>
        <w:t>een grote diversiteit aan</w:t>
      </w:r>
      <w:r w:rsidR="00C12638">
        <w:t xml:space="preserve"> doelen omvat (veiligheid, betrouwbaarheid, bereikbaarheid, duurzaamheid, sociale inclusie), met daarbij weer verschillende instrumenten (concessies, subsidies, wetgeving, programma’s)</w:t>
      </w:r>
      <w:r w:rsidR="00896ADC">
        <w:t xml:space="preserve"> op verschillende overheidsniveaus</w:t>
      </w:r>
      <w:r w:rsidR="00C12638">
        <w:t xml:space="preserve">. Hoewel deze breedte past bij de beleidstheorie, vraagt </w:t>
      </w:r>
      <w:r w:rsidR="00896ADC">
        <w:t>het ook</w:t>
      </w:r>
      <w:r w:rsidR="00C12638">
        <w:t xml:space="preserve"> om voortdurende aandacht voor integrale beleidsvorming en onderlinge afstemming. </w:t>
      </w:r>
      <w:r w:rsidR="00896ADC">
        <w:t xml:space="preserve">Dit is </w:t>
      </w:r>
      <w:r>
        <w:t xml:space="preserve">ook </w:t>
      </w:r>
      <w:r w:rsidR="00896ADC">
        <w:t xml:space="preserve">een aandachtspunt </w:t>
      </w:r>
      <w:r>
        <w:t xml:space="preserve">dat </w:t>
      </w:r>
      <w:r w:rsidR="00896ADC">
        <w:t xml:space="preserve">verschillende keren wordt genoemd </w:t>
      </w:r>
      <w:r>
        <w:t xml:space="preserve">door stakeholders </w:t>
      </w:r>
      <w:r w:rsidR="00896ADC">
        <w:t>in de reacties uit het werkveld.</w:t>
      </w:r>
      <w:r w:rsidR="00320C31">
        <w:t xml:space="preserve"> Mijn ministerie probeert dit zoveel mogelijk te ondervangen door periodiek overleg met NS en Pro</w:t>
      </w:r>
      <w:r w:rsidR="00AF12C5">
        <w:t>R</w:t>
      </w:r>
      <w:r w:rsidR="00320C31">
        <w:t>ail, maar ook met andere stakeholders in het Nationaal OV Beraad, de OV- en Spoortafels</w:t>
      </w:r>
      <w:r w:rsidR="003E68D7">
        <w:t>, de Spoorgoederentafel</w:t>
      </w:r>
      <w:r w:rsidR="00320C31">
        <w:t xml:space="preserve"> en de bestuurlijk overleggen in het kader van het Meerjarenprogramma Infrastructuur Ruimte en Transport (MIRT).</w:t>
      </w:r>
      <w:r w:rsidR="00AF4822">
        <w:t xml:space="preserve"> </w:t>
      </w:r>
      <w:r w:rsidRPr="003E68D7" w:rsidR="003E68D7">
        <w:t xml:space="preserve">In het recente Toekomstbeeld Spoorgoederenvervoer 2050 is aangekondigd dat ik wil gaan kijken hoe de governance op het spoorgoederenvervoer verbeterd kan worden en dat ik daarbij ook zal kijken naar de bestaande overleggen, waaronder de Spoorgoederentafel.  </w:t>
      </w:r>
      <w:r w:rsidR="00AF4822">
        <w:t xml:space="preserve">Voor de complexe projecten ERTMS, PHS en HSL zijn specifieke overleggremia ingericht met uitvoeringspartijen en stakeholders. </w:t>
      </w:r>
      <w:r w:rsidR="00F27C28">
        <w:br/>
      </w:r>
      <w:r w:rsidR="00F27C28">
        <w:br/>
        <w:t>Volgens de onderzoekers is de uitvoering sterk afhankelijk van samenwerking tussen IenW, ProRail, NS, decentrale overheden en vervoerders. Over het algemeen functioneren de huidige governancestructuren en overlegtafels goed en dragen zij bij aan beleidsdoelen. Bij complexe projecten (zoals ERTMS en grote aanlegprojecten) is verbetering mogelijk op het gebied van rolverdeling, tijdige afstemming en benutting van expertise.</w:t>
      </w:r>
      <w:r w:rsidR="00320C31">
        <w:t xml:space="preserve"> </w:t>
      </w:r>
      <w:r w:rsidRPr="000D5D69" w:rsidR="00B7400F">
        <w:t>I</w:t>
      </w:r>
      <w:r w:rsidRPr="000D5D69" w:rsidR="00320C31">
        <w:t>k ben me daarvan</w:t>
      </w:r>
      <w:r w:rsidR="00320C31">
        <w:t xml:space="preserve"> bewust. Het ministerie van IenW is daarom voortdurend in overleg met stakeholders</w:t>
      </w:r>
      <w:r w:rsidR="00996053">
        <w:t>. Er vind</w:t>
      </w:r>
      <w:r w:rsidR="00047E0D">
        <w:t xml:space="preserve">t o.a. voor PHS en ERTMS door ProRail halfjaarlijkse </w:t>
      </w:r>
      <w:r w:rsidR="00996053">
        <w:t>monitoring plaats</w:t>
      </w:r>
      <w:r w:rsidR="00320C31">
        <w:t xml:space="preserve"> op deze trajecten</w:t>
      </w:r>
      <w:r w:rsidR="00C57309">
        <w:t xml:space="preserve"> in het kader van de Regeling Grote Projecten</w:t>
      </w:r>
      <w:r w:rsidR="00996053">
        <w:t xml:space="preserve">, zodat kan worden bijgestuurd wanneer dat nodig is. Er wordt onder andere gekeken naar </w:t>
      </w:r>
      <w:r w:rsidR="00320C31">
        <w:t>de risico’s die zich kunnen voordoen en de mogelijke beheermaatregelen om deze risico’s te mitigeren.</w:t>
      </w:r>
      <w:r w:rsidR="000D5D69">
        <w:t xml:space="preserve"> </w:t>
      </w:r>
      <w:r w:rsidR="00AF4822">
        <w:t xml:space="preserve">Specifiek voor ERTMS is mede naar aanleiding van de internationale </w:t>
      </w:r>
      <w:r w:rsidRPr="000D5D69" w:rsidR="00AF4822">
        <w:rPr>
          <w:i/>
          <w:iCs/>
        </w:rPr>
        <w:t>second opinion</w:t>
      </w:r>
      <w:r w:rsidR="00AF4822">
        <w:t xml:space="preserve"> uit 202</w:t>
      </w:r>
      <w:r w:rsidR="00DF2C10">
        <w:t>3 de werkwijze doorontwikkeld. Er is meer regie bij de programmadirectie gelegd om vanuit tijdige afstemming en expertise te kunnen bijsturen op ontwikkelingen. Dit gebeurt in nauwe afstemming tussen de verschillende sectorpartijen. Ook is de programmadirectie specifiek ingericht om het verschil tussen uitvoering en toekomstige doorontwikkeling te ondervang</w:t>
      </w:r>
      <w:r w:rsidR="00142286">
        <w:t>en</w:t>
      </w:r>
      <w:r w:rsidR="00DF2C10">
        <w:t>, waarmee scopebeheersing en wendbaarheid worden vergroot. Hierover is uw Kamer bij de verschillende voortgangsrapportages geïnformeerd</w:t>
      </w:r>
      <w:r w:rsidR="00373095">
        <w:rPr>
          <w:rStyle w:val="FootnoteReference"/>
        </w:rPr>
        <w:footnoteReference w:id="3"/>
      </w:r>
      <w:r w:rsidR="00373095">
        <w:t>.</w:t>
      </w:r>
      <w:r w:rsidR="00DF2C10">
        <w:t xml:space="preserve"> </w:t>
      </w:r>
    </w:p>
    <w:p w:rsidR="00C36666" w:rsidRDefault="00C36666" w14:paraId="00F9CB18" w14:textId="77777777">
      <w:pPr>
        <w:pStyle w:val="WitregelW1bodytekst"/>
      </w:pPr>
    </w:p>
    <w:p w:rsidR="00DD3902" w:rsidP="00C36666" w:rsidRDefault="00C36666" w14:paraId="6A386098" w14:textId="2356FF93">
      <w:pPr>
        <w:pStyle w:val="WitregelW1bodytekst"/>
      </w:pPr>
      <w:r>
        <w:t xml:space="preserve">In het rapport wordt geconcludeerd dat </w:t>
      </w:r>
      <w:r w:rsidR="003D6378">
        <w:t xml:space="preserve">bij </w:t>
      </w:r>
      <w:r>
        <w:t xml:space="preserve">thema’s zoals onderhoud en concessieverlening </w:t>
      </w:r>
      <w:r w:rsidR="003D6378">
        <w:t xml:space="preserve">de </w:t>
      </w:r>
      <w:r>
        <w:t xml:space="preserve">doelen en prestaties goed meetbaar </w:t>
      </w:r>
      <w:r w:rsidR="003D6378">
        <w:t xml:space="preserve">zijn </w:t>
      </w:r>
      <w:r>
        <w:t>en</w:t>
      </w:r>
      <w:r w:rsidR="003D6378">
        <w:t xml:space="preserve"> worden</w:t>
      </w:r>
      <w:r>
        <w:t xml:space="preserve"> gemonitord. Bij langlopende en innovatieve programma’s (zoals ERTMS en PHS) is verdere concretisering en periodieke herijking van indicatoren echter wenselijk om systematische evaluatie en bijsturing te versterken. </w:t>
      </w:r>
      <w:r w:rsidRPr="00C36666">
        <w:t>Ik onderschrijf het belang van een zorgvuldige verantwoording en navolgbaarheid van het OV</w:t>
      </w:r>
      <w:r w:rsidR="00DD3902">
        <w:t>-</w:t>
      </w:r>
      <w:r w:rsidRPr="00C36666">
        <w:t xml:space="preserve"> en </w:t>
      </w:r>
      <w:r w:rsidR="00DD3902">
        <w:t>s</w:t>
      </w:r>
      <w:r w:rsidRPr="00C36666">
        <w:t>poorbeleid, ten behoeve van de verbetering van de doeltreffendheid en doelmatigheid.</w:t>
      </w:r>
      <w:r w:rsidR="0013424F">
        <w:t xml:space="preserve"> Echter, juist de systematiek van Grote Projecten zorgt dat voor ERTMS en PHS de voortgang voortdurend aan de orde </w:t>
      </w:r>
      <w:r w:rsidR="003D6378">
        <w:t xml:space="preserve">is </w:t>
      </w:r>
      <w:r w:rsidR="0013424F">
        <w:t xml:space="preserve">en wordt de koppeling met concrete mijlpalen gemaakt. Deze langjarige projecten bereiken pas na tien of vijftien jaar hun doelen, maar tussenmijlpalen en prognoses zorgen voor systematische evaluatie en waar nodig bijsturing. De </w:t>
      </w:r>
      <w:r w:rsidR="0013424F">
        <w:rPr>
          <w:i/>
          <w:iCs/>
        </w:rPr>
        <w:t xml:space="preserve">second opinion </w:t>
      </w:r>
      <w:r w:rsidR="0013424F">
        <w:t>uit 2023 bij ERTMS laten zien dat deze instrumenten binnen IenW ook worden benut</w:t>
      </w:r>
      <w:r w:rsidR="00373095">
        <w:rPr>
          <w:rStyle w:val="FootnoteReference"/>
        </w:rPr>
        <w:footnoteReference w:id="4"/>
      </w:r>
      <w:r w:rsidR="0013424F">
        <w:t>.</w:t>
      </w:r>
      <w:r w:rsidR="00DD3902">
        <w:t xml:space="preserve"> </w:t>
      </w:r>
    </w:p>
    <w:p w:rsidR="00494C26" w:rsidP="00C36666" w:rsidRDefault="00C36666" w14:paraId="399360C9" w14:textId="0FAF6CA7">
      <w:pPr>
        <w:pStyle w:val="WitregelW1bodytekst"/>
        <w:rPr>
          <w:i/>
          <w:iCs/>
        </w:rPr>
      </w:pPr>
      <w:r>
        <w:br/>
      </w:r>
      <w:r w:rsidRPr="00C36666">
        <w:rPr>
          <w:b/>
          <w:bCs/>
        </w:rPr>
        <w:t>Reacties op de aanbevelingen</w:t>
      </w:r>
      <w:r>
        <w:rPr>
          <w:b/>
          <w:bCs/>
        </w:rPr>
        <w:br/>
      </w:r>
      <w:bookmarkStart w:name="_Hlk224634192" w:id="2"/>
      <w:r w:rsidR="00790AE4">
        <w:rPr>
          <w:i/>
          <w:iCs/>
        </w:rPr>
        <w:t>“</w:t>
      </w:r>
      <w:r w:rsidRPr="00790AE4" w:rsidR="00790AE4">
        <w:rPr>
          <w:i/>
          <w:iCs/>
        </w:rPr>
        <w:t>Herijk</w:t>
      </w:r>
      <w:r w:rsidR="00D81F06">
        <w:rPr>
          <w:i/>
          <w:iCs/>
        </w:rPr>
        <w:t>en</w:t>
      </w:r>
      <w:r w:rsidRPr="00790AE4" w:rsidR="00790AE4">
        <w:rPr>
          <w:i/>
          <w:iCs/>
        </w:rPr>
        <w:t xml:space="preserve"> en concretise</w:t>
      </w:r>
      <w:r w:rsidR="00D81F06">
        <w:rPr>
          <w:i/>
          <w:iCs/>
        </w:rPr>
        <w:t xml:space="preserve">ren van </w:t>
      </w:r>
      <w:r w:rsidRPr="00790AE4" w:rsidR="00790AE4">
        <w:rPr>
          <w:i/>
          <w:iCs/>
        </w:rPr>
        <w:t>beleidsdoelen en indicatoren</w:t>
      </w:r>
      <w:r w:rsidR="00790AE4">
        <w:rPr>
          <w:i/>
          <w:iCs/>
        </w:rPr>
        <w:t>”</w:t>
      </w:r>
    </w:p>
    <w:p w:rsidR="00790AE4" w:rsidP="00790AE4" w:rsidRDefault="00790AE4" w14:paraId="2858F7BC" w14:textId="77777777"/>
    <w:p w:rsidR="00E67A27" w:rsidP="00790AE4" w:rsidRDefault="00790AE4" w14:paraId="7764358E" w14:textId="7287EF47">
      <w:r>
        <w:t>Dit is een herkenbare aanbeveling die aansluit</w:t>
      </w:r>
      <w:r w:rsidRPr="00790AE4">
        <w:t xml:space="preserve"> bij eerdere evaluaties. Ik vind het van belang om de resultaten van beleid goed meetbaar en vergelijkbaar te kunnen maken. </w:t>
      </w:r>
      <w:r>
        <w:t xml:space="preserve">In 2025 </w:t>
      </w:r>
      <w:r w:rsidR="00E44F93">
        <w:t xml:space="preserve">zijn de beleidsdoelen in de </w:t>
      </w:r>
      <w:r w:rsidR="000D64BE">
        <w:t xml:space="preserve">begroting van IenW </w:t>
      </w:r>
      <w:r w:rsidR="00E44F93">
        <w:t xml:space="preserve">voor 2026 aangepast en is een </w:t>
      </w:r>
      <w:r>
        <w:t xml:space="preserve">doelenboom </w:t>
      </w:r>
      <w:r w:rsidR="00E44F93">
        <w:t xml:space="preserve">opgenomen </w:t>
      </w:r>
      <w:r w:rsidR="001F2858">
        <w:t>en daar waar mogelijk nader geconcretiseerd met meetbare indicatoren.</w:t>
      </w:r>
      <w:r w:rsidR="00AB1D6E">
        <w:t xml:space="preserve"> </w:t>
      </w:r>
      <w:r w:rsidR="000D64BE">
        <w:t>Daarbij heb ik ook aangegeven dat de doelenboom en beleidsinformatie nog in ontwikkeling zijn, omdat de periodieke evaluatie</w:t>
      </w:r>
      <w:r w:rsidR="00F40060">
        <w:t xml:space="preserve"> op dat moment plaatsvond en ik de uitkomsten uit dit traject bij een vervolgstap wil betrekken</w:t>
      </w:r>
      <w:r w:rsidR="000D64BE">
        <w:t xml:space="preserve">. </w:t>
      </w:r>
      <w:r w:rsidR="008D338B">
        <w:t>De</w:t>
      </w:r>
      <w:r w:rsidR="000D64BE">
        <w:t xml:space="preserve"> uitkomsten van de periodieke evaluatie </w:t>
      </w:r>
      <w:r w:rsidR="008D338B">
        <w:t xml:space="preserve">zijn voor mij </w:t>
      </w:r>
      <w:r w:rsidR="00F40060">
        <w:t xml:space="preserve">een </w:t>
      </w:r>
      <w:r w:rsidR="000D64BE">
        <w:t xml:space="preserve">verdere aanmoediging om aan de slag te gaan met een nadere concretisering van de beleidsdoelen en </w:t>
      </w:r>
      <w:r w:rsidR="008D338B">
        <w:t>een koppeling</w:t>
      </w:r>
      <w:r w:rsidR="000D64BE">
        <w:t xml:space="preserve"> aan key performance indicators (KPI</w:t>
      </w:r>
      <w:r w:rsidR="00DF237F">
        <w:t>’</w:t>
      </w:r>
      <w:r w:rsidR="000D64BE">
        <w:t xml:space="preserve">s). </w:t>
      </w:r>
      <w:bookmarkStart w:name="_Hlk234331321" w:id="3"/>
      <w:r w:rsidR="000D64BE">
        <w:t xml:space="preserve">Bij de Ontwerpbegroting 2028 </w:t>
      </w:r>
      <w:r w:rsidR="00E67A27">
        <w:t xml:space="preserve">werk </w:t>
      </w:r>
      <w:r w:rsidR="000D64BE">
        <w:t>ik</w:t>
      </w:r>
      <w:r w:rsidR="00F40060">
        <w:t xml:space="preserve"> daarom</w:t>
      </w:r>
      <w:r w:rsidR="000D64BE">
        <w:t xml:space="preserve"> </w:t>
      </w:r>
      <w:r w:rsidR="00F40060">
        <w:t>de doelenboom en bijbehorende meetbare gegevens op specifieke beleidsthema’s verder uit</w:t>
      </w:r>
      <w:r w:rsidR="00AF12C5">
        <w:t>.</w:t>
      </w:r>
    </w:p>
    <w:bookmarkEnd w:id="3"/>
    <w:p w:rsidR="00AF12C5" w:rsidP="00790AE4" w:rsidRDefault="00AF12C5" w14:paraId="0E56E451" w14:textId="77777777"/>
    <w:p w:rsidR="00790AE4" w:rsidP="00790AE4" w:rsidRDefault="000D64BE" w14:paraId="3257ACD0" w14:textId="43BE5233">
      <w:r>
        <w:t>Tegelijkertijd kan deze</w:t>
      </w:r>
      <w:r w:rsidR="00AB1D6E">
        <w:t xml:space="preserve"> concretiseringsslag</w:t>
      </w:r>
      <w:r>
        <w:t xml:space="preserve"> </w:t>
      </w:r>
      <w:r w:rsidR="00AB1D6E">
        <w:t>in het brede OV en Spoordomein echter niet op alle (sub)doelstellin</w:t>
      </w:r>
      <w:r w:rsidR="00E44F93">
        <w:t>g</w:t>
      </w:r>
      <w:r w:rsidR="00AB1D6E">
        <w:t>e</w:t>
      </w:r>
      <w:r w:rsidR="00E44F93">
        <w:t>n</w:t>
      </w:r>
      <w:r w:rsidR="00AB1D6E">
        <w:t xml:space="preserve"> worden doorgevoerd.</w:t>
      </w:r>
      <w:r w:rsidRPr="00790AE4" w:rsidR="00790AE4">
        <w:t xml:space="preserve"> </w:t>
      </w:r>
      <w:r w:rsidR="00790AE4">
        <w:t>Voor sommige (sub)doelen</w:t>
      </w:r>
      <w:r w:rsidR="00D81F06">
        <w:t xml:space="preserve"> binnen de aan OV en Spoor gerelateerde artikelen</w:t>
      </w:r>
      <w:r w:rsidR="00790AE4">
        <w:t xml:space="preserve"> is het complex om concrete indicatoren te formuleren, omdat het beleid en de bijbehorende (financiële) inzet van IenW onderdeel uitmaakt van een groter integraal geheel. </w:t>
      </w:r>
      <w:r w:rsidR="00D81F06">
        <w:t xml:space="preserve">IenW levert bijvoorbeeld </w:t>
      </w:r>
      <w:r w:rsidR="00790AE4">
        <w:t>een</w:t>
      </w:r>
      <w:r w:rsidR="00D81F06">
        <w:t xml:space="preserve"> bijdrage aan een </w:t>
      </w:r>
      <w:r w:rsidR="00790AE4">
        <w:t xml:space="preserve">toegankelijk OV via subsidies aan Prorail en NS, maar voor het uiteindelijke doelbereik </w:t>
      </w:r>
      <w:r w:rsidR="00E44F93">
        <w:t xml:space="preserve">“een toegankelijk OV” </w:t>
      </w:r>
      <w:r w:rsidR="00790AE4">
        <w:t>is óók (financiële) inzet van andere overheden en vervoerders nodig. Datzelfde geldt</w:t>
      </w:r>
      <w:r w:rsidR="00D81F06">
        <w:t xml:space="preserve"> bijvoorbeeld</w:t>
      </w:r>
      <w:r w:rsidR="00790AE4">
        <w:t xml:space="preserve"> </w:t>
      </w:r>
      <w:r w:rsidR="00E44F93">
        <w:t xml:space="preserve">ook </w:t>
      </w:r>
      <w:r w:rsidR="00790AE4">
        <w:t>voor</w:t>
      </w:r>
      <w:r w:rsidR="00E44F93">
        <w:t xml:space="preserve"> de (sub)doelstellingen</w:t>
      </w:r>
      <w:r w:rsidR="00790AE4">
        <w:t xml:space="preserve"> sociale veiligheid in het OV</w:t>
      </w:r>
      <w:r w:rsidR="00D81F06">
        <w:t xml:space="preserve"> of de modal shift van goederenvervoer van weg naar spoor</w:t>
      </w:r>
      <w:r w:rsidR="00790AE4">
        <w:t xml:space="preserve">; IenW kan </w:t>
      </w:r>
      <w:r w:rsidR="00E44F93">
        <w:t>bij het behalen van deze doelstellingen</w:t>
      </w:r>
      <w:r w:rsidR="00D81F06">
        <w:t xml:space="preserve"> </w:t>
      </w:r>
      <w:r w:rsidR="00790AE4">
        <w:t xml:space="preserve">een bijdrage </w:t>
      </w:r>
      <w:r w:rsidR="00D81F06">
        <w:t>l</w:t>
      </w:r>
      <w:r w:rsidR="00790AE4">
        <w:t>everen, maar is daarbij afhankelijk van andere factoren en stakeholders waar het geen directe invloed op heeft.</w:t>
      </w:r>
      <w:r w:rsidR="00D81F06">
        <w:t xml:space="preserve"> </w:t>
      </w:r>
      <w:r w:rsidR="00E92E41">
        <w:t xml:space="preserve">Dit gegeven maakt het </w:t>
      </w:r>
      <w:r w:rsidR="00BB009C">
        <w:t xml:space="preserve">niet eenvoudig </w:t>
      </w:r>
      <w:r w:rsidR="008E6764">
        <w:t xml:space="preserve">om bij alle beleidsdoelen </w:t>
      </w:r>
      <w:r w:rsidR="00D81F06">
        <w:t>concrete indicatoren te formuleren</w:t>
      </w:r>
      <w:r w:rsidR="008E6764">
        <w:t>.</w:t>
      </w:r>
      <w:r w:rsidRPr="007C1EB4" w:rsidR="007C1EB4">
        <w:t xml:space="preserve"> Binnen de concessies zijn afspraken gemaakt over tussentijdse evaluaties, daarbij wordt specifiek ook gekeken naar prestatie-indicatoren. </w:t>
      </w:r>
      <w:r w:rsidRPr="003E68D7" w:rsidR="003E68D7">
        <w:t>In het Toekomstbeeld Spoorgoederenvervoer proberen we dit op te lossen door in te zoomen op factoren die de modaliteitskeuze bepalen en waar we wel invloed op hebben</w:t>
      </w:r>
      <w:r w:rsidR="003E68D7">
        <w:t xml:space="preserve">: </w:t>
      </w:r>
      <w:r w:rsidRPr="003E68D7" w:rsidR="003E68D7">
        <w:t xml:space="preserve">betaalbaarheid van het spoorproduct, betrouwbaarheid en beschikbaarheid van het spoor. </w:t>
      </w:r>
      <w:r w:rsidR="003E68D7">
        <w:t xml:space="preserve">De vervolgstap is om </w:t>
      </w:r>
      <w:r w:rsidR="00BA1FDD">
        <w:t xml:space="preserve">bij de Ontwerpbegroting 2028 </w:t>
      </w:r>
      <w:r w:rsidR="003E68D7">
        <w:t>te kijken naar passende indicatoren</w:t>
      </w:r>
      <w:r w:rsidR="00BA1FDD">
        <w:t>.</w:t>
      </w:r>
      <w:r w:rsidR="003E68D7">
        <w:t xml:space="preserve"> H</w:t>
      </w:r>
      <w:r w:rsidR="00E44F93">
        <w:t xml:space="preserve">et herijken en concretiseren van beleidsdoelen en indicatoren </w:t>
      </w:r>
      <w:r w:rsidR="003E68D7">
        <w:t xml:space="preserve">is </w:t>
      </w:r>
      <w:r w:rsidR="00E44F93">
        <w:t>wat mij betreft een continu proces.</w:t>
      </w:r>
    </w:p>
    <w:bookmarkEnd w:id="2"/>
    <w:p w:rsidR="001F2858" w:rsidP="00790AE4" w:rsidRDefault="001F2858" w14:paraId="32747DB2" w14:textId="77777777"/>
    <w:p w:rsidR="00D81F06" w:rsidP="00790AE4" w:rsidRDefault="00D81F06" w14:paraId="5EAAE9A1" w14:textId="288B06E1">
      <w:pPr>
        <w:rPr>
          <w:i/>
          <w:iCs/>
        </w:rPr>
      </w:pPr>
      <w:r w:rsidRPr="00D81F06">
        <w:rPr>
          <w:i/>
          <w:iCs/>
        </w:rPr>
        <w:t>“Versterken van samenhang tussen beleidsinstrumenten”</w:t>
      </w:r>
    </w:p>
    <w:p w:rsidR="00D81F06" w:rsidP="00790AE4" w:rsidRDefault="00D81F06" w14:paraId="54664240" w14:textId="77777777"/>
    <w:p w:rsidR="00770DBF" w:rsidP="00790AE4" w:rsidRDefault="00362E53" w14:paraId="033DB2A2" w14:textId="7649F238">
      <w:r>
        <w:t xml:space="preserve">Deze aanbeveling uit het rapport is gebaseerd op de geluiden uit het werkveld. </w:t>
      </w:r>
      <w:r w:rsidR="00BD4964">
        <w:t xml:space="preserve">De instrumenten en beleidsdoelen </w:t>
      </w:r>
      <w:r w:rsidRPr="00AB1D6E" w:rsidR="00AB1D6E">
        <w:t>vanuit verschillende bestuurslagen sluiten volgens belanghebbenden niet altijd op elkaar aan</w:t>
      </w:r>
      <w:r>
        <w:t>.</w:t>
      </w:r>
      <w:r w:rsidRPr="00AB1D6E" w:rsidR="00AB1D6E">
        <w:t xml:space="preserve"> </w:t>
      </w:r>
      <w:r>
        <w:t>Sommige stakeholders geven ook aan d</w:t>
      </w:r>
      <w:r w:rsidRPr="00AB1D6E" w:rsidR="00AB1D6E">
        <w:t>at verschillende beleidsinstrumenten op zichzelf passend lijken, maar in de praktijk leid</w:t>
      </w:r>
      <w:r w:rsidR="00150EC3">
        <w:t>en</w:t>
      </w:r>
      <w:r w:rsidRPr="00AB1D6E" w:rsidR="00AB1D6E">
        <w:t xml:space="preserve"> tot een aanpak waarbij de samenhang onduidelijk is. </w:t>
      </w:r>
      <w:r w:rsidR="00150EC3">
        <w:t xml:space="preserve">De onderzoekers doen als aanbeveling om per beleidsdoel een instrumentenkaart op te stellen. </w:t>
      </w:r>
      <w:r w:rsidRPr="00150EC3" w:rsidR="00150EC3">
        <w:t xml:space="preserve">Dit kan </w:t>
      </w:r>
      <w:r w:rsidR="00150EC3">
        <w:t xml:space="preserve">volgens hen </w:t>
      </w:r>
      <w:r w:rsidRPr="00150EC3" w:rsidR="00150EC3">
        <w:t>helpen om overlap, inconsistenties en blinde vlekken zichtbaar te maken.</w:t>
      </w:r>
      <w:r w:rsidR="00150EC3">
        <w:t xml:space="preserve"> </w:t>
      </w:r>
      <w:r w:rsidRPr="00641A7C" w:rsidR="00641A7C">
        <w:t xml:space="preserve">Ik hecht veel </w:t>
      </w:r>
      <w:r w:rsidRPr="008A7C3D" w:rsidR="00641A7C">
        <w:t>waar</w:t>
      </w:r>
      <w:r w:rsidRPr="008A7C3D" w:rsidR="00AC39A2">
        <w:t>de</w:t>
      </w:r>
      <w:r w:rsidRPr="00641A7C" w:rsidR="00641A7C">
        <w:t xml:space="preserve"> aan het verbeteren en versterken van samenhang tussen beleidsinstrumenten</w:t>
      </w:r>
      <w:r w:rsidR="00641A7C">
        <w:t xml:space="preserve">. Eén van de doelen van de eerder genoemde </w:t>
      </w:r>
      <w:r w:rsidRPr="00641A7C" w:rsidR="00641A7C">
        <w:t xml:space="preserve">MIRT-aanpak is om tot een zo integraal mogelijke </w:t>
      </w:r>
      <w:r w:rsidR="00641A7C">
        <w:t xml:space="preserve">plan- en beleidsvorming </w:t>
      </w:r>
      <w:r w:rsidRPr="00641A7C" w:rsidR="00641A7C">
        <w:t>te komen, maar ook voor andere beleidsdoelen wordt in veel gevallen programmatisch gewerkt om de samenhang tussen de verschillende opgaven te bewaken. Datzelfde geldt voor de afspraken in zowel de HRN</w:t>
      </w:r>
      <w:r w:rsidR="00306941">
        <w:t xml:space="preserve">-concessie van de NS </w:t>
      </w:r>
      <w:r w:rsidRPr="00641A7C" w:rsidR="00641A7C">
        <w:t>als de beheerconcessie</w:t>
      </w:r>
      <w:r w:rsidR="00306941">
        <w:t xml:space="preserve"> van ProRail</w:t>
      </w:r>
      <w:r w:rsidRPr="00641A7C" w:rsidR="00641A7C">
        <w:t>.</w:t>
      </w:r>
      <w:r w:rsidR="00AC39A2">
        <w:t xml:space="preserve"> </w:t>
      </w:r>
      <w:r w:rsidRPr="008A7C3D" w:rsidR="00AC39A2">
        <w:t>Ook in mijn brief over regionale bereikbaarheid die ik op korte termijn naar uw Kamer stuur zal ik stil staan bij het verder versterken van samenhang tussen het beleid en de beleidsinstrumenten van verschillende overheden.</w:t>
      </w:r>
    </w:p>
    <w:p w:rsidR="000A619F" w:rsidP="00790AE4" w:rsidRDefault="003154FE" w14:paraId="0D041EAC" w14:textId="36836C7B">
      <w:r>
        <w:br/>
      </w:r>
      <w:r w:rsidRPr="000A619F" w:rsidR="000A619F">
        <w:rPr>
          <w:i/>
          <w:iCs/>
        </w:rPr>
        <w:t>“Versterken van de regie van IenW”</w:t>
      </w:r>
    </w:p>
    <w:p w:rsidR="000A619F" w:rsidP="00790AE4" w:rsidRDefault="000A619F" w14:paraId="5B29D605" w14:textId="77777777"/>
    <w:p w:rsidR="00945B66" w:rsidP="00BB009C" w:rsidRDefault="000A619F" w14:paraId="3593A4D5" w14:textId="3D66CE2B">
      <w:r>
        <w:t xml:space="preserve">Hoewel de samenwerking en governance in </w:t>
      </w:r>
      <w:r w:rsidR="00AF12C5">
        <w:t xml:space="preserve">de </w:t>
      </w:r>
      <w:r>
        <w:t>periodieke rapportage</w:t>
      </w:r>
      <w:r w:rsidR="00981111">
        <w:t xml:space="preserve"> over het algemeen</w:t>
      </w:r>
      <w:r>
        <w:t xml:space="preserve"> als goed worden beoordeeld, wordt er toch gepleit voor het versterken van de regie.</w:t>
      </w:r>
      <w:r w:rsidR="001A1C35">
        <w:t xml:space="preserve"> Op veel dossiers is het ministerie van IenW voor de doeltreffendheid en doelmatigheid van het beleid afhankelijk van andere partijen. </w:t>
      </w:r>
      <w:r w:rsidR="00BB009C">
        <w:t xml:space="preserve">Het is daarom goed om aandacht te blijven houden voor de samenwerking en governance en deze te verbeteren daar waar nodig. </w:t>
      </w:r>
      <w:r w:rsidR="006921E4">
        <w:t xml:space="preserve">Daarbij moet wel de vraag worden gesteld </w:t>
      </w:r>
      <w:r w:rsidR="00BB009C">
        <w:t xml:space="preserve">of dit dan in alle gevallen betekent dat </w:t>
      </w:r>
      <w:r w:rsidR="006921E4">
        <w:t>versterkte regie van IenW de enige oplossing is.</w:t>
      </w:r>
      <w:r w:rsidR="00BB009C">
        <w:t xml:space="preserve"> Versterking van regie betekent niet per definitie meer centralisatie, maar </w:t>
      </w:r>
      <w:r w:rsidR="006921E4">
        <w:t xml:space="preserve">kan ook vragen om </w:t>
      </w:r>
      <w:r w:rsidR="00BB009C">
        <w:t>duidelijker kaderstelling en consistent optreden.</w:t>
      </w:r>
      <w:r w:rsidR="006921E4">
        <w:t xml:space="preserve"> Of</w:t>
      </w:r>
      <w:r w:rsidR="00BB009C">
        <w:t xml:space="preserve"> om meer rolzuiverheid tussen opdrachtgever en uitvoerder </w:t>
      </w:r>
      <w:r w:rsidR="006921E4">
        <w:t>en</w:t>
      </w:r>
      <w:r w:rsidR="00BB009C">
        <w:t xml:space="preserve"> een transparantere besluitvorming bij afwijkingen.</w:t>
      </w:r>
      <w:r w:rsidR="0013424F">
        <w:t xml:space="preserve"> </w:t>
      </w:r>
      <w:r w:rsidRPr="008A7C3D" w:rsidR="003C4717">
        <w:t>Het moet ook niet leiden tot stapelen van regelgeving. Niet alles kan.</w:t>
      </w:r>
      <w:r w:rsidR="003C4717">
        <w:t xml:space="preserve"> </w:t>
      </w:r>
      <w:r w:rsidR="00B84B5D">
        <w:t>Regie hoeft</w:t>
      </w:r>
      <w:r w:rsidR="00260492">
        <w:t xml:space="preserve"> bovendien</w:t>
      </w:r>
      <w:r w:rsidR="00B84B5D">
        <w:t xml:space="preserve"> ook niet altijd vanuit IenW te komen. </w:t>
      </w:r>
      <w:r w:rsidR="0013424F">
        <w:t xml:space="preserve">Het programma ERTMS werkt bewust met een onafhankelijke programmadirectie tussen de partijen in de spoorsector. Hiermee wordt gezorgd voor regie en afstemming tussen de partijen, zonder centralisatie vanuit IenW. </w:t>
      </w:r>
      <w:r w:rsidR="003C4717">
        <w:t>Zo blijven o</w:t>
      </w:r>
      <w:r w:rsidR="0013424F">
        <w:t xml:space="preserve">perationele kwesties in het domein van de uitvoering en kan IenW vanuit haar rol blijven sturen op doelmatigheid en doeltreffendheid. </w:t>
      </w:r>
      <w:r w:rsidRPr="00AC39A2" w:rsidR="00B84B5D">
        <w:t xml:space="preserve">De rolverdeling is na de genoemde </w:t>
      </w:r>
      <w:r w:rsidRPr="00AC39A2" w:rsidR="00B84B5D">
        <w:rPr>
          <w:i/>
          <w:iCs/>
        </w:rPr>
        <w:t>second opinion</w:t>
      </w:r>
      <w:r w:rsidRPr="00AC39A2" w:rsidR="00B84B5D">
        <w:t xml:space="preserve"> verder versterkt.</w:t>
      </w:r>
      <w:r w:rsidRPr="00AC39A2" w:rsidR="00945B66">
        <w:t xml:space="preserve"> </w:t>
      </w:r>
      <w:r w:rsidRPr="008A7C3D" w:rsidR="00945B66">
        <w:t>Uw Kamer heeft recent het onderzoek van ABD Topconsult ontvangen naar de betaalbaarheid van het OV “</w:t>
      </w:r>
      <w:r w:rsidRPr="008A7C3D" w:rsidR="00F0467C">
        <w:t>Als je niet stuurt, ga je nergens heen</w:t>
      </w:r>
      <w:r w:rsidRPr="008A7C3D" w:rsidR="00945B66">
        <w:t>” ook daarin werd geconstateerd dat de regiefunctie door IenW voor verbetering vatbaar is. Na de zomer komt het kabinet met</w:t>
      </w:r>
      <w:r w:rsidRPr="008A7C3D" w:rsidR="00F0467C">
        <w:t xml:space="preserve"> een</w:t>
      </w:r>
      <w:r w:rsidRPr="008A7C3D" w:rsidR="00945B66">
        <w:t xml:space="preserve"> reactie n.a.v. de conclusies en aanbevelingen van dit rapport.</w:t>
      </w:r>
    </w:p>
    <w:p w:rsidR="000A619F" w:rsidP="00BB009C" w:rsidRDefault="00945B66" w14:paraId="1610A948" w14:textId="754A11A4">
      <w:r>
        <w:t xml:space="preserve"> </w:t>
      </w:r>
      <w:r w:rsidR="001E7C2E">
        <w:br/>
      </w:r>
      <w:r w:rsidRPr="001E7C2E" w:rsidR="001E7C2E">
        <w:rPr>
          <w:i/>
          <w:iCs/>
        </w:rPr>
        <w:t>“Expliciete prioriteringssystematiek”</w:t>
      </w:r>
      <w:r w:rsidR="001E7C2E">
        <w:br/>
      </w:r>
      <w:r w:rsidR="001E7C2E">
        <w:br/>
      </w:r>
      <w:r w:rsidR="004A54FD">
        <w:t>De laatste aanbeveling in het rapport gaat over de schaarste van middelen in relatie tot</w:t>
      </w:r>
      <w:r w:rsidR="00A976E8">
        <w:t xml:space="preserve"> prioritering. Het voorstel is om activiteiten te rangschikken o</w:t>
      </w:r>
      <w:r w:rsidR="000B66F1">
        <w:t>p</w:t>
      </w:r>
      <w:r w:rsidR="00A976E8">
        <w:t xml:space="preserve"> hun bijdrage aan de beleidsdoelen en hun doelmatigheid</w:t>
      </w:r>
      <w:r w:rsidR="009C2450">
        <w:t xml:space="preserve"> en op basis daarvan keuzes te maken om investering wel of niet te doen</w:t>
      </w:r>
      <w:r w:rsidR="00A976E8">
        <w:t>. Hiervoor wordt onder andere verwezen</w:t>
      </w:r>
      <w:r w:rsidR="000B66F1">
        <w:t xml:space="preserve"> de MIRT</w:t>
      </w:r>
      <w:r w:rsidR="008D338B">
        <w:t>-</w:t>
      </w:r>
      <w:r w:rsidR="000B66F1">
        <w:t>systematiek</w:t>
      </w:r>
      <w:r w:rsidR="009C2450">
        <w:t xml:space="preserve">, </w:t>
      </w:r>
      <w:r w:rsidRPr="008E6764" w:rsidR="008E6764">
        <w:t xml:space="preserve">maar ook bij instandhouding is met het in 2024 vastgestelde </w:t>
      </w:r>
      <w:r w:rsidR="008D338B">
        <w:t>basisk</w:t>
      </w:r>
      <w:r w:rsidRPr="008E6764" w:rsidR="008E6764">
        <w:t xml:space="preserve">waliteitsniveau </w:t>
      </w:r>
      <w:r w:rsidR="008D338B">
        <w:t>s</w:t>
      </w:r>
      <w:r w:rsidRPr="008E6764" w:rsidR="008E6764">
        <w:t>poor (BKN) vanaf 2026 sprake van duidelijke prioritering van inzet van middelen voor het behoud van veiligheid, beschikbaarheid en betrouwbaarheid als fundament onder verdere ontwikkeling van het netwerk</w:t>
      </w:r>
      <w:r w:rsidR="00373095">
        <w:rPr>
          <w:rStyle w:val="FootnoteReference"/>
        </w:rPr>
        <w:footnoteReference w:id="5"/>
      </w:r>
      <w:r w:rsidRPr="008E6764" w:rsidR="008E6764">
        <w:t>.</w:t>
      </w:r>
      <w:r w:rsidR="00F8798D">
        <w:t xml:space="preserve"> </w:t>
      </w:r>
      <w:r w:rsidR="009C2450">
        <w:t>D</w:t>
      </w:r>
      <w:r w:rsidR="00B42D41">
        <w:t>e onderzoekers</w:t>
      </w:r>
      <w:r w:rsidR="009C2450">
        <w:t xml:space="preserve"> doen</w:t>
      </w:r>
      <w:r w:rsidR="00B42D41">
        <w:t xml:space="preserve"> het voorstel om eenzelfde methodiek</w:t>
      </w:r>
      <w:r w:rsidR="00373095">
        <w:t xml:space="preserve"> als het MIRT</w:t>
      </w:r>
      <w:r w:rsidR="00B42D41">
        <w:t xml:space="preserve"> toe te passen voor andere begrotingsartikelen en/of begrotingsartikel</w:t>
      </w:r>
      <w:r w:rsidR="008D338B">
        <w:t>-</w:t>
      </w:r>
      <w:r w:rsidR="00B42D41">
        <w:t xml:space="preserve">overstijgende </w:t>
      </w:r>
      <w:r w:rsidR="006921E4">
        <w:t xml:space="preserve">dossiers binnen de bredere thematiek van openbaar vervoer en spoor. </w:t>
      </w:r>
      <w:r w:rsidR="00C57309">
        <w:t>Dat gebeurt al met enige regelmaat met bijvoorbeeld de V</w:t>
      </w:r>
      <w:r w:rsidRPr="00C57309" w:rsidR="00C57309">
        <w:t xml:space="preserve">erkenning </w:t>
      </w:r>
      <w:r w:rsidR="00C57309">
        <w:t>P</w:t>
      </w:r>
      <w:r w:rsidRPr="00C57309" w:rsidR="00C57309">
        <w:t>ubliek</w:t>
      </w:r>
      <w:r w:rsidR="00C57309">
        <w:t>e Mobiliteit</w:t>
      </w:r>
      <w:r w:rsidRPr="00C57309" w:rsidR="00C57309">
        <w:t>, het Bereikbaarheidspeil (waarbij ook naar voorzieningenbeleid wordt gekeken)</w:t>
      </w:r>
      <w:r w:rsidR="00C57309">
        <w:t xml:space="preserve"> en het</w:t>
      </w:r>
      <w:r w:rsidRPr="00C57309" w:rsidR="00C57309">
        <w:t xml:space="preserve"> belang van militaire mobiliteit</w:t>
      </w:r>
      <w:r w:rsidR="00C57309">
        <w:t>.</w:t>
      </w:r>
      <w:r w:rsidRPr="00373095" w:rsidR="00373095">
        <w:t xml:space="preserve"> Tegelijkertijd is deze aanbeveling in de praktijk </w:t>
      </w:r>
      <w:r w:rsidR="00C57309">
        <w:t xml:space="preserve">ook </w:t>
      </w:r>
      <w:r w:rsidRPr="00373095" w:rsidR="00373095">
        <w:t>lastig om goed uit te voeren. Ten eerste omdat het bereiken van beleidsdoelen zoals eerder aangegeven door veel meer factoren beïnvloed wordt dan alleen de inzet van middelen en ten tweede omdat er in het politieke domein verschillende wegingen bestaan van de mate waarin beleid wenselijk is en bijdraagt aan een bepaald beleidsdoel. Het blijft m</w:t>
      </w:r>
      <w:r w:rsidR="00373095">
        <w:t xml:space="preserve">et andere woorden </w:t>
      </w:r>
      <w:r w:rsidRPr="00373095" w:rsidR="00373095">
        <w:t>ook grotendeels een subjectieve weging.</w:t>
      </w:r>
      <w:r w:rsidR="009C2450">
        <w:t xml:space="preserve"> Ik </w:t>
      </w:r>
      <w:r w:rsidR="006921E4">
        <w:t xml:space="preserve">stel </w:t>
      </w:r>
      <w:r w:rsidR="00B7400F">
        <w:t>bovendien</w:t>
      </w:r>
      <w:r w:rsidR="006921E4">
        <w:t xml:space="preserve"> ook vast dat prioritering voor de meeste dossiers geen taak is die IenW </w:t>
      </w:r>
      <w:r w:rsidR="009C2450">
        <w:t xml:space="preserve">zelfstandig zonder afstemming met andere partijen kan </w:t>
      </w:r>
      <w:r w:rsidR="00B7400F">
        <w:t>bepalen</w:t>
      </w:r>
      <w:r w:rsidR="009C2450">
        <w:t xml:space="preserve">. </w:t>
      </w:r>
      <w:r w:rsidR="009C2450">
        <w:br/>
      </w:r>
    </w:p>
    <w:p w:rsidRPr="00625B70" w:rsidR="00E44F93" w:rsidP="00BB009C" w:rsidRDefault="00833491" w14:paraId="24AE8654" w14:textId="0A5F72D3">
      <w:pPr>
        <w:rPr>
          <w:b/>
          <w:bCs/>
        </w:rPr>
      </w:pPr>
      <w:r w:rsidRPr="00625B70">
        <w:rPr>
          <w:b/>
          <w:bCs/>
        </w:rPr>
        <w:t>Reactie op de besparingsvarianten</w:t>
      </w:r>
    </w:p>
    <w:p w:rsidR="009C2450" w:rsidP="00BB009C" w:rsidRDefault="00625B70" w14:paraId="502A9F72" w14:textId="3F25BFA9">
      <w:r w:rsidRPr="00625B70">
        <w:t xml:space="preserve">De voorgestelde </w:t>
      </w:r>
      <w:r>
        <w:t xml:space="preserve">besparingsvarianten maken de dilemma’s inzichtelijk. </w:t>
      </w:r>
      <w:r w:rsidR="002B09F3">
        <w:t>V</w:t>
      </w:r>
      <w:r w:rsidRPr="00625B70">
        <w:t>anwege de samenhang in het systeem heeft een bezuiniging op één aspect vaak ook gevolgen op andere aspecten en zal de reiziger vrijwel altijd de effecten merken.</w:t>
      </w:r>
      <w:r w:rsidR="002B09F3">
        <w:t xml:space="preserve"> </w:t>
      </w:r>
      <w:r w:rsidRPr="002B09F3" w:rsidR="002B09F3">
        <w:t>De besparingsvarianten laten</w:t>
      </w:r>
      <w:r w:rsidR="002B09F3">
        <w:t xml:space="preserve"> bovendien</w:t>
      </w:r>
      <w:r w:rsidRPr="002B09F3" w:rsidR="002B09F3">
        <w:t xml:space="preserve"> zien dat er</w:t>
      </w:r>
      <w:r w:rsidR="002B09F3">
        <w:t xml:space="preserve"> in beginsel</w:t>
      </w:r>
      <w:r w:rsidRPr="002B09F3" w:rsidR="002B09F3">
        <w:t xml:space="preserve"> financiële ruimte kan worden gecreëerd, maar vrijwel uitsluitend </w:t>
      </w:r>
      <w:r w:rsidR="002B09F3">
        <w:t xml:space="preserve">met </w:t>
      </w:r>
      <w:r w:rsidRPr="002B09F3" w:rsidR="002B09F3">
        <w:t>beleidsmatige en maatschappelijke consequenties. Daarmee raken de besparingsopties direct aan de kern van het beleidsdoel: het waarborgen van een toegankelijk, betrouwbaar en toekomstbestendig OV- en spoorsysteem.</w:t>
      </w:r>
      <w:r w:rsidR="002B09F3">
        <w:t xml:space="preserve"> Daarbij komt</w:t>
      </w:r>
      <w:r w:rsidRPr="002B09F3" w:rsidR="002B09F3">
        <w:t xml:space="preserve"> dat veel uitgaven juridisch of bestuurlijk zijn vastgelegd (langlopende concessies, beheer- en onderhoudsverplichtingen, afspraken met decentrale overheden). Dit beperkt de </w:t>
      </w:r>
      <w:r w:rsidR="002B09F3">
        <w:t xml:space="preserve">ruimte voor korte termijn besparingen </w:t>
      </w:r>
      <w:r w:rsidRPr="002B09F3" w:rsidR="002B09F3">
        <w:t>aanzienlijk.</w:t>
      </w:r>
      <w:r w:rsidR="00BD337C">
        <w:t xml:space="preserve"> Ik beschouw de in het rapport beschreven varianten als interessante </w:t>
      </w:r>
      <w:r w:rsidRPr="00BD337C" w:rsidR="00BD337C">
        <w:t>denkrichtingen. Z</w:t>
      </w:r>
      <w:r w:rsidR="00BD337C">
        <w:t xml:space="preserve">e geven </w:t>
      </w:r>
      <w:r w:rsidRPr="00BD337C" w:rsidR="00BD337C">
        <w:t>inzicht in</w:t>
      </w:r>
      <w:r w:rsidR="00BD337C">
        <w:t xml:space="preserve"> </w:t>
      </w:r>
      <w:r w:rsidRPr="00BD337C" w:rsidR="00BD337C">
        <w:t xml:space="preserve">mogelijke budgettaire knoppen, inclusief de bijbehorende consequenties. </w:t>
      </w:r>
      <w:r w:rsidR="00BD337C">
        <w:br/>
      </w:r>
      <w:r w:rsidR="00BD337C">
        <w:br/>
      </w:r>
      <w:r w:rsidRPr="00BD337C" w:rsidR="00BD337C">
        <w:rPr>
          <w:b/>
          <w:bCs/>
        </w:rPr>
        <w:t>Overig</w:t>
      </w:r>
      <w:r w:rsidR="00BD337C">
        <w:rPr>
          <w:b/>
          <w:bCs/>
        </w:rPr>
        <w:br/>
      </w:r>
      <w:r w:rsidRPr="00BD337C" w:rsidR="00BD337C">
        <w:t>Het rapport schetst een genuanceerd beeld: het beleid is in de kern effectief en draagt bij aan de hoofddoelen, maar</w:t>
      </w:r>
      <w:r w:rsidR="002514BD">
        <w:t xml:space="preserve"> desondanks kent</w:t>
      </w:r>
      <w:r w:rsidR="00BD337C">
        <w:t xml:space="preserve"> </w:t>
      </w:r>
      <w:r w:rsidR="00FD5AB3">
        <w:t xml:space="preserve">de </w:t>
      </w:r>
      <w:r w:rsidR="00BD337C">
        <w:t xml:space="preserve">uitvoering nog voldoende verbeterpunten. Hoewel er door de onderzoekers geen </w:t>
      </w:r>
      <w:r w:rsidR="002514BD">
        <w:t xml:space="preserve">witte vlekken zijn geconstateerd en er voor de meeste onderwerpen geput kan worden uit voortgangsrapportages- of andersoortige reviews, wordt hier en daar wel opgemerkt dat actuele evaluaties </w:t>
      </w:r>
      <w:r w:rsidR="007B125C">
        <w:t xml:space="preserve">over een lange termijn </w:t>
      </w:r>
      <w:r w:rsidR="002514BD">
        <w:t>op bepaalde beleidsthema’s of delen ervan ontbreken. Dit geldt onder andere voor de</w:t>
      </w:r>
      <w:r w:rsidR="00FD5AB3">
        <w:t xml:space="preserve"> Brede Doeluitkering Verkeer en Vervoer </w:t>
      </w:r>
      <w:r w:rsidR="002514BD">
        <w:t xml:space="preserve">maar ook voor een kleiner thema als fietsparkeren bij stations. Ik zal </w:t>
      </w:r>
      <w:r w:rsidR="007B125C">
        <w:t>op basis</w:t>
      </w:r>
      <w:r w:rsidR="00D74B79">
        <w:t xml:space="preserve"> van deze periodieke rapportage </w:t>
      </w:r>
      <w:r w:rsidR="002514BD">
        <w:t>de Strategische Evaluatie Agenda (SEA)</w:t>
      </w:r>
      <w:r w:rsidR="007B125C">
        <w:t xml:space="preserve"> van IenW </w:t>
      </w:r>
      <w:r w:rsidR="00B7400F">
        <w:t xml:space="preserve">voor 2027 </w:t>
      </w:r>
      <w:r w:rsidR="007B125C">
        <w:t>actualiseren.</w:t>
      </w:r>
    </w:p>
    <w:p w:rsidR="007B125C" w:rsidP="00BB009C" w:rsidRDefault="007B125C" w14:paraId="276C8197" w14:textId="77777777"/>
    <w:p w:rsidRPr="00C536C1" w:rsidR="00C536C1" w:rsidP="00C536C1" w:rsidRDefault="007B125C" w14:paraId="4B223220" w14:textId="77777777">
      <w:r w:rsidRPr="007B125C">
        <w:rPr>
          <w:b/>
          <w:bCs/>
        </w:rPr>
        <w:t>Second Opinion</w:t>
      </w:r>
      <w:r>
        <w:rPr>
          <w:b/>
          <w:bCs/>
        </w:rPr>
        <w:br/>
      </w:r>
      <w:r w:rsidRPr="00C536C1" w:rsidR="00C536C1">
        <w:t xml:space="preserve">Prof. Dr. Verhoef schrijft in zijn second opinion dat het rapport een helder inzicht geeft in de wijze waarop is gekomen tot een oordeel over de doeltreffendheid en doelmatigheid van het geëvalueerde beleid. Hij geeft aan dat men van mening kan verschillen over de scherpte van de conclusies, maar hij heeft in de onderbouwing daarvan geen inconsistenties aangetroffen. </w:t>
      </w:r>
      <w:r w:rsidRPr="00C536C1" w:rsidR="00C536C1">
        <w:br/>
      </w:r>
    </w:p>
    <w:p w:rsidRPr="00C536C1" w:rsidR="00C536C1" w:rsidP="00C536C1" w:rsidRDefault="00C536C1" w14:paraId="79E9DA53" w14:textId="636847B8">
      <w:r w:rsidRPr="00C536C1">
        <w:t>Een volgende rapportage zou wat hem betreft in moeten gaan op regionaal ov, ook als het formeel geen onderdeel van het begrotingsartikel is. Dat helpt de lezer begrijpen waar deze zaken dan wel geëvalueerd worden, wat daar uit komt en het geeft de logische kapstok om een korte beschouwing te geven over de notie dat de maatschappelijke doeltreffendheid en doelmatigheid van OV-beleid ook afhangt van de performance van regionaal OV.</w:t>
      </w:r>
      <w:r w:rsidRPr="00C536C1">
        <w:br/>
      </w:r>
      <w:r w:rsidRPr="00C536C1">
        <w:br/>
        <w:t>In het verlengde van bovenstaande pleit Dhr. Verhoef om tot een veelomvattender beleidstheorie te komen, waarbij de mix aan instrumenten die direct en indirect ingezet (kunnen) worden, wordt gerelateerd aan de werkelijke uiteindelijke doelen die met het aanbod van openbaar vervoer mede worden nagestreefd. De vraag zou volgens hem moeten zijn of de mix aan beleidsinstrumenten leidt tot doeltreffend en doelmatig nastreven van deze bredere beleidsdoelen. Dat is in de ogen van de externe deskundige een wezenlijk andere vraag dan de collectie van dezelfde vragen geëvalueerd per beleidsinstrument. Belangrijke aspecten van het OV dreigen buiten beschouwing te blijven als een enge opvatting van de beleidstheorie wordt gehanteerd, waardoor bijvoorbeeld bredewelvaartseffecten onvoldoende worden geëvalueerd. Ook het verbreden naar het regionaal OV en de institutionele inrichting van het OV-stelsel in Nederland past hierbij. Het ontwikkelen van een bredere beleidstheorie hangt mijns inziens samen met de exercitie om te komen tot een aangepaste doelenboom en bijbehorende meetbare gegevens op specifieke beleidsthema’s die ik eerder in deze brief heb toegezegd voor de Ontwerpbegroting 2028.</w:t>
      </w:r>
      <w:r w:rsidR="003C4717">
        <w:t xml:space="preserve"> </w:t>
      </w:r>
      <w:r w:rsidRPr="008A7C3D" w:rsidR="003C4717">
        <w:t>Dit pleidooi van Dhr. Verhoef sluit ook goed aan op de eerder genoemde brief over regionale bereikbaarheid. Hierin beschrijf ik hoe regionaal maatwerk, een integrale regionale mobiliteitsaanpak en innovatieve publieke mobiliteit een bijdrage kunnen leveren aan de bereikbaarheid</w:t>
      </w:r>
      <w:r w:rsidRPr="008A7C3D" w:rsidR="00BE3A61">
        <w:t xml:space="preserve"> in de regio</w:t>
      </w:r>
      <w:r w:rsidRPr="008A7C3D" w:rsidR="003C4717">
        <w:t>.</w:t>
      </w:r>
      <w:r w:rsidR="003C4717">
        <w:t xml:space="preserve"> </w:t>
      </w:r>
      <w:r w:rsidRPr="00C536C1">
        <w:t xml:space="preserve">Daarbij wil ik wel aantekenen dat het een complexe opgave is om voor het volledige OV en Spoor domein te komen tot een beleidstheorie. Enerzijds vanwege de veelomvattendheid van het domein zelf en de (in-)directe samenhang met vele andere thema’s, anderzijds vanwege het feit dat maar een beperkt deel van de beleidsinstrumenten onder de beleidsverantwoordelijkheid van IenW valt en wordt bekostigd vanuit de IenW-begrotingen. </w:t>
      </w:r>
    </w:p>
    <w:p w:rsidRPr="00C536C1" w:rsidR="00C536C1" w:rsidP="00C536C1" w:rsidRDefault="00C536C1" w14:paraId="1B69A727" w14:textId="77777777"/>
    <w:p w:rsidRPr="00C536C1" w:rsidR="00C536C1" w:rsidP="00C536C1" w:rsidRDefault="00C536C1" w14:paraId="3F3E4687" w14:textId="77777777">
      <w:r w:rsidRPr="00C536C1">
        <w:t xml:space="preserve">Als laatste merkt dhr. Verhoef op dat hij de analyse van besparingsvarianten weinig zinvol acht, ondanks dat dit een vast onderdeel is van een evaluatie als deze en daarom niet zomaar terzijde kan worden geschoven. In de eerste plaats omdat een belangrijk deel van de kosten vast zijn, zodat een kostenreductie hard binnenkomt bij de variabele kosten en daardoor tot relatief grote aanpassingen van activiteiten zal leiden. Ten tweede geldt dat er belangrijke economies of scale en scope zijn in de exploitatie van spoorsystemen. Dat versterkt het mechanisme dat een besparing van kosten tot een disproportioneel sterke afname van dienstverlening en reizigersbaten zal leiden. Dhr. Verhoef beveelt aan om bij een volgende evaluatie breder te kijken naar besparingen op maatschappelijke kosten die geen disproportionele negatieve effecten hebben op de daarmee samenhangende maatschappelijke baten.  </w:t>
      </w:r>
      <w:r w:rsidRPr="00C536C1">
        <w:br/>
      </w:r>
    </w:p>
    <w:p w:rsidR="00C536C1" w:rsidP="00C536C1" w:rsidRDefault="00C536C1" w14:paraId="453E5C2F" w14:textId="53248E32">
      <w:r w:rsidRPr="00C536C1">
        <w:t>De complexiteit van het beleidsveld die dhr. Verhoef schetst herken ik en zijn bevindingen sluiten aan bij de aanbeveling van Ecorys om concretere beleidsdoelen en meer samenhangende monitoringsdata te verzamelen. Tegelijkertijd waarschuwt dhr. Verhoef ook voor het idee dat je beleid 1-op-1 kunt koppelen aan indicatoren. Niet alles wat belangrijk is, is goed meetbaar (bijv. brede welvaart, verdelingseffecten). Het risico van te veel nadruk op indicatoren is volgens hem dat belangrijke effecten gemist kunnen worden.</w:t>
      </w:r>
    </w:p>
    <w:p w:rsidR="00A67F4A" w:rsidP="00C536C1" w:rsidRDefault="00A67F4A" w14:paraId="5789912A" w14:textId="3965C310"/>
    <w:p w:rsidR="00F81309" w:rsidP="00C536C1" w:rsidRDefault="00F81309" w14:paraId="5CE1890E" w14:textId="77777777"/>
    <w:p w:rsidR="00F81309" w:rsidP="00C536C1" w:rsidRDefault="00F81309" w14:paraId="50DD2D13" w14:textId="77777777"/>
    <w:p w:rsidRPr="00A67F4A" w:rsidR="00A67F4A" w:rsidP="00D74B79" w:rsidRDefault="007D31C3" w14:paraId="740D9628" w14:textId="1CAABD3A">
      <w:pPr>
        <w:autoSpaceDN/>
        <w:spacing w:line="278" w:lineRule="auto"/>
        <w:textAlignment w:val="auto"/>
        <w:rPr>
          <w:rFonts w:eastAsiaTheme="minorHAnsi" w:cstheme="minorBidi"/>
          <w:b/>
          <w:bCs/>
          <w:color w:val="auto"/>
          <w:kern w:val="2"/>
          <w:lang w:eastAsia="en-US"/>
          <w14:ligatures w14:val="standardContextual"/>
        </w:rPr>
      </w:pPr>
      <w:r>
        <w:rPr>
          <w:rFonts w:eastAsiaTheme="minorHAnsi" w:cstheme="minorBidi"/>
          <w:b/>
          <w:bCs/>
          <w:color w:val="auto"/>
          <w:kern w:val="2"/>
          <w:lang w:eastAsia="en-US"/>
          <w14:ligatures w14:val="standardContextual"/>
        </w:rPr>
        <w:t xml:space="preserve">Beleidsevaluatie </w:t>
      </w:r>
      <w:r w:rsidRPr="00A67F4A" w:rsidR="00A67F4A">
        <w:rPr>
          <w:rFonts w:eastAsiaTheme="minorHAnsi" w:cstheme="minorBidi"/>
          <w:b/>
          <w:bCs/>
          <w:color w:val="auto"/>
          <w:kern w:val="2"/>
          <w:lang w:eastAsia="en-US"/>
          <w14:ligatures w14:val="standardContextual"/>
        </w:rPr>
        <w:t>BVOV en TVOV</w:t>
      </w:r>
    </w:p>
    <w:p w:rsidRPr="00A67F4A" w:rsidR="00A67F4A" w:rsidP="00A67F4A" w:rsidRDefault="00A67F4A" w14:paraId="484672D8" w14:textId="561C2669">
      <w:pPr>
        <w:autoSpaceDN/>
        <w:spacing w:after="160"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De Beschikbaarheidsvergoeding OV (BVOV) werd in 2020 ingesteld omdat de reizigersopbrengsten als gevolg van de coronapandemie</w:t>
      </w:r>
      <w:r w:rsidR="00306941">
        <w:rPr>
          <w:rFonts w:eastAsiaTheme="minorHAnsi" w:cstheme="minorBidi"/>
          <w:color w:val="auto"/>
          <w:kern w:val="2"/>
          <w:lang w:eastAsia="en-US"/>
          <w14:ligatures w14:val="standardContextual"/>
        </w:rPr>
        <w:t xml:space="preserve"> en de maatregelen als reactie daarop</w:t>
      </w:r>
      <w:r w:rsidRPr="00A67F4A">
        <w:rPr>
          <w:rFonts w:eastAsiaTheme="minorHAnsi" w:cstheme="minorBidi"/>
          <w:color w:val="auto"/>
          <w:kern w:val="2"/>
          <w:lang w:eastAsia="en-US"/>
          <w14:ligatures w14:val="standardContextual"/>
        </w:rPr>
        <w:t xml:space="preserve"> sterk waren teruggelopen. Doel van de regeling was het waarborgen van de beschikbaarheid van het </w:t>
      </w:r>
      <w:r w:rsidR="00484064">
        <w:rPr>
          <w:rFonts w:eastAsiaTheme="minorHAnsi" w:cstheme="minorBidi"/>
          <w:color w:val="auto"/>
          <w:kern w:val="2"/>
          <w:lang w:eastAsia="en-US"/>
          <w14:ligatures w14:val="standardContextual"/>
        </w:rPr>
        <w:t xml:space="preserve">OV </w:t>
      </w:r>
      <w:r w:rsidRPr="00A67F4A">
        <w:rPr>
          <w:rFonts w:eastAsiaTheme="minorHAnsi" w:cstheme="minorBidi"/>
          <w:color w:val="auto"/>
          <w:kern w:val="2"/>
          <w:lang w:eastAsia="en-US"/>
          <w14:ligatures w14:val="standardContextual"/>
        </w:rPr>
        <w:t xml:space="preserve">voor essentiële reizen, met inachtneming van de kabinetsrichtlijnen inzake corona, zodat gezondheid en veiligheid niet in het gedrang kwamen. Omdat de coronamaatregelen tot maart 2022 in verschillende gradaties van kracht bleven, werd de BVOV in 2021 en 2022 in aangepaste vorm voortgezet. In 2023 werd deze regeling opgevolgd door de Transitievergoeding OV (TVOV), een overgangsregeling </w:t>
      </w:r>
      <w:r w:rsidR="00102C86">
        <w:rPr>
          <w:rFonts w:eastAsiaTheme="minorHAnsi" w:cstheme="minorBidi"/>
          <w:color w:val="auto"/>
          <w:kern w:val="2"/>
          <w:lang w:eastAsia="en-US"/>
          <w14:ligatures w14:val="standardContextual"/>
        </w:rPr>
        <w:t xml:space="preserve">naar het nieuwe normaal </w:t>
      </w:r>
      <w:r w:rsidRPr="00A67F4A">
        <w:rPr>
          <w:rFonts w:eastAsiaTheme="minorHAnsi" w:cstheme="minorBidi"/>
          <w:color w:val="auto"/>
          <w:kern w:val="2"/>
          <w:lang w:eastAsia="en-US"/>
          <w14:ligatures w14:val="standardContextual"/>
        </w:rPr>
        <w:t>met een lager en gemaximeerd subsidiebudget</w:t>
      </w:r>
      <w:r w:rsidR="00484064">
        <w:rPr>
          <w:rFonts w:eastAsiaTheme="minorHAnsi" w:cstheme="minorBidi"/>
          <w:color w:val="auto"/>
          <w:kern w:val="2"/>
          <w:lang w:eastAsia="en-US"/>
          <w14:ligatures w14:val="standardContextual"/>
        </w:rPr>
        <w:t xml:space="preserve"> en niet meer uit de algemene middelen bekostigd maar vanuit het Mobiliteitsfonds</w:t>
      </w:r>
      <w:r w:rsidRPr="00A67F4A">
        <w:rPr>
          <w:rFonts w:eastAsiaTheme="minorHAnsi" w:cstheme="minorBidi"/>
          <w:color w:val="auto"/>
          <w:kern w:val="2"/>
          <w:lang w:eastAsia="en-US"/>
          <w14:ligatures w14:val="standardContextual"/>
        </w:rPr>
        <w:t xml:space="preserve">. </w:t>
      </w:r>
      <w:r w:rsidRPr="00252ECA" w:rsidR="00252ECA">
        <w:rPr>
          <w:rFonts w:eastAsiaTheme="minorHAnsi" w:cstheme="minorBidi"/>
          <w:color w:val="auto"/>
          <w:kern w:val="2"/>
          <w:lang w:eastAsia="en-US"/>
          <w14:ligatures w14:val="standardContextual"/>
        </w:rPr>
        <w:t>Het totaal gereserveerde budget voor de drie BVOV-regelingen bedroeg circa € 3,2 miljard en voor de TVOV € 150 miljoen.</w:t>
      </w:r>
    </w:p>
    <w:p w:rsidRPr="00A67F4A" w:rsidR="00A67F4A" w:rsidP="00A67F4A" w:rsidRDefault="00A67F4A" w14:paraId="2AE19A66" w14:textId="29AD3B96">
      <w:pPr>
        <w:autoSpaceDN/>
        <w:spacing w:after="160"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Op grond van de Regeling Periodiek Evaluatieonderzoek 2022 bestaat de verplichting om de doelmatigheid en doeltreffendheid van de regelingen onafhankelijk te laten evalueren</w:t>
      </w:r>
      <w:r w:rsidR="00030FEE">
        <w:rPr>
          <w:rFonts w:eastAsiaTheme="minorHAnsi" w:cstheme="minorBidi"/>
          <w:color w:val="auto"/>
          <w:kern w:val="2"/>
          <w:lang w:eastAsia="en-US"/>
          <w14:ligatures w14:val="standardContextual"/>
        </w:rPr>
        <w:t xml:space="preserve">. </w:t>
      </w:r>
      <w:r w:rsidRPr="00A67F4A">
        <w:rPr>
          <w:rFonts w:eastAsiaTheme="minorHAnsi" w:cstheme="minorBidi"/>
          <w:color w:val="auto"/>
          <w:kern w:val="2"/>
          <w:lang w:eastAsia="en-US"/>
          <w14:ligatures w14:val="standardContextual"/>
        </w:rPr>
        <w:t xml:space="preserve">De beleidsevaluatie is uitgevoerd door </w:t>
      </w:r>
      <w:r w:rsidR="007D31C3">
        <w:rPr>
          <w:rFonts w:eastAsiaTheme="minorHAnsi" w:cstheme="minorBidi"/>
          <w:color w:val="auto"/>
          <w:kern w:val="2"/>
          <w:lang w:eastAsia="en-US"/>
          <w14:ligatures w14:val="standardContextual"/>
        </w:rPr>
        <w:t>het consortium Mooi Nederland</w:t>
      </w:r>
      <w:r w:rsidR="00030FEE">
        <w:rPr>
          <w:rFonts w:eastAsiaTheme="minorHAnsi" w:cstheme="minorBidi"/>
          <w:color w:val="auto"/>
          <w:kern w:val="2"/>
          <w:lang w:eastAsia="en-US"/>
          <w14:ligatures w14:val="standardContextual"/>
        </w:rPr>
        <w:t>.</w:t>
      </w:r>
      <w:r w:rsidR="00030FEE">
        <w:rPr>
          <w:rStyle w:val="FootnoteReference"/>
          <w:rFonts w:eastAsiaTheme="minorHAnsi" w:cstheme="minorBidi"/>
          <w:color w:val="auto"/>
          <w:kern w:val="2"/>
          <w:lang w:eastAsia="en-US"/>
          <w14:ligatures w14:val="standardContextual"/>
        </w:rPr>
        <w:footnoteReference w:id="6"/>
      </w:r>
      <w:r w:rsidR="007D31C3">
        <w:rPr>
          <w:rFonts w:eastAsiaTheme="minorHAnsi" w:cstheme="minorBidi"/>
          <w:color w:val="auto"/>
          <w:kern w:val="2"/>
          <w:lang w:eastAsia="en-US"/>
          <w14:ligatures w14:val="standardContextual"/>
        </w:rPr>
        <w:t xml:space="preserve"> </w:t>
      </w:r>
      <w:r w:rsidRPr="00A67F4A">
        <w:rPr>
          <w:rFonts w:eastAsiaTheme="minorHAnsi" w:cstheme="minorBidi"/>
          <w:color w:val="auto"/>
          <w:kern w:val="2"/>
          <w:lang w:eastAsia="en-US"/>
          <w14:ligatures w14:val="standardContextual"/>
        </w:rPr>
        <w:t>Prof. dr. E.T. Verhoef maakte als onafhankelijk deskundige</w:t>
      </w:r>
      <w:r w:rsidR="008E2586">
        <w:rPr>
          <w:rFonts w:eastAsiaTheme="minorHAnsi" w:cstheme="minorBidi"/>
          <w:color w:val="auto"/>
          <w:kern w:val="2"/>
          <w:lang w:eastAsia="en-US"/>
          <w14:ligatures w14:val="standardContextual"/>
        </w:rPr>
        <w:t xml:space="preserve"> en h</w:t>
      </w:r>
      <w:r w:rsidRPr="00A67F4A">
        <w:rPr>
          <w:rFonts w:eastAsiaTheme="minorHAnsi" w:cstheme="minorBidi"/>
          <w:color w:val="auto"/>
          <w:kern w:val="2"/>
          <w:lang w:eastAsia="en-US"/>
          <w14:ligatures w14:val="standardContextual"/>
        </w:rPr>
        <w:t xml:space="preserve">et Kennisinstituut voor Mobiliteitsbeleid (KiM) als onafhankelijk onderzoeksinstituut </w:t>
      </w:r>
      <w:r w:rsidR="008E2586">
        <w:rPr>
          <w:rFonts w:eastAsiaTheme="minorHAnsi" w:cstheme="minorBidi"/>
          <w:color w:val="auto"/>
          <w:kern w:val="2"/>
          <w:lang w:eastAsia="en-US"/>
          <w14:ligatures w14:val="standardContextual"/>
        </w:rPr>
        <w:t xml:space="preserve">deel uit van de </w:t>
      </w:r>
      <w:r w:rsidRPr="00A67F4A">
        <w:rPr>
          <w:rFonts w:eastAsiaTheme="minorHAnsi" w:cstheme="minorBidi"/>
          <w:color w:val="auto"/>
          <w:kern w:val="2"/>
          <w:lang w:eastAsia="en-US"/>
          <w14:ligatures w14:val="standardContextual"/>
        </w:rPr>
        <w:t>begeleidingsgroep.</w:t>
      </w:r>
      <w:r w:rsidR="00030FEE">
        <w:rPr>
          <w:rFonts w:eastAsiaTheme="minorHAnsi" w:cstheme="minorBidi"/>
          <w:color w:val="auto"/>
          <w:kern w:val="2"/>
          <w:lang w:eastAsia="en-US"/>
          <w14:ligatures w14:val="standardContextual"/>
        </w:rPr>
        <w:t xml:space="preserve"> </w:t>
      </w:r>
      <w:r w:rsidRPr="00A67F4A">
        <w:rPr>
          <w:rFonts w:eastAsiaTheme="minorHAnsi" w:cstheme="minorBidi"/>
          <w:color w:val="auto"/>
          <w:kern w:val="2"/>
          <w:lang w:eastAsia="en-US"/>
          <w14:ligatures w14:val="standardContextual"/>
        </w:rPr>
        <w:t>Het</w:t>
      </w:r>
      <w:r w:rsidR="00030FEE">
        <w:rPr>
          <w:rFonts w:eastAsiaTheme="minorHAnsi" w:cstheme="minorBidi"/>
          <w:color w:val="auto"/>
          <w:kern w:val="2"/>
          <w:lang w:eastAsia="en-US"/>
          <w14:ligatures w14:val="standardContextual"/>
        </w:rPr>
        <w:t xml:space="preserve"> </w:t>
      </w:r>
      <w:r w:rsidRPr="00A67F4A">
        <w:rPr>
          <w:rFonts w:eastAsiaTheme="minorHAnsi" w:cstheme="minorBidi"/>
          <w:color w:val="auto"/>
          <w:kern w:val="2"/>
          <w:lang w:eastAsia="en-US"/>
          <w14:ligatures w14:val="standardContextual"/>
        </w:rPr>
        <w:t>N</w:t>
      </w:r>
      <w:r w:rsidR="00102C86">
        <w:rPr>
          <w:rFonts w:eastAsiaTheme="minorHAnsi" w:cstheme="minorBidi"/>
          <w:color w:val="auto"/>
          <w:kern w:val="2"/>
          <w:lang w:eastAsia="en-US"/>
          <w14:ligatures w14:val="standardContextual"/>
        </w:rPr>
        <w:t xml:space="preserve">ationaal </w:t>
      </w:r>
      <w:r w:rsidRPr="00A67F4A">
        <w:rPr>
          <w:rFonts w:eastAsiaTheme="minorHAnsi" w:cstheme="minorBidi"/>
          <w:color w:val="auto"/>
          <w:kern w:val="2"/>
          <w:lang w:eastAsia="en-US"/>
          <w14:ligatures w14:val="standardContextual"/>
        </w:rPr>
        <w:t>OV</w:t>
      </w:r>
      <w:r w:rsidR="00102C86">
        <w:rPr>
          <w:rFonts w:eastAsiaTheme="minorHAnsi" w:cstheme="minorBidi"/>
          <w:color w:val="auto"/>
          <w:kern w:val="2"/>
          <w:lang w:eastAsia="en-US"/>
          <w14:ligatures w14:val="standardContextual"/>
        </w:rPr>
        <w:t xml:space="preserve"> </w:t>
      </w:r>
      <w:r w:rsidRPr="00A67F4A">
        <w:rPr>
          <w:rFonts w:eastAsiaTheme="minorHAnsi" w:cstheme="minorBidi"/>
          <w:color w:val="auto"/>
          <w:kern w:val="2"/>
          <w:lang w:eastAsia="en-US"/>
          <w14:ligatures w14:val="standardContextual"/>
        </w:rPr>
        <w:t>B</w:t>
      </w:r>
      <w:r w:rsidR="00102C86">
        <w:rPr>
          <w:rFonts w:eastAsiaTheme="minorHAnsi" w:cstheme="minorBidi"/>
          <w:color w:val="auto"/>
          <w:kern w:val="2"/>
          <w:lang w:eastAsia="en-US"/>
          <w14:ligatures w14:val="standardContextual"/>
        </w:rPr>
        <w:t>eraad (NOVB)</w:t>
      </w:r>
      <w:r w:rsidRPr="00A67F4A">
        <w:rPr>
          <w:rFonts w:eastAsiaTheme="minorHAnsi" w:cstheme="minorBidi"/>
          <w:color w:val="auto"/>
          <w:kern w:val="2"/>
          <w:lang w:eastAsia="en-US"/>
          <w14:ligatures w14:val="standardContextual"/>
        </w:rPr>
        <w:t xml:space="preserve"> fungeerde daarbij als klankbordgroep. </w:t>
      </w:r>
    </w:p>
    <w:p w:rsidR="00A67F4A" w:rsidP="00A67F4A" w:rsidRDefault="00A67F4A" w14:paraId="2BED0BC1" w14:textId="401BA638">
      <w:pPr>
        <w:autoSpaceDN/>
        <w:spacing w:after="160" w:line="278" w:lineRule="auto"/>
        <w:textAlignment w:val="auto"/>
        <w:rPr>
          <w:rFonts w:eastAsiaTheme="minorHAnsi" w:cstheme="minorBidi"/>
          <w:b/>
          <w:bCs/>
          <w:color w:val="auto"/>
          <w:kern w:val="2"/>
          <w:lang w:eastAsia="en-US"/>
          <w14:ligatures w14:val="standardContextual"/>
        </w:rPr>
      </w:pPr>
      <w:r w:rsidRPr="007D31C3">
        <w:rPr>
          <w:rFonts w:eastAsiaTheme="minorHAnsi" w:cstheme="minorBidi"/>
          <w:b/>
          <w:bCs/>
          <w:color w:val="auto"/>
          <w:kern w:val="2"/>
          <w:lang w:eastAsia="en-US"/>
          <w14:ligatures w14:val="standardContextual"/>
        </w:rPr>
        <w:t>Conclusies van de beleidsevaluatie BVOV/TVOV</w:t>
      </w:r>
    </w:p>
    <w:p w:rsidRPr="00C77292" w:rsidR="00D057FD" w:rsidP="001927B5" w:rsidRDefault="00D057FD" w14:paraId="1564DC3E" w14:textId="32A6A893">
      <w:pPr>
        <w:autoSpaceDN/>
        <w:spacing w:line="278" w:lineRule="auto"/>
        <w:textAlignment w:val="auto"/>
        <w:rPr>
          <w:rFonts w:eastAsiaTheme="minorHAnsi" w:cstheme="minorBidi"/>
          <w:i/>
          <w:iCs/>
          <w:color w:val="auto"/>
          <w:kern w:val="2"/>
          <w:lang w:eastAsia="en-US"/>
          <w14:ligatures w14:val="standardContextual"/>
        </w:rPr>
      </w:pPr>
      <w:r>
        <w:rPr>
          <w:rFonts w:eastAsiaTheme="minorHAnsi" w:cstheme="minorBidi"/>
          <w:i/>
          <w:iCs/>
          <w:color w:val="auto"/>
          <w:kern w:val="2"/>
          <w:lang w:eastAsia="en-US"/>
          <w14:ligatures w14:val="standardContextual"/>
        </w:rPr>
        <w:t>D</w:t>
      </w:r>
      <w:r w:rsidRPr="00C77292">
        <w:rPr>
          <w:rFonts w:eastAsiaTheme="minorHAnsi" w:cstheme="minorBidi"/>
          <w:i/>
          <w:iCs/>
          <w:color w:val="auto"/>
          <w:kern w:val="2"/>
          <w:lang w:eastAsia="en-US"/>
          <w14:ligatures w14:val="standardContextual"/>
        </w:rPr>
        <w:t>oeltreffendheid</w:t>
      </w:r>
    </w:p>
    <w:p w:rsidRPr="00A67F4A" w:rsidR="00A67F4A" w:rsidP="00A67F4A" w:rsidRDefault="00A67F4A" w14:paraId="3FE8B6A4" w14:textId="4035A1F1">
      <w:pPr>
        <w:autoSpaceDN/>
        <w:spacing w:after="160"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De onderzoekers concluderen dat de regelingen over het geheel genomen doeltreffend zijn geweest</w:t>
      </w:r>
      <w:r w:rsidR="007D31C3">
        <w:rPr>
          <w:rFonts w:eastAsiaTheme="minorHAnsi" w:cstheme="minorBidi"/>
          <w:color w:val="auto"/>
          <w:kern w:val="2"/>
          <w:lang w:eastAsia="en-US"/>
          <w14:ligatures w14:val="standardContextual"/>
        </w:rPr>
        <w:t>:</w:t>
      </w:r>
      <w:r w:rsidRPr="00A67F4A">
        <w:rPr>
          <w:rFonts w:eastAsiaTheme="minorHAnsi" w:cstheme="minorBidi"/>
          <w:color w:val="auto"/>
          <w:kern w:val="2"/>
          <w:lang w:eastAsia="en-US"/>
          <w14:ligatures w14:val="standardContextual"/>
        </w:rPr>
        <w:t xml:space="preserve"> De regelingen hebben bijgedragen dat het openbaarvervoeraanbod gedurende de coronapandemie in belangrijke mate in stand kon blijven, waardoor essentiële reizen mogelijk bleven voor reizigers die afhankelijk waren van het openbaar vervoer</w:t>
      </w:r>
      <w:r w:rsidR="007D31C3">
        <w:rPr>
          <w:rFonts w:eastAsiaTheme="minorHAnsi" w:cstheme="minorBidi"/>
          <w:color w:val="auto"/>
          <w:kern w:val="2"/>
          <w:lang w:eastAsia="en-US"/>
          <w14:ligatures w14:val="standardContextual"/>
        </w:rPr>
        <w:t xml:space="preserve"> (1)</w:t>
      </w:r>
      <w:r w:rsidRPr="00A67F4A">
        <w:rPr>
          <w:rFonts w:eastAsiaTheme="minorHAnsi" w:cstheme="minorBidi"/>
          <w:color w:val="auto"/>
          <w:kern w:val="2"/>
          <w:lang w:eastAsia="en-US"/>
          <w14:ligatures w14:val="standardContextual"/>
        </w:rPr>
        <w:t>. Tegelijkertijd hebben de regelingen voorkomen dat vervoer</w:t>
      </w:r>
      <w:r w:rsidR="00102C86">
        <w:rPr>
          <w:rFonts w:eastAsiaTheme="minorHAnsi" w:cstheme="minorBidi"/>
          <w:color w:val="auto"/>
          <w:kern w:val="2"/>
          <w:lang w:eastAsia="en-US"/>
          <w14:ligatures w14:val="standardContextual"/>
        </w:rPr>
        <w:t xml:space="preserve">ders </w:t>
      </w:r>
      <w:r w:rsidRPr="00A67F4A">
        <w:rPr>
          <w:rFonts w:eastAsiaTheme="minorHAnsi" w:cstheme="minorBidi"/>
          <w:color w:val="auto"/>
          <w:kern w:val="2"/>
          <w:lang w:eastAsia="en-US"/>
          <w14:ligatures w14:val="standardContextual"/>
        </w:rPr>
        <w:t>in ernstige financiële problemen kwamen en boden zij ruimte om personeel in dienst te houden in een periode waarin de reizigersaantallen sterk terugliepen</w:t>
      </w:r>
      <w:r w:rsidR="007D31C3">
        <w:rPr>
          <w:rFonts w:eastAsiaTheme="minorHAnsi" w:cstheme="minorBidi"/>
          <w:color w:val="auto"/>
          <w:kern w:val="2"/>
          <w:lang w:eastAsia="en-US"/>
          <w14:ligatures w14:val="standardContextual"/>
        </w:rPr>
        <w:t xml:space="preserve"> (2)</w:t>
      </w:r>
      <w:r w:rsidRPr="00A67F4A">
        <w:rPr>
          <w:rFonts w:eastAsiaTheme="minorHAnsi" w:cstheme="minorBidi"/>
          <w:color w:val="auto"/>
          <w:kern w:val="2"/>
          <w:lang w:eastAsia="en-US"/>
          <w14:ligatures w14:val="standardContextual"/>
        </w:rPr>
        <w:t xml:space="preserve">. </w:t>
      </w:r>
    </w:p>
    <w:p w:rsidRPr="00A67F4A" w:rsidR="00A67F4A" w:rsidP="00A67F4A" w:rsidRDefault="00A67F4A" w14:paraId="5DB38F03" w14:textId="77777777">
      <w:pPr>
        <w:autoSpaceDN/>
        <w:spacing w:after="160"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 xml:space="preserve">De onderzoekers plaatsen hierbij wel enkele kanttekeningen: De beschikbaarheid van voldoende personeel vormt een randvoorwaarde voor het op peil houden van het ov-aanbod. Geconcludeerd wordt dat de doeltreffendheid van de regelingen negatief werd beïnvloed door personeelstekorten. Deze waren het gevolg van verhoogd ziekteverzuim tijdens de pandemie, door een kleinere flexibele schil als gevolg van de afgeschaalde dienstregelingen en krapte op de arbeidsmarkt. </w:t>
      </w:r>
    </w:p>
    <w:p w:rsidRPr="00A67F4A" w:rsidR="00A67F4A" w:rsidP="00A67F4A" w:rsidRDefault="00A67F4A" w14:paraId="4C825356" w14:textId="77777777">
      <w:pPr>
        <w:autoSpaceDN/>
        <w:spacing w:after="160"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Ook concluderen de onderzoekers dat een van de doelstellingen van de BVOV 2021 en de TVOV – het stimuleren van een transitie naar een beter op de vraag afgestemde en financieel gezondere dienstverlening – slechts gedeeltelijk werd bereikt. Volgens de onderzoekers hangt dit samen met het grillige verloop van de pandemie en de onzekerheid over de vraag in hoeverre veranderingen in het reisgedrag tijdelijk of structureel zouden zijn. Ook speelde een rol dat de hoogte van de vergoedingen was gekoppeld aan de gerealiseerde reizigersopbrengsten, waardoor de regelingen de vervoerders niet prikkelden om aanpassingen in het aanbod door te voeren.</w:t>
      </w:r>
    </w:p>
    <w:p w:rsidR="00A67F4A" w:rsidP="00A67F4A" w:rsidRDefault="00A67F4A" w14:paraId="3EC3DDA3" w14:textId="6ED175B0">
      <w:pPr>
        <w:autoSpaceDN/>
        <w:spacing w:after="160"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 xml:space="preserve">De onderzoekers beschrijven dat vervoerders en decentrale overheden na 2020 ruimte kregen om via afschaling van het ov-aanbod en/of aanvullende subsidies toe te werken naar een exploitatie op of rond break-evenniveau. Vanuit de sector zijn </w:t>
      </w:r>
      <w:r w:rsidR="008E2586">
        <w:rPr>
          <w:rFonts w:eastAsiaTheme="minorHAnsi" w:cstheme="minorBidi"/>
          <w:color w:val="auto"/>
          <w:kern w:val="2"/>
          <w:lang w:eastAsia="en-US"/>
          <w14:ligatures w14:val="standardContextual"/>
        </w:rPr>
        <w:t xml:space="preserve">toen </w:t>
      </w:r>
      <w:r w:rsidRPr="00A67F4A">
        <w:rPr>
          <w:rFonts w:eastAsiaTheme="minorHAnsi" w:cstheme="minorBidi"/>
          <w:color w:val="auto"/>
          <w:kern w:val="2"/>
          <w:lang w:eastAsia="en-US"/>
          <w14:ligatures w14:val="standardContextual"/>
        </w:rPr>
        <w:t xml:space="preserve">ook alternatieve voorstellen gedaan die sterker zouden inzetten op het stimuleren van reizigersgroei en daarmee op herstel van de opbrengsten, waarbij ook </w:t>
      </w:r>
      <w:r w:rsidR="00D057FD">
        <w:rPr>
          <w:rFonts w:eastAsiaTheme="minorHAnsi" w:cstheme="minorBidi"/>
          <w:color w:val="auto"/>
          <w:kern w:val="2"/>
          <w:lang w:eastAsia="en-US"/>
          <w14:ligatures w14:val="standardContextual"/>
        </w:rPr>
        <w:t xml:space="preserve">een beperkte mate van rendement </w:t>
      </w:r>
      <w:r w:rsidRPr="00A67F4A">
        <w:rPr>
          <w:rFonts w:eastAsiaTheme="minorHAnsi" w:cstheme="minorBidi"/>
          <w:color w:val="auto"/>
          <w:kern w:val="2"/>
          <w:lang w:eastAsia="en-US"/>
          <w14:ligatures w14:val="standardContextual"/>
        </w:rPr>
        <w:t xml:space="preserve">zou kunnen worden gemaakt. Het combineren van overheidssubsidies en </w:t>
      </w:r>
      <w:r w:rsidR="00D057FD">
        <w:rPr>
          <w:rFonts w:eastAsiaTheme="minorHAnsi" w:cstheme="minorBidi"/>
          <w:color w:val="auto"/>
          <w:kern w:val="2"/>
          <w:lang w:eastAsia="en-US"/>
          <w14:ligatures w14:val="standardContextual"/>
        </w:rPr>
        <w:t>beperkt rendement bleek (</w:t>
      </w:r>
      <w:r w:rsidRPr="00A67F4A">
        <w:rPr>
          <w:rFonts w:eastAsiaTheme="minorHAnsi" w:cstheme="minorBidi"/>
          <w:color w:val="auto"/>
          <w:kern w:val="2"/>
          <w:lang w:eastAsia="en-US"/>
          <w14:ligatures w14:val="standardContextual"/>
        </w:rPr>
        <w:t>politiek</w:t>
      </w:r>
      <w:r w:rsidR="00D057FD">
        <w:rPr>
          <w:rFonts w:eastAsiaTheme="minorHAnsi" w:cstheme="minorBidi"/>
          <w:color w:val="auto"/>
          <w:kern w:val="2"/>
          <w:lang w:eastAsia="en-US"/>
          <w14:ligatures w14:val="standardContextual"/>
        </w:rPr>
        <w:t>)</w:t>
      </w:r>
      <w:r w:rsidRPr="00A67F4A">
        <w:rPr>
          <w:rFonts w:eastAsiaTheme="minorHAnsi" w:cstheme="minorBidi"/>
          <w:color w:val="auto"/>
          <w:kern w:val="2"/>
          <w:lang w:eastAsia="en-US"/>
          <w14:ligatures w14:val="standardContextual"/>
        </w:rPr>
        <w:t xml:space="preserve"> niet haalbaar. </w:t>
      </w:r>
      <w:r w:rsidR="00D057FD">
        <w:rPr>
          <w:rFonts w:eastAsiaTheme="minorHAnsi" w:cstheme="minorBidi"/>
          <w:color w:val="auto"/>
          <w:kern w:val="2"/>
          <w:lang w:eastAsia="en-US"/>
          <w14:ligatures w14:val="standardContextual"/>
        </w:rPr>
        <w:t>D</w:t>
      </w:r>
      <w:r w:rsidRPr="00A67F4A">
        <w:rPr>
          <w:rFonts w:eastAsiaTheme="minorHAnsi" w:cstheme="minorBidi"/>
          <w:color w:val="auto"/>
          <w:kern w:val="2"/>
          <w:lang w:eastAsia="en-US"/>
          <w14:ligatures w14:val="standardContextual"/>
        </w:rPr>
        <w:t xml:space="preserve">e nadruk in de regelingen </w:t>
      </w:r>
      <w:r w:rsidR="00D057FD">
        <w:rPr>
          <w:rFonts w:eastAsiaTheme="minorHAnsi" w:cstheme="minorBidi"/>
          <w:color w:val="auto"/>
          <w:kern w:val="2"/>
          <w:lang w:eastAsia="en-US"/>
          <w14:ligatures w14:val="standardContextual"/>
        </w:rPr>
        <w:t xml:space="preserve">lag </w:t>
      </w:r>
      <w:r w:rsidRPr="00A67F4A">
        <w:rPr>
          <w:rFonts w:eastAsiaTheme="minorHAnsi" w:cstheme="minorBidi"/>
          <w:color w:val="auto"/>
          <w:kern w:val="2"/>
          <w:lang w:eastAsia="en-US"/>
          <w14:ligatures w14:val="standardContextual"/>
        </w:rPr>
        <w:t>primair op het stabiliseren van de sector en het in stand houden van het aanbod</w:t>
      </w:r>
      <w:r w:rsidR="00C17E91">
        <w:rPr>
          <w:rFonts w:eastAsiaTheme="minorHAnsi" w:cstheme="minorBidi"/>
          <w:color w:val="auto"/>
          <w:kern w:val="2"/>
          <w:lang w:eastAsia="en-US"/>
          <w14:ligatures w14:val="standardContextual"/>
        </w:rPr>
        <w:t xml:space="preserve"> </w:t>
      </w:r>
      <w:r w:rsidR="00D057FD">
        <w:rPr>
          <w:rFonts w:eastAsiaTheme="minorHAnsi" w:cstheme="minorBidi"/>
          <w:color w:val="auto"/>
          <w:kern w:val="2"/>
          <w:lang w:eastAsia="en-US"/>
          <w14:ligatures w14:val="standardContextual"/>
        </w:rPr>
        <w:t>op dat moment en in mindere mate op herstel</w:t>
      </w:r>
      <w:r w:rsidR="00C17E91">
        <w:rPr>
          <w:rFonts w:eastAsiaTheme="minorHAnsi" w:cstheme="minorBidi"/>
          <w:color w:val="auto"/>
          <w:kern w:val="2"/>
          <w:lang w:eastAsia="en-US"/>
          <w14:ligatures w14:val="standardContextual"/>
        </w:rPr>
        <w:t>-</w:t>
      </w:r>
      <w:r w:rsidR="00D057FD">
        <w:rPr>
          <w:rFonts w:eastAsiaTheme="minorHAnsi" w:cstheme="minorBidi"/>
          <w:color w:val="auto"/>
          <w:kern w:val="2"/>
          <w:lang w:eastAsia="en-US"/>
          <w14:ligatures w14:val="standardContextual"/>
        </w:rPr>
        <w:t xml:space="preserve"> en innovatiekracht om na de pandemie (weer) te herstellen</w:t>
      </w:r>
      <w:r w:rsidRPr="00A67F4A">
        <w:rPr>
          <w:rFonts w:eastAsiaTheme="minorHAnsi" w:cstheme="minorBidi"/>
          <w:color w:val="auto"/>
          <w:kern w:val="2"/>
          <w:lang w:eastAsia="en-US"/>
          <w14:ligatures w14:val="standardContextual"/>
        </w:rPr>
        <w:t>.</w:t>
      </w:r>
    </w:p>
    <w:p w:rsidRPr="00C77292" w:rsidR="00D057FD" w:rsidP="001927B5" w:rsidRDefault="00D057FD" w14:paraId="24640044" w14:textId="565988CC">
      <w:pPr>
        <w:autoSpaceDN/>
        <w:spacing w:line="278" w:lineRule="auto"/>
        <w:textAlignment w:val="auto"/>
        <w:rPr>
          <w:rFonts w:eastAsiaTheme="minorHAnsi" w:cstheme="minorBidi"/>
          <w:i/>
          <w:iCs/>
          <w:color w:val="auto"/>
          <w:kern w:val="2"/>
          <w:lang w:eastAsia="en-US"/>
          <w14:ligatures w14:val="standardContextual"/>
        </w:rPr>
      </w:pPr>
      <w:r>
        <w:rPr>
          <w:rFonts w:eastAsiaTheme="minorHAnsi" w:cstheme="minorBidi"/>
          <w:i/>
          <w:iCs/>
          <w:color w:val="auto"/>
          <w:kern w:val="2"/>
          <w:lang w:eastAsia="en-US"/>
          <w14:ligatures w14:val="standardContextual"/>
        </w:rPr>
        <w:t>Doelmatigheid</w:t>
      </w:r>
    </w:p>
    <w:p w:rsidRPr="00A67F4A" w:rsidR="00A67F4A" w:rsidP="00A67F4A" w:rsidRDefault="00102C86" w14:paraId="7B1A966B" w14:textId="0ADCF163">
      <w:pPr>
        <w:autoSpaceDN/>
        <w:spacing w:after="160" w:line="278" w:lineRule="auto"/>
        <w:textAlignment w:val="auto"/>
        <w:rPr>
          <w:rFonts w:eastAsiaTheme="minorHAnsi" w:cstheme="minorBidi"/>
          <w:color w:val="auto"/>
          <w:kern w:val="2"/>
          <w:lang w:eastAsia="en-US"/>
          <w14:ligatures w14:val="standardContextual"/>
        </w:rPr>
      </w:pPr>
      <w:r>
        <w:rPr>
          <w:rFonts w:eastAsiaTheme="minorHAnsi" w:cstheme="minorBidi"/>
          <w:color w:val="auto"/>
          <w:kern w:val="2"/>
          <w:lang w:eastAsia="en-US"/>
          <w14:ligatures w14:val="standardContextual"/>
        </w:rPr>
        <w:t xml:space="preserve">Vervolgens </w:t>
      </w:r>
      <w:r w:rsidR="001927B5">
        <w:rPr>
          <w:rFonts w:eastAsiaTheme="minorHAnsi" w:cstheme="minorBidi"/>
          <w:color w:val="auto"/>
          <w:kern w:val="2"/>
          <w:lang w:eastAsia="en-US"/>
          <w14:ligatures w14:val="standardContextual"/>
        </w:rPr>
        <w:t>concludeerden</w:t>
      </w:r>
      <w:r>
        <w:rPr>
          <w:rFonts w:eastAsiaTheme="minorHAnsi" w:cstheme="minorBidi"/>
          <w:color w:val="auto"/>
          <w:kern w:val="2"/>
          <w:lang w:eastAsia="en-US"/>
          <w14:ligatures w14:val="standardContextual"/>
        </w:rPr>
        <w:t xml:space="preserve"> </w:t>
      </w:r>
      <w:r w:rsidRPr="00A67F4A" w:rsidR="00A67F4A">
        <w:rPr>
          <w:rFonts w:eastAsiaTheme="minorHAnsi" w:cstheme="minorBidi"/>
          <w:color w:val="auto"/>
          <w:kern w:val="2"/>
          <w:lang w:eastAsia="en-US"/>
          <w14:ligatures w14:val="standardContextual"/>
        </w:rPr>
        <w:t xml:space="preserve">de onderzoekers </w:t>
      </w:r>
      <w:r>
        <w:rPr>
          <w:rFonts w:eastAsiaTheme="minorHAnsi" w:cstheme="minorBidi"/>
          <w:color w:val="auto"/>
          <w:kern w:val="2"/>
          <w:lang w:eastAsia="en-US"/>
          <w14:ligatures w14:val="standardContextual"/>
        </w:rPr>
        <w:t xml:space="preserve">dat </w:t>
      </w:r>
      <w:r w:rsidR="00306941">
        <w:rPr>
          <w:rFonts w:eastAsiaTheme="minorHAnsi" w:cstheme="minorBidi"/>
          <w:color w:val="auto"/>
          <w:kern w:val="2"/>
          <w:lang w:eastAsia="en-US"/>
          <w14:ligatures w14:val="standardContextual"/>
        </w:rPr>
        <w:t xml:space="preserve">de </w:t>
      </w:r>
      <w:r w:rsidRPr="00A67F4A" w:rsidR="00A67F4A">
        <w:rPr>
          <w:rFonts w:eastAsiaTheme="minorHAnsi" w:cstheme="minorBidi"/>
          <w:color w:val="auto"/>
          <w:kern w:val="2"/>
          <w:lang w:eastAsia="en-US"/>
          <w14:ligatures w14:val="standardContextual"/>
        </w:rPr>
        <w:t>regelingen doelmatig</w:t>
      </w:r>
      <w:r>
        <w:rPr>
          <w:rFonts w:eastAsiaTheme="minorHAnsi" w:cstheme="minorBidi"/>
          <w:color w:val="auto"/>
          <w:kern w:val="2"/>
          <w:lang w:eastAsia="en-US"/>
          <w14:ligatures w14:val="standardContextual"/>
        </w:rPr>
        <w:t xml:space="preserve"> zijn</w:t>
      </w:r>
      <w:r w:rsidRPr="00A67F4A" w:rsidR="00A67F4A">
        <w:rPr>
          <w:rFonts w:eastAsiaTheme="minorHAnsi" w:cstheme="minorBidi"/>
          <w:color w:val="auto"/>
          <w:kern w:val="2"/>
          <w:lang w:eastAsia="en-US"/>
          <w14:ligatures w14:val="standardContextual"/>
        </w:rPr>
        <w:t>. De afspraken in het NOVB</w:t>
      </w:r>
      <w:r w:rsidR="00D057FD">
        <w:rPr>
          <w:rFonts w:eastAsiaTheme="minorHAnsi" w:cstheme="minorBidi"/>
          <w:color w:val="auto"/>
          <w:kern w:val="2"/>
          <w:lang w:eastAsia="en-US"/>
          <w14:ligatures w14:val="standardContextual"/>
        </w:rPr>
        <w:t xml:space="preserve"> </w:t>
      </w:r>
      <w:r w:rsidRPr="00A67F4A" w:rsidR="00A67F4A">
        <w:rPr>
          <w:rFonts w:eastAsiaTheme="minorHAnsi" w:cstheme="minorBidi"/>
          <w:color w:val="auto"/>
          <w:kern w:val="2"/>
          <w:lang w:eastAsia="en-US"/>
          <w14:ligatures w14:val="standardContextual"/>
        </w:rPr>
        <w:t xml:space="preserve">over </w:t>
      </w:r>
      <w:r w:rsidRPr="00A67F4A" w:rsidR="00E607F7">
        <w:rPr>
          <w:rFonts w:eastAsiaTheme="minorHAnsi" w:cstheme="minorBidi"/>
          <w:color w:val="auto"/>
          <w:kern w:val="2"/>
          <w:lang w:eastAsia="en-US"/>
          <w14:ligatures w14:val="standardContextual"/>
        </w:rPr>
        <w:t>een kostendekkingsgraad van aanvankelijk 93 tot 95% op concessieniveau</w:t>
      </w:r>
      <w:r>
        <w:rPr>
          <w:rFonts w:eastAsiaTheme="minorHAnsi" w:cstheme="minorBidi"/>
          <w:color w:val="auto"/>
          <w:kern w:val="2"/>
          <w:lang w:eastAsia="en-US"/>
          <w14:ligatures w14:val="standardContextual"/>
        </w:rPr>
        <w:t>,</w:t>
      </w:r>
      <w:r w:rsidRPr="00A67F4A" w:rsidR="00E607F7">
        <w:rPr>
          <w:rFonts w:eastAsiaTheme="minorHAnsi" w:cstheme="minorBidi"/>
          <w:color w:val="auto"/>
          <w:kern w:val="2"/>
          <w:lang w:eastAsia="en-US"/>
          <w14:ligatures w14:val="standardContextual"/>
        </w:rPr>
        <w:t xml:space="preserve"> </w:t>
      </w:r>
      <w:r w:rsidRPr="00A67F4A" w:rsidR="00A67F4A">
        <w:rPr>
          <w:rFonts w:eastAsiaTheme="minorHAnsi" w:cstheme="minorBidi"/>
          <w:color w:val="auto"/>
          <w:kern w:val="2"/>
          <w:lang w:eastAsia="en-US"/>
          <w14:ligatures w14:val="standardContextual"/>
        </w:rPr>
        <w:t xml:space="preserve">onder meer </w:t>
      </w:r>
      <w:r w:rsidR="00E607F7">
        <w:rPr>
          <w:rFonts w:eastAsiaTheme="minorHAnsi" w:cstheme="minorBidi"/>
          <w:color w:val="auto"/>
          <w:kern w:val="2"/>
          <w:lang w:eastAsia="en-US"/>
          <w14:ligatures w14:val="standardContextual"/>
        </w:rPr>
        <w:t xml:space="preserve">door </w:t>
      </w:r>
      <w:r w:rsidRPr="00A67F4A" w:rsidR="00A67F4A">
        <w:rPr>
          <w:rFonts w:eastAsiaTheme="minorHAnsi" w:cstheme="minorBidi"/>
          <w:color w:val="auto"/>
          <w:kern w:val="2"/>
          <w:lang w:eastAsia="en-US"/>
          <w14:ligatures w14:val="standardContextual"/>
        </w:rPr>
        <w:t xml:space="preserve">het doorbetalen van vaste exploitatiebijdragen en van de vergoeding voor </w:t>
      </w:r>
      <w:r w:rsidR="00D057FD">
        <w:rPr>
          <w:rFonts w:eastAsiaTheme="minorHAnsi" w:cstheme="minorBidi"/>
          <w:color w:val="auto"/>
          <w:kern w:val="2"/>
          <w:lang w:eastAsia="en-US"/>
          <w14:ligatures w14:val="standardContextual"/>
        </w:rPr>
        <w:t xml:space="preserve">het gebruik van </w:t>
      </w:r>
      <w:r w:rsidRPr="00A67F4A" w:rsidR="00A67F4A">
        <w:rPr>
          <w:rFonts w:eastAsiaTheme="minorHAnsi" w:cstheme="minorBidi"/>
          <w:color w:val="auto"/>
          <w:kern w:val="2"/>
          <w:lang w:eastAsia="en-US"/>
          <w14:ligatures w14:val="standardContextual"/>
        </w:rPr>
        <w:t>het studentenreisrecht (SOV-contract), waren</w:t>
      </w:r>
      <w:r w:rsidR="00E607F7">
        <w:rPr>
          <w:rFonts w:eastAsiaTheme="minorHAnsi" w:cstheme="minorBidi"/>
          <w:color w:val="auto"/>
          <w:kern w:val="2"/>
          <w:lang w:eastAsia="en-US"/>
          <w14:ligatures w14:val="standardContextual"/>
        </w:rPr>
        <w:t xml:space="preserve"> </w:t>
      </w:r>
      <w:r w:rsidRPr="00A67F4A" w:rsidR="00A67F4A">
        <w:rPr>
          <w:rFonts w:eastAsiaTheme="minorHAnsi" w:cstheme="minorBidi"/>
          <w:color w:val="auto"/>
          <w:kern w:val="2"/>
          <w:lang w:eastAsia="en-US"/>
          <w14:ligatures w14:val="standardContextual"/>
        </w:rPr>
        <w:t xml:space="preserve">voldoende om de doelen van de regelingen te bereiken zonder dat deze hoger waren dan noodzakelijk. De keuze werd gemaakt om het openbaarvervoeraanbod gedurende een groot deel van de pandemie te handhaven op ongeveer 80% tot 90% van het oorspronkelijke aanbod, terwijl het gebruik op sommige momenten tot circa 70% lager lag dan voor de pandemie. Hoewel een verdergaande afschaling mogelijk tot lagere </w:t>
      </w:r>
      <w:r w:rsidR="00E607F7">
        <w:rPr>
          <w:rFonts w:eastAsiaTheme="minorHAnsi" w:cstheme="minorBidi"/>
          <w:color w:val="auto"/>
          <w:kern w:val="2"/>
          <w:lang w:eastAsia="en-US"/>
          <w14:ligatures w14:val="standardContextual"/>
        </w:rPr>
        <w:t>uitkeringen</w:t>
      </w:r>
      <w:r w:rsidRPr="00A67F4A" w:rsidR="00A67F4A">
        <w:rPr>
          <w:rFonts w:eastAsiaTheme="minorHAnsi" w:cstheme="minorBidi"/>
          <w:color w:val="auto"/>
          <w:kern w:val="2"/>
          <w:lang w:eastAsia="en-US"/>
          <w14:ligatures w14:val="standardContextual"/>
        </w:rPr>
        <w:t xml:space="preserve"> had kunnen leiden, overheerste bij het opstellen van de regelingen de overtuiging dat het maatschappelijk belang van het beschikbaar houden van het ov zwaarder woog. Het </w:t>
      </w:r>
      <w:r w:rsidR="002D1C07">
        <w:rPr>
          <w:rFonts w:eastAsiaTheme="minorHAnsi" w:cstheme="minorBidi"/>
          <w:color w:val="auto"/>
          <w:kern w:val="2"/>
          <w:lang w:eastAsia="en-US"/>
          <w14:ligatures w14:val="standardContextual"/>
        </w:rPr>
        <w:t>“</w:t>
      </w:r>
      <w:r w:rsidRPr="00A67F4A" w:rsidR="00A67F4A">
        <w:rPr>
          <w:rFonts w:eastAsiaTheme="minorHAnsi" w:cstheme="minorBidi"/>
          <w:color w:val="auto"/>
          <w:kern w:val="2"/>
          <w:lang w:eastAsia="en-US"/>
          <w14:ligatures w14:val="standardContextual"/>
        </w:rPr>
        <w:t>Protocol verantwoord reizen</w:t>
      </w:r>
      <w:r w:rsidR="002D1C07">
        <w:rPr>
          <w:rFonts w:eastAsiaTheme="minorHAnsi" w:cstheme="minorBidi"/>
          <w:color w:val="auto"/>
          <w:kern w:val="2"/>
          <w:lang w:eastAsia="en-US"/>
          <w14:ligatures w14:val="standardContextual"/>
        </w:rPr>
        <w:t>”</w:t>
      </w:r>
      <w:r w:rsidRPr="00A67F4A" w:rsidR="00A67F4A">
        <w:rPr>
          <w:rFonts w:eastAsiaTheme="minorHAnsi" w:cstheme="minorBidi"/>
          <w:color w:val="auto"/>
          <w:kern w:val="2"/>
          <w:lang w:eastAsia="en-US"/>
          <w14:ligatures w14:val="standardContextual"/>
        </w:rPr>
        <w:t>, dat resulteerde in een beperkter gebruik van zit- en staanplaatsen, gaf mede aanleiding om slechts beperkt af te schalen. Ook werd overwogen dat een sterke afbouw van het aanbod zou leiden tot hogere kosten en langere hersteltijden na afloop van de pandemie.</w:t>
      </w:r>
    </w:p>
    <w:p w:rsidRPr="00A67F4A" w:rsidR="00A67F4A" w:rsidP="00A67F4A" w:rsidRDefault="00A67F4A" w14:paraId="46098FC4" w14:textId="46611840">
      <w:pPr>
        <w:autoSpaceDN/>
        <w:spacing w:after="160"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 xml:space="preserve">Tot slot concluderen de onderzoekers dat de regelingen op een doelmatige wijze zijn uitgevoerd. De uitvoeringskosten, uitgedrukt als percentage van het totaal aan verstrekte vergoedingen, bleken relatief laag in vergelijking tot andere grote subsidieregelingen. </w:t>
      </w:r>
      <w:r w:rsidR="00102C86">
        <w:rPr>
          <w:rFonts w:eastAsiaTheme="minorHAnsi" w:cstheme="minorBidi"/>
          <w:color w:val="auto"/>
          <w:kern w:val="2"/>
          <w:lang w:eastAsia="en-US"/>
          <w14:ligatures w14:val="standardContextual"/>
        </w:rPr>
        <w:t>D</w:t>
      </w:r>
      <w:r w:rsidRPr="00A67F4A">
        <w:rPr>
          <w:rFonts w:eastAsiaTheme="minorHAnsi" w:cstheme="minorBidi"/>
          <w:color w:val="auto"/>
          <w:kern w:val="2"/>
          <w:lang w:eastAsia="en-US"/>
          <w14:ligatures w14:val="standardContextual"/>
        </w:rPr>
        <w:t>it</w:t>
      </w:r>
      <w:r w:rsidR="00102C86">
        <w:rPr>
          <w:rFonts w:eastAsiaTheme="minorHAnsi" w:cstheme="minorBidi"/>
          <w:color w:val="auto"/>
          <w:kern w:val="2"/>
          <w:lang w:eastAsia="en-US"/>
          <w14:ligatures w14:val="standardContextual"/>
        </w:rPr>
        <w:t xml:space="preserve"> is</w:t>
      </w:r>
      <w:r w:rsidRPr="00A67F4A">
        <w:rPr>
          <w:rFonts w:eastAsiaTheme="minorHAnsi" w:cstheme="minorBidi"/>
          <w:color w:val="auto"/>
          <w:kern w:val="2"/>
          <w:lang w:eastAsia="en-US"/>
          <w14:ligatures w14:val="standardContextual"/>
        </w:rPr>
        <w:t xml:space="preserve"> mede het gevolg van het feit dat bij de uitvoering in belangrijke mate gebruik werd gemaakt van bestaande werkwijzen en structuren voor subsidieverstrekking en -verantwoording.</w:t>
      </w:r>
      <w:r w:rsidR="002D1C07">
        <w:rPr>
          <w:rStyle w:val="FootnoteReference"/>
          <w:rFonts w:eastAsiaTheme="minorHAnsi" w:cstheme="minorBidi"/>
          <w:color w:val="auto"/>
          <w:kern w:val="2"/>
          <w:lang w:eastAsia="en-US"/>
          <w14:ligatures w14:val="standardContextual"/>
        </w:rPr>
        <w:footnoteReference w:id="7"/>
      </w:r>
    </w:p>
    <w:p w:rsidRPr="00D74B79" w:rsidR="00A67F4A" w:rsidP="00D74B79" w:rsidRDefault="00A67F4A" w14:paraId="77DD26A5" w14:textId="77777777">
      <w:pPr>
        <w:autoSpaceDN/>
        <w:spacing w:line="278" w:lineRule="auto"/>
        <w:textAlignment w:val="auto"/>
        <w:rPr>
          <w:i/>
          <w:color w:val="auto"/>
          <w:kern w:val="2"/>
          <w14:ligatures w14:val="standardContextual"/>
        </w:rPr>
      </w:pPr>
      <w:r w:rsidRPr="00D74B79">
        <w:rPr>
          <w:i/>
          <w:color w:val="auto"/>
          <w:kern w:val="2"/>
          <w14:ligatures w14:val="standardContextual"/>
        </w:rPr>
        <w:t xml:space="preserve">Reactie op conclusies </w:t>
      </w:r>
    </w:p>
    <w:p w:rsidR="00A67F4A" w:rsidP="00A67F4A" w:rsidRDefault="00A67F4A" w14:paraId="7A207CFA" w14:textId="4DFDB119">
      <w:pPr>
        <w:autoSpaceDN/>
        <w:spacing w:after="160" w:line="278" w:lineRule="auto"/>
        <w:textAlignment w:val="auto"/>
        <w:rPr>
          <w:color w:val="auto"/>
          <w:kern w:val="2"/>
          <w14:ligatures w14:val="standardContextual"/>
        </w:rPr>
      </w:pPr>
      <w:r w:rsidRPr="00D74B79">
        <w:rPr>
          <w:color w:val="auto"/>
          <w:kern w:val="2"/>
          <w14:ligatures w14:val="standardContextual"/>
        </w:rPr>
        <w:t xml:space="preserve">Ik deel de conclusies van de onderzoekers. Ik constateer dat er in een korte periode en in nauwe samenspraak met de sector regelingen zijn ontwikkeld en uitgevoerd waardoor het </w:t>
      </w:r>
      <w:r w:rsidR="00102C86">
        <w:rPr>
          <w:rFonts w:eastAsiaTheme="minorHAnsi" w:cstheme="minorBidi"/>
          <w:color w:val="auto"/>
          <w:kern w:val="2"/>
          <w:lang w:eastAsia="en-US"/>
          <w14:ligatures w14:val="standardContextual"/>
        </w:rPr>
        <w:t>OV</w:t>
      </w:r>
      <w:r w:rsidRPr="00D74B79" w:rsidR="00102C86">
        <w:rPr>
          <w:color w:val="auto"/>
          <w:kern w:val="2"/>
          <w14:ligatures w14:val="standardContextual"/>
        </w:rPr>
        <w:t xml:space="preserve"> </w:t>
      </w:r>
      <w:r w:rsidRPr="00D74B79">
        <w:rPr>
          <w:color w:val="auto"/>
          <w:kern w:val="2"/>
          <w14:ligatures w14:val="standardContextual"/>
        </w:rPr>
        <w:t>beschikbaar bleef als vitale voorziening voor zorgpersoneel en voor essentiële reizen. Ik ben blij met de constatering dat de regelingen doeltreffend en doelmatig waren</w:t>
      </w:r>
      <w:r w:rsidRPr="00030FEE" w:rsidR="002D1C07">
        <w:rPr>
          <w:rFonts w:eastAsiaTheme="minorHAnsi" w:cstheme="minorBidi"/>
          <w:color w:val="auto"/>
          <w:kern w:val="2"/>
          <w:lang w:eastAsia="en-US"/>
          <w14:ligatures w14:val="standardContextual"/>
        </w:rPr>
        <w:t>.</w:t>
      </w:r>
      <w:r w:rsidRPr="00030FEE">
        <w:rPr>
          <w:rFonts w:eastAsiaTheme="minorHAnsi" w:cstheme="minorBidi"/>
          <w:color w:val="auto"/>
          <w:kern w:val="2"/>
          <w:lang w:eastAsia="en-US"/>
          <w14:ligatures w14:val="standardContextual"/>
        </w:rPr>
        <w:t xml:space="preserve"> </w:t>
      </w:r>
      <w:r w:rsidR="00102C86">
        <w:rPr>
          <w:rFonts w:eastAsiaTheme="minorHAnsi" w:cstheme="minorBidi"/>
          <w:color w:val="auto"/>
          <w:kern w:val="2"/>
          <w:lang w:eastAsia="en-US"/>
          <w14:ligatures w14:val="standardContextual"/>
        </w:rPr>
        <w:t>Ik constateer ook</w:t>
      </w:r>
      <w:r w:rsidRPr="00D74B79" w:rsidR="00102C86">
        <w:rPr>
          <w:color w:val="auto"/>
          <w:kern w:val="2"/>
          <w14:ligatures w14:val="standardContextual"/>
        </w:rPr>
        <w:t xml:space="preserve"> </w:t>
      </w:r>
      <w:r w:rsidRPr="00D74B79">
        <w:rPr>
          <w:color w:val="auto"/>
          <w:kern w:val="2"/>
          <w14:ligatures w14:val="standardContextual"/>
        </w:rPr>
        <w:t xml:space="preserve">dat de uitzonderlijke omstandigheden ertoe leidden dat betere afstemming van het aanbod op de vervoersvraag minder snel tot stand kwam dan beoogd. </w:t>
      </w:r>
    </w:p>
    <w:p w:rsidR="00660F27" w:rsidP="00A67F4A" w:rsidRDefault="00660F27" w14:paraId="76353BAD" w14:textId="77777777">
      <w:pPr>
        <w:autoSpaceDN/>
        <w:spacing w:after="160" w:line="278" w:lineRule="auto"/>
        <w:textAlignment w:val="auto"/>
        <w:rPr>
          <w:color w:val="auto"/>
          <w:kern w:val="2"/>
          <w14:ligatures w14:val="standardContextual"/>
        </w:rPr>
      </w:pPr>
    </w:p>
    <w:p w:rsidRPr="00D74B79" w:rsidR="00660F27" w:rsidP="00A67F4A" w:rsidRDefault="00660F27" w14:paraId="5F9BBD67" w14:textId="77777777">
      <w:pPr>
        <w:autoSpaceDN/>
        <w:spacing w:after="160" w:line="278" w:lineRule="auto"/>
        <w:textAlignment w:val="auto"/>
        <w:rPr>
          <w:color w:val="auto"/>
          <w:kern w:val="2"/>
          <w14:ligatures w14:val="standardContextual"/>
        </w:rPr>
      </w:pPr>
    </w:p>
    <w:p w:rsidRPr="00030FEE" w:rsidR="00A67F4A" w:rsidP="00D74B79" w:rsidRDefault="00A67F4A" w14:paraId="4B677888" w14:textId="187FDF08">
      <w:pPr>
        <w:autoSpaceDN/>
        <w:spacing w:line="278" w:lineRule="auto"/>
        <w:textAlignment w:val="auto"/>
        <w:rPr>
          <w:rFonts w:eastAsiaTheme="minorHAnsi" w:cstheme="minorBidi"/>
          <w:b/>
          <w:bCs/>
          <w:color w:val="auto"/>
          <w:kern w:val="2"/>
          <w:lang w:eastAsia="en-US"/>
          <w14:ligatures w14:val="standardContextual"/>
        </w:rPr>
      </w:pPr>
      <w:r w:rsidRPr="00030FEE">
        <w:rPr>
          <w:rFonts w:eastAsiaTheme="minorHAnsi" w:cstheme="minorBidi"/>
          <w:b/>
          <w:bCs/>
          <w:color w:val="auto"/>
          <w:kern w:val="2"/>
          <w:lang w:eastAsia="en-US"/>
          <w14:ligatures w14:val="standardContextual"/>
        </w:rPr>
        <w:t xml:space="preserve">Aanbevelingen en reactie </w:t>
      </w:r>
      <w:r w:rsidR="008E2586">
        <w:rPr>
          <w:rFonts w:eastAsiaTheme="minorHAnsi" w:cstheme="minorBidi"/>
          <w:b/>
          <w:bCs/>
          <w:color w:val="auto"/>
          <w:kern w:val="2"/>
          <w:lang w:eastAsia="en-US"/>
          <w14:ligatures w14:val="standardContextual"/>
        </w:rPr>
        <w:t>op de aanbevelingen</w:t>
      </w:r>
    </w:p>
    <w:p w:rsidRPr="00030FEE" w:rsidR="00A67F4A" w:rsidP="00A67F4A" w:rsidRDefault="002D1C07" w14:paraId="5B87E108" w14:textId="366ABC40">
      <w:pPr>
        <w:autoSpaceDN/>
        <w:spacing w:after="160" w:line="278" w:lineRule="auto"/>
        <w:textAlignment w:val="auto"/>
        <w:rPr>
          <w:rFonts w:eastAsiaTheme="minorHAnsi" w:cstheme="minorBidi"/>
          <w:color w:val="auto"/>
          <w:kern w:val="2"/>
          <w:lang w:eastAsia="en-US"/>
          <w14:ligatures w14:val="standardContextual"/>
        </w:rPr>
      </w:pPr>
      <w:r w:rsidRPr="00030FEE">
        <w:rPr>
          <w:rFonts w:eastAsiaTheme="minorHAnsi" w:cstheme="minorBidi"/>
          <w:color w:val="auto"/>
          <w:kern w:val="2"/>
          <w:lang w:eastAsia="en-US"/>
          <w14:ligatures w14:val="standardContextual"/>
        </w:rPr>
        <w:t xml:space="preserve">Er worden </w:t>
      </w:r>
      <w:r w:rsidRPr="00030FEE" w:rsidR="00A67F4A">
        <w:rPr>
          <w:rFonts w:eastAsiaTheme="minorHAnsi" w:cstheme="minorBidi"/>
          <w:color w:val="auto"/>
          <w:kern w:val="2"/>
          <w:lang w:eastAsia="en-US"/>
          <w14:ligatures w14:val="standardContextual"/>
        </w:rPr>
        <w:t>aanbevelingen voor de wijze waarop het Rijk, in samenwerking met decentrale overheden en vervoerders, kan handelen wanneer zich opnieuw een crisissituatie voordoet</w:t>
      </w:r>
      <w:r w:rsidRPr="00030FEE">
        <w:rPr>
          <w:rFonts w:eastAsiaTheme="minorHAnsi" w:cstheme="minorBidi"/>
          <w:color w:val="auto"/>
          <w:kern w:val="2"/>
          <w:lang w:eastAsia="en-US"/>
          <w14:ligatures w14:val="standardContextual"/>
        </w:rPr>
        <w:t xml:space="preserve"> en </w:t>
      </w:r>
      <w:r w:rsidRPr="00030FEE" w:rsidR="00A67F4A">
        <w:rPr>
          <w:rFonts w:eastAsiaTheme="minorHAnsi" w:cstheme="minorBidi"/>
          <w:color w:val="auto"/>
          <w:kern w:val="2"/>
          <w:lang w:eastAsia="en-US"/>
          <w14:ligatures w14:val="standardContextual"/>
        </w:rPr>
        <w:t xml:space="preserve">de reizigersopbrengsten </w:t>
      </w:r>
      <w:r w:rsidR="008E2586">
        <w:rPr>
          <w:rFonts w:eastAsiaTheme="minorHAnsi" w:cstheme="minorBidi"/>
          <w:color w:val="auto"/>
          <w:kern w:val="2"/>
          <w:lang w:eastAsia="en-US"/>
          <w14:ligatures w14:val="standardContextual"/>
        </w:rPr>
        <w:t xml:space="preserve">opnieuw </w:t>
      </w:r>
      <w:r w:rsidRPr="00030FEE" w:rsidR="00A67F4A">
        <w:rPr>
          <w:rFonts w:eastAsiaTheme="minorHAnsi" w:cstheme="minorBidi"/>
          <w:color w:val="auto"/>
          <w:kern w:val="2"/>
          <w:lang w:eastAsia="en-US"/>
          <w14:ligatures w14:val="standardContextual"/>
        </w:rPr>
        <w:t xml:space="preserve">onder druk staan. </w:t>
      </w:r>
      <w:r w:rsidRPr="00D74B79" w:rsidR="00A81024">
        <w:rPr>
          <w:color w:val="auto"/>
          <w:kern w:val="2"/>
          <w14:ligatures w14:val="standardContextual"/>
        </w:rPr>
        <w:t xml:space="preserve">De </w:t>
      </w:r>
      <w:r w:rsidR="00A81024">
        <w:rPr>
          <w:rFonts w:eastAsiaTheme="minorHAnsi" w:cstheme="minorBidi"/>
          <w:color w:val="auto"/>
          <w:kern w:val="2"/>
          <w:lang w:eastAsia="en-US"/>
          <w14:ligatures w14:val="standardContextual"/>
        </w:rPr>
        <w:t>belangrijkste</w:t>
      </w:r>
      <w:r w:rsidRPr="00D74B79" w:rsidR="00A81024">
        <w:rPr>
          <w:color w:val="auto"/>
          <w:kern w:val="2"/>
          <w14:ligatures w14:val="standardContextual"/>
        </w:rPr>
        <w:t xml:space="preserve"> aanbevelingen </w:t>
      </w:r>
      <w:r w:rsidR="00A81024">
        <w:rPr>
          <w:rFonts w:eastAsiaTheme="minorHAnsi" w:cstheme="minorBidi"/>
          <w:color w:val="auto"/>
          <w:kern w:val="2"/>
          <w:lang w:eastAsia="en-US"/>
          <w14:ligatures w14:val="standardContextual"/>
        </w:rPr>
        <w:t>noem ik hieronder.</w:t>
      </w:r>
    </w:p>
    <w:p w:rsidRPr="00030FEE" w:rsidR="006E54FA" w:rsidP="001927B5" w:rsidRDefault="006E54FA" w14:paraId="5596EB31" w14:textId="7E6C9D3E">
      <w:pPr>
        <w:autoSpaceDN/>
        <w:spacing w:line="278" w:lineRule="auto"/>
        <w:textAlignment w:val="auto"/>
        <w:rPr>
          <w:rFonts w:eastAsiaTheme="minorHAnsi" w:cstheme="minorBidi"/>
          <w:i/>
          <w:iCs/>
          <w:color w:val="auto"/>
          <w:kern w:val="2"/>
          <w:lang w:eastAsia="en-US"/>
          <w14:ligatures w14:val="standardContextual"/>
        </w:rPr>
      </w:pPr>
      <w:r w:rsidRPr="00030FEE">
        <w:rPr>
          <w:rFonts w:eastAsiaTheme="minorHAnsi" w:cstheme="minorBidi"/>
          <w:i/>
          <w:iCs/>
          <w:color w:val="auto"/>
          <w:kern w:val="2"/>
          <w:lang w:eastAsia="en-US"/>
          <w14:ligatures w14:val="standardContextual"/>
        </w:rPr>
        <w:t>Aanbeveling 1 Dezelfde systematiek hanteren</w:t>
      </w:r>
    </w:p>
    <w:p w:rsidRPr="00030FEE" w:rsidR="00A67F4A" w:rsidP="00A67F4A" w:rsidRDefault="00A67F4A" w14:paraId="06D0D1C4" w14:textId="23609036">
      <w:pPr>
        <w:autoSpaceDN/>
        <w:spacing w:after="160" w:line="278" w:lineRule="auto"/>
        <w:textAlignment w:val="auto"/>
        <w:rPr>
          <w:rFonts w:eastAsiaTheme="minorHAnsi" w:cstheme="minorBidi"/>
          <w:color w:val="auto"/>
          <w:kern w:val="2"/>
          <w:lang w:eastAsia="en-US"/>
          <w14:ligatures w14:val="standardContextual"/>
        </w:rPr>
      </w:pPr>
      <w:r w:rsidRPr="00030FEE">
        <w:rPr>
          <w:rFonts w:eastAsiaTheme="minorHAnsi" w:cstheme="minorBidi"/>
          <w:color w:val="auto"/>
          <w:kern w:val="2"/>
          <w:lang w:eastAsia="en-US"/>
          <w14:ligatures w14:val="standardContextual"/>
        </w:rPr>
        <w:t>Aanbevolen wordt om steunmaatregelen in een toekomstige crisissituatie opnieuw te baseren op de systematiek van geïndexeerde referentiekosten, zoals toegepast in de BVOV-regelingen vanaf 2021 en in de TVOV-regelingen</w:t>
      </w:r>
      <w:r w:rsidR="0019709E">
        <w:rPr>
          <w:rFonts w:eastAsiaTheme="minorHAnsi" w:cstheme="minorBidi"/>
          <w:color w:val="auto"/>
          <w:kern w:val="2"/>
          <w:lang w:eastAsia="en-US"/>
          <w14:ligatures w14:val="standardContextual"/>
        </w:rPr>
        <w:t xml:space="preserve"> en hierbij </w:t>
      </w:r>
      <w:r w:rsidRPr="00030FEE">
        <w:rPr>
          <w:rFonts w:eastAsiaTheme="minorHAnsi" w:cstheme="minorBidi"/>
          <w:color w:val="auto"/>
          <w:kern w:val="2"/>
          <w:lang w:eastAsia="en-US"/>
          <w14:ligatures w14:val="standardContextual"/>
        </w:rPr>
        <w:t>weer gebruik te maken van de kennis en ervaring in de sector</w:t>
      </w:r>
      <w:r w:rsidR="0019709E">
        <w:rPr>
          <w:rFonts w:eastAsiaTheme="minorHAnsi" w:cstheme="minorBidi"/>
          <w:color w:val="auto"/>
          <w:kern w:val="2"/>
          <w:lang w:eastAsia="en-US"/>
          <w14:ligatures w14:val="standardContextual"/>
        </w:rPr>
        <w:t>.</w:t>
      </w:r>
      <w:r w:rsidRPr="00030FEE">
        <w:rPr>
          <w:rFonts w:eastAsiaTheme="minorHAnsi" w:cstheme="minorBidi"/>
          <w:color w:val="auto"/>
          <w:kern w:val="2"/>
          <w:lang w:eastAsia="en-US"/>
          <w14:ligatures w14:val="standardContextual"/>
        </w:rPr>
        <w:t xml:space="preserve"> </w:t>
      </w:r>
    </w:p>
    <w:p w:rsidRPr="00030FEE" w:rsidR="006E54FA" w:rsidP="001927B5" w:rsidRDefault="006E54FA" w14:paraId="04D48584" w14:textId="4A892B5A">
      <w:pPr>
        <w:autoSpaceDN/>
        <w:spacing w:line="278" w:lineRule="auto"/>
        <w:textAlignment w:val="auto"/>
        <w:rPr>
          <w:rFonts w:eastAsiaTheme="minorHAnsi" w:cstheme="minorBidi"/>
          <w:i/>
          <w:iCs/>
          <w:color w:val="auto"/>
          <w:kern w:val="2"/>
          <w:lang w:eastAsia="en-US"/>
          <w14:ligatures w14:val="standardContextual"/>
        </w:rPr>
      </w:pPr>
      <w:r w:rsidRPr="00030FEE">
        <w:rPr>
          <w:rFonts w:eastAsiaTheme="minorHAnsi" w:cstheme="minorBidi"/>
          <w:i/>
          <w:iCs/>
          <w:color w:val="auto"/>
          <w:kern w:val="2"/>
          <w:lang w:eastAsia="en-US"/>
          <w14:ligatures w14:val="standardContextual"/>
        </w:rPr>
        <w:t>Aanbeveling 2 Beschikbaarheid van voldoende personeel</w:t>
      </w:r>
    </w:p>
    <w:p w:rsidRPr="00030FEE" w:rsidR="00A67F4A" w:rsidP="00A67F4A" w:rsidRDefault="006E54FA" w14:paraId="140C0839" w14:textId="6F2E60EB">
      <w:pPr>
        <w:autoSpaceDN/>
        <w:spacing w:after="160" w:line="278" w:lineRule="auto"/>
        <w:textAlignment w:val="auto"/>
        <w:rPr>
          <w:rFonts w:eastAsiaTheme="minorHAnsi" w:cstheme="minorBidi"/>
          <w:color w:val="auto"/>
          <w:kern w:val="2"/>
          <w:lang w:eastAsia="en-US"/>
          <w14:ligatures w14:val="standardContextual"/>
        </w:rPr>
      </w:pPr>
      <w:r w:rsidRPr="00030FEE">
        <w:rPr>
          <w:rFonts w:eastAsiaTheme="minorHAnsi" w:cstheme="minorBidi"/>
          <w:color w:val="auto"/>
          <w:kern w:val="2"/>
          <w:lang w:eastAsia="en-US"/>
          <w14:ligatures w14:val="standardContextual"/>
        </w:rPr>
        <w:t>B</w:t>
      </w:r>
      <w:r w:rsidRPr="00030FEE" w:rsidR="00A67F4A">
        <w:rPr>
          <w:rFonts w:eastAsiaTheme="minorHAnsi" w:cstheme="minorBidi"/>
          <w:color w:val="auto"/>
          <w:kern w:val="2"/>
          <w:lang w:eastAsia="en-US"/>
          <w14:ligatures w14:val="standardContextual"/>
        </w:rPr>
        <w:t xml:space="preserve">ij toekomstige regelingen </w:t>
      </w:r>
      <w:r w:rsidRPr="00030FEE">
        <w:rPr>
          <w:rFonts w:eastAsiaTheme="minorHAnsi" w:cstheme="minorBidi"/>
          <w:color w:val="auto"/>
          <w:kern w:val="2"/>
          <w:lang w:eastAsia="en-US"/>
          <w14:ligatures w14:val="standardContextual"/>
        </w:rPr>
        <w:t xml:space="preserve">zou </w:t>
      </w:r>
      <w:r w:rsidRPr="00030FEE" w:rsidR="00A67F4A">
        <w:rPr>
          <w:rFonts w:eastAsiaTheme="minorHAnsi" w:cstheme="minorBidi"/>
          <w:color w:val="auto"/>
          <w:kern w:val="2"/>
          <w:lang w:eastAsia="en-US"/>
          <w14:ligatures w14:val="standardContextual"/>
        </w:rPr>
        <w:t>nadrukkelijker aandacht beste</w:t>
      </w:r>
      <w:r w:rsidRPr="00030FEE">
        <w:rPr>
          <w:rFonts w:eastAsiaTheme="minorHAnsi" w:cstheme="minorBidi"/>
          <w:color w:val="auto"/>
          <w:kern w:val="2"/>
          <w:lang w:eastAsia="en-US"/>
          <w14:ligatures w14:val="standardContextual"/>
        </w:rPr>
        <w:t>e</w:t>
      </w:r>
      <w:r w:rsidRPr="00030FEE" w:rsidR="00A67F4A">
        <w:rPr>
          <w:rFonts w:eastAsiaTheme="minorHAnsi" w:cstheme="minorBidi"/>
          <w:color w:val="auto"/>
          <w:kern w:val="2"/>
          <w:lang w:eastAsia="en-US"/>
          <w14:ligatures w14:val="standardContextual"/>
        </w:rPr>
        <w:t>d</w:t>
      </w:r>
      <w:r w:rsidRPr="00030FEE">
        <w:rPr>
          <w:rFonts w:eastAsiaTheme="minorHAnsi" w:cstheme="minorBidi"/>
          <w:color w:val="auto"/>
          <w:kern w:val="2"/>
          <w:lang w:eastAsia="en-US"/>
          <w14:ligatures w14:val="standardContextual"/>
        </w:rPr>
        <w:t xml:space="preserve"> kunnen worden</w:t>
      </w:r>
      <w:r w:rsidRPr="00030FEE" w:rsidR="00A67F4A">
        <w:rPr>
          <w:rFonts w:eastAsiaTheme="minorHAnsi" w:cstheme="minorBidi"/>
          <w:color w:val="auto"/>
          <w:kern w:val="2"/>
          <w:lang w:eastAsia="en-US"/>
          <w14:ligatures w14:val="standardContextual"/>
        </w:rPr>
        <w:t xml:space="preserve"> aan het beschikbaar houden van essentieel personeel door de </w:t>
      </w:r>
      <w:r w:rsidR="0019709E">
        <w:rPr>
          <w:rFonts w:eastAsiaTheme="minorHAnsi" w:cstheme="minorBidi"/>
          <w:color w:val="auto"/>
          <w:kern w:val="2"/>
          <w:lang w:eastAsia="en-US"/>
          <w14:ligatures w14:val="standardContextual"/>
        </w:rPr>
        <w:t xml:space="preserve">bijdrage </w:t>
      </w:r>
      <w:r w:rsidRPr="00030FEE" w:rsidR="00A67F4A">
        <w:rPr>
          <w:rFonts w:eastAsiaTheme="minorHAnsi" w:cstheme="minorBidi"/>
          <w:color w:val="auto"/>
          <w:kern w:val="2"/>
          <w:lang w:eastAsia="en-US"/>
          <w14:ligatures w14:val="standardContextual"/>
        </w:rPr>
        <w:t xml:space="preserve">te koppelen aan een realistisch personeels- en continuïteitsplan. De beschikbaarheid van voldoende personeel is een belangrijke randvoorwaarde voor het kunnen blijven uitvoeren van ov-diensten. </w:t>
      </w:r>
      <w:r w:rsidRPr="00D74B79" w:rsidR="00A67F4A">
        <w:rPr>
          <w:color w:val="auto"/>
          <w:kern w:val="2"/>
          <w14:ligatures w14:val="standardContextual"/>
        </w:rPr>
        <w:t xml:space="preserve"> </w:t>
      </w:r>
    </w:p>
    <w:p w:rsidRPr="00030FEE" w:rsidR="006E54FA" w:rsidP="001927B5" w:rsidRDefault="006E54FA" w14:paraId="7043C60E" w14:textId="58E4CD5E">
      <w:pPr>
        <w:autoSpaceDN/>
        <w:spacing w:line="278" w:lineRule="auto"/>
        <w:textAlignment w:val="auto"/>
        <w:rPr>
          <w:rFonts w:eastAsiaTheme="minorHAnsi" w:cstheme="minorBidi"/>
          <w:i/>
          <w:iCs/>
          <w:color w:val="auto"/>
          <w:kern w:val="2"/>
          <w:lang w:eastAsia="en-US"/>
          <w14:ligatures w14:val="standardContextual"/>
        </w:rPr>
      </w:pPr>
      <w:r w:rsidRPr="00030FEE">
        <w:rPr>
          <w:rFonts w:eastAsiaTheme="minorHAnsi" w:cstheme="minorBidi"/>
          <w:i/>
          <w:iCs/>
          <w:color w:val="auto"/>
          <w:kern w:val="2"/>
          <w:lang w:eastAsia="en-US"/>
          <w14:ligatures w14:val="standardContextual"/>
        </w:rPr>
        <w:t>Aanbeveling 3 Concrete eisen aan transitieprogramma’s voor na de crisis</w:t>
      </w:r>
    </w:p>
    <w:p w:rsidR="006E54FA" w:rsidP="00A67F4A" w:rsidRDefault="00A67F4A" w14:paraId="3CE339CB" w14:textId="164AC996">
      <w:pPr>
        <w:autoSpaceDN/>
        <w:spacing w:after="160" w:line="278" w:lineRule="auto"/>
        <w:textAlignment w:val="auto"/>
        <w:rPr>
          <w:rFonts w:eastAsiaTheme="minorHAnsi" w:cstheme="minorBidi"/>
          <w:color w:val="auto"/>
          <w:kern w:val="2"/>
          <w:lang w:eastAsia="en-US"/>
          <w14:ligatures w14:val="standardContextual"/>
        </w:rPr>
      </w:pPr>
      <w:r w:rsidRPr="00030FEE">
        <w:rPr>
          <w:rFonts w:eastAsiaTheme="minorHAnsi" w:cstheme="minorBidi"/>
          <w:color w:val="auto"/>
          <w:kern w:val="2"/>
          <w:lang w:eastAsia="en-US"/>
          <w14:ligatures w14:val="standardContextual"/>
        </w:rPr>
        <w:t xml:space="preserve">De toekomstige steunmaatregelen </w:t>
      </w:r>
      <w:r w:rsidRPr="00030FEE" w:rsidR="006E54FA">
        <w:rPr>
          <w:rFonts w:eastAsiaTheme="minorHAnsi" w:cstheme="minorBidi"/>
          <w:color w:val="auto"/>
          <w:kern w:val="2"/>
          <w:lang w:eastAsia="en-US"/>
          <w14:ligatures w14:val="standardContextual"/>
        </w:rPr>
        <w:t xml:space="preserve">of programma’s zouden </w:t>
      </w:r>
      <w:r w:rsidRPr="00030FEE">
        <w:rPr>
          <w:rFonts w:eastAsiaTheme="minorHAnsi" w:cstheme="minorBidi"/>
          <w:color w:val="auto"/>
          <w:kern w:val="2"/>
          <w:lang w:eastAsia="en-US"/>
          <w14:ligatures w14:val="standardContextual"/>
        </w:rPr>
        <w:t xml:space="preserve">concrete eisen </w:t>
      </w:r>
      <w:r w:rsidRPr="00030FEE" w:rsidR="006E54FA">
        <w:rPr>
          <w:rFonts w:eastAsiaTheme="minorHAnsi" w:cstheme="minorBidi"/>
          <w:color w:val="auto"/>
          <w:kern w:val="2"/>
          <w:lang w:eastAsia="en-US"/>
          <w14:ligatures w14:val="standardContextual"/>
        </w:rPr>
        <w:t xml:space="preserve">moeten </w:t>
      </w:r>
      <w:r w:rsidRPr="00030FEE">
        <w:rPr>
          <w:rFonts w:eastAsiaTheme="minorHAnsi" w:cstheme="minorBidi"/>
          <w:color w:val="auto"/>
          <w:kern w:val="2"/>
          <w:lang w:eastAsia="en-US"/>
          <w14:ligatures w14:val="standardContextual"/>
        </w:rPr>
        <w:t xml:space="preserve">stellen aan transitieprogramma’s omdat als gevolg van een crisissituatie </w:t>
      </w:r>
      <w:r w:rsidRPr="00A67F4A">
        <w:rPr>
          <w:rFonts w:eastAsiaTheme="minorHAnsi" w:cstheme="minorBidi"/>
          <w:color w:val="auto"/>
          <w:kern w:val="2"/>
          <w:lang w:eastAsia="en-US"/>
          <w14:ligatures w14:val="standardContextual"/>
        </w:rPr>
        <w:t>reispatronen</w:t>
      </w:r>
      <w:r w:rsidR="006E54FA">
        <w:rPr>
          <w:rFonts w:eastAsiaTheme="minorHAnsi" w:cstheme="minorBidi"/>
          <w:color w:val="auto"/>
          <w:kern w:val="2"/>
          <w:lang w:eastAsia="en-US"/>
          <w14:ligatures w14:val="standardContextual"/>
        </w:rPr>
        <w:t xml:space="preserve"> blijvend</w:t>
      </w:r>
      <w:r w:rsidRPr="00A67F4A">
        <w:rPr>
          <w:rFonts w:eastAsiaTheme="minorHAnsi" w:cstheme="minorBidi"/>
          <w:color w:val="auto"/>
          <w:kern w:val="2"/>
          <w:lang w:eastAsia="en-US"/>
          <w14:ligatures w14:val="standardContextual"/>
        </w:rPr>
        <w:t xml:space="preserve"> ingrijpend kunnen wijzigen</w:t>
      </w:r>
      <w:r w:rsidRPr="0019709E" w:rsidR="0019709E">
        <w:rPr>
          <w:rFonts w:eastAsiaTheme="minorHAnsi" w:cstheme="minorBidi"/>
          <w:color w:val="auto"/>
          <w:kern w:val="2"/>
          <w:lang w:eastAsia="en-US"/>
          <w14:ligatures w14:val="standardContextual"/>
        </w:rPr>
        <w:t xml:space="preserve"> </w:t>
      </w:r>
      <w:r w:rsidR="0019709E">
        <w:rPr>
          <w:rFonts w:eastAsiaTheme="minorHAnsi" w:cstheme="minorBidi"/>
          <w:color w:val="auto"/>
          <w:kern w:val="2"/>
          <w:lang w:eastAsia="en-US"/>
          <w14:ligatures w14:val="standardContextual"/>
        </w:rPr>
        <w:t>e</w:t>
      </w:r>
      <w:r w:rsidRPr="00A67F4A" w:rsidR="0019709E">
        <w:rPr>
          <w:rFonts w:eastAsiaTheme="minorHAnsi" w:cstheme="minorBidi"/>
          <w:color w:val="auto"/>
          <w:kern w:val="2"/>
          <w:lang w:eastAsia="en-US"/>
          <w14:ligatures w14:val="standardContextual"/>
        </w:rPr>
        <w:t>n een</w:t>
      </w:r>
      <w:r w:rsidR="0019709E">
        <w:rPr>
          <w:rFonts w:eastAsiaTheme="minorHAnsi" w:cstheme="minorBidi"/>
          <w:color w:val="auto"/>
          <w:kern w:val="2"/>
          <w:lang w:eastAsia="en-US"/>
          <w14:ligatures w14:val="standardContextual"/>
        </w:rPr>
        <w:t xml:space="preserve"> bijbehorende</w:t>
      </w:r>
      <w:r w:rsidRPr="00A67F4A" w:rsidR="0019709E">
        <w:rPr>
          <w:rFonts w:eastAsiaTheme="minorHAnsi" w:cstheme="minorBidi"/>
          <w:color w:val="auto"/>
          <w:kern w:val="2"/>
          <w:lang w:eastAsia="en-US"/>
          <w14:ligatures w14:val="standardContextual"/>
        </w:rPr>
        <w:t xml:space="preserve"> governance</w:t>
      </w:r>
      <w:r w:rsidR="0019709E">
        <w:rPr>
          <w:rFonts w:eastAsiaTheme="minorHAnsi" w:cstheme="minorBidi"/>
          <w:color w:val="auto"/>
          <w:kern w:val="2"/>
          <w:lang w:eastAsia="en-US"/>
          <w14:ligatures w14:val="standardContextual"/>
        </w:rPr>
        <w:t>-structuur</w:t>
      </w:r>
      <w:r w:rsidRPr="00A67F4A" w:rsidR="0019709E">
        <w:rPr>
          <w:rFonts w:eastAsiaTheme="minorHAnsi" w:cstheme="minorBidi"/>
          <w:color w:val="auto"/>
          <w:kern w:val="2"/>
          <w:lang w:eastAsia="en-US"/>
          <w14:ligatures w14:val="standardContextual"/>
        </w:rPr>
        <w:t xml:space="preserve"> waarin voortgang aantoonbaar wordt gevolgd en kan worden bijgestuurd. </w:t>
      </w:r>
      <w:r w:rsidRPr="00A67F4A">
        <w:rPr>
          <w:rFonts w:eastAsiaTheme="minorHAnsi" w:cstheme="minorBidi"/>
          <w:color w:val="auto"/>
          <w:kern w:val="2"/>
          <w:lang w:eastAsia="en-US"/>
          <w14:ligatures w14:val="standardContextual"/>
        </w:rPr>
        <w:t>Dit vereist een concreet beeld van beoogde resultaten</w:t>
      </w:r>
      <w:r w:rsidR="0019709E">
        <w:rPr>
          <w:rFonts w:eastAsiaTheme="minorHAnsi" w:cstheme="minorBidi"/>
          <w:color w:val="auto"/>
          <w:kern w:val="2"/>
          <w:lang w:eastAsia="en-US"/>
          <w14:ligatures w14:val="standardContextual"/>
        </w:rPr>
        <w:t>.</w:t>
      </w:r>
      <w:r w:rsidR="006E54FA">
        <w:rPr>
          <w:rStyle w:val="FootnoteReference"/>
          <w:rFonts w:eastAsiaTheme="minorHAnsi" w:cstheme="minorBidi"/>
          <w:color w:val="auto"/>
          <w:kern w:val="2"/>
          <w:lang w:eastAsia="en-US"/>
          <w14:ligatures w14:val="standardContextual"/>
        </w:rPr>
        <w:footnoteReference w:id="8"/>
      </w:r>
      <w:r w:rsidR="0019709E">
        <w:rPr>
          <w:rFonts w:eastAsiaTheme="minorHAnsi" w:cstheme="minorBidi"/>
          <w:color w:val="auto"/>
          <w:kern w:val="2"/>
          <w:lang w:eastAsia="en-US"/>
          <w14:ligatures w14:val="standardContextual"/>
        </w:rPr>
        <w:t xml:space="preserve"> </w:t>
      </w:r>
    </w:p>
    <w:p w:rsidRPr="00C77292" w:rsidR="006E54FA" w:rsidP="001927B5" w:rsidRDefault="006E54FA" w14:paraId="4E479C1F" w14:textId="3B9DF652">
      <w:pPr>
        <w:autoSpaceDN/>
        <w:spacing w:line="278" w:lineRule="auto"/>
        <w:textAlignment w:val="auto"/>
        <w:rPr>
          <w:rFonts w:eastAsiaTheme="minorHAnsi" w:cstheme="minorBidi"/>
          <w:i/>
          <w:iCs/>
          <w:color w:val="auto"/>
          <w:kern w:val="2"/>
          <w:lang w:eastAsia="en-US"/>
          <w14:ligatures w14:val="standardContextual"/>
        </w:rPr>
      </w:pPr>
      <w:r>
        <w:rPr>
          <w:rFonts w:eastAsiaTheme="minorHAnsi" w:cstheme="minorBidi"/>
          <w:i/>
          <w:iCs/>
          <w:color w:val="auto"/>
          <w:kern w:val="2"/>
          <w:lang w:eastAsia="en-US"/>
          <w14:ligatures w14:val="standardContextual"/>
        </w:rPr>
        <w:t>Aanbeveling 4; Op nationaal niveau inzetten op spreiding van ov gebruik</w:t>
      </w:r>
    </w:p>
    <w:p w:rsidRPr="00030FEE" w:rsidR="00A67F4A" w:rsidP="00A67F4A" w:rsidRDefault="00A67F4A" w14:paraId="2CA43924" w14:textId="66CBBA11">
      <w:pPr>
        <w:autoSpaceDN/>
        <w:spacing w:after="160"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 xml:space="preserve">Ook </w:t>
      </w:r>
      <w:r w:rsidRPr="00030FEE">
        <w:rPr>
          <w:rFonts w:eastAsiaTheme="minorHAnsi" w:cstheme="minorBidi"/>
          <w:color w:val="auto"/>
          <w:kern w:val="2"/>
          <w:lang w:eastAsia="en-US"/>
          <w14:ligatures w14:val="standardContextual"/>
        </w:rPr>
        <w:t xml:space="preserve">wordt aanbevolen om op nationaal niveau in te zetten op betere spreiding van het ov-gebruik, om zo beschikbare capaciteit efficiënter te benutten. </w:t>
      </w:r>
    </w:p>
    <w:p w:rsidRPr="00D74B79" w:rsidR="00D92BE9" w:rsidP="00D74B79" w:rsidRDefault="00D92BE9" w14:paraId="4843F708" w14:textId="30AE1011">
      <w:pPr>
        <w:autoSpaceDN/>
        <w:spacing w:line="278" w:lineRule="auto"/>
        <w:textAlignment w:val="auto"/>
        <w:rPr>
          <w:i/>
          <w:color w:val="auto"/>
          <w:kern w:val="2"/>
          <w14:ligatures w14:val="standardContextual"/>
        </w:rPr>
      </w:pPr>
      <w:r w:rsidRPr="00030FEE">
        <w:rPr>
          <w:rFonts w:eastAsiaTheme="minorHAnsi" w:cstheme="minorBidi"/>
          <w:i/>
          <w:iCs/>
          <w:color w:val="auto"/>
          <w:kern w:val="2"/>
          <w:lang w:eastAsia="en-US"/>
          <w14:ligatures w14:val="standardContextual"/>
        </w:rPr>
        <w:t>Aanbeveling 5; Inbouwen</w:t>
      </w:r>
      <w:r w:rsidRPr="00D74B79">
        <w:rPr>
          <w:i/>
          <w:color w:val="auto"/>
          <w:kern w:val="2"/>
          <w14:ligatures w14:val="standardContextual"/>
        </w:rPr>
        <w:t xml:space="preserve"> van </w:t>
      </w:r>
      <w:r w:rsidRPr="00030FEE">
        <w:rPr>
          <w:rFonts w:eastAsiaTheme="minorHAnsi" w:cstheme="minorBidi"/>
          <w:i/>
          <w:iCs/>
          <w:color w:val="auto"/>
          <w:kern w:val="2"/>
          <w:lang w:eastAsia="en-US"/>
          <w14:ligatures w14:val="standardContextual"/>
        </w:rPr>
        <w:t>prikkels in de regeling</w:t>
      </w:r>
    </w:p>
    <w:p w:rsidRPr="00D74B79" w:rsidR="00A67F4A" w:rsidP="00A67F4A" w:rsidRDefault="00D92BE9" w14:paraId="3330EA07" w14:textId="75F102DE">
      <w:pPr>
        <w:autoSpaceDN/>
        <w:spacing w:after="160" w:line="278" w:lineRule="auto"/>
        <w:textAlignment w:val="auto"/>
        <w:rPr>
          <w:color w:val="auto"/>
          <w:kern w:val="2"/>
          <w14:ligatures w14:val="standardContextual"/>
        </w:rPr>
      </w:pPr>
      <w:r w:rsidRPr="00030FEE">
        <w:rPr>
          <w:rFonts w:eastAsiaTheme="minorHAnsi" w:cstheme="minorBidi"/>
          <w:color w:val="auto"/>
          <w:kern w:val="2"/>
          <w:lang w:eastAsia="en-US"/>
          <w14:ligatures w14:val="standardContextual"/>
        </w:rPr>
        <w:t>I</w:t>
      </w:r>
      <w:r w:rsidRPr="00030FEE" w:rsidR="00A67F4A">
        <w:rPr>
          <w:rFonts w:eastAsiaTheme="minorHAnsi" w:cstheme="minorBidi"/>
          <w:color w:val="auto"/>
          <w:kern w:val="2"/>
          <w:lang w:eastAsia="en-US"/>
          <w14:ligatures w14:val="standardContextual"/>
        </w:rPr>
        <w:t xml:space="preserve">n toekomstige regelingen </w:t>
      </w:r>
      <w:r w:rsidRPr="00030FEE">
        <w:rPr>
          <w:rFonts w:eastAsiaTheme="minorHAnsi" w:cstheme="minorBidi"/>
          <w:color w:val="auto"/>
          <w:kern w:val="2"/>
          <w:lang w:eastAsia="en-US"/>
          <w14:ligatures w14:val="standardContextual"/>
        </w:rPr>
        <w:t xml:space="preserve">zouden </w:t>
      </w:r>
      <w:r w:rsidRPr="00030FEE" w:rsidR="00A67F4A">
        <w:rPr>
          <w:rFonts w:eastAsiaTheme="minorHAnsi" w:cstheme="minorBidi"/>
          <w:color w:val="auto"/>
          <w:kern w:val="2"/>
          <w:lang w:eastAsia="en-US"/>
          <w14:ligatures w14:val="standardContextual"/>
        </w:rPr>
        <w:t xml:space="preserve">prikkels </w:t>
      </w:r>
      <w:r w:rsidRPr="00030FEE">
        <w:rPr>
          <w:rFonts w:eastAsiaTheme="minorHAnsi" w:cstheme="minorBidi"/>
          <w:color w:val="auto"/>
          <w:kern w:val="2"/>
          <w:lang w:eastAsia="en-US"/>
          <w14:ligatures w14:val="standardContextual"/>
        </w:rPr>
        <w:t xml:space="preserve">kunnen worden </w:t>
      </w:r>
      <w:r w:rsidR="0019709E">
        <w:rPr>
          <w:rFonts w:eastAsiaTheme="minorHAnsi" w:cstheme="minorBidi"/>
          <w:color w:val="auto"/>
          <w:kern w:val="2"/>
          <w:lang w:eastAsia="en-US"/>
          <w14:ligatures w14:val="standardContextual"/>
        </w:rPr>
        <w:t>in</w:t>
      </w:r>
      <w:r w:rsidRPr="00030FEE">
        <w:rPr>
          <w:rFonts w:eastAsiaTheme="minorHAnsi" w:cstheme="minorBidi"/>
          <w:color w:val="auto"/>
          <w:kern w:val="2"/>
          <w:lang w:eastAsia="en-US"/>
          <w14:ligatures w14:val="standardContextual"/>
        </w:rPr>
        <w:t>ge</w:t>
      </w:r>
      <w:r w:rsidRPr="00030FEE" w:rsidR="00A67F4A">
        <w:rPr>
          <w:rFonts w:eastAsiaTheme="minorHAnsi" w:cstheme="minorBidi"/>
          <w:color w:val="auto"/>
          <w:kern w:val="2"/>
          <w:lang w:eastAsia="en-US"/>
          <w14:ligatures w14:val="standardContextual"/>
        </w:rPr>
        <w:t>bouw</w:t>
      </w:r>
      <w:r w:rsidRPr="00030FEE">
        <w:rPr>
          <w:rFonts w:eastAsiaTheme="minorHAnsi" w:cstheme="minorBidi"/>
          <w:color w:val="auto"/>
          <w:kern w:val="2"/>
          <w:lang w:eastAsia="en-US"/>
          <w14:ligatures w14:val="standardContextual"/>
        </w:rPr>
        <w:t>d</w:t>
      </w:r>
      <w:r w:rsidRPr="00030FEE" w:rsidR="00A67F4A">
        <w:rPr>
          <w:rFonts w:eastAsiaTheme="minorHAnsi" w:cstheme="minorBidi"/>
          <w:color w:val="auto"/>
          <w:kern w:val="2"/>
          <w:lang w:eastAsia="en-US"/>
          <w14:ligatures w14:val="standardContextual"/>
        </w:rPr>
        <w:t xml:space="preserve">, die na de acute crisissituatie het gebruik van het </w:t>
      </w:r>
      <w:r w:rsidR="0019709E">
        <w:rPr>
          <w:rFonts w:eastAsiaTheme="minorHAnsi" w:cstheme="minorBidi"/>
          <w:color w:val="auto"/>
          <w:kern w:val="2"/>
          <w:lang w:eastAsia="en-US"/>
          <w14:ligatures w14:val="standardContextual"/>
        </w:rPr>
        <w:t>OV (</w:t>
      </w:r>
      <w:r w:rsidRPr="00030FEE" w:rsidR="00A67F4A">
        <w:rPr>
          <w:rFonts w:eastAsiaTheme="minorHAnsi" w:cstheme="minorBidi"/>
          <w:color w:val="auto"/>
          <w:kern w:val="2"/>
          <w:lang w:eastAsia="en-US"/>
          <w14:ligatures w14:val="standardContextual"/>
        </w:rPr>
        <w:t>en dus reizigersopbrengsten</w:t>
      </w:r>
      <w:r w:rsidR="0019709E">
        <w:rPr>
          <w:rFonts w:eastAsiaTheme="minorHAnsi" w:cstheme="minorBidi"/>
          <w:color w:val="auto"/>
          <w:kern w:val="2"/>
          <w:lang w:eastAsia="en-US"/>
          <w14:ligatures w14:val="standardContextual"/>
        </w:rPr>
        <w:t>)</w:t>
      </w:r>
      <w:r w:rsidRPr="00030FEE" w:rsidR="00A67F4A">
        <w:rPr>
          <w:rFonts w:eastAsiaTheme="minorHAnsi" w:cstheme="minorBidi"/>
          <w:color w:val="auto"/>
          <w:kern w:val="2"/>
          <w:lang w:eastAsia="en-US"/>
          <w14:ligatures w14:val="standardContextual"/>
        </w:rPr>
        <w:t xml:space="preserve"> bevorderen. </w:t>
      </w:r>
      <w:r w:rsidRPr="00D74B79" w:rsidR="00A67F4A">
        <w:rPr>
          <w:color w:val="auto"/>
          <w:kern w:val="2"/>
          <w14:ligatures w14:val="standardContextual"/>
        </w:rPr>
        <w:t xml:space="preserve">Bij de regelingen was er voor </w:t>
      </w:r>
      <w:r w:rsidRPr="00A67F4A" w:rsidR="00A67F4A">
        <w:rPr>
          <w:rFonts w:eastAsiaTheme="minorHAnsi" w:cstheme="minorBidi"/>
          <w:kern w:val="2"/>
          <w:lang w:eastAsia="en-US"/>
          <w14:ligatures w14:val="standardContextual"/>
        </w:rPr>
        <w:t>vervoer</w:t>
      </w:r>
      <w:r w:rsidR="0019709E">
        <w:rPr>
          <w:rFonts w:eastAsiaTheme="minorHAnsi" w:cstheme="minorBidi"/>
          <w:kern w:val="2"/>
          <w:lang w:eastAsia="en-US"/>
          <w14:ligatures w14:val="standardContextual"/>
        </w:rPr>
        <w:t xml:space="preserve">ders </w:t>
      </w:r>
      <w:r w:rsidRPr="00A67F4A" w:rsidR="00A67F4A">
        <w:rPr>
          <w:rFonts w:eastAsiaTheme="minorHAnsi" w:cstheme="minorBidi"/>
          <w:kern w:val="2"/>
          <w:lang w:eastAsia="en-US"/>
          <w14:ligatures w14:val="standardContextual"/>
        </w:rPr>
        <w:t>geen financiële prikkel om de reizigersopbrengsten te verhogen</w:t>
      </w:r>
      <w:r>
        <w:rPr>
          <w:rFonts w:eastAsiaTheme="minorHAnsi" w:cstheme="minorBidi"/>
          <w:kern w:val="2"/>
          <w:lang w:eastAsia="en-US"/>
          <w14:ligatures w14:val="standardContextual"/>
        </w:rPr>
        <w:t xml:space="preserve"> op het moment dat de pandemie dat weer toeliet</w:t>
      </w:r>
      <w:r w:rsidRPr="00A67F4A" w:rsidR="00A67F4A">
        <w:rPr>
          <w:rFonts w:eastAsiaTheme="minorHAnsi" w:cstheme="minorBidi"/>
          <w:kern w:val="2"/>
          <w:lang w:eastAsia="en-US"/>
          <w14:ligatures w14:val="standardContextual"/>
        </w:rPr>
        <w:t xml:space="preserve">. Oplossingsrichtingen </w:t>
      </w:r>
      <w:r w:rsidR="001927B5">
        <w:rPr>
          <w:rFonts w:eastAsiaTheme="minorHAnsi" w:cstheme="minorBidi"/>
          <w:kern w:val="2"/>
          <w:lang w:eastAsia="en-US"/>
          <w14:ligatures w14:val="standardContextual"/>
        </w:rPr>
        <w:t xml:space="preserve">zouden kunnen </w:t>
      </w:r>
      <w:r w:rsidRPr="00D74B79" w:rsidR="00A67F4A">
        <w:rPr>
          <w:color w:val="auto"/>
          <w:kern w:val="2"/>
          <w14:ligatures w14:val="standardContextual"/>
        </w:rPr>
        <w:t>zijn</w:t>
      </w:r>
      <w:r w:rsidR="001927B5">
        <w:rPr>
          <w:rFonts w:eastAsiaTheme="minorHAnsi" w:cstheme="minorBidi"/>
          <w:color w:val="auto"/>
          <w:kern w:val="2"/>
          <w:lang w:eastAsia="en-US"/>
          <w14:ligatures w14:val="standardContextual"/>
        </w:rPr>
        <w:t>:</w:t>
      </w:r>
      <w:r w:rsidRPr="00D74B79" w:rsidR="00A67F4A">
        <w:rPr>
          <w:color w:val="auto"/>
          <w:kern w:val="2"/>
          <w14:ligatures w14:val="standardContextual"/>
        </w:rPr>
        <w:t xml:space="preserve"> </w:t>
      </w:r>
      <w:r w:rsidRPr="00030FEE" w:rsidR="00A67F4A">
        <w:rPr>
          <w:rFonts w:eastAsiaTheme="minorHAnsi" w:cstheme="minorBidi"/>
          <w:color w:val="auto"/>
          <w:kern w:val="2"/>
          <w:lang w:eastAsia="en-US"/>
          <w14:ligatures w14:val="standardContextual"/>
        </w:rPr>
        <w:t xml:space="preserve">een combinatie van beperking van de initiële kostendekkendheid </w:t>
      </w:r>
      <w:r w:rsidR="0019709E">
        <w:rPr>
          <w:rFonts w:eastAsiaTheme="minorHAnsi" w:cstheme="minorBidi"/>
          <w:color w:val="auto"/>
          <w:kern w:val="2"/>
          <w:lang w:eastAsia="en-US"/>
          <w14:ligatures w14:val="standardContextual"/>
        </w:rPr>
        <w:t xml:space="preserve">of </w:t>
      </w:r>
      <w:r w:rsidRPr="00030FEE" w:rsidR="00A67F4A">
        <w:rPr>
          <w:rFonts w:eastAsiaTheme="minorHAnsi" w:cstheme="minorBidi"/>
          <w:color w:val="auto"/>
          <w:kern w:val="2"/>
          <w:lang w:eastAsia="en-US"/>
          <w14:ligatures w14:val="standardContextual"/>
        </w:rPr>
        <w:t xml:space="preserve">een bonus voor extra opbrengsten, waarbij na de acute crisissituatie weer (beperkt) </w:t>
      </w:r>
      <w:r w:rsidRPr="00030FEE">
        <w:rPr>
          <w:rFonts w:eastAsiaTheme="minorHAnsi" w:cstheme="minorBidi"/>
          <w:color w:val="auto"/>
          <w:kern w:val="2"/>
          <w:lang w:eastAsia="en-US"/>
          <w14:ligatures w14:val="standardContextual"/>
        </w:rPr>
        <w:t xml:space="preserve">rendement </w:t>
      </w:r>
      <w:r w:rsidRPr="00030FEE" w:rsidR="00A67F4A">
        <w:rPr>
          <w:rFonts w:eastAsiaTheme="minorHAnsi" w:cstheme="minorBidi"/>
          <w:color w:val="auto"/>
          <w:kern w:val="2"/>
          <w:lang w:eastAsia="en-US"/>
          <w14:ligatures w14:val="standardContextual"/>
        </w:rPr>
        <w:t>is toegestaan, mits dit politiek gezien haalbaar is</w:t>
      </w:r>
      <w:r w:rsidRPr="00030FEE">
        <w:rPr>
          <w:rFonts w:eastAsiaTheme="minorHAnsi" w:cstheme="minorBidi"/>
          <w:color w:val="auto"/>
          <w:kern w:val="2"/>
          <w:lang w:eastAsia="en-US"/>
          <w14:ligatures w14:val="standardContextual"/>
        </w:rPr>
        <w:t xml:space="preserve"> en </w:t>
      </w:r>
      <w:r w:rsidR="001927B5">
        <w:rPr>
          <w:rFonts w:eastAsiaTheme="minorHAnsi" w:cstheme="minorBidi"/>
          <w:color w:val="auto"/>
          <w:kern w:val="2"/>
          <w:lang w:eastAsia="en-US"/>
          <w14:ligatures w14:val="standardContextual"/>
        </w:rPr>
        <w:t xml:space="preserve">passend </w:t>
      </w:r>
      <w:r w:rsidRPr="00030FEE">
        <w:rPr>
          <w:rFonts w:eastAsiaTheme="minorHAnsi" w:cstheme="minorBidi"/>
          <w:color w:val="auto"/>
          <w:kern w:val="2"/>
          <w:lang w:eastAsia="en-US"/>
          <w14:ligatures w14:val="standardContextual"/>
        </w:rPr>
        <w:t>binnen de juridische kader</w:t>
      </w:r>
      <w:r w:rsidR="001927B5">
        <w:rPr>
          <w:rFonts w:eastAsiaTheme="minorHAnsi" w:cstheme="minorBidi"/>
          <w:color w:val="auto"/>
          <w:kern w:val="2"/>
          <w:lang w:eastAsia="en-US"/>
          <w14:ligatures w14:val="standardContextual"/>
        </w:rPr>
        <w:t>s</w:t>
      </w:r>
      <w:r w:rsidRPr="00030FEE" w:rsidR="00A67F4A">
        <w:rPr>
          <w:rFonts w:eastAsiaTheme="minorHAnsi" w:cstheme="minorBidi"/>
          <w:color w:val="auto"/>
          <w:kern w:val="2"/>
          <w:lang w:eastAsia="en-US"/>
          <w14:ligatures w14:val="standardContextual"/>
        </w:rPr>
        <w:t>.</w:t>
      </w:r>
      <w:r w:rsidR="0019709E">
        <w:rPr>
          <w:rStyle w:val="FootnoteReference"/>
          <w:rFonts w:eastAsiaTheme="minorHAnsi" w:cstheme="minorBidi"/>
          <w:color w:val="auto"/>
          <w:kern w:val="2"/>
          <w:lang w:eastAsia="en-US"/>
          <w14:ligatures w14:val="standardContextual"/>
        </w:rPr>
        <w:footnoteReference w:id="9"/>
      </w:r>
      <w:r w:rsidRPr="00030FEE" w:rsidR="00A67F4A">
        <w:rPr>
          <w:rFonts w:eastAsiaTheme="minorHAnsi" w:cstheme="minorBidi"/>
          <w:color w:val="auto"/>
          <w:kern w:val="2"/>
          <w:lang w:eastAsia="en-US"/>
          <w14:ligatures w14:val="standardContextual"/>
        </w:rPr>
        <w:t xml:space="preserve">  </w:t>
      </w:r>
    </w:p>
    <w:p w:rsidRPr="00030FEE" w:rsidR="00D92BE9" w:rsidP="001927B5" w:rsidRDefault="00D92BE9" w14:paraId="040EE2C4" w14:textId="3A07F6E9">
      <w:pPr>
        <w:autoSpaceDN/>
        <w:spacing w:line="278" w:lineRule="auto"/>
        <w:textAlignment w:val="auto"/>
        <w:rPr>
          <w:rFonts w:eastAsiaTheme="minorHAnsi" w:cstheme="minorBidi"/>
          <w:i/>
          <w:iCs/>
          <w:color w:val="auto"/>
          <w:kern w:val="2"/>
          <w:lang w:eastAsia="en-US"/>
          <w14:ligatures w14:val="standardContextual"/>
        </w:rPr>
      </w:pPr>
      <w:r w:rsidRPr="00030FEE">
        <w:rPr>
          <w:rFonts w:eastAsiaTheme="minorHAnsi" w:cstheme="minorBidi"/>
          <w:i/>
          <w:iCs/>
          <w:color w:val="auto"/>
          <w:kern w:val="2"/>
          <w:lang w:eastAsia="en-US"/>
          <w14:ligatures w14:val="standardContextual"/>
        </w:rPr>
        <w:t xml:space="preserve">Aanbeveling 6; Instandhouden van een uitgebreide dienstregeling goed afwegen </w:t>
      </w:r>
    </w:p>
    <w:p w:rsidRPr="00D74B79" w:rsidR="00A67F4A" w:rsidP="00A67F4A" w:rsidRDefault="0019709E" w14:paraId="768EE11C" w14:textId="12D1964F">
      <w:pPr>
        <w:autoSpaceDN/>
        <w:spacing w:after="160" w:line="278" w:lineRule="auto"/>
        <w:textAlignment w:val="auto"/>
        <w:rPr>
          <w:color w:val="auto"/>
          <w:kern w:val="2"/>
          <w14:ligatures w14:val="standardContextual"/>
        </w:rPr>
      </w:pPr>
      <w:r>
        <w:rPr>
          <w:rFonts w:eastAsiaTheme="minorHAnsi" w:cstheme="minorBidi"/>
          <w:color w:val="auto"/>
          <w:kern w:val="2"/>
          <w:lang w:eastAsia="en-US"/>
          <w14:ligatures w14:val="standardContextual"/>
        </w:rPr>
        <w:t>Er wordt</w:t>
      </w:r>
      <w:r w:rsidRPr="00030FEE" w:rsidR="00A67F4A">
        <w:rPr>
          <w:rFonts w:eastAsiaTheme="minorHAnsi" w:cstheme="minorBidi"/>
          <w:color w:val="auto"/>
          <w:kern w:val="2"/>
          <w:lang w:eastAsia="en-US"/>
          <w14:ligatures w14:val="standardContextual"/>
        </w:rPr>
        <w:t xml:space="preserve"> </w:t>
      </w:r>
      <w:r>
        <w:rPr>
          <w:rFonts w:eastAsiaTheme="minorHAnsi" w:cstheme="minorBidi"/>
          <w:color w:val="auto"/>
          <w:kern w:val="2"/>
          <w:lang w:eastAsia="en-US"/>
          <w14:ligatures w14:val="standardContextual"/>
        </w:rPr>
        <w:t xml:space="preserve">aanbevolen </w:t>
      </w:r>
      <w:r w:rsidRPr="00030FEE" w:rsidR="00A67F4A">
        <w:rPr>
          <w:rFonts w:eastAsiaTheme="minorHAnsi" w:cstheme="minorBidi"/>
          <w:color w:val="auto"/>
          <w:kern w:val="2"/>
          <w:lang w:eastAsia="en-US"/>
          <w14:ligatures w14:val="standardContextual"/>
        </w:rPr>
        <w:t>om de kosten en baten van het faciliteren van essentiële reizen via het in stand houden van een uitgebreide dienstregeling zorgvuldig af te wegen tegen mogelijke alternatieve</w:t>
      </w:r>
      <w:r>
        <w:rPr>
          <w:rFonts w:eastAsiaTheme="minorHAnsi" w:cstheme="minorBidi"/>
          <w:color w:val="auto"/>
          <w:kern w:val="2"/>
          <w:lang w:eastAsia="en-US"/>
          <w14:ligatures w14:val="standardContextual"/>
        </w:rPr>
        <w:t>n</w:t>
      </w:r>
      <w:r w:rsidRPr="00030FEE" w:rsidR="00A67F4A">
        <w:rPr>
          <w:rFonts w:eastAsiaTheme="minorHAnsi" w:cstheme="minorBidi"/>
          <w:color w:val="auto"/>
          <w:kern w:val="2"/>
          <w:lang w:eastAsia="en-US"/>
          <w14:ligatures w14:val="standardContextual"/>
        </w:rPr>
        <w:t xml:space="preserve">. Het </w:t>
      </w:r>
      <w:r>
        <w:rPr>
          <w:rFonts w:eastAsiaTheme="minorHAnsi" w:cstheme="minorBidi"/>
          <w:color w:val="auto"/>
          <w:kern w:val="2"/>
          <w:lang w:eastAsia="en-US"/>
          <w14:ligatures w14:val="standardContextual"/>
        </w:rPr>
        <w:t>OV</w:t>
      </w:r>
      <w:r w:rsidRPr="00D74B79">
        <w:rPr>
          <w:color w:val="auto"/>
          <w:kern w:val="2"/>
          <w14:ligatures w14:val="standardContextual"/>
        </w:rPr>
        <w:t xml:space="preserve"> </w:t>
      </w:r>
      <w:r w:rsidRPr="00D74B79" w:rsidR="00A67F4A">
        <w:rPr>
          <w:color w:val="auto"/>
          <w:kern w:val="2"/>
          <w14:ligatures w14:val="standardContextual"/>
        </w:rPr>
        <w:t xml:space="preserve">vervult een belangrijke maatschappelijke functie, zeker voor mensen die ervan afhankelijk zijn voor essentiële verplaatsingen. Tegelijkertijd kan het doelmatiger zijn om gedurende een crisis kosteneffectieve alternatieve oplossingen te overwegen in combinatie met tijdelijk afschalen van de dienstregeling van het OV. </w:t>
      </w:r>
    </w:p>
    <w:p w:rsidRPr="00030FEE" w:rsidR="00D92BE9" w:rsidP="001927B5" w:rsidRDefault="00D92BE9" w14:paraId="1EE97B6B" w14:textId="0336BE7D">
      <w:pPr>
        <w:autoSpaceDN/>
        <w:spacing w:line="278" w:lineRule="auto"/>
        <w:textAlignment w:val="auto"/>
        <w:rPr>
          <w:rFonts w:eastAsiaTheme="minorHAnsi" w:cstheme="minorBidi"/>
          <w:i/>
          <w:iCs/>
          <w:color w:val="auto"/>
          <w:kern w:val="2"/>
          <w:lang w:eastAsia="en-US"/>
          <w14:ligatures w14:val="standardContextual"/>
        </w:rPr>
      </w:pPr>
      <w:r w:rsidRPr="00030FEE">
        <w:rPr>
          <w:rFonts w:eastAsiaTheme="minorHAnsi" w:cstheme="minorBidi"/>
          <w:i/>
          <w:iCs/>
          <w:color w:val="auto"/>
          <w:kern w:val="2"/>
          <w:lang w:eastAsia="en-US"/>
          <w14:ligatures w14:val="standardContextual"/>
        </w:rPr>
        <w:t>Aanbeveling 7; Vergoeding voor alle type concessies</w:t>
      </w:r>
    </w:p>
    <w:p w:rsidR="00A67F4A" w:rsidP="00A67F4A" w:rsidRDefault="00EC1934" w14:paraId="625EF5D1" w14:textId="2CD1D543">
      <w:pPr>
        <w:autoSpaceDN/>
        <w:spacing w:after="160" w:line="278" w:lineRule="auto"/>
        <w:textAlignment w:val="auto"/>
        <w:rPr>
          <w:kern w:val="2"/>
          <w14:ligatures w14:val="standardContextual"/>
        </w:rPr>
      </w:pPr>
      <w:r w:rsidRPr="00030FEE">
        <w:rPr>
          <w:rFonts w:eastAsiaTheme="minorHAnsi" w:cstheme="minorBidi"/>
          <w:color w:val="auto"/>
          <w:kern w:val="2"/>
          <w:lang w:eastAsia="en-US"/>
          <w14:ligatures w14:val="standardContextual"/>
        </w:rPr>
        <w:t>B</w:t>
      </w:r>
      <w:r w:rsidRPr="00030FEE" w:rsidR="00A67F4A">
        <w:rPr>
          <w:rFonts w:eastAsiaTheme="minorHAnsi" w:cstheme="minorBidi"/>
          <w:color w:val="auto"/>
          <w:kern w:val="2"/>
          <w:lang w:eastAsia="en-US"/>
          <w14:ligatures w14:val="standardContextual"/>
        </w:rPr>
        <w:t>ij</w:t>
      </w:r>
      <w:r w:rsidRPr="00D74B79" w:rsidR="00A67F4A">
        <w:rPr>
          <w:color w:val="auto"/>
          <w:kern w:val="2"/>
          <w14:ligatures w14:val="standardContextual"/>
        </w:rPr>
        <w:t xml:space="preserve"> een toekomstige steunmaatregel </w:t>
      </w:r>
      <w:r w:rsidRPr="00030FEE">
        <w:rPr>
          <w:rFonts w:eastAsiaTheme="minorHAnsi" w:cstheme="minorBidi"/>
          <w:color w:val="auto"/>
          <w:kern w:val="2"/>
          <w:lang w:eastAsia="en-US"/>
          <w14:ligatures w14:val="standardContextual"/>
        </w:rPr>
        <w:t xml:space="preserve">wordt aanbevolen om </w:t>
      </w:r>
      <w:r w:rsidRPr="00A67F4A" w:rsidR="00A67F4A">
        <w:rPr>
          <w:rFonts w:eastAsiaTheme="minorHAnsi" w:cstheme="minorBidi"/>
          <w:kern w:val="2"/>
          <w:lang w:eastAsia="en-US"/>
          <w14:ligatures w14:val="standardContextual"/>
        </w:rPr>
        <w:t>in een vroegtijdig stadium na te gaan of en hoe noodconcessies onder de regeling kunnen vallen.</w:t>
      </w:r>
      <w:r w:rsidRPr="00A67F4A" w:rsidR="00A67F4A">
        <w:rPr>
          <w:rFonts w:eastAsiaTheme="minorHAnsi" w:cstheme="minorBidi"/>
          <w:color w:val="auto"/>
          <w:kern w:val="2"/>
          <w:lang w:eastAsia="en-US"/>
          <w14:ligatures w14:val="standardContextual"/>
        </w:rPr>
        <w:t xml:space="preserve"> </w:t>
      </w:r>
      <w:r w:rsidRPr="00A67F4A" w:rsidR="00A67F4A">
        <w:rPr>
          <w:rFonts w:eastAsiaTheme="minorHAnsi" w:cstheme="minorBidi"/>
          <w:kern w:val="2"/>
          <w:lang w:eastAsia="en-US"/>
          <w14:ligatures w14:val="standardContextual"/>
        </w:rPr>
        <w:t xml:space="preserve">Omdat tijdens de coronapandemie een aantal concessies afliep, moesten de betreffende decentrale overheden en vervoerbedrijven afspraken maken over een noodconcessie om de continuïteit van het openbaar vervoer te waarborgen. Decentrale overheden gingen onder druk akkoord met een door vervoerbedrijven geëiste </w:t>
      </w:r>
      <w:r>
        <w:rPr>
          <w:rFonts w:eastAsiaTheme="minorHAnsi" w:cstheme="minorBidi"/>
          <w:kern w:val="2"/>
          <w:lang w:eastAsia="en-US"/>
          <w14:ligatures w14:val="standardContextual"/>
        </w:rPr>
        <w:t>renderende</w:t>
      </w:r>
      <w:r w:rsidRPr="00A67F4A" w:rsidR="00A67F4A">
        <w:rPr>
          <w:rFonts w:eastAsiaTheme="minorHAnsi" w:cstheme="minorBidi"/>
          <w:kern w:val="2"/>
          <w:lang w:eastAsia="en-US"/>
          <w14:ligatures w14:val="standardContextual"/>
        </w:rPr>
        <w:t xml:space="preserve"> exploitatie</w:t>
      </w:r>
      <w:r>
        <w:rPr>
          <w:rFonts w:eastAsiaTheme="minorHAnsi" w:cstheme="minorBidi"/>
          <w:kern w:val="2"/>
          <w:lang w:eastAsia="en-US"/>
          <w14:ligatures w14:val="standardContextual"/>
        </w:rPr>
        <w:t xml:space="preserve"> (geen break-even zoals de regelingen voorschreven), waardoor d</w:t>
      </w:r>
      <w:r w:rsidRPr="00A67F4A" w:rsidR="00A67F4A">
        <w:rPr>
          <w:rFonts w:eastAsiaTheme="minorHAnsi" w:cstheme="minorBidi"/>
          <w:kern w:val="2"/>
          <w:lang w:eastAsia="en-US"/>
          <w14:ligatures w14:val="standardContextual"/>
        </w:rPr>
        <w:t xml:space="preserve">eze noodconcessies niet langer </w:t>
      </w:r>
      <w:r>
        <w:rPr>
          <w:rFonts w:eastAsiaTheme="minorHAnsi" w:cstheme="minorBidi"/>
          <w:kern w:val="2"/>
          <w:lang w:eastAsia="en-US"/>
          <w14:ligatures w14:val="standardContextual"/>
        </w:rPr>
        <w:t xml:space="preserve">voldeden </w:t>
      </w:r>
      <w:r w:rsidRPr="00A67F4A" w:rsidR="00A67F4A">
        <w:rPr>
          <w:rFonts w:eastAsiaTheme="minorHAnsi" w:cstheme="minorBidi"/>
          <w:kern w:val="2"/>
          <w:lang w:eastAsia="en-US"/>
          <w14:ligatures w14:val="standardContextual"/>
        </w:rPr>
        <w:t>aan de voorwaarden</w:t>
      </w:r>
      <w:r>
        <w:rPr>
          <w:rFonts w:eastAsiaTheme="minorHAnsi" w:cstheme="minorBidi"/>
          <w:kern w:val="2"/>
          <w:lang w:eastAsia="en-US"/>
          <w14:ligatures w14:val="standardContextual"/>
        </w:rPr>
        <w:t xml:space="preserve"> met afschaling of hogere kosten voor </w:t>
      </w:r>
      <w:r w:rsidR="00412DAC">
        <w:rPr>
          <w:rFonts w:eastAsiaTheme="minorHAnsi" w:cstheme="minorBidi"/>
          <w:kern w:val="2"/>
          <w:lang w:eastAsia="en-US"/>
          <w14:ligatures w14:val="standardContextual"/>
        </w:rPr>
        <w:t>decentrale overheden</w:t>
      </w:r>
      <w:r>
        <w:rPr>
          <w:rFonts w:eastAsiaTheme="minorHAnsi" w:cstheme="minorBidi"/>
          <w:kern w:val="2"/>
          <w:lang w:eastAsia="en-US"/>
          <w14:ligatures w14:val="standardContextual"/>
        </w:rPr>
        <w:t xml:space="preserve"> tot gevolg</w:t>
      </w:r>
      <w:r w:rsidRPr="00A67F4A" w:rsidR="00A67F4A">
        <w:rPr>
          <w:rFonts w:eastAsiaTheme="minorHAnsi" w:cstheme="minorBidi"/>
          <w:kern w:val="2"/>
          <w:lang w:eastAsia="en-US"/>
          <w14:ligatures w14:val="standardContextual"/>
        </w:rPr>
        <w:t>.</w:t>
      </w:r>
      <w:r w:rsidR="00316A3D">
        <w:rPr>
          <w:rFonts w:eastAsiaTheme="minorHAnsi" w:cstheme="minorBidi"/>
          <w:kern w:val="2"/>
          <w:lang w:eastAsia="en-US"/>
          <w14:ligatures w14:val="standardContextual"/>
        </w:rPr>
        <w:t xml:space="preserve"> Dit had mogelijk voorkomen kunnen worden</w:t>
      </w:r>
      <w:r w:rsidRPr="00D74B79" w:rsidR="00316A3D">
        <w:rPr>
          <w:kern w:val="2"/>
          <w14:ligatures w14:val="standardContextual"/>
        </w:rPr>
        <w:t>.</w:t>
      </w:r>
    </w:p>
    <w:p w:rsidRPr="00030FEE" w:rsidR="00EC1934" w:rsidP="001927B5" w:rsidRDefault="00EC1934" w14:paraId="57301708" w14:textId="53BCD95A">
      <w:pPr>
        <w:autoSpaceDN/>
        <w:spacing w:line="278" w:lineRule="auto"/>
        <w:textAlignment w:val="auto"/>
        <w:rPr>
          <w:rFonts w:eastAsiaTheme="minorHAnsi" w:cstheme="minorBidi"/>
          <w:i/>
          <w:iCs/>
          <w:color w:val="auto"/>
          <w:kern w:val="2"/>
          <w:lang w:eastAsia="en-US"/>
          <w14:ligatures w14:val="standardContextual"/>
        </w:rPr>
      </w:pPr>
      <w:r w:rsidRPr="00030FEE">
        <w:rPr>
          <w:rFonts w:eastAsiaTheme="minorHAnsi" w:cstheme="minorBidi"/>
          <w:i/>
          <w:iCs/>
          <w:color w:val="auto"/>
          <w:kern w:val="2"/>
          <w:lang w:eastAsia="en-US"/>
          <w14:ligatures w14:val="standardContextual"/>
        </w:rPr>
        <w:t>Aanbeveling 8; Versterken verantwoordelijkheid decentrale overheid</w:t>
      </w:r>
    </w:p>
    <w:p w:rsidR="00376819" w:rsidP="00A67F4A" w:rsidRDefault="00D1112E" w14:paraId="78942E1E" w14:textId="4D399981">
      <w:pPr>
        <w:autoSpaceDN/>
        <w:spacing w:after="160" w:line="278" w:lineRule="auto"/>
        <w:textAlignment w:val="auto"/>
        <w:rPr>
          <w:rFonts w:eastAsiaTheme="minorHAnsi" w:cstheme="minorBidi"/>
          <w:color w:val="auto"/>
          <w:kern w:val="2"/>
          <w:lang w:eastAsia="en-US"/>
          <w14:ligatures w14:val="standardContextual"/>
        </w:rPr>
      </w:pPr>
      <w:r>
        <w:rPr>
          <w:rFonts w:eastAsiaTheme="minorHAnsi" w:cstheme="minorBidi"/>
          <w:color w:val="auto"/>
          <w:kern w:val="2"/>
          <w:lang w:eastAsia="en-US"/>
          <w14:ligatures w14:val="standardContextual"/>
        </w:rPr>
        <w:t>S</w:t>
      </w:r>
      <w:r w:rsidRPr="00030FEE" w:rsidR="00A67F4A">
        <w:rPr>
          <w:rFonts w:eastAsiaTheme="minorHAnsi" w:cstheme="minorBidi"/>
          <w:color w:val="auto"/>
          <w:kern w:val="2"/>
          <w:lang w:eastAsia="en-US"/>
          <w14:ligatures w14:val="standardContextual"/>
        </w:rPr>
        <w:t>timule</w:t>
      </w:r>
      <w:r>
        <w:rPr>
          <w:rFonts w:eastAsiaTheme="minorHAnsi" w:cstheme="minorBidi"/>
          <w:color w:val="auto"/>
          <w:kern w:val="2"/>
          <w:lang w:eastAsia="en-US"/>
          <w14:ligatures w14:val="standardContextual"/>
        </w:rPr>
        <w:t>e</w:t>
      </w:r>
      <w:r w:rsidRPr="00030FEE" w:rsidR="00A67F4A">
        <w:rPr>
          <w:rFonts w:eastAsiaTheme="minorHAnsi" w:cstheme="minorBidi"/>
          <w:color w:val="auto"/>
          <w:kern w:val="2"/>
          <w:lang w:eastAsia="en-US"/>
          <w14:ligatures w14:val="standardContextual"/>
        </w:rPr>
        <w:t xml:space="preserve">r dat decentrale overheden meer verantwoordelijkheid voelen en kunnen nemen door de </w:t>
      </w:r>
      <w:r>
        <w:rPr>
          <w:rFonts w:eastAsiaTheme="minorHAnsi" w:cstheme="minorBidi"/>
          <w:color w:val="auto"/>
          <w:kern w:val="2"/>
          <w:lang w:eastAsia="en-US"/>
          <w14:ligatures w14:val="standardContextual"/>
        </w:rPr>
        <w:t>mogelijkheden voor</w:t>
      </w:r>
      <w:r w:rsidRPr="00030FEE" w:rsidR="00A67F4A">
        <w:rPr>
          <w:rFonts w:eastAsiaTheme="minorHAnsi" w:cstheme="minorBidi"/>
          <w:color w:val="auto"/>
          <w:kern w:val="2"/>
          <w:lang w:eastAsia="en-US"/>
          <w14:ligatures w14:val="standardContextual"/>
        </w:rPr>
        <w:t xml:space="preserve"> decentrale overheden </w:t>
      </w:r>
      <w:r w:rsidR="00376819">
        <w:rPr>
          <w:rFonts w:eastAsiaTheme="minorHAnsi" w:cstheme="minorBidi"/>
          <w:color w:val="auto"/>
          <w:kern w:val="2"/>
          <w:lang w:eastAsia="en-US"/>
          <w14:ligatures w14:val="standardContextual"/>
        </w:rPr>
        <w:t>om toezicht te houden te verbeteren, via</w:t>
      </w:r>
      <w:r w:rsidRPr="00030FEE" w:rsidR="00A67F4A">
        <w:rPr>
          <w:rFonts w:eastAsiaTheme="minorHAnsi" w:cstheme="minorBidi"/>
          <w:color w:val="auto"/>
          <w:kern w:val="2"/>
          <w:lang w:eastAsia="en-US"/>
          <w14:ligatures w14:val="standardContextual"/>
        </w:rPr>
        <w:t xml:space="preserve"> </w:t>
      </w:r>
      <w:r w:rsidR="00376819">
        <w:rPr>
          <w:rFonts w:eastAsiaTheme="minorHAnsi" w:cstheme="minorBidi"/>
          <w:color w:val="auto"/>
          <w:kern w:val="2"/>
          <w:lang w:eastAsia="en-US"/>
          <w14:ligatures w14:val="standardContextual"/>
        </w:rPr>
        <w:t xml:space="preserve">betere </w:t>
      </w:r>
      <w:r w:rsidRPr="00030FEE" w:rsidR="00A67F4A">
        <w:rPr>
          <w:rFonts w:eastAsiaTheme="minorHAnsi" w:cstheme="minorBidi"/>
          <w:color w:val="auto"/>
          <w:kern w:val="2"/>
          <w:lang w:eastAsia="en-US"/>
          <w14:ligatures w14:val="standardContextual"/>
        </w:rPr>
        <w:t xml:space="preserve">datatoegang en </w:t>
      </w:r>
      <w:r w:rsidR="00376819">
        <w:rPr>
          <w:rFonts w:eastAsiaTheme="minorHAnsi" w:cstheme="minorBidi"/>
          <w:color w:val="auto"/>
          <w:kern w:val="2"/>
          <w:lang w:eastAsia="en-US"/>
          <w14:ligatures w14:val="standardContextual"/>
        </w:rPr>
        <w:t xml:space="preserve">door </w:t>
      </w:r>
      <w:r w:rsidR="00412DAC">
        <w:rPr>
          <w:rFonts w:eastAsiaTheme="minorHAnsi" w:cstheme="minorBidi"/>
          <w:color w:val="auto"/>
          <w:kern w:val="2"/>
          <w:lang w:eastAsia="en-US"/>
          <w14:ligatures w14:val="standardContextual"/>
        </w:rPr>
        <w:t>informatie op</w:t>
      </w:r>
      <w:r w:rsidRPr="00030FEE" w:rsidR="00A67F4A">
        <w:rPr>
          <w:rFonts w:eastAsiaTheme="minorHAnsi" w:cstheme="minorBidi"/>
          <w:color w:val="auto"/>
          <w:kern w:val="2"/>
          <w:lang w:eastAsia="en-US"/>
          <w14:ligatures w14:val="standardContextual"/>
        </w:rPr>
        <w:t xml:space="preserve"> concessie- en bedrijfsniveau </w:t>
      </w:r>
      <w:r w:rsidR="00376819">
        <w:rPr>
          <w:rFonts w:eastAsiaTheme="minorHAnsi" w:cstheme="minorBidi"/>
          <w:color w:val="auto"/>
          <w:kern w:val="2"/>
          <w:lang w:eastAsia="en-US"/>
          <w14:ligatures w14:val="standardContextual"/>
        </w:rPr>
        <w:t xml:space="preserve">beter met elkaar af te stemmen. </w:t>
      </w:r>
    </w:p>
    <w:p w:rsidR="00A67F4A" w:rsidP="00A67F4A" w:rsidRDefault="00376819" w14:paraId="70093C7F" w14:textId="5743DC37">
      <w:pPr>
        <w:autoSpaceDN/>
        <w:spacing w:after="160" w:line="278" w:lineRule="auto"/>
        <w:textAlignment w:val="auto"/>
        <w:rPr>
          <w:rFonts w:eastAsiaTheme="minorHAnsi" w:cstheme="minorBidi"/>
          <w:color w:val="auto"/>
          <w:kern w:val="2"/>
          <w:lang w:eastAsia="en-US"/>
          <w14:ligatures w14:val="standardContextual"/>
        </w:rPr>
      </w:pPr>
      <w:r w:rsidRPr="00376819">
        <w:rPr>
          <w:rFonts w:eastAsiaTheme="minorHAnsi" w:cstheme="minorBidi"/>
          <w:color w:val="auto"/>
          <w:kern w:val="2"/>
          <w:lang w:eastAsia="en-US"/>
          <w14:ligatures w14:val="standardContextual"/>
        </w:rPr>
        <w:t>Bij de regelingen fungeerden de decentrale overheden veelal als doorgeefluik tussen het Rijk en vervoerders. Daarbij hadden decentrale overheden beperkte controlemogelijkheden doordat zij niet betrokken waren bij de monitoring en geen integraal zicht hadden op de financiële prestaties van de vervoerders. Het delen van relevante monitorinformatie via een gezamenlijk dashboard — dat voor hen op onderdelen toegankelijk is en gegevens bevat over concessies — en het standaard opnemen van stappen om gegevens op concessie- en bedrijfsniveau met elkaar te vergelijken en af te stemmen, kan de gezamenlijke sturing en verantwoording verbeteren. Ook kan dit eraan bijdragen dat decentrale overheden meer verantwoordelijkheid voelen en kunnen nemen bij de uitvoering van de regeling.</w:t>
      </w:r>
      <w:r w:rsidRPr="00A67F4A" w:rsidR="00A67F4A">
        <w:rPr>
          <w:rFonts w:eastAsiaTheme="minorHAnsi" w:cstheme="minorBidi"/>
          <w:color w:val="auto"/>
          <w:kern w:val="2"/>
          <w:lang w:eastAsia="en-US"/>
          <w14:ligatures w14:val="standardContextual"/>
        </w:rPr>
        <w:t xml:space="preserve"> </w:t>
      </w:r>
    </w:p>
    <w:p w:rsidRPr="00C77292" w:rsidR="00171BDA" w:rsidP="001927B5" w:rsidRDefault="00171BDA" w14:paraId="76F29B2C" w14:textId="46087AE3">
      <w:pPr>
        <w:autoSpaceDN/>
        <w:spacing w:line="278" w:lineRule="auto"/>
        <w:textAlignment w:val="auto"/>
        <w:rPr>
          <w:rFonts w:eastAsiaTheme="minorHAnsi" w:cstheme="minorBidi"/>
          <w:i/>
          <w:iCs/>
          <w:color w:val="auto"/>
          <w:kern w:val="2"/>
          <w:lang w:eastAsia="en-US"/>
          <w14:ligatures w14:val="standardContextual"/>
        </w:rPr>
      </w:pPr>
      <w:r>
        <w:rPr>
          <w:rFonts w:eastAsiaTheme="minorHAnsi" w:cstheme="minorBidi"/>
          <w:i/>
          <w:iCs/>
          <w:color w:val="auto"/>
          <w:kern w:val="2"/>
          <w:lang w:eastAsia="en-US"/>
          <w14:ligatures w14:val="standardContextual"/>
        </w:rPr>
        <w:t>Aanbeveling 9; Inrichting van SiSa-verantwoording</w:t>
      </w:r>
      <w:r>
        <w:rPr>
          <w:rStyle w:val="FootnoteReference"/>
          <w:rFonts w:eastAsiaTheme="minorHAnsi" w:cstheme="minorBidi"/>
          <w:i/>
          <w:iCs/>
          <w:color w:val="auto"/>
          <w:kern w:val="2"/>
          <w:lang w:eastAsia="en-US"/>
          <w14:ligatures w14:val="standardContextual"/>
        </w:rPr>
        <w:footnoteReference w:id="10"/>
      </w:r>
    </w:p>
    <w:p w:rsidRPr="00030FEE" w:rsidR="00A67F4A" w:rsidP="00D74B79" w:rsidRDefault="00A67F4A" w14:paraId="2D62D1B8" w14:textId="142437A3">
      <w:pPr>
        <w:autoSpaceDN/>
        <w:spacing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 xml:space="preserve">De onderzoekers bevelen aan om te onderzoeken hoe de SiSa-verantwoording zodanig kan worden ingericht dat toekomstige regelingen voor crisissituaties goed kunnen worden verwerkt. De verantwoording van de middelen via SiSa kende een lange doorlooptijd en verliep in veel gevallen moeizaam. Bij de definitieve toekenning van de middelen kon veelal geen gebruik gemaakt worden van de </w:t>
      </w:r>
      <w:r w:rsidRPr="00030FEE">
        <w:rPr>
          <w:rFonts w:eastAsiaTheme="minorHAnsi" w:cstheme="minorBidi"/>
          <w:color w:val="auto"/>
          <w:kern w:val="2"/>
          <w:lang w:eastAsia="en-US"/>
          <w14:ligatures w14:val="standardContextual"/>
        </w:rPr>
        <w:t>aanvankelijke SiSa-verantwoording</w:t>
      </w:r>
      <w:r w:rsidR="00697EDA">
        <w:rPr>
          <w:rStyle w:val="FootnoteReference"/>
          <w:rFonts w:eastAsiaTheme="minorHAnsi" w:cstheme="minorBidi"/>
          <w:color w:val="auto"/>
          <w:kern w:val="2"/>
          <w:lang w:eastAsia="en-US"/>
          <w14:ligatures w14:val="standardContextual"/>
        </w:rPr>
        <w:footnoteReference w:id="11"/>
      </w:r>
      <w:r w:rsidRPr="00030FEE">
        <w:rPr>
          <w:rFonts w:eastAsiaTheme="minorHAnsi" w:cstheme="minorBidi"/>
          <w:color w:val="auto"/>
          <w:kern w:val="2"/>
          <w:lang w:eastAsia="en-US"/>
          <w14:ligatures w14:val="standardContextual"/>
        </w:rPr>
        <w:t xml:space="preserve">. In de regelingen was geen vergoeding voorzien voor de accountantscontrole van de verantwoording door de vervoerbedrijven. </w:t>
      </w:r>
      <w:r w:rsidRPr="00030FEE" w:rsidR="00171BDA">
        <w:rPr>
          <w:rFonts w:eastAsiaTheme="minorHAnsi" w:cstheme="minorBidi"/>
          <w:color w:val="auto"/>
          <w:kern w:val="2"/>
          <w:lang w:eastAsia="en-US"/>
          <w14:ligatures w14:val="standardContextual"/>
        </w:rPr>
        <w:t>Er wordt aangegeven dat o</w:t>
      </w:r>
      <w:r w:rsidRPr="00030FEE">
        <w:rPr>
          <w:rFonts w:eastAsiaTheme="minorHAnsi" w:cstheme="minorBidi"/>
          <w:color w:val="auto"/>
          <w:kern w:val="2"/>
          <w:lang w:eastAsia="en-US"/>
          <w14:ligatures w14:val="standardContextual"/>
        </w:rPr>
        <w:t>nderzo</w:t>
      </w:r>
      <w:r w:rsidRPr="00030FEE" w:rsidR="00171BDA">
        <w:rPr>
          <w:rFonts w:eastAsiaTheme="minorHAnsi" w:cstheme="minorBidi"/>
          <w:color w:val="auto"/>
          <w:kern w:val="2"/>
          <w:lang w:eastAsia="en-US"/>
          <w14:ligatures w14:val="standardContextual"/>
        </w:rPr>
        <w:t>cht zou kunnen worden</w:t>
      </w:r>
      <w:r w:rsidR="00D74B79">
        <w:rPr>
          <w:rFonts w:eastAsiaTheme="minorHAnsi" w:cstheme="minorBidi"/>
          <w:color w:val="auto"/>
          <w:kern w:val="2"/>
          <w:lang w:eastAsia="en-US"/>
          <w14:ligatures w14:val="standardContextual"/>
        </w:rPr>
        <w:t xml:space="preserve"> </w:t>
      </w:r>
      <w:r w:rsidRPr="00030FEE">
        <w:rPr>
          <w:rFonts w:eastAsiaTheme="minorHAnsi" w:cstheme="minorBidi"/>
          <w:color w:val="auto"/>
          <w:kern w:val="2"/>
          <w:lang w:eastAsia="en-US"/>
          <w14:ligatures w14:val="standardContextual"/>
        </w:rPr>
        <w:t xml:space="preserve">of het wenselijk is om deze kosten mee te nemen in de subsidie, zodat een zorgvuldige onafhankelijke toetsing wordt gestimuleerd. </w:t>
      </w:r>
    </w:p>
    <w:p w:rsidRPr="00030FEE" w:rsidR="008E2586" w:rsidP="008E2586" w:rsidRDefault="008E2586" w14:paraId="2AC32EB2" w14:textId="77777777">
      <w:pPr>
        <w:autoSpaceDN/>
        <w:spacing w:line="278" w:lineRule="auto"/>
        <w:textAlignment w:val="auto"/>
        <w:rPr>
          <w:rFonts w:eastAsiaTheme="minorHAnsi" w:cstheme="minorBidi"/>
          <w:color w:val="auto"/>
          <w:kern w:val="2"/>
          <w:lang w:eastAsia="en-US"/>
          <w14:ligatures w14:val="standardContextual"/>
        </w:rPr>
      </w:pPr>
    </w:p>
    <w:p w:rsidRPr="00030FEE" w:rsidR="00D92BE9" w:rsidP="001927B5" w:rsidRDefault="00171BDA" w14:paraId="098D92F1" w14:textId="796EAF31">
      <w:pPr>
        <w:autoSpaceDN/>
        <w:spacing w:line="278" w:lineRule="auto"/>
        <w:textAlignment w:val="auto"/>
        <w:rPr>
          <w:rFonts w:eastAsiaTheme="minorHAnsi" w:cstheme="minorBidi"/>
          <w:i/>
          <w:iCs/>
          <w:color w:val="auto"/>
          <w:kern w:val="2"/>
          <w:lang w:eastAsia="en-US"/>
          <w14:ligatures w14:val="standardContextual"/>
        </w:rPr>
      </w:pPr>
      <w:r w:rsidRPr="00D74B79">
        <w:rPr>
          <w:i/>
          <w:color w:val="auto"/>
          <w:kern w:val="2"/>
          <w14:ligatures w14:val="standardContextual"/>
        </w:rPr>
        <w:t xml:space="preserve">Reactie op </w:t>
      </w:r>
      <w:r w:rsidRPr="00030FEE">
        <w:rPr>
          <w:rFonts w:eastAsiaTheme="minorHAnsi" w:cstheme="minorBidi"/>
          <w:i/>
          <w:iCs/>
          <w:color w:val="auto"/>
          <w:kern w:val="2"/>
          <w:lang w:eastAsia="en-US"/>
          <w14:ligatures w14:val="standardContextual"/>
        </w:rPr>
        <w:t>de aanbevelingen</w:t>
      </w:r>
    </w:p>
    <w:p w:rsidRPr="00AF12C5" w:rsidR="00316A3D" w:rsidP="00316A3D" w:rsidRDefault="008D4BB0" w14:paraId="14979177" w14:textId="35963777">
      <w:pPr>
        <w:autoSpaceDN/>
        <w:spacing w:after="160" w:line="278" w:lineRule="auto"/>
        <w:textAlignment w:val="auto"/>
        <w:rPr>
          <w:rFonts w:eastAsiaTheme="minorHAnsi" w:cstheme="minorBidi"/>
          <w:kern w:val="2"/>
          <w:lang w:eastAsia="en-US"/>
          <w14:ligatures w14:val="standardContextual"/>
        </w:rPr>
      </w:pPr>
      <w:r w:rsidRPr="00030FEE">
        <w:rPr>
          <w:rFonts w:eastAsiaTheme="minorHAnsi" w:cstheme="minorBidi"/>
          <w:color w:val="auto"/>
          <w:kern w:val="2"/>
          <w:lang w:eastAsia="en-US"/>
          <w14:ligatures w14:val="standardContextual"/>
        </w:rPr>
        <w:t xml:space="preserve">Ik ben blij met de concreetheid van de aanbevelingen van de onderzoekers. </w:t>
      </w:r>
      <w:r w:rsidRPr="00C516CC" w:rsidR="00C516CC">
        <w:rPr>
          <w:rFonts w:eastAsiaTheme="minorHAnsi" w:cstheme="minorBidi"/>
          <w:color w:val="auto"/>
          <w:kern w:val="2"/>
          <w:lang w:eastAsia="en-US"/>
          <w14:ligatures w14:val="standardContextual"/>
        </w:rPr>
        <w:t>Het rapport vormt, inclusief de aanbevelingen, een belangrijke kennisbron voor het opstellen van een noodregeling bij een mogelijke toekomstige crisis.</w:t>
      </w:r>
      <w:r w:rsidR="003D4FC4">
        <w:rPr>
          <w:rFonts w:eastAsiaTheme="minorHAnsi" w:cstheme="minorBidi"/>
          <w:color w:val="auto"/>
          <w:kern w:val="2"/>
          <w:lang w:eastAsia="en-US"/>
          <w14:ligatures w14:val="standardContextual"/>
        </w:rPr>
        <w:t xml:space="preserve"> Ik </w:t>
      </w:r>
      <w:r w:rsidRPr="001927B5">
        <w:rPr>
          <w:rFonts w:eastAsiaTheme="minorHAnsi" w:cstheme="minorBidi"/>
          <w:color w:val="auto"/>
          <w:kern w:val="2"/>
          <w:lang w:eastAsia="en-US"/>
          <w14:ligatures w14:val="standardContextual"/>
        </w:rPr>
        <w:t xml:space="preserve">constateer </w:t>
      </w:r>
      <w:r w:rsidR="003D4FC4">
        <w:rPr>
          <w:rFonts w:eastAsiaTheme="minorHAnsi" w:cstheme="minorBidi"/>
          <w:color w:val="auto"/>
          <w:kern w:val="2"/>
          <w:lang w:eastAsia="en-US"/>
          <w14:ligatures w14:val="standardContextual"/>
        </w:rPr>
        <w:t xml:space="preserve">met de onderzoekers </w:t>
      </w:r>
      <w:r w:rsidRPr="001927B5">
        <w:rPr>
          <w:rFonts w:eastAsiaTheme="minorHAnsi" w:cstheme="minorBidi"/>
          <w:color w:val="auto"/>
          <w:kern w:val="2"/>
          <w:lang w:eastAsia="en-US"/>
          <w14:ligatures w14:val="standardContextual"/>
        </w:rPr>
        <w:t xml:space="preserve">dat decentrale overheden bij toekomstige regelingen minder als doorgeefluik zouden moeten </w:t>
      </w:r>
      <w:r w:rsidR="00C516CC">
        <w:rPr>
          <w:rFonts w:eastAsiaTheme="minorHAnsi" w:cstheme="minorBidi"/>
          <w:color w:val="auto"/>
          <w:kern w:val="2"/>
          <w:lang w:eastAsia="en-US"/>
          <w14:ligatures w14:val="standardContextual"/>
        </w:rPr>
        <w:t>functioneren</w:t>
      </w:r>
      <w:r w:rsidRPr="001927B5">
        <w:rPr>
          <w:rFonts w:eastAsiaTheme="minorHAnsi" w:cstheme="minorBidi"/>
          <w:color w:val="auto"/>
          <w:kern w:val="2"/>
          <w:lang w:eastAsia="en-US"/>
          <w14:ligatures w14:val="standardContextual"/>
        </w:rPr>
        <w:t>, ook om de verantwoording soepeler te laten verlopen. Dat vergt ook een actieve betrokkenheid</w:t>
      </w:r>
      <w:r w:rsidRPr="001927B5" w:rsidR="00CD228B">
        <w:rPr>
          <w:rFonts w:eastAsiaTheme="minorHAnsi" w:cstheme="minorBidi"/>
          <w:color w:val="auto"/>
          <w:kern w:val="2"/>
          <w:lang w:eastAsia="en-US"/>
          <w14:ligatures w14:val="standardContextual"/>
        </w:rPr>
        <w:t xml:space="preserve"> van hen</w:t>
      </w:r>
      <w:r w:rsidRPr="001927B5" w:rsidR="00316A3D">
        <w:rPr>
          <w:rFonts w:eastAsiaTheme="minorHAnsi" w:cstheme="minorBidi"/>
          <w:color w:val="auto"/>
          <w:kern w:val="2"/>
          <w:lang w:eastAsia="en-US"/>
          <w14:ligatures w14:val="standardContextual"/>
        </w:rPr>
        <w:t>.</w:t>
      </w:r>
      <w:r w:rsidR="003D2D8E">
        <w:rPr>
          <w:rFonts w:eastAsiaTheme="minorHAnsi" w:cstheme="minorBidi"/>
          <w:color w:val="auto"/>
          <w:kern w:val="2"/>
          <w:lang w:eastAsia="en-US"/>
          <w14:ligatures w14:val="standardContextual"/>
        </w:rPr>
        <w:t xml:space="preserve"> Een b</w:t>
      </w:r>
      <w:r w:rsidRPr="001927B5" w:rsidR="00316A3D">
        <w:rPr>
          <w:rFonts w:eastAsiaTheme="minorHAnsi" w:cstheme="minorBidi"/>
          <w:color w:val="auto"/>
          <w:kern w:val="2"/>
          <w:lang w:eastAsia="en-US"/>
          <w14:ligatures w14:val="standardContextual"/>
        </w:rPr>
        <w:t xml:space="preserve">elangrijk element vind ik ook </w:t>
      </w:r>
      <w:r w:rsidR="003D2D8E">
        <w:rPr>
          <w:rFonts w:eastAsiaTheme="minorHAnsi" w:cstheme="minorBidi"/>
          <w:color w:val="auto"/>
          <w:kern w:val="2"/>
          <w:lang w:eastAsia="en-US"/>
          <w14:ligatures w14:val="standardContextual"/>
        </w:rPr>
        <w:t xml:space="preserve">de </w:t>
      </w:r>
      <w:r w:rsidRPr="001927B5" w:rsidR="00316A3D">
        <w:rPr>
          <w:rFonts w:eastAsiaTheme="minorHAnsi" w:cstheme="minorBidi"/>
          <w:color w:val="auto"/>
          <w:kern w:val="2"/>
          <w:lang w:eastAsia="en-US"/>
          <w14:ligatures w14:val="standardContextual"/>
        </w:rPr>
        <w:t xml:space="preserve">positie </w:t>
      </w:r>
      <w:r w:rsidR="003D2D8E">
        <w:rPr>
          <w:rFonts w:eastAsiaTheme="minorHAnsi" w:cstheme="minorBidi"/>
          <w:color w:val="auto"/>
          <w:kern w:val="2"/>
          <w:lang w:eastAsia="en-US"/>
          <w14:ligatures w14:val="standardContextual"/>
        </w:rPr>
        <w:t xml:space="preserve">van decentrale overheden </w:t>
      </w:r>
      <w:r w:rsidRPr="001927B5" w:rsidR="00316A3D">
        <w:rPr>
          <w:rFonts w:eastAsiaTheme="minorHAnsi" w:cstheme="minorBidi"/>
          <w:color w:val="auto"/>
          <w:kern w:val="2"/>
          <w:lang w:eastAsia="en-US"/>
          <w14:ligatures w14:val="standardContextual"/>
        </w:rPr>
        <w:t xml:space="preserve">bij </w:t>
      </w:r>
      <w:r w:rsidR="003D2D8E">
        <w:rPr>
          <w:rFonts w:eastAsiaTheme="minorHAnsi" w:cstheme="minorBidi"/>
          <w:color w:val="auto"/>
          <w:kern w:val="2"/>
          <w:lang w:eastAsia="en-US"/>
          <w14:ligatures w14:val="standardContextual"/>
        </w:rPr>
        <w:t xml:space="preserve">het afsluiten van </w:t>
      </w:r>
      <w:r w:rsidRPr="001927B5" w:rsidR="00316A3D">
        <w:rPr>
          <w:rFonts w:eastAsiaTheme="minorHAnsi" w:cstheme="minorBidi"/>
          <w:color w:val="auto"/>
          <w:kern w:val="2"/>
          <w:lang w:eastAsia="en-US"/>
          <w14:ligatures w14:val="standardContextual"/>
        </w:rPr>
        <w:t>noodconcessies</w:t>
      </w:r>
      <w:r w:rsidR="003D2D8E">
        <w:rPr>
          <w:rFonts w:eastAsiaTheme="minorHAnsi" w:cstheme="minorBidi"/>
          <w:color w:val="auto"/>
          <w:kern w:val="2"/>
          <w:lang w:eastAsia="en-US"/>
          <w14:ligatures w14:val="standardContextual"/>
        </w:rPr>
        <w:t xml:space="preserve"> voor aflopende concessies. Die positie had mogelijk </w:t>
      </w:r>
      <w:r w:rsidRPr="001927B5" w:rsidR="00316A3D">
        <w:rPr>
          <w:rFonts w:eastAsiaTheme="minorHAnsi" w:cstheme="minorBidi"/>
          <w:color w:val="auto"/>
          <w:kern w:val="2"/>
          <w:lang w:eastAsia="en-US"/>
          <w14:ligatures w14:val="standardContextual"/>
        </w:rPr>
        <w:t>sterker</w:t>
      </w:r>
      <w:r w:rsidR="003D2D8E">
        <w:rPr>
          <w:rFonts w:eastAsiaTheme="minorHAnsi" w:cstheme="minorBidi"/>
          <w:color w:val="auto"/>
          <w:kern w:val="2"/>
          <w:lang w:eastAsia="en-US"/>
          <w14:ligatures w14:val="standardContextual"/>
        </w:rPr>
        <w:t xml:space="preserve"> kunnen zijn indien decentrale overheden en het ministerie van IenW voorafgaand aan de onderhandelingen met vervoerders nadere afspraken hadden gemaakt.</w:t>
      </w:r>
      <w:r w:rsidRPr="001927B5" w:rsidR="00316A3D">
        <w:rPr>
          <w:rFonts w:eastAsiaTheme="minorHAnsi" w:cstheme="minorBidi"/>
          <w:kern w:val="2"/>
          <w:lang w:eastAsia="en-US"/>
          <w14:ligatures w14:val="standardContextual"/>
        </w:rPr>
        <w:t xml:space="preserve"> </w:t>
      </w:r>
      <w:r w:rsidR="00C516CC">
        <w:rPr>
          <w:rFonts w:eastAsiaTheme="minorHAnsi" w:cstheme="minorBidi"/>
          <w:kern w:val="2"/>
          <w:lang w:eastAsia="en-US"/>
          <w14:ligatures w14:val="standardContextual"/>
        </w:rPr>
        <w:t xml:space="preserve">Verder ben ik van mening dat, mocht zich weer een </w:t>
      </w:r>
      <w:r w:rsidR="00E97CE4">
        <w:rPr>
          <w:rFonts w:eastAsiaTheme="minorHAnsi" w:cstheme="minorBidi"/>
          <w:kern w:val="2"/>
          <w:lang w:eastAsia="en-US"/>
          <w14:ligatures w14:val="standardContextual"/>
        </w:rPr>
        <w:t>crisissituatie</w:t>
      </w:r>
      <w:r w:rsidR="00C516CC">
        <w:rPr>
          <w:rFonts w:eastAsiaTheme="minorHAnsi" w:cstheme="minorBidi"/>
          <w:kern w:val="2"/>
          <w:lang w:eastAsia="en-US"/>
          <w14:ligatures w14:val="standardContextual"/>
        </w:rPr>
        <w:t xml:space="preserve"> voordoen, het wenselijk is te verkennen of na de acute fase onder voorwaarden beperkt positief rendement kan worden toegelaten. Dit mede </w:t>
      </w:r>
      <w:r w:rsidR="00E97CE4">
        <w:rPr>
          <w:rFonts w:eastAsiaTheme="minorHAnsi" w:cstheme="minorBidi"/>
          <w:kern w:val="2"/>
          <w:lang w:eastAsia="en-US"/>
          <w14:ligatures w14:val="standardContextual"/>
        </w:rPr>
        <w:t xml:space="preserve">als stimulans voor het </w:t>
      </w:r>
      <w:r w:rsidRPr="001927B5" w:rsidR="001927B5">
        <w:rPr>
          <w:rFonts w:eastAsiaTheme="minorHAnsi" w:cstheme="minorBidi"/>
          <w:kern w:val="2"/>
          <w:lang w:eastAsia="en-US"/>
          <w14:ligatures w14:val="standardContextual"/>
        </w:rPr>
        <w:t>genereren van extra reizigersopbrengsten</w:t>
      </w:r>
      <w:r w:rsidR="008D6347">
        <w:rPr>
          <w:rFonts w:eastAsiaTheme="minorHAnsi" w:cstheme="minorBidi"/>
          <w:kern w:val="2"/>
          <w:lang w:eastAsia="en-US"/>
          <w14:ligatures w14:val="standardContextual"/>
        </w:rPr>
        <w:t>. D</w:t>
      </w:r>
      <w:r w:rsidR="00C516CC">
        <w:rPr>
          <w:rFonts w:eastAsiaTheme="minorHAnsi" w:cstheme="minorBidi"/>
          <w:kern w:val="2"/>
          <w:lang w:eastAsia="en-US"/>
          <w14:ligatures w14:val="standardContextual"/>
        </w:rPr>
        <w:t xml:space="preserve">it had </w:t>
      </w:r>
      <w:r w:rsidRPr="001927B5" w:rsidR="001927B5">
        <w:rPr>
          <w:rFonts w:eastAsiaTheme="minorHAnsi" w:cstheme="minorBidi"/>
          <w:kern w:val="2"/>
          <w:lang w:eastAsia="en-US"/>
          <w14:ligatures w14:val="standardContextual"/>
        </w:rPr>
        <w:t xml:space="preserve">vervoerders </w:t>
      </w:r>
      <w:r w:rsidR="00C516CC">
        <w:rPr>
          <w:rFonts w:eastAsiaTheme="minorHAnsi" w:cstheme="minorBidi"/>
          <w:kern w:val="2"/>
          <w:lang w:eastAsia="en-US"/>
          <w14:ligatures w14:val="standardContextual"/>
        </w:rPr>
        <w:t xml:space="preserve">meer de </w:t>
      </w:r>
      <w:r w:rsidRPr="001927B5" w:rsidR="001927B5">
        <w:rPr>
          <w:rFonts w:eastAsiaTheme="minorHAnsi" w:cstheme="minorBidi"/>
          <w:kern w:val="2"/>
          <w:lang w:eastAsia="en-US"/>
          <w14:ligatures w14:val="standardContextual"/>
        </w:rPr>
        <w:t xml:space="preserve">ruimte kunnen geven </w:t>
      </w:r>
      <w:r w:rsidR="00C516CC">
        <w:rPr>
          <w:rFonts w:eastAsiaTheme="minorHAnsi" w:cstheme="minorBidi"/>
          <w:kern w:val="2"/>
          <w:lang w:eastAsia="en-US"/>
          <w14:ligatures w14:val="standardContextual"/>
        </w:rPr>
        <w:t xml:space="preserve">om </w:t>
      </w:r>
      <w:r w:rsidRPr="001927B5" w:rsidR="001927B5">
        <w:rPr>
          <w:rFonts w:eastAsiaTheme="minorHAnsi" w:cstheme="minorBidi"/>
          <w:kern w:val="2"/>
          <w:lang w:eastAsia="en-US"/>
          <w14:ligatures w14:val="standardContextual"/>
        </w:rPr>
        <w:t>het ov te blijven ontwikkelen.</w:t>
      </w:r>
      <w:r w:rsidR="00D74B79">
        <w:rPr>
          <w:rFonts w:eastAsiaTheme="minorHAnsi" w:cstheme="minorBidi"/>
          <w:kern w:val="2"/>
          <w:lang w:eastAsia="en-US"/>
          <w14:ligatures w14:val="standardContextual"/>
        </w:rPr>
        <w:t xml:space="preserve"> </w:t>
      </w:r>
    </w:p>
    <w:p w:rsidRPr="00030FEE" w:rsidR="00A67F4A" w:rsidP="00D74B79" w:rsidRDefault="00A67F4A" w14:paraId="431443CE" w14:textId="025B0FE3">
      <w:pPr>
        <w:autoSpaceDN/>
        <w:spacing w:line="278" w:lineRule="auto"/>
        <w:textAlignment w:val="auto"/>
        <w:rPr>
          <w:rFonts w:eastAsiaTheme="minorHAnsi" w:cstheme="minorBidi"/>
          <w:b/>
          <w:bCs/>
          <w:color w:val="auto"/>
          <w:kern w:val="2"/>
          <w:lang w:eastAsia="en-US"/>
          <w14:ligatures w14:val="standardContextual"/>
        </w:rPr>
      </w:pPr>
      <w:r w:rsidRPr="00030FEE">
        <w:rPr>
          <w:rFonts w:eastAsiaTheme="minorHAnsi" w:cstheme="minorBidi"/>
          <w:b/>
          <w:bCs/>
          <w:color w:val="auto"/>
          <w:kern w:val="2"/>
          <w:lang w:eastAsia="en-US"/>
          <w14:ligatures w14:val="standardContextual"/>
        </w:rPr>
        <w:t xml:space="preserve">Reactie op motie </w:t>
      </w:r>
      <w:r w:rsidRPr="00030FEE" w:rsidR="00CD228B">
        <w:rPr>
          <w:rFonts w:eastAsiaTheme="minorHAnsi" w:cstheme="minorBidi"/>
          <w:b/>
          <w:bCs/>
          <w:color w:val="auto"/>
          <w:kern w:val="2"/>
          <w:lang w:eastAsia="en-US"/>
          <w14:ligatures w14:val="standardContextual"/>
        </w:rPr>
        <w:t xml:space="preserve">van De Hoop c.s. </w:t>
      </w:r>
      <w:r w:rsidR="008E2586">
        <w:rPr>
          <w:rStyle w:val="FootnoteReference"/>
          <w:rFonts w:eastAsiaTheme="minorHAnsi" w:cstheme="minorBidi"/>
          <w:b/>
          <w:bCs/>
          <w:color w:val="auto"/>
          <w:kern w:val="2"/>
          <w:lang w:eastAsia="en-US"/>
          <w14:ligatures w14:val="standardContextual"/>
        </w:rPr>
        <w:footnoteReference w:id="12"/>
      </w:r>
    </w:p>
    <w:p w:rsidRPr="00A67F4A" w:rsidR="00A67F4A" w:rsidP="00A67F4A" w:rsidRDefault="00CD228B" w14:paraId="7B7A0602" w14:textId="2F132F28">
      <w:pPr>
        <w:autoSpaceDN/>
        <w:spacing w:after="160" w:line="278" w:lineRule="auto"/>
        <w:textAlignment w:val="auto"/>
        <w:rPr>
          <w:rFonts w:eastAsiaTheme="minorHAnsi" w:cstheme="minorBidi"/>
          <w:color w:val="auto"/>
          <w:kern w:val="2"/>
          <w:lang w:eastAsia="en-US"/>
          <w14:ligatures w14:val="standardContextual"/>
        </w:rPr>
      </w:pPr>
      <w:r w:rsidRPr="00030FEE">
        <w:rPr>
          <w:rFonts w:eastAsiaTheme="minorHAnsi" w:cstheme="minorBidi"/>
          <w:color w:val="auto"/>
          <w:kern w:val="2"/>
          <w:lang w:eastAsia="en-US"/>
          <w14:ligatures w14:val="standardContextual"/>
        </w:rPr>
        <w:t>De m</w:t>
      </w:r>
      <w:r w:rsidRPr="00030FEE" w:rsidR="00A67F4A">
        <w:rPr>
          <w:rFonts w:eastAsiaTheme="minorHAnsi" w:cstheme="minorBidi"/>
          <w:color w:val="auto"/>
          <w:kern w:val="2"/>
          <w:lang w:eastAsia="en-US"/>
          <w14:ligatures w14:val="standardContextual"/>
        </w:rPr>
        <w:t xml:space="preserve">otie </w:t>
      </w:r>
      <w:r w:rsidRPr="00030FEE">
        <w:rPr>
          <w:rFonts w:eastAsiaTheme="minorHAnsi" w:cstheme="minorBidi"/>
          <w:color w:val="auto"/>
          <w:kern w:val="2"/>
          <w:lang w:eastAsia="en-US"/>
          <w14:ligatures w14:val="standardContextual"/>
        </w:rPr>
        <w:t>De Hoop c.s. van april 2022</w:t>
      </w:r>
      <w:r w:rsidRPr="00D74B79">
        <w:rPr>
          <w:color w:val="auto"/>
          <w:kern w:val="2"/>
          <w14:ligatures w14:val="standardContextual"/>
        </w:rPr>
        <w:t xml:space="preserve"> </w:t>
      </w:r>
      <w:r w:rsidRPr="00030FEE" w:rsidR="00A67F4A">
        <w:rPr>
          <w:rFonts w:eastAsiaTheme="minorHAnsi" w:cstheme="minorBidi"/>
          <w:color w:val="auto"/>
          <w:kern w:val="2"/>
          <w:lang w:eastAsia="en-US"/>
          <w14:ligatures w14:val="standardContextual"/>
        </w:rPr>
        <w:t xml:space="preserve">verzocht de regering vóór 1 oktober 2022 in kaart te brengen hoeveel steun er per regio nodig was om de dienstregeling overeind te houden. Deze vraag had betrekking op de TVOV 2023 (die mede-onderwerp was van de beleidsevaluatie). Deze regeling was op nacalculatiebasis en de definitieve vaststelling van de subsidies </w:t>
      </w:r>
      <w:r w:rsidRPr="00A67F4A" w:rsidR="00A67F4A">
        <w:rPr>
          <w:rFonts w:eastAsiaTheme="minorHAnsi" w:cstheme="minorBidi"/>
          <w:color w:val="auto"/>
          <w:kern w:val="2"/>
          <w:lang w:eastAsia="en-US"/>
          <w14:ligatures w14:val="standardContextual"/>
        </w:rPr>
        <w:t xml:space="preserve">vond eind december 2025 plaats. </w:t>
      </w:r>
      <w:r>
        <w:rPr>
          <w:rFonts w:eastAsiaTheme="minorHAnsi" w:cstheme="minorBidi"/>
          <w:color w:val="auto"/>
          <w:kern w:val="2"/>
          <w:lang w:eastAsia="en-US"/>
          <w14:ligatures w14:val="standardContextual"/>
        </w:rPr>
        <w:t>Dat is de reden dat ik u pas nu de verantwoording hierover kan verstrekken. In onderstaande tabel staan de bedragen per ov autoriteit uitgesplitst.</w:t>
      </w:r>
      <w:r>
        <w:rPr>
          <w:rStyle w:val="FootnoteReference"/>
          <w:rFonts w:eastAsiaTheme="minorHAnsi" w:cstheme="minorBidi"/>
          <w:color w:val="auto"/>
          <w:kern w:val="2"/>
          <w:lang w:eastAsia="en-US"/>
          <w14:ligatures w14:val="standardContextual"/>
        </w:rPr>
        <w:footnoteReference w:id="13"/>
      </w:r>
    </w:p>
    <w:p w:rsidRPr="00A67F4A" w:rsidR="00A67F4A" w:rsidP="00A67F4A" w:rsidRDefault="00A67F4A" w14:paraId="13456235" w14:textId="0E04E66E">
      <w:pPr>
        <w:autoSpaceDN/>
        <w:spacing w:after="160" w:line="278" w:lineRule="auto"/>
        <w:textAlignment w:val="auto"/>
        <w:rPr>
          <w:rFonts w:eastAsiaTheme="minorHAnsi" w:cstheme="minorBidi"/>
          <w:color w:val="auto"/>
          <w:kern w:val="2"/>
          <w:lang w:eastAsia="en-US"/>
          <w14:ligatures w14:val="standardContextual"/>
        </w:rPr>
      </w:pPr>
      <w:r w:rsidRPr="00A67F4A">
        <w:rPr>
          <w:rFonts w:eastAsiaTheme="minorHAnsi" w:cstheme="minorBidi"/>
          <w:color w:val="auto"/>
          <w:kern w:val="2"/>
          <w:lang w:eastAsia="en-US"/>
          <w14:ligatures w14:val="standardContextual"/>
        </w:rPr>
        <w:t> </w:t>
      </w:r>
      <w:r w:rsidRPr="00A67F4A">
        <w:rPr>
          <w:rFonts w:eastAsiaTheme="minorHAnsi" w:cstheme="minorBidi"/>
          <w:noProof/>
          <w:color w:val="auto"/>
          <w:kern w:val="2"/>
          <w:lang w:val="en-GB" w:eastAsia="en-GB"/>
          <w14:ligatures w14:val="standardContextual"/>
        </w:rPr>
        <w:drawing>
          <wp:inline distT="0" distB="0" distL="0" distR="0" wp14:anchorId="79F427B1" wp14:editId="02581C9D">
            <wp:extent cx="3381375" cy="2961172"/>
            <wp:effectExtent l="0" t="0" r="0" b="0"/>
            <wp:docPr id="7219015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479742" cy="3047315"/>
                    </a:xfrm>
                    <a:prstGeom prst="rect">
                      <a:avLst/>
                    </a:prstGeom>
                    <a:noFill/>
                    <a:ln>
                      <a:noFill/>
                    </a:ln>
                  </pic:spPr>
                </pic:pic>
              </a:graphicData>
            </a:graphic>
          </wp:inline>
        </w:drawing>
      </w:r>
    </w:p>
    <w:p w:rsidRPr="007B125C" w:rsidR="007B125C" w:rsidP="000D5D69" w:rsidRDefault="007B125C" w14:paraId="1ECEC691" w14:textId="1647EC8F">
      <w:pPr>
        <w:rPr>
          <w:b/>
          <w:bCs/>
        </w:rPr>
      </w:pPr>
      <w:r w:rsidRPr="007B125C">
        <w:rPr>
          <w:b/>
          <w:bCs/>
        </w:rPr>
        <w:t>Tot slot</w:t>
      </w:r>
    </w:p>
    <w:p w:rsidR="007B125C" w:rsidP="007B125C" w:rsidRDefault="007B125C" w14:paraId="4DE7AC9B" w14:textId="55BA7A3B">
      <w:r w:rsidRPr="007B125C">
        <w:t>Ik hecht grote waarde aan het voortdurend versterken van zowel de effectiviteit als de efficiëntie van mijn beleid</w:t>
      </w:r>
      <w:r>
        <w:t>. M</w:t>
      </w:r>
      <w:r w:rsidRPr="007B125C">
        <w:t>onitoring en transparantie zijn daarbij essentieel om gericht te kunnen bijsturen. Met de genoemde aanbevelingen als leidraad blijf ik mij inzetten om verdere verbeteringen op dit vlak te realiseren.</w:t>
      </w:r>
    </w:p>
    <w:p w:rsidR="00A67F4A" w:rsidP="007B125C" w:rsidRDefault="00A67F4A" w14:paraId="15D50EDF" w14:textId="77777777"/>
    <w:p w:rsidR="00501515" w:rsidP="00501515" w:rsidRDefault="00501515" w14:paraId="6C86529A" w14:textId="77777777">
      <w:pPr>
        <w:pStyle w:val="Slotzin"/>
      </w:pPr>
      <w:r>
        <w:t>Hoogachtend,</w:t>
      </w:r>
    </w:p>
    <w:p w:rsidR="00501515" w:rsidP="00501515" w:rsidRDefault="00501515" w14:paraId="781BCCE9" w14:textId="77777777">
      <w:pPr>
        <w:pStyle w:val="Slotzin"/>
      </w:pPr>
      <w:r>
        <w:t>DE STAATSSECRETARIS VAN INFRASTRUCTUUR EN WATERSTAAT,</w:t>
      </w:r>
    </w:p>
    <w:p w:rsidR="00501515" w:rsidP="00501515" w:rsidRDefault="00501515" w14:paraId="5D91074C" w14:textId="77777777">
      <w:pPr>
        <w:pStyle w:val="Slotzin"/>
      </w:pPr>
    </w:p>
    <w:p w:rsidR="00494C26" w:rsidP="00501515" w:rsidRDefault="00501515" w14:paraId="314DF861" w14:textId="772B10B4">
      <w:pPr>
        <w:pStyle w:val="Slotzin"/>
      </w:pPr>
      <w:r>
        <w:t>Annet Bertram</w:t>
      </w:r>
    </w:p>
    <w:p w:rsidR="00494C26" w:rsidRDefault="00494C26" w14:paraId="173E6CEB" w14:textId="77777777"/>
    <w:sectPr w:rsidR="00494C26">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DBA78" w14:textId="77777777" w:rsidR="00FE0165" w:rsidRDefault="00FE0165">
      <w:pPr>
        <w:spacing w:line="240" w:lineRule="auto"/>
      </w:pPr>
      <w:r>
        <w:separator/>
      </w:r>
    </w:p>
  </w:endnote>
  <w:endnote w:type="continuationSeparator" w:id="0">
    <w:p w14:paraId="3822D27F" w14:textId="77777777" w:rsidR="00FE0165" w:rsidRDefault="00FE01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0C334" w14:textId="77777777" w:rsidR="008B7D4D" w:rsidRDefault="008B7D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B137C" w14:textId="77777777" w:rsidR="008B7D4D" w:rsidRDefault="008B7D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D8031" w14:textId="77777777" w:rsidR="008B7D4D" w:rsidRDefault="008B7D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2A9F9" w14:textId="77777777" w:rsidR="00FE0165" w:rsidRDefault="00FE0165">
      <w:pPr>
        <w:spacing w:line="240" w:lineRule="auto"/>
      </w:pPr>
      <w:r>
        <w:separator/>
      </w:r>
    </w:p>
  </w:footnote>
  <w:footnote w:type="continuationSeparator" w:id="0">
    <w:p w14:paraId="1A362427" w14:textId="77777777" w:rsidR="00FE0165" w:rsidRDefault="00FE0165">
      <w:pPr>
        <w:spacing w:line="240" w:lineRule="auto"/>
      </w:pPr>
      <w:r>
        <w:continuationSeparator/>
      </w:r>
    </w:p>
  </w:footnote>
  <w:footnote w:id="1">
    <w:p w14:paraId="7567EEF7" w14:textId="7ED1B174" w:rsidR="005E4D7A" w:rsidRPr="00D74B79" w:rsidRDefault="005E4D7A">
      <w:pPr>
        <w:pStyle w:val="FootnoteText"/>
        <w:rPr>
          <w:color w:val="auto"/>
        </w:rPr>
      </w:pPr>
      <w:r w:rsidRPr="00D74B79">
        <w:rPr>
          <w:rStyle w:val="FootnoteReference"/>
          <w:color w:val="auto"/>
        </w:rPr>
        <w:footnoteRef/>
      </w:r>
      <w:r w:rsidRPr="00D74B79">
        <w:rPr>
          <w:color w:val="auto"/>
        </w:rPr>
        <w:t xml:space="preserve"> </w:t>
      </w:r>
      <w:r w:rsidR="00942892" w:rsidRPr="00D74B79">
        <w:rPr>
          <w:color w:val="auto"/>
          <w:sz w:val="14"/>
        </w:rPr>
        <w:t xml:space="preserve">Kamerstuk </w:t>
      </w:r>
      <w:r w:rsidRPr="00D74B79">
        <w:rPr>
          <w:color w:val="auto"/>
          <w:sz w:val="14"/>
        </w:rPr>
        <w:t>32861 nr. 84</w:t>
      </w:r>
    </w:p>
  </w:footnote>
  <w:footnote w:id="2">
    <w:p w14:paraId="175982CC" w14:textId="14BEA117" w:rsidR="00942892" w:rsidRPr="00D74B79" w:rsidRDefault="00942892">
      <w:pPr>
        <w:pStyle w:val="FootnoteText"/>
        <w:rPr>
          <w:color w:val="auto"/>
          <w:sz w:val="14"/>
        </w:rPr>
      </w:pPr>
      <w:r w:rsidRPr="00D74B79">
        <w:rPr>
          <w:rStyle w:val="FootnoteReference"/>
          <w:color w:val="auto"/>
        </w:rPr>
        <w:footnoteRef/>
      </w:r>
      <w:r w:rsidRPr="00D74B79">
        <w:rPr>
          <w:color w:val="auto"/>
        </w:rPr>
        <w:t xml:space="preserve"> </w:t>
      </w:r>
      <w:r w:rsidRPr="00D74B79">
        <w:rPr>
          <w:color w:val="auto"/>
          <w:sz w:val="14"/>
        </w:rPr>
        <w:t>Vrije Universiteit Amsterdam</w:t>
      </w:r>
    </w:p>
  </w:footnote>
  <w:footnote w:id="3">
    <w:p w14:paraId="3991547D" w14:textId="1F11179E" w:rsidR="00373095" w:rsidRPr="00D74B79" w:rsidRDefault="00373095">
      <w:pPr>
        <w:pStyle w:val="FootnoteText"/>
        <w:rPr>
          <w:color w:val="auto"/>
          <w:sz w:val="16"/>
        </w:rPr>
      </w:pPr>
      <w:r w:rsidRPr="00D74B79">
        <w:rPr>
          <w:rStyle w:val="FootnoteReference"/>
          <w:color w:val="auto"/>
          <w:sz w:val="16"/>
        </w:rPr>
        <w:footnoteRef/>
      </w:r>
      <w:r w:rsidRPr="00D74B79">
        <w:rPr>
          <w:color w:val="auto"/>
          <w:sz w:val="16"/>
        </w:rPr>
        <w:t xml:space="preserve"> o.a. Kamerstukken II, 2024/25, 33 652, nr. 95  </w:t>
      </w:r>
    </w:p>
  </w:footnote>
  <w:footnote w:id="4">
    <w:p w14:paraId="6289D1C2" w14:textId="0A4783D3" w:rsidR="00373095" w:rsidRPr="00D74B79" w:rsidRDefault="00373095">
      <w:pPr>
        <w:pStyle w:val="FootnoteText"/>
        <w:rPr>
          <w:color w:val="auto"/>
        </w:rPr>
      </w:pPr>
      <w:r w:rsidRPr="00D74B79">
        <w:rPr>
          <w:rStyle w:val="FootnoteReference"/>
          <w:color w:val="auto"/>
        </w:rPr>
        <w:footnoteRef/>
      </w:r>
      <w:r w:rsidRPr="00D74B79">
        <w:rPr>
          <w:color w:val="auto"/>
        </w:rPr>
        <w:t xml:space="preserve"> </w:t>
      </w:r>
      <w:r w:rsidRPr="00D74B79">
        <w:rPr>
          <w:color w:val="auto"/>
          <w:sz w:val="16"/>
        </w:rPr>
        <w:t>Kamerstukken II, 2023/24, 33 652, nr. 90</w:t>
      </w:r>
    </w:p>
  </w:footnote>
  <w:footnote w:id="5">
    <w:p w14:paraId="68C6C423" w14:textId="45617A98" w:rsidR="00373095" w:rsidRPr="00D74B79" w:rsidRDefault="00373095">
      <w:pPr>
        <w:pStyle w:val="FootnoteText"/>
        <w:rPr>
          <w:color w:val="auto"/>
          <w:sz w:val="16"/>
        </w:rPr>
      </w:pPr>
      <w:r w:rsidRPr="00D74B79">
        <w:rPr>
          <w:rStyle w:val="FootnoteReference"/>
          <w:color w:val="auto"/>
        </w:rPr>
        <w:footnoteRef/>
      </w:r>
      <w:r w:rsidRPr="00D74B79">
        <w:rPr>
          <w:color w:val="auto"/>
        </w:rPr>
        <w:t xml:space="preserve">   </w:t>
      </w:r>
      <w:r w:rsidRPr="00D74B79">
        <w:rPr>
          <w:color w:val="auto"/>
          <w:sz w:val="16"/>
        </w:rPr>
        <w:t>TK 29984 nr. 1202 en 1213</w:t>
      </w:r>
    </w:p>
  </w:footnote>
  <w:footnote w:id="6">
    <w:p w14:paraId="6CBD75C9" w14:textId="48FF74AB" w:rsidR="00030FEE" w:rsidRPr="00030FEE" w:rsidRDefault="00030FEE">
      <w:pPr>
        <w:pStyle w:val="FootnoteText"/>
        <w:rPr>
          <w:sz w:val="16"/>
          <w:szCs w:val="16"/>
        </w:rPr>
      </w:pPr>
      <w:r w:rsidRPr="00030FEE">
        <w:rPr>
          <w:rStyle w:val="FootnoteReference"/>
          <w:sz w:val="16"/>
          <w:szCs w:val="16"/>
        </w:rPr>
        <w:footnoteRef/>
      </w:r>
      <w:r w:rsidRPr="00030FEE">
        <w:rPr>
          <w:sz w:val="16"/>
          <w:szCs w:val="16"/>
        </w:rPr>
        <w:t xml:space="preserve"> </w:t>
      </w:r>
      <w:r w:rsidRPr="00030FEE">
        <w:rPr>
          <w:rFonts w:eastAsiaTheme="minorHAnsi" w:cstheme="minorBidi"/>
          <w:color w:val="auto"/>
          <w:kern w:val="2"/>
          <w:sz w:val="16"/>
          <w:szCs w:val="16"/>
          <w:lang w:eastAsia="en-US"/>
          <w14:ligatures w14:val="standardContextual"/>
        </w:rPr>
        <w:t xml:space="preserve">MuConsult en Panteia.  </w:t>
      </w:r>
    </w:p>
  </w:footnote>
  <w:footnote w:id="7">
    <w:p w14:paraId="3042F7DB" w14:textId="2047F9FF" w:rsidR="002D1C07" w:rsidRPr="0019709E" w:rsidRDefault="002D1C07">
      <w:pPr>
        <w:pStyle w:val="FootnoteText"/>
        <w:rPr>
          <w:color w:val="auto"/>
          <w:sz w:val="16"/>
          <w:szCs w:val="16"/>
        </w:rPr>
      </w:pPr>
      <w:r w:rsidRPr="0019709E">
        <w:rPr>
          <w:rStyle w:val="FootnoteReference"/>
          <w:color w:val="auto"/>
          <w:sz w:val="16"/>
          <w:szCs w:val="16"/>
        </w:rPr>
        <w:footnoteRef/>
      </w:r>
      <w:r w:rsidRPr="0019709E">
        <w:rPr>
          <w:color w:val="auto"/>
          <w:sz w:val="16"/>
          <w:szCs w:val="16"/>
        </w:rPr>
        <w:t xml:space="preserve"> </w:t>
      </w:r>
      <w:r w:rsidR="00030FEE" w:rsidRPr="0019709E">
        <w:rPr>
          <w:color w:val="auto"/>
          <w:sz w:val="16"/>
          <w:szCs w:val="16"/>
        </w:rPr>
        <w:t>O</w:t>
      </w:r>
      <w:r w:rsidRPr="0019709E">
        <w:rPr>
          <w:rFonts w:eastAsiaTheme="minorHAnsi" w:cstheme="minorBidi"/>
          <w:color w:val="auto"/>
          <w:kern w:val="2"/>
          <w:sz w:val="16"/>
          <w:szCs w:val="16"/>
          <w:lang w:eastAsia="en-US"/>
          <w14:ligatures w14:val="standardContextual"/>
        </w:rPr>
        <w:t>nder meer door gebruik te maken van de SiSa-verantwoordingssystematiek.</w:t>
      </w:r>
    </w:p>
  </w:footnote>
  <w:footnote w:id="8">
    <w:p w14:paraId="61A0F429" w14:textId="141EF6AC" w:rsidR="006E54FA" w:rsidRPr="00030FEE" w:rsidRDefault="006E54FA">
      <w:pPr>
        <w:pStyle w:val="FootnoteText"/>
        <w:rPr>
          <w:color w:val="auto"/>
          <w:sz w:val="16"/>
          <w:szCs w:val="16"/>
        </w:rPr>
      </w:pPr>
      <w:r w:rsidRPr="0019709E">
        <w:rPr>
          <w:rStyle w:val="FootnoteReference"/>
          <w:color w:val="auto"/>
          <w:sz w:val="16"/>
          <w:szCs w:val="16"/>
        </w:rPr>
        <w:footnoteRef/>
      </w:r>
      <w:r w:rsidRPr="0019709E">
        <w:rPr>
          <w:color w:val="auto"/>
          <w:sz w:val="16"/>
          <w:szCs w:val="16"/>
        </w:rPr>
        <w:t xml:space="preserve"> B</w:t>
      </w:r>
      <w:r w:rsidRPr="0019709E">
        <w:rPr>
          <w:rFonts w:eastAsiaTheme="minorHAnsi" w:cstheme="minorBidi"/>
          <w:color w:val="auto"/>
          <w:kern w:val="2"/>
          <w:sz w:val="16"/>
          <w:szCs w:val="16"/>
          <w:lang w:eastAsia="en-US"/>
          <w14:ligatures w14:val="standardContextual"/>
        </w:rPr>
        <w:t>ijvoorbeeld aanbodherijking, kosten- en opbrengstbalans, arbeidsmarktstrategie, samenwerking met ketenpartners.</w:t>
      </w:r>
    </w:p>
  </w:footnote>
  <w:footnote w:id="9">
    <w:p w14:paraId="625AA069" w14:textId="3B03AAF1" w:rsidR="0019709E" w:rsidRPr="0019709E" w:rsidRDefault="0019709E">
      <w:pPr>
        <w:pStyle w:val="FootnoteText"/>
        <w:rPr>
          <w:sz w:val="16"/>
          <w:szCs w:val="16"/>
        </w:rPr>
      </w:pPr>
      <w:r w:rsidRPr="0019709E">
        <w:rPr>
          <w:rStyle w:val="FootnoteReference"/>
          <w:sz w:val="16"/>
          <w:szCs w:val="16"/>
        </w:rPr>
        <w:footnoteRef/>
      </w:r>
      <w:r w:rsidRPr="0019709E">
        <w:rPr>
          <w:sz w:val="16"/>
          <w:szCs w:val="16"/>
        </w:rPr>
        <w:t xml:space="preserve"> Onder meer de PSO-verordening, 1370/2007.</w:t>
      </w:r>
    </w:p>
  </w:footnote>
  <w:footnote w:id="10">
    <w:p w14:paraId="4E5F27D6" w14:textId="73F8655C" w:rsidR="00171BDA" w:rsidRPr="00030FEE" w:rsidRDefault="00171BDA">
      <w:pPr>
        <w:pStyle w:val="FootnoteText"/>
        <w:rPr>
          <w:color w:val="auto"/>
          <w:sz w:val="16"/>
          <w:szCs w:val="16"/>
        </w:rPr>
      </w:pPr>
      <w:r w:rsidRPr="00030FEE">
        <w:rPr>
          <w:rStyle w:val="FootnoteReference"/>
          <w:color w:val="auto"/>
          <w:sz w:val="16"/>
          <w:szCs w:val="16"/>
        </w:rPr>
        <w:footnoteRef/>
      </w:r>
      <w:r w:rsidRPr="00030FEE">
        <w:rPr>
          <w:color w:val="auto"/>
          <w:sz w:val="16"/>
          <w:szCs w:val="16"/>
        </w:rPr>
        <w:t xml:space="preserve"> Single information Single audit, </w:t>
      </w:r>
      <w:hyperlink r:id="rId1" w:history="1">
        <w:r w:rsidRPr="00030FEE">
          <w:rPr>
            <w:rStyle w:val="Hyperlink"/>
            <w:color w:val="auto"/>
            <w:sz w:val="16"/>
            <w:szCs w:val="16"/>
          </w:rPr>
          <w:t>Single information, Single audit (SiSa) | Financiën gemeenten en provincies | Rijksoverheid.nl</w:t>
        </w:r>
      </w:hyperlink>
    </w:p>
  </w:footnote>
  <w:footnote w:id="11">
    <w:p w14:paraId="4B03F4AE" w14:textId="7FDD9793" w:rsidR="00697EDA" w:rsidRPr="003154FE" w:rsidRDefault="00697EDA">
      <w:pPr>
        <w:pStyle w:val="FootnoteText"/>
        <w:rPr>
          <w:rStyle w:val="Hyperlink"/>
          <w:color w:val="auto"/>
          <w:sz w:val="16"/>
          <w:szCs w:val="16"/>
          <w:u w:val="none"/>
        </w:rPr>
      </w:pPr>
      <w:r w:rsidRPr="003154FE">
        <w:rPr>
          <w:rStyle w:val="Hyperlink"/>
          <w:color w:val="auto"/>
          <w:sz w:val="16"/>
          <w:szCs w:val="16"/>
          <w:u w:val="none"/>
        </w:rPr>
        <w:footnoteRef/>
      </w:r>
      <w:r w:rsidRPr="003154FE">
        <w:rPr>
          <w:rStyle w:val="Hyperlink"/>
          <w:color w:val="auto"/>
          <w:sz w:val="16"/>
          <w:szCs w:val="16"/>
          <w:u w:val="none"/>
        </w:rPr>
        <w:t xml:space="preserve"> </w:t>
      </w:r>
      <w:r w:rsidR="00BA1D60" w:rsidRPr="00BA1D60">
        <w:rPr>
          <w:rStyle w:val="Hyperlink"/>
          <w:color w:val="auto"/>
          <w:sz w:val="16"/>
          <w:szCs w:val="16"/>
          <w:u w:val="none"/>
        </w:rPr>
        <w:t>In een aantal gevallen werd de definitieve toekenning gebaseerd op een</w:t>
      </w:r>
      <w:r w:rsidR="00E6465D">
        <w:rPr>
          <w:rStyle w:val="Hyperlink"/>
          <w:color w:val="auto"/>
          <w:sz w:val="16"/>
          <w:szCs w:val="16"/>
          <w:u w:val="none"/>
        </w:rPr>
        <w:t xml:space="preserve"> met instemming van </w:t>
      </w:r>
      <w:r w:rsidR="00BA1D60" w:rsidRPr="00BA1D60">
        <w:rPr>
          <w:rStyle w:val="Hyperlink"/>
          <w:color w:val="auto"/>
          <w:sz w:val="16"/>
          <w:szCs w:val="16"/>
          <w:u w:val="none"/>
        </w:rPr>
        <w:t xml:space="preserve"> de decentrale overheid gecorrigeerde SiSa-verantwoording.</w:t>
      </w:r>
    </w:p>
  </w:footnote>
  <w:footnote w:id="12">
    <w:p w14:paraId="73897111" w14:textId="0A54EF7F" w:rsidR="008E2586" w:rsidRPr="008E2586" w:rsidRDefault="008E2586" w:rsidP="008E2586">
      <w:pPr>
        <w:autoSpaceDN/>
        <w:spacing w:line="278" w:lineRule="auto"/>
        <w:textAlignment w:val="auto"/>
        <w:rPr>
          <w:sz w:val="16"/>
          <w:szCs w:val="16"/>
        </w:rPr>
      </w:pPr>
      <w:r w:rsidRPr="008E2586">
        <w:rPr>
          <w:rStyle w:val="FootnoteReference"/>
          <w:sz w:val="16"/>
          <w:szCs w:val="16"/>
        </w:rPr>
        <w:footnoteRef/>
      </w:r>
      <w:r w:rsidRPr="008E2586">
        <w:rPr>
          <w:sz w:val="16"/>
          <w:szCs w:val="16"/>
        </w:rPr>
        <w:t xml:space="preserve"> </w:t>
      </w:r>
      <w:r w:rsidRPr="008E2586">
        <w:rPr>
          <w:rFonts w:eastAsiaTheme="minorHAnsi" w:cstheme="minorBidi"/>
          <w:color w:val="auto"/>
          <w:kern w:val="2"/>
          <w:sz w:val="16"/>
          <w:szCs w:val="16"/>
          <w:lang w:eastAsia="en-US"/>
          <w14:ligatures w14:val="standardContextual"/>
        </w:rPr>
        <w:t>Kst 31305,nr. 357</w:t>
      </w:r>
      <w:r>
        <w:rPr>
          <w:rFonts w:eastAsiaTheme="minorHAnsi" w:cstheme="minorBidi"/>
          <w:color w:val="auto"/>
          <w:kern w:val="2"/>
          <w:sz w:val="16"/>
          <w:szCs w:val="16"/>
          <w:lang w:eastAsia="en-US"/>
          <w14:ligatures w14:val="standardContextual"/>
        </w:rPr>
        <w:t>.</w:t>
      </w:r>
    </w:p>
  </w:footnote>
  <w:footnote w:id="13">
    <w:p w14:paraId="3C092B5A" w14:textId="68A58F35" w:rsidR="00CD228B" w:rsidRPr="00030FEE" w:rsidRDefault="00CD228B" w:rsidP="00CD228B">
      <w:pPr>
        <w:autoSpaceDN/>
        <w:spacing w:after="160" w:line="278" w:lineRule="auto"/>
        <w:textAlignment w:val="auto"/>
        <w:rPr>
          <w:rFonts w:eastAsiaTheme="minorHAnsi" w:cstheme="minorBidi"/>
          <w:color w:val="auto"/>
          <w:kern w:val="2"/>
          <w:sz w:val="16"/>
          <w:szCs w:val="16"/>
          <w:lang w:eastAsia="en-US"/>
          <w14:ligatures w14:val="standardContextual"/>
        </w:rPr>
      </w:pPr>
      <w:r w:rsidRPr="008E2586">
        <w:rPr>
          <w:rStyle w:val="FootnoteReference"/>
          <w:color w:val="auto"/>
          <w:sz w:val="16"/>
          <w:szCs w:val="16"/>
        </w:rPr>
        <w:footnoteRef/>
      </w:r>
      <w:r w:rsidRPr="008E2586">
        <w:rPr>
          <w:color w:val="auto"/>
          <w:sz w:val="16"/>
          <w:szCs w:val="16"/>
        </w:rPr>
        <w:t xml:space="preserve"> Er loopt nog een beroepsprocedure</w:t>
      </w:r>
      <w:r w:rsidRPr="00030FEE">
        <w:rPr>
          <w:color w:val="auto"/>
          <w:sz w:val="16"/>
          <w:szCs w:val="16"/>
        </w:rPr>
        <w:t xml:space="preserve"> tegen de verleningsbeschikking van </w:t>
      </w:r>
      <w:r w:rsidRPr="00030FEE">
        <w:rPr>
          <w:rFonts w:eastAsiaTheme="minorHAnsi" w:cstheme="minorBidi"/>
          <w:color w:val="auto"/>
          <w:kern w:val="2"/>
          <w:sz w:val="16"/>
          <w:szCs w:val="16"/>
          <w:lang w:eastAsia="en-US"/>
          <w14:ligatures w14:val="standardContextual"/>
        </w:rPr>
        <w:t>het ov-bureau Groningen en Drenthe over de hoogte van het verleende bedrag.</w:t>
      </w:r>
    </w:p>
    <w:p w14:paraId="5E63609D" w14:textId="46D0E460" w:rsidR="00CD228B" w:rsidRPr="00030FEE" w:rsidRDefault="00CD228B">
      <w:pPr>
        <w:pStyle w:val="FootnoteText"/>
        <w:rPr>
          <w:color w:val="aut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90506" w14:textId="77777777" w:rsidR="008B7D4D" w:rsidRDefault="008B7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D39D9" w14:textId="77777777" w:rsidR="00494C26" w:rsidRDefault="00E15E43">
    <w:r>
      <w:rPr>
        <w:noProof/>
        <w:lang w:val="en-GB" w:eastAsia="en-GB"/>
      </w:rPr>
      <mc:AlternateContent>
        <mc:Choice Requires="wps">
          <w:drawing>
            <wp:anchor distT="0" distB="0" distL="0" distR="0" simplePos="0" relativeHeight="251651584" behindDoc="0" locked="1" layoutInCell="1" allowOverlap="1" wp14:anchorId="1DC8A0FB" wp14:editId="34D48AE3">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4C264EE" w14:textId="77777777" w:rsidR="00494C26" w:rsidRDefault="00E15E43">
                          <w:pPr>
                            <w:pStyle w:val="AfzendgegevensKop0"/>
                          </w:pPr>
                          <w:r>
                            <w:t>Ministerie van Infrastructuur en Waterstaat</w:t>
                          </w:r>
                        </w:p>
                        <w:p w14:paraId="20DFA88B" w14:textId="77777777" w:rsidR="00371744" w:rsidRDefault="00371744" w:rsidP="00371744"/>
                        <w:p w14:paraId="39C795B4" w14:textId="35857488" w:rsidR="00371744" w:rsidRPr="00371744" w:rsidRDefault="00371744" w:rsidP="00371744">
                          <w:pPr>
                            <w:spacing w:line="276" w:lineRule="auto"/>
                            <w:rPr>
                              <w:sz w:val="13"/>
                              <w:szCs w:val="13"/>
                            </w:rPr>
                          </w:pPr>
                          <w:r>
                            <w:rPr>
                              <w:b/>
                              <w:bCs/>
                              <w:sz w:val="13"/>
                              <w:szCs w:val="13"/>
                            </w:rPr>
                            <w:t>Kenmerk</w:t>
                          </w:r>
                          <w:r w:rsidRPr="00371744">
                            <w:rPr>
                              <w:b/>
                              <w:bCs/>
                              <w:sz w:val="13"/>
                              <w:szCs w:val="13"/>
                            </w:rPr>
                            <w:t xml:space="preserve"> </w:t>
                          </w:r>
                          <w:r w:rsidRPr="00371744">
                            <w:rPr>
                              <w:b/>
                              <w:bCs/>
                              <w:sz w:val="13"/>
                              <w:szCs w:val="13"/>
                            </w:rPr>
                            <w:br/>
                          </w:r>
                          <w:r w:rsidRPr="00371744">
                            <w:rPr>
                              <w:sz w:val="13"/>
                              <w:szCs w:val="13"/>
                            </w:rPr>
                            <w:t>IENW/BSK-2026/152542</w:t>
                          </w:r>
                        </w:p>
                      </w:txbxContent>
                    </wps:txbx>
                    <wps:bodyPr vert="horz" wrap="square" lIns="0" tIns="0" rIns="0" bIns="0" anchor="t" anchorCtr="0"/>
                  </wps:wsp>
                </a:graphicData>
              </a:graphic>
            </wp:anchor>
          </w:drawing>
        </mc:Choice>
        <mc:Fallback>
          <w:pict>
            <v:shapetype w14:anchorId="1DC8A0FB"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04C264EE" w14:textId="77777777" w:rsidR="00494C26" w:rsidRDefault="00E15E43">
                    <w:pPr>
                      <w:pStyle w:val="AfzendgegevensKop0"/>
                    </w:pPr>
                    <w:r>
                      <w:t>Ministerie van Infrastructuur en Waterstaat</w:t>
                    </w:r>
                  </w:p>
                  <w:p w14:paraId="20DFA88B" w14:textId="77777777" w:rsidR="00371744" w:rsidRDefault="00371744" w:rsidP="00371744"/>
                  <w:p w14:paraId="39C795B4" w14:textId="35857488" w:rsidR="00371744" w:rsidRPr="00371744" w:rsidRDefault="00371744" w:rsidP="00371744">
                    <w:pPr>
                      <w:spacing w:line="276" w:lineRule="auto"/>
                      <w:rPr>
                        <w:sz w:val="13"/>
                        <w:szCs w:val="13"/>
                      </w:rPr>
                    </w:pPr>
                    <w:r>
                      <w:rPr>
                        <w:b/>
                        <w:bCs/>
                        <w:sz w:val="13"/>
                        <w:szCs w:val="13"/>
                      </w:rPr>
                      <w:t>Kenmerk</w:t>
                    </w:r>
                    <w:r w:rsidRPr="00371744">
                      <w:rPr>
                        <w:b/>
                        <w:bCs/>
                        <w:sz w:val="13"/>
                        <w:szCs w:val="13"/>
                      </w:rPr>
                      <w:t xml:space="preserve"> </w:t>
                    </w:r>
                    <w:r w:rsidRPr="00371744">
                      <w:rPr>
                        <w:b/>
                        <w:bCs/>
                        <w:sz w:val="13"/>
                        <w:szCs w:val="13"/>
                      </w:rPr>
                      <w:br/>
                    </w:r>
                    <w:r w:rsidRPr="00371744">
                      <w:rPr>
                        <w:sz w:val="13"/>
                        <w:szCs w:val="13"/>
                      </w:rPr>
                      <w:t>IENW/BSK-2026/152542</w:t>
                    </w:r>
                  </w:p>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58E0E7CD" wp14:editId="47298C4C">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4C8E417" w14:textId="372FB0AF" w:rsidR="00494C26" w:rsidRDefault="00E15E43">
                          <w:pPr>
                            <w:pStyle w:val="Referentiegegevens"/>
                          </w:pPr>
                          <w:r>
                            <w:t xml:space="preserve">Page </w:t>
                          </w:r>
                          <w:r>
                            <w:fldChar w:fldCharType="begin"/>
                          </w:r>
                          <w:r>
                            <w:instrText>PAGE</w:instrText>
                          </w:r>
                          <w:r>
                            <w:fldChar w:fldCharType="separate"/>
                          </w:r>
                          <w:r w:rsidR="009A3EC6">
                            <w:rPr>
                              <w:noProof/>
                            </w:rPr>
                            <w:t>2</w:t>
                          </w:r>
                          <w:r>
                            <w:fldChar w:fldCharType="end"/>
                          </w:r>
                          <w:r>
                            <w:t xml:space="preserve"> of </w:t>
                          </w:r>
                          <w:r>
                            <w:fldChar w:fldCharType="begin"/>
                          </w:r>
                          <w:r>
                            <w:instrText>NUMPAGES</w:instrText>
                          </w:r>
                          <w:r>
                            <w:fldChar w:fldCharType="separate"/>
                          </w:r>
                          <w:r w:rsidR="005E4D7A">
                            <w:rPr>
                              <w:noProof/>
                            </w:rPr>
                            <w:t>1</w:t>
                          </w:r>
                          <w:r>
                            <w:fldChar w:fldCharType="end"/>
                          </w:r>
                        </w:p>
                      </w:txbxContent>
                    </wps:txbx>
                    <wps:bodyPr vert="horz" wrap="square" lIns="0" tIns="0" rIns="0" bIns="0" anchor="t" anchorCtr="0"/>
                  </wps:wsp>
                </a:graphicData>
              </a:graphic>
            </wp:anchor>
          </w:drawing>
        </mc:Choice>
        <mc:Fallback>
          <w:pict>
            <v:shape w14:anchorId="58E0E7CD"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04C8E417" w14:textId="372FB0AF" w:rsidR="00494C26" w:rsidRDefault="00E15E43">
                    <w:pPr>
                      <w:pStyle w:val="Referentiegegevens"/>
                    </w:pPr>
                    <w:r>
                      <w:t xml:space="preserve">Page </w:t>
                    </w:r>
                    <w:r>
                      <w:fldChar w:fldCharType="begin"/>
                    </w:r>
                    <w:r>
                      <w:instrText>PAGE</w:instrText>
                    </w:r>
                    <w:r>
                      <w:fldChar w:fldCharType="separate"/>
                    </w:r>
                    <w:r w:rsidR="009A3EC6">
                      <w:rPr>
                        <w:noProof/>
                      </w:rPr>
                      <w:t>2</w:t>
                    </w:r>
                    <w:r>
                      <w:fldChar w:fldCharType="end"/>
                    </w:r>
                    <w:r>
                      <w:t xml:space="preserve"> of </w:t>
                    </w:r>
                    <w:r>
                      <w:fldChar w:fldCharType="begin"/>
                    </w:r>
                    <w:r>
                      <w:instrText>NUMPAGES</w:instrText>
                    </w:r>
                    <w:r>
                      <w:fldChar w:fldCharType="separate"/>
                    </w:r>
                    <w:r w:rsidR="005E4D7A">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1FF81DDF" wp14:editId="0C9EBAD3">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277BEFD" w14:textId="77777777" w:rsidR="001D7699" w:rsidRDefault="001D7699"/>
                      </w:txbxContent>
                    </wps:txbx>
                    <wps:bodyPr vert="horz" wrap="square" lIns="0" tIns="0" rIns="0" bIns="0" anchor="t" anchorCtr="0"/>
                  </wps:wsp>
                </a:graphicData>
              </a:graphic>
            </wp:anchor>
          </w:drawing>
        </mc:Choice>
        <mc:Fallback>
          <w:pict>
            <v:shape w14:anchorId="1FF81DDF"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0277BEFD" w14:textId="77777777" w:rsidR="001D7699" w:rsidRDefault="001D7699"/>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4071D6B7" wp14:editId="6A470ECF">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78A307D" w14:textId="77777777" w:rsidR="001D7699" w:rsidRDefault="001D7699"/>
                      </w:txbxContent>
                    </wps:txbx>
                    <wps:bodyPr vert="horz" wrap="square" lIns="0" tIns="0" rIns="0" bIns="0" anchor="t" anchorCtr="0"/>
                  </wps:wsp>
                </a:graphicData>
              </a:graphic>
            </wp:anchor>
          </w:drawing>
        </mc:Choice>
        <mc:Fallback>
          <w:pict>
            <v:shape w14:anchorId="4071D6B7"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178A307D" w14:textId="77777777" w:rsidR="001D7699" w:rsidRDefault="001D7699"/>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D328C" w14:textId="77777777" w:rsidR="00494C26" w:rsidRDefault="00E15E43">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430FFD5B" wp14:editId="577763F3">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33C00D9" w14:textId="77777777" w:rsidR="001D7699" w:rsidRDefault="001D7699"/>
                      </w:txbxContent>
                    </wps:txbx>
                    <wps:bodyPr vert="horz" wrap="square" lIns="0" tIns="0" rIns="0" bIns="0" anchor="t" anchorCtr="0"/>
                  </wps:wsp>
                </a:graphicData>
              </a:graphic>
            </wp:anchor>
          </w:drawing>
        </mc:Choice>
        <mc:Fallback>
          <w:pict>
            <v:shapetype w14:anchorId="430FFD5B"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733C00D9" w14:textId="77777777" w:rsidR="001D7699" w:rsidRDefault="001D7699"/>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1A423D97" wp14:editId="7A419B4D">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E8C08D0" w14:textId="20C61C60" w:rsidR="00494C26" w:rsidRDefault="00E15E43">
                          <w:pPr>
                            <w:pStyle w:val="Referentiegegevens"/>
                          </w:pPr>
                          <w:r>
                            <w:t xml:space="preserve">Page </w:t>
                          </w:r>
                          <w:r>
                            <w:fldChar w:fldCharType="begin"/>
                          </w:r>
                          <w:r>
                            <w:instrText>PAGE</w:instrText>
                          </w:r>
                          <w:r>
                            <w:fldChar w:fldCharType="separate"/>
                          </w:r>
                          <w:r w:rsidR="00EF4509">
                            <w:rPr>
                              <w:noProof/>
                            </w:rPr>
                            <w:t>1</w:t>
                          </w:r>
                          <w:r>
                            <w:fldChar w:fldCharType="end"/>
                          </w:r>
                          <w:r>
                            <w:t xml:space="preserve"> of </w:t>
                          </w:r>
                          <w:r>
                            <w:fldChar w:fldCharType="begin"/>
                          </w:r>
                          <w:r>
                            <w:instrText>NUMPAGES</w:instrText>
                          </w:r>
                          <w:r>
                            <w:fldChar w:fldCharType="separate"/>
                          </w:r>
                          <w:r w:rsidR="00EF4509">
                            <w:rPr>
                              <w:noProof/>
                            </w:rPr>
                            <w:t>1</w:t>
                          </w:r>
                          <w:r>
                            <w:fldChar w:fldCharType="end"/>
                          </w:r>
                        </w:p>
                      </w:txbxContent>
                    </wps:txbx>
                    <wps:bodyPr vert="horz" wrap="square" lIns="0" tIns="0" rIns="0" bIns="0" anchor="t" anchorCtr="0"/>
                  </wps:wsp>
                </a:graphicData>
              </a:graphic>
            </wp:anchor>
          </w:drawing>
        </mc:Choice>
        <mc:Fallback>
          <w:pict>
            <v:shape w14:anchorId="1A423D97"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7E8C08D0" w14:textId="20C61C60" w:rsidR="00494C26" w:rsidRDefault="00E15E43">
                    <w:pPr>
                      <w:pStyle w:val="Referentiegegevens"/>
                    </w:pPr>
                    <w:r>
                      <w:t xml:space="preserve">Page </w:t>
                    </w:r>
                    <w:r>
                      <w:fldChar w:fldCharType="begin"/>
                    </w:r>
                    <w:r>
                      <w:instrText>PAGE</w:instrText>
                    </w:r>
                    <w:r>
                      <w:fldChar w:fldCharType="separate"/>
                    </w:r>
                    <w:r w:rsidR="00EF4509">
                      <w:rPr>
                        <w:noProof/>
                      </w:rPr>
                      <w:t>1</w:t>
                    </w:r>
                    <w:r>
                      <w:fldChar w:fldCharType="end"/>
                    </w:r>
                    <w:r>
                      <w:t xml:space="preserve"> of </w:t>
                    </w:r>
                    <w:r>
                      <w:fldChar w:fldCharType="begin"/>
                    </w:r>
                    <w:r>
                      <w:instrText>NUMPAGES</w:instrText>
                    </w:r>
                    <w:r>
                      <w:fldChar w:fldCharType="separate"/>
                    </w:r>
                    <w:r w:rsidR="00EF4509">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41EFC3D2" wp14:editId="26382A07">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FF62691" w14:textId="77777777" w:rsidR="00494C26" w:rsidRDefault="00E15E43">
                          <w:pPr>
                            <w:pStyle w:val="AfzendgegevensKop0"/>
                          </w:pPr>
                          <w:r>
                            <w:t>Ministerie van Infrastructuur en Waterstaat</w:t>
                          </w:r>
                        </w:p>
                        <w:p w14:paraId="61325CBE" w14:textId="77777777" w:rsidR="00494C26" w:rsidRDefault="00494C26">
                          <w:pPr>
                            <w:pStyle w:val="WitregelW1"/>
                          </w:pPr>
                        </w:p>
                        <w:p w14:paraId="641CDD95" w14:textId="77777777" w:rsidR="00494C26" w:rsidRDefault="00E15E43">
                          <w:pPr>
                            <w:pStyle w:val="Afzendgegevens"/>
                          </w:pPr>
                          <w:r>
                            <w:t>Rijnstraat 8</w:t>
                          </w:r>
                        </w:p>
                        <w:p w14:paraId="426D80EF" w14:textId="77777777" w:rsidR="00494C26" w:rsidRPr="005E4D7A" w:rsidRDefault="00E15E43">
                          <w:pPr>
                            <w:pStyle w:val="Afzendgegevens"/>
                            <w:rPr>
                              <w:lang w:val="de-DE"/>
                            </w:rPr>
                          </w:pPr>
                          <w:r w:rsidRPr="005E4D7A">
                            <w:rPr>
                              <w:lang w:val="de-DE"/>
                            </w:rPr>
                            <w:t>2515 XP  Den Haag</w:t>
                          </w:r>
                        </w:p>
                        <w:p w14:paraId="7DF82890" w14:textId="77777777" w:rsidR="00494C26" w:rsidRPr="005E4D7A" w:rsidRDefault="00E15E43">
                          <w:pPr>
                            <w:pStyle w:val="Afzendgegevens"/>
                            <w:rPr>
                              <w:lang w:val="de-DE"/>
                            </w:rPr>
                          </w:pPr>
                          <w:r w:rsidRPr="005E4D7A">
                            <w:rPr>
                              <w:lang w:val="de-DE"/>
                            </w:rPr>
                            <w:t>Postbus 20901</w:t>
                          </w:r>
                        </w:p>
                        <w:p w14:paraId="3439110D" w14:textId="77777777" w:rsidR="00494C26" w:rsidRPr="005E4D7A" w:rsidRDefault="00E15E43">
                          <w:pPr>
                            <w:pStyle w:val="Afzendgegevens"/>
                            <w:rPr>
                              <w:lang w:val="de-DE"/>
                            </w:rPr>
                          </w:pPr>
                          <w:r w:rsidRPr="005E4D7A">
                            <w:rPr>
                              <w:lang w:val="de-DE"/>
                            </w:rPr>
                            <w:t>2500 EX Den Haag</w:t>
                          </w:r>
                        </w:p>
                        <w:p w14:paraId="0C4FF991" w14:textId="77777777" w:rsidR="00494C26" w:rsidRPr="005E4D7A" w:rsidRDefault="00494C26">
                          <w:pPr>
                            <w:pStyle w:val="WitregelW1"/>
                            <w:rPr>
                              <w:lang w:val="de-DE"/>
                            </w:rPr>
                          </w:pPr>
                        </w:p>
                        <w:p w14:paraId="7325DAFB" w14:textId="77777777" w:rsidR="00494C26" w:rsidRPr="005E4D7A" w:rsidRDefault="00E15E43">
                          <w:pPr>
                            <w:pStyle w:val="Afzendgegevens"/>
                            <w:rPr>
                              <w:lang w:val="de-DE"/>
                            </w:rPr>
                          </w:pPr>
                          <w:r w:rsidRPr="005E4D7A">
                            <w:rPr>
                              <w:lang w:val="de-DE"/>
                            </w:rPr>
                            <w:t>T   070-456 0000</w:t>
                          </w:r>
                        </w:p>
                        <w:p w14:paraId="0E4ECEF1" w14:textId="324652FA" w:rsidR="00494C26" w:rsidRDefault="00E15E43">
                          <w:pPr>
                            <w:pStyle w:val="Afzendgegevens"/>
                          </w:pPr>
                          <w:r>
                            <w:t>F   070-456 1111</w:t>
                          </w:r>
                          <w:r w:rsidR="00501515">
                            <w:br/>
                          </w:r>
                          <w:r w:rsidR="00501515">
                            <w:br/>
                          </w:r>
                          <w:r w:rsidR="00371744">
                            <w:rPr>
                              <w:b/>
                              <w:bCs/>
                            </w:rPr>
                            <w:t xml:space="preserve">Kenmerk </w:t>
                          </w:r>
                          <w:r w:rsidR="00501515">
                            <w:rPr>
                              <w:b/>
                              <w:bCs/>
                            </w:rPr>
                            <w:br/>
                          </w:r>
                          <w:r w:rsidR="00501515" w:rsidRPr="00501515">
                            <w:t>IENW/BSK-2026/152542</w:t>
                          </w:r>
                        </w:p>
                        <w:p w14:paraId="3ACE6325" w14:textId="77777777" w:rsidR="00A55DC2" w:rsidRDefault="00A55DC2" w:rsidP="00A55DC2"/>
                        <w:p w14:paraId="12F2B2D3" w14:textId="1A151312" w:rsidR="00A55DC2" w:rsidRPr="00A55DC2" w:rsidRDefault="00A55DC2" w:rsidP="00A55DC2">
                          <w:pPr>
                            <w:spacing w:line="276" w:lineRule="auto"/>
                            <w:rPr>
                              <w:b/>
                              <w:bCs/>
                              <w:sz w:val="13"/>
                              <w:szCs w:val="13"/>
                            </w:rPr>
                          </w:pPr>
                          <w:r w:rsidRPr="00A55DC2">
                            <w:rPr>
                              <w:b/>
                              <w:bCs/>
                              <w:sz w:val="13"/>
                              <w:szCs w:val="13"/>
                            </w:rPr>
                            <w:t>Bijlage(n)</w:t>
                          </w:r>
                        </w:p>
                        <w:p w14:paraId="7386D424" w14:textId="71F37A56" w:rsidR="00A55DC2" w:rsidRPr="00A55DC2" w:rsidRDefault="008B7D4D" w:rsidP="00A55DC2">
                          <w:pPr>
                            <w:spacing w:line="276" w:lineRule="auto"/>
                            <w:rPr>
                              <w:sz w:val="13"/>
                              <w:szCs w:val="13"/>
                            </w:rPr>
                          </w:pPr>
                          <w:r>
                            <w:rPr>
                              <w:sz w:val="13"/>
                              <w:szCs w:val="13"/>
                            </w:rPr>
                            <w:t>4</w:t>
                          </w:r>
                        </w:p>
                      </w:txbxContent>
                    </wps:txbx>
                    <wps:bodyPr vert="horz" wrap="square" lIns="0" tIns="0" rIns="0" bIns="0" anchor="t" anchorCtr="0"/>
                  </wps:wsp>
                </a:graphicData>
              </a:graphic>
            </wp:anchor>
          </w:drawing>
        </mc:Choice>
        <mc:Fallback>
          <w:pict>
            <v:shape w14:anchorId="41EFC3D2"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3FF62691" w14:textId="77777777" w:rsidR="00494C26" w:rsidRDefault="00E15E43">
                    <w:pPr>
                      <w:pStyle w:val="AfzendgegevensKop0"/>
                    </w:pPr>
                    <w:r>
                      <w:t>Ministerie van Infrastructuur en Waterstaat</w:t>
                    </w:r>
                  </w:p>
                  <w:p w14:paraId="61325CBE" w14:textId="77777777" w:rsidR="00494C26" w:rsidRDefault="00494C26">
                    <w:pPr>
                      <w:pStyle w:val="WitregelW1"/>
                    </w:pPr>
                  </w:p>
                  <w:p w14:paraId="641CDD95" w14:textId="77777777" w:rsidR="00494C26" w:rsidRDefault="00E15E43">
                    <w:pPr>
                      <w:pStyle w:val="Afzendgegevens"/>
                    </w:pPr>
                    <w:r>
                      <w:t>Rijnstraat 8</w:t>
                    </w:r>
                  </w:p>
                  <w:p w14:paraId="426D80EF" w14:textId="77777777" w:rsidR="00494C26" w:rsidRPr="005E4D7A" w:rsidRDefault="00E15E43">
                    <w:pPr>
                      <w:pStyle w:val="Afzendgegevens"/>
                      <w:rPr>
                        <w:lang w:val="de-DE"/>
                      </w:rPr>
                    </w:pPr>
                    <w:r w:rsidRPr="005E4D7A">
                      <w:rPr>
                        <w:lang w:val="de-DE"/>
                      </w:rPr>
                      <w:t>2515 XP  Den Haag</w:t>
                    </w:r>
                  </w:p>
                  <w:p w14:paraId="7DF82890" w14:textId="77777777" w:rsidR="00494C26" w:rsidRPr="005E4D7A" w:rsidRDefault="00E15E43">
                    <w:pPr>
                      <w:pStyle w:val="Afzendgegevens"/>
                      <w:rPr>
                        <w:lang w:val="de-DE"/>
                      </w:rPr>
                    </w:pPr>
                    <w:r w:rsidRPr="005E4D7A">
                      <w:rPr>
                        <w:lang w:val="de-DE"/>
                      </w:rPr>
                      <w:t>Postbus 20901</w:t>
                    </w:r>
                  </w:p>
                  <w:p w14:paraId="3439110D" w14:textId="77777777" w:rsidR="00494C26" w:rsidRPr="005E4D7A" w:rsidRDefault="00E15E43">
                    <w:pPr>
                      <w:pStyle w:val="Afzendgegevens"/>
                      <w:rPr>
                        <w:lang w:val="de-DE"/>
                      </w:rPr>
                    </w:pPr>
                    <w:r w:rsidRPr="005E4D7A">
                      <w:rPr>
                        <w:lang w:val="de-DE"/>
                      </w:rPr>
                      <w:t>2500 EX Den Haag</w:t>
                    </w:r>
                  </w:p>
                  <w:p w14:paraId="0C4FF991" w14:textId="77777777" w:rsidR="00494C26" w:rsidRPr="005E4D7A" w:rsidRDefault="00494C26">
                    <w:pPr>
                      <w:pStyle w:val="WitregelW1"/>
                      <w:rPr>
                        <w:lang w:val="de-DE"/>
                      </w:rPr>
                    </w:pPr>
                  </w:p>
                  <w:p w14:paraId="7325DAFB" w14:textId="77777777" w:rsidR="00494C26" w:rsidRPr="005E4D7A" w:rsidRDefault="00E15E43">
                    <w:pPr>
                      <w:pStyle w:val="Afzendgegevens"/>
                      <w:rPr>
                        <w:lang w:val="de-DE"/>
                      </w:rPr>
                    </w:pPr>
                    <w:r w:rsidRPr="005E4D7A">
                      <w:rPr>
                        <w:lang w:val="de-DE"/>
                      </w:rPr>
                      <w:t>T   070-456 0000</w:t>
                    </w:r>
                  </w:p>
                  <w:p w14:paraId="0E4ECEF1" w14:textId="324652FA" w:rsidR="00494C26" w:rsidRDefault="00E15E43">
                    <w:pPr>
                      <w:pStyle w:val="Afzendgegevens"/>
                    </w:pPr>
                    <w:r>
                      <w:t>F   070-456 1111</w:t>
                    </w:r>
                    <w:r w:rsidR="00501515">
                      <w:br/>
                    </w:r>
                    <w:r w:rsidR="00501515">
                      <w:br/>
                    </w:r>
                    <w:r w:rsidR="00371744">
                      <w:rPr>
                        <w:b/>
                        <w:bCs/>
                      </w:rPr>
                      <w:t xml:space="preserve">Kenmerk </w:t>
                    </w:r>
                    <w:r w:rsidR="00501515">
                      <w:rPr>
                        <w:b/>
                        <w:bCs/>
                      </w:rPr>
                      <w:br/>
                    </w:r>
                    <w:r w:rsidR="00501515" w:rsidRPr="00501515">
                      <w:t>IENW/BSK-2026/152542</w:t>
                    </w:r>
                  </w:p>
                  <w:p w14:paraId="3ACE6325" w14:textId="77777777" w:rsidR="00A55DC2" w:rsidRDefault="00A55DC2" w:rsidP="00A55DC2"/>
                  <w:p w14:paraId="12F2B2D3" w14:textId="1A151312" w:rsidR="00A55DC2" w:rsidRPr="00A55DC2" w:rsidRDefault="00A55DC2" w:rsidP="00A55DC2">
                    <w:pPr>
                      <w:spacing w:line="276" w:lineRule="auto"/>
                      <w:rPr>
                        <w:b/>
                        <w:bCs/>
                        <w:sz w:val="13"/>
                        <w:szCs w:val="13"/>
                      </w:rPr>
                    </w:pPr>
                    <w:r w:rsidRPr="00A55DC2">
                      <w:rPr>
                        <w:b/>
                        <w:bCs/>
                        <w:sz w:val="13"/>
                        <w:szCs w:val="13"/>
                      </w:rPr>
                      <w:t>Bijlage(n)</w:t>
                    </w:r>
                  </w:p>
                  <w:p w14:paraId="7386D424" w14:textId="71F37A56" w:rsidR="00A55DC2" w:rsidRPr="00A55DC2" w:rsidRDefault="008B7D4D" w:rsidP="00A55DC2">
                    <w:pPr>
                      <w:spacing w:line="276" w:lineRule="auto"/>
                      <w:rPr>
                        <w:sz w:val="13"/>
                        <w:szCs w:val="13"/>
                      </w:rPr>
                    </w:pPr>
                    <w:r>
                      <w:rPr>
                        <w:sz w:val="13"/>
                        <w:szCs w:val="13"/>
                      </w:rPr>
                      <w:t>4</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53B1271B" wp14:editId="4E362B79">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50ADD21" w14:textId="77777777" w:rsidR="00494C26" w:rsidRDefault="00E15E43">
                          <w:pPr>
                            <w:spacing w:line="240" w:lineRule="auto"/>
                          </w:pPr>
                          <w:r>
                            <w:rPr>
                              <w:noProof/>
                              <w:lang w:val="en-GB" w:eastAsia="en-GB"/>
                            </w:rPr>
                            <w:drawing>
                              <wp:inline distT="0" distB="0" distL="0" distR="0" wp14:anchorId="36CC5ECB" wp14:editId="595D5AA6">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3B1271B"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550ADD21" w14:textId="77777777" w:rsidR="00494C26" w:rsidRDefault="00E15E43">
                    <w:pPr>
                      <w:spacing w:line="240" w:lineRule="auto"/>
                    </w:pPr>
                    <w:r>
                      <w:rPr>
                        <w:noProof/>
                        <w:lang w:val="en-GB" w:eastAsia="en-GB"/>
                      </w:rPr>
                      <w:drawing>
                        <wp:inline distT="0" distB="0" distL="0" distR="0" wp14:anchorId="36CC5ECB" wp14:editId="595D5AA6">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0F2E93AE" wp14:editId="08E44212">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583C5E6" w14:textId="77777777" w:rsidR="00494C26" w:rsidRDefault="00E15E43">
                          <w:pPr>
                            <w:spacing w:line="240" w:lineRule="auto"/>
                          </w:pPr>
                          <w:r>
                            <w:rPr>
                              <w:noProof/>
                              <w:lang w:val="en-GB" w:eastAsia="en-GB"/>
                            </w:rPr>
                            <w:drawing>
                              <wp:inline distT="0" distB="0" distL="0" distR="0" wp14:anchorId="6D6B8864" wp14:editId="515C485B">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F2E93AE"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4583C5E6" w14:textId="77777777" w:rsidR="00494C26" w:rsidRDefault="00E15E43">
                    <w:pPr>
                      <w:spacing w:line="240" w:lineRule="auto"/>
                    </w:pPr>
                    <w:r>
                      <w:rPr>
                        <w:noProof/>
                        <w:lang w:val="en-GB" w:eastAsia="en-GB"/>
                      </w:rPr>
                      <w:drawing>
                        <wp:inline distT="0" distB="0" distL="0" distR="0" wp14:anchorId="6D6B8864" wp14:editId="515C485B">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37C7676F" wp14:editId="77D7DE52">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572DE5E6" w14:textId="77777777" w:rsidR="00494C26" w:rsidRDefault="00E15E43">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37C7676F"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572DE5E6" w14:textId="77777777" w:rsidR="00494C26" w:rsidRDefault="00E15E43">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2F78D731" wp14:editId="49E43FC0">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34858AAC" w14:textId="77777777" w:rsidR="00494C26" w:rsidRDefault="00E15E43">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2F78D731"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34858AAC" w14:textId="77777777" w:rsidR="00494C26" w:rsidRDefault="00E15E43">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546E977E" wp14:editId="31B6A872">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94C26" w14:paraId="146211B1" w14:textId="77777777">
                            <w:trPr>
                              <w:trHeight w:val="200"/>
                            </w:trPr>
                            <w:tc>
                              <w:tcPr>
                                <w:tcW w:w="1140" w:type="dxa"/>
                              </w:tcPr>
                              <w:p w14:paraId="79D12788" w14:textId="77777777" w:rsidR="00494C26" w:rsidRDefault="00494C26"/>
                            </w:tc>
                            <w:tc>
                              <w:tcPr>
                                <w:tcW w:w="5400" w:type="dxa"/>
                              </w:tcPr>
                              <w:p w14:paraId="67E697FF" w14:textId="77777777" w:rsidR="00494C26" w:rsidRDefault="00494C26"/>
                            </w:tc>
                          </w:tr>
                          <w:tr w:rsidR="00494C26" w14:paraId="1BA3EC65" w14:textId="77777777">
                            <w:trPr>
                              <w:trHeight w:val="240"/>
                            </w:trPr>
                            <w:tc>
                              <w:tcPr>
                                <w:tcW w:w="1140" w:type="dxa"/>
                              </w:tcPr>
                              <w:p w14:paraId="114D770A" w14:textId="77777777" w:rsidR="00494C26" w:rsidRDefault="00E15E43">
                                <w:r>
                                  <w:t>Datum</w:t>
                                </w:r>
                              </w:p>
                            </w:tc>
                            <w:tc>
                              <w:tcPr>
                                <w:tcW w:w="5400" w:type="dxa"/>
                              </w:tcPr>
                              <w:p w14:paraId="63DC75E6" w14:textId="6D6F7505" w:rsidR="00494C26" w:rsidRDefault="008B7D4D">
                                <w:r>
                                  <w:t>14 september 2026</w:t>
                                </w:r>
                              </w:p>
                            </w:tc>
                          </w:tr>
                          <w:tr w:rsidR="00494C26" w14:paraId="7A6EF5EE" w14:textId="77777777">
                            <w:trPr>
                              <w:trHeight w:val="240"/>
                            </w:trPr>
                            <w:tc>
                              <w:tcPr>
                                <w:tcW w:w="1140" w:type="dxa"/>
                              </w:tcPr>
                              <w:p w14:paraId="7AB0B17C" w14:textId="77777777" w:rsidR="00494C26" w:rsidRDefault="00E15E43">
                                <w:r>
                                  <w:t>Betreft</w:t>
                                </w:r>
                              </w:p>
                            </w:tc>
                            <w:tc>
                              <w:tcPr>
                                <w:tcW w:w="5400" w:type="dxa"/>
                              </w:tcPr>
                              <w:p w14:paraId="6795D73C" w14:textId="77777777" w:rsidR="00494C26" w:rsidRDefault="00E15E43">
                                <w:r>
                                  <w:t>Periodieke rapportage art. 16 van Hoofdstuk 12 van de rijksbegroting en aanverwante artikelen</w:t>
                                </w:r>
                              </w:p>
                            </w:tc>
                          </w:tr>
                          <w:tr w:rsidR="00494C26" w14:paraId="1963D973" w14:textId="77777777">
                            <w:trPr>
                              <w:trHeight w:val="200"/>
                            </w:trPr>
                            <w:tc>
                              <w:tcPr>
                                <w:tcW w:w="1140" w:type="dxa"/>
                              </w:tcPr>
                              <w:p w14:paraId="0DDDA333" w14:textId="77777777" w:rsidR="00494C26" w:rsidRDefault="00494C26"/>
                            </w:tc>
                            <w:tc>
                              <w:tcPr>
                                <w:tcW w:w="5400" w:type="dxa"/>
                              </w:tcPr>
                              <w:p w14:paraId="0ACA9932" w14:textId="77777777" w:rsidR="00494C26" w:rsidRDefault="00494C26"/>
                            </w:tc>
                          </w:tr>
                        </w:tbl>
                        <w:p w14:paraId="2699D2CB" w14:textId="77777777" w:rsidR="001D7699" w:rsidRDefault="001D7699"/>
                      </w:txbxContent>
                    </wps:txbx>
                    <wps:bodyPr vert="horz" wrap="square" lIns="0" tIns="0" rIns="0" bIns="0" anchor="t" anchorCtr="0"/>
                  </wps:wsp>
                </a:graphicData>
              </a:graphic>
            </wp:anchor>
          </w:drawing>
        </mc:Choice>
        <mc:Fallback>
          <w:pict>
            <v:shape w14:anchorId="546E977E"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494C26" w14:paraId="146211B1" w14:textId="77777777">
                      <w:trPr>
                        <w:trHeight w:val="200"/>
                      </w:trPr>
                      <w:tc>
                        <w:tcPr>
                          <w:tcW w:w="1140" w:type="dxa"/>
                        </w:tcPr>
                        <w:p w14:paraId="79D12788" w14:textId="77777777" w:rsidR="00494C26" w:rsidRDefault="00494C26"/>
                      </w:tc>
                      <w:tc>
                        <w:tcPr>
                          <w:tcW w:w="5400" w:type="dxa"/>
                        </w:tcPr>
                        <w:p w14:paraId="67E697FF" w14:textId="77777777" w:rsidR="00494C26" w:rsidRDefault="00494C26"/>
                      </w:tc>
                    </w:tr>
                    <w:tr w:rsidR="00494C26" w14:paraId="1BA3EC65" w14:textId="77777777">
                      <w:trPr>
                        <w:trHeight w:val="240"/>
                      </w:trPr>
                      <w:tc>
                        <w:tcPr>
                          <w:tcW w:w="1140" w:type="dxa"/>
                        </w:tcPr>
                        <w:p w14:paraId="114D770A" w14:textId="77777777" w:rsidR="00494C26" w:rsidRDefault="00E15E43">
                          <w:r>
                            <w:t>Datum</w:t>
                          </w:r>
                        </w:p>
                      </w:tc>
                      <w:tc>
                        <w:tcPr>
                          <w:tcW w:w="5400" w:type="dxa"/>
                        </w:tcPr>
                        <w:p w14:paraId="63DC75E6" w14:textId="6D6F7505" w:rsidR="00494C26" w:rsidRDefault="008B7D4D">
                          <w:r>
                            <w:t>14 september 2026</w:t>
                          </w:r>
                        </w:p>
                      </w:tc>
                    </w:tr>
                    <w:tr w:rsidR="00494C26" w14:paraId="7A6EF5EE" w14:textId="77777777">
                      <w:trPr>
                        <w:trHeight w:val="240"/>
                      </w:trPr>
                      <w:tc>
                        <w:tcPr>
                          <w:tcW w:w="1140" w:type="dxa"/>
                        </w:tcPr>
                        <w:p w14:paraId="7AB0B17C" w14:textId="77777777" w:rsidR="00494C26" w:rsidRDefault="00E15E43">
                          <w:r>
                            <w:t>Betreft</w:t>
                          </w:r>
                        </w:p>
                      </w:tc>
                      <w:tc>
                        <w:tcPr>
                          <w:tcW w:w="5400" w:type="dxa"/>
                        </w:tcPr>
                        <w:p w14:paraId="6795D73C" w14:textId="77777777" w:rsidR="00494C26" w:rsidRDefault="00E15E43">
                          <w:r>
                            <w:t>Periodieke rapportage art. 16 van Hoofdstuk 12 van de rijksbegroting en aanverwante artikelen</w:t>
                          </w:r>
                        </w:p>
                      </w:tc>
                    </w:tr>
                    <w:tr w:rsidR="00494C26" w14:paraId="1963D973" w14:textId="77777777">
                      <w:trPr>
                        <w:trHeight w:val="200"/>
                      </w:trPr>
                      <w:tc>
                        <w:tcPr>
                          <w:tcW w:w="1140" w:type="dxa"/>
                        </w:tcPr>
                        <w:p w14:paraId="0DDDA333" w14:textId="77777777" w:rsidR="00494C26" w:rsidRDefault="00494C26"/>
                      </w:tc>
                      <w:tc>
                        <w:tcPr>
                          <w:tcW w:w="5400" w:type="dxa"/>
                        </w:tcPr>
                        <w:p w14:paraId="0ACA9932" w14:textId="77777777" w:rsidR="00494C26" w:rsidRDefault="00494C26"/>
                      </w:tc>
                    </w:tr>
                  </w:tbl>
                  <w:p w14:paraId="2699D2CB" w14:textId="77777777" w:rsidR="001D7699" w:rsidRDefault="001D7699"/>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4768F7ED" wp14:editId="20FC2920">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D4EDFB2" w14:textId="77777777" w:rsidR="001D7699" w:rsidRDefault="001D7699"/>
                      </w:txbxContent>
                    </wps:txbx>
                    <wps:bodyPr vert="horz" wrap="square" lIns="0" tIns="0" rIns="0" bIns="0" anchor="t" anchorCtr="0"/>
                  </wps:wsp>
                </a:graphicData>
              </a:graphic>
            </wp:anchor>
          </w:drawing>
        </mc:Choice>
        <mc:Fallback>
          <w:pict>
            <v:shape w14:anchorId="4768F7ED"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D4EDFB2" w14:textId="77777777" w:rsidR="001D7699" w:rsidRDefault="001D7699"/>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6717BA"/>
    <w:multiLevelType w:val="multilevel"/>
    <w:tmpl w:val="040C18D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93C1FA"/>
    <w:multiLevelType w:val="multilevel"/>
    <w:tmpl w:val="177661A0"/>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EB62AE9"/>
    <w:multiLevelType w:val="multilevel"/>
    <w:tmpl w:val="8DECA671"/>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CE3EB5C"/>
    <w:multiLevelType w:val="multilevel"/>
    <w:tmpl w:val="62B03281"/>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27A8B10"/>
    <w:multiLevelType w:val="multilevel"/>
    <w:tmpl w:val="0A2D1AF5"/>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551E196"/>
    <w:multiLevelType w:val="multilevel"/>
    <w:tmpl w:val="F3C850C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E7F493D"/>
    <w:multiLevelType w:val="multilevel"/>
    <w:tmpl w:val="E118303A"/>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174B502"/>
    <w:multiLevelType w:val="multilevel"/>
    <w:tmpl w:val="557CB974"/>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3437256"/>
    <w:multiLevelType w:val="multilevel"/>
    <w:tmpl w:val="62EC4D1B"/>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5025E5C"/>
    <w:multiLevelType w:val="multilevel"/>
    <w:tmpl w:val="DB02D91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0" w15:restartNumberingAfterBreak="0">
    <w:nsid w:val="E7D78201"/>
    <w:multiLevelType w:val="multilevel"/>
    <w:tmpl w:val="810F7C0B"/>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A21A8E0"/>
    <w:multiLevelType w:val="multilevel"/>
    <w:tmpl w:val="69125BFD"/>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054F16C"/>
    <w:multiLevelType w:val="multilevel"/>
    <w:tmpl w:val="061E9B4D"/>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71A4E14"/>
    <w:multiLevelType w:val="multilevel"/>
    <w:tmpl w:val="0A40EC62"/>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9D08E14"/>
    <w:multiLevelType w:val="multilevel"/>
    <w:tmpl w:val="41D95998"/>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44392B7"/>
    <w:multiLevelType w:val="multilevel"/>
    <w:tmpl w:val="8AEED815"/>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D2154D5"/>
    <w:multiLevelType w:val="multilevel"/>
    <w:tmpl w:val="61293DA6"/>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EC90308"/>
    <w:multiLevelType w:val="multilevel"/>
    <w:tmpl w:val="932498DD"/>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9CEAEF6"/>
    <w:multiLevelType w:val="multilevel"/>
    <w:tmpl w:val="2E20D03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9" w15:restartNumberingAfterBreak="0">
    <w:nsid w:val="4D497438"/>
    <w:multiLevelType w:val="multilevel"/>
    <w:tmpl w:val="E943E30D"/>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7E3194"/>
    <w:multiLevelType w:val="multilevel"/>
    <w:tmpl w:val="F18430CE"/>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7EFF65"/>
    <w:multiLevelType w:val="multilevel"/>
    <w:tmpl w:val="7EF6E1C5"/>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F931E9"/>
    <w:multiLevelType w:val="multilevel"/>
    <w:tmpl w:val="4EA820DB"/>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2"/>
  </w:num>
  <w:num w:numId="3">
    <w:abstractNumId w:val="17"/>
  </w:num>
  <w:num w:numId="4">
    <w:abstractNumId w:val="11"/>
  </w:num>
  <w:num w:numId="5">
    <w:abstractNumId w:val="18"/>
  </w:num>
  <w:num w:numId="6">
    <w:abstractNumId w:val="2"/>
  </w:num>
  <w:num w:numId="7">
    <w:abstractNumId w:val="7"/>
  </w:num>
  <w:num w:numId="8">
    <w:abstractNumId w:val="1"/>
  </w:num>
  <w:num w:numId="9">
    <w:abstractNumId w:val="20"/>
  </w:num>
  <w:num w:numId="10">
    <w:abstractNumId w:val="8"/>
  </w:num>
  <w:num w:numId="11">
    <w:abstractNumId w:val="5"/>
  </w:num>
  <w:num w:numId="12">
    <w:abstractNumId w:val="9"/>
  </w:num>
  <w:num w:numId="13">
    <w:abstractNumId w:val="6"/>
  </w:num>
  <w:num w:numId="14">
    <w:abstractNumId w:val="4"/>
  </w:num>
  <w:num w:numId="15">
    <w:abstractNumId w:val="16"/>
  </w:num>
  <w:num w:numId="16">
    <w:abstractNumId w:val="22"/>
  </w:num>
  <w:num w:numId="17">
    <w:abstractNumId w:val="19"/>
  </w:num>
  <w:num w:numId="18">
    <w:abstractNumId w:val="14"/>
  </w:num>
  <w:num w:numId="19">
    <w:abstractNumId w:val="15"/>
  </w:num>
  <w:num w:numId="20">
    <w:abstractNumId w:val="13"/>
  </w:num>
  <w:num w:numId="21">
    <w:abstractNumId w:val="0"/>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D7A"/>
    <w:rsid w:val="00004C5B"/>
    <w:rsid w:val="00030FEE"/>
    <w:rsid w:val="0003434A"/>
    <w:rsid w:val="00037063"/>
    <w:rsid w:val="0004519D"/>
    <w:rsid w:val="00047E0D"/>
    <w:rsid w:val="00052290"/>
    <w:rsid w:val="000638ED"/>
    <w:rsid w:val="00063E08"/>
    <w:rsid w:val="0007497E"/>
    <w:rsid w:val="00085C02"/>
    <w:rsid w:val="000A30C4"/>
    <w:rsid w:val="000A619F"/>
    <w:rsid w:val="000B66F1"/>
    <w:rsid w:val="000D11A6"/>
    <w:rsid w:val="000D1B65"/>
    <w:rsid w:val="000D36CC"/>
    <w:rsid w:val="000D5D69"/>
    <w:rsid w:val="000D64BE"/>
    <w:rsid w:val="00102C86"/>
    <w:rsid w:val="0013424F"/>
    <w:rsid w:val="00135F90"/>
    <w:rsid w:val="0013760A"/>
    <w:rsid w:val="00142286"/>
    <w:rsid w:val="00150EC3"/>
    <w:rsid w:val="001511FB"/>
    <w:rsid w:val="00155401"/>
    <w:rsid w:val="00161EA4"/>
    <w:rsid w:val="00171BDA"/>
    <w:rsid w:val="00177CB7"/>
    <w:rsid w:val="001927B5"/>
    <w:rsid w:val="00194719"/>
    <w:rsid w:val="0019709E"/>
    <w:rsid w:val="001A1C35"/>
    <w:rsid w:val="001A20EF"/>
    <w:rsid w:val="001A3D2B"/>
    <w:rsid w:val="001B20E8"/>
    <w:rsid w:val="001D5BB3"/>
    <w:rsid w:val="001D7699"/>
    <w:rsid w:val="001E062D"/>
    <w:rsid w:val="001E0E64"/>
    <w:rsid w:val="001E7C2E"/>
    <w:rsid w:val="001F2858"/>
    <w:rsid w:val="00210514"/>
    <w:rsid w:val="0022305F"/>
    <w:rsid w:val="00242BC6"/>
    <w:rsid w:val="002447E2"/>
    <w:rsid w:val="002514BD"/>
    <w:rsid w:val="00252ECA"/>
    <w:rsid w:val="00260492"/>
    <w:rsid w:val="00265BC3"/>
    <w:rsid w:val="00271D6F"/>
    <w:rsid w:val="002A5AE3"/>
    <w:rsid w:val="002B09F3"/>
    <w:rsid w:val="002B2D62"/>
    <w:rsid w:val="002D12F8"/>
    <w:rsid w:val="002D1C07"/>
    <w:rsid w:val="002D2499"/>
    <w:rsid w:val="002D7379"/>
    <w:rsid w:val="002E4222"/>
    <w:rsid w:val="002F082F"/>
    <w:rsid w:val="002F3B05"/>
    <w:rsid w:val="002F46EF"/>
    <w:rsid w:val="00301C0A"/>
    <w:rsid w:val="00306941"/>
    <w:rsid w:val="003154FE"/>
    <w:rsid w:val="00316A3D"/>
    <w:rsid w:val="00320C31"/>
    <w:rsid w:val="0033389E"/>
    <w:rsid w:val="00341531"/>
    <w:rsid w:val="00362E53"/>
    <w:rsid w:val="00371744"/>
    <w:rsid w:val="00373095"/>
    <w:rsid w:val="003744DE"/>
    <w:rsid w:val="003750E4"/>
    <w:rsid w:val="00376819"/>
    <w:rsid w:val="003772E9"/>
    <w:rsid w:val="00385238"/>
    <w:rsid w:val="003A1A23"/>
    <w:rsid w:val="003C4717"/>
    <w:rsid w:val="003D2D8E"/>
    <w:rsid w:val="003D4FC4"/>
    <w:rsid w:val="003D6378"/>
    <w:rsid w:val="003D72BF"/>
    <w:rsid w:val="003E01D0"/>
    <w:rsid w:val="003E0540"/>
    <w:rsid w:val="003E58AD"/>
    <w:rsid w:val="003E68D7"/>
    <w:rsid w:val="003F6E08"/>
    <w:rsid w:val="00402870"/>
    <w:rsid w:val="00405002"/>
    <w:rsid w:val="00412DAC"/>
    <w:rsid w:val="00423042"/>
    <w:rsid w:val="00431E34"/>
    <w:rsid w:val="004359CB"/>
    <w:rsid w:val="00436B34"/>
    <w:rsid w:val="00442CC5"/>
    <w:rsid w:val="00447EAC"/>
    <w:rsid w:val="00456458"/>
    <w:rsid w:val="00460459"/>
    <w:rsid w:val="00465B39"/>
    <w:rsid w:val="00481DFC"/>
    <w:rsid w:val="00484064"/>
    <w:rsid w:val="00494C26"/>
    <w:rsid w:val="00495E53"/>
    <w:rsid w:val="00496FB7"/>
    <w:rsid w:val="004A54FD"/>
    <w:rsid w:val="004B1240"/>
    <w:rsid w:val="004B47E0"/>
    <w:rsid w:val="004C285D"/>
    <w:rsid w:val="00501515"/>
    <w:rsid w:val="005227E3"/>
    <w:rsid w:val="00536546"/>
    <w:rsid w:val="00555B13"/>
    <w:rsid w:val="005709A9"/>
    <w:rsid w:val="0057705F"/>
    <w:rsid w:val="0057707B"/>
    <w:rsid w:val="00591A24"/>
    <w:rsid w:val="00592826"/>
    <w:rsid w:val="00593C2A"/>
    <w:rsid w:val="005A537D"/>
    <w:rsid w:val="005D6867"/>
    <w:rsid w:val="005E4D7A"/>
    <w:rsid w:val="005E7FA9"/>
    <w:rsid w:val="00607CF2"/>
    <w:rsid w:val="00625B70"/>
    <w:rsid w:val="00641A7C"/>
    <w:rsid w:val="00641B04"/>
    <w:rsid w:val="006544F4"/>
    <w:rsid w:val="0066096C"/>
    <w:rsid w:val="00660F27"/>
    <w:rsid w:val="00661936"/>
    <w:rsid w:val="00687CD6"/>
    <w:rsid w:val="006921E4"/>
    <w:rsid w:val="00693CA4"/>
    <w:rsid w:val="00697EDA"/>
    <w:rsid w:val="006A7931"/>
    <w:rsid w:val="006B3AE0"/>
    <w:rsid w:val="006D7D71"/>
    <w:rsid w:val="006E3B3D"/>
    <w:rsid w:val="006E54FA"/>
    <w:rsid w:val="006F3762"/>
    <w:rsid w:val="007272E8"/>
    <w:rsid w:val="00736ED3"/>
    <w:rsid w:val="0074604E"/>
    <w:rsid w:val="007519CE"/>
    <w:rsid w:val="00762D3D"/>
    <w:rsid w:val="00770DBF"/>
    <w:rsid w:val="00785501"/>
    <w:rsid w:val="00790AE4"/>
    <w:rsid w:val="00793431"/>
    <w:rsid w:val="007B125C"/>
    <w:rsid w:val="007C1EB4"/>
    <w:rsid w:val="007D066F"/>
    <w:rsid w:val="007D31C3"/>
    <w:rsid w:val="007D5EF5"/>
    <w:rsid w:val="007E6DC9"/>
    <w:rsid w:val="00801411"/>
    <w:rsid w:val="00833491"/>
    <w:rsid w:val="00856071"/>
    <w:rsid w:val="008801EB"/>
    <w:rsid w:val="00881C60"/>
    <w:rsid w:val="008866F7"/>
    <w:rsid w:val="00892050"/>
    <w:rsid w:val="008924E7"/>
    <w:rsid w:val="00896ADC"/>
    <w:rsid w:val="008A7C3D"/>
    <w:rsid w:val="008B7D4D"/>
    <w:rsid w:val="008C46A8"/>
    <w:rsid w:val="008D338B"/>
    <w:rsid w:val="008D4BB0"/>
    <w:rsid w:val="008D6347"/>
    <w:rsid w:val="008E2586"/>
    <w:rsid w:val="008E6764"/>
    <w:rsid w:val="009061A4"/>
    <w:rsid w:val="00942892"/>
    <w:rsid w:val="009449BD"/>
    <w:rsid w:val="00945B66"/>
    <w:rsid w:val="00952722"/>
    <w:rsid w:val="0095330B"/>
    <w:rsid w:val="009669D2"/>
    <w:rsid w:val="00970EA1"/>
    <w:rsid w:val="00981111"/>
    <w:rsid w:val="00996053"/>
    <w:rsid w:val="009A3EC6"/>
    <w:rsid w:val="009A7E9C"/>
    <w:rsid w:val="009C2450"/>
    <w:rsid w:val="009D23DC"/>
    <w:rsid w:val="009E72C0"/>
    <w:rsid w:val="009F0C90"/>
    <w:rsid w:val="00A00F91"/>
    <w:rsid w:val="00A15E00"/>
    <w:rsid w:val="00A3286D"/>
    <w:rsid w:val="00A43BDB"/>
    <w:rsid w:val="00A46B0B"/>
    <w:rsid w:val="00A534A0"/>
    <w:rsid w:val="00A5379E"/>
    <w:rsid w:val="00A54102"/>
    <w:rsid w:val="00A55DC2"/>
    <w:rsid w:val="00A67F4A"/>
    <w:rsid w:val="00A71E69"/>
    <w:rsid w:val="00A81024"/>
    <w:rsid w:val="00A82C09"/>
    <w:rsid w:val="00A976E8"/>
    <w:rsid w:val="00AA3035"/>
    <w:rsid w:val="00AA3E53"/>
    <w:rsid w:val="00AA5970"/>
    <w:rsid w:val="00AB1D6E"/>
    <w:rsid w:val="00AC39A2"/>
    <w:rsid w:val="00AF12C5"/>
    <w:rsid w:val="00AF4822"/>
    <w:rsid w:val="00B0028C"/>
    <w:rsid w:val="00B243CA"/>
    <w:rsid w:val="00B30DCB"/>
    <w:rsid w:val="00B42D41"/>
    <w:rsid w:val="00B456F5"/>
    <w:rsid w:val="00B643D6"/>
    <w:rsid w:val="00B7400F"/>
    <w:rsid w:val="00B76842"/>
    <w:rsid w:val="00B84540"/>
    <w:rsid w:val="00B84B5D"/>
    <w:rsid w:val="00B85835"/>
    <w:rsid w:val="00B9183D"/>
    <w:rsid w:val="00BA1D60"/>
    <w:rsid w:val="00BA1FDD"/>
    <w:rsid w:val="00BA4324"/>
    <w:rsid w:val="00BA66D9"/>
    <w:rsid w:val="00BB009C"/>
    <w:rsid w:val="00BC0657"/>
    <w:rsid w:val="00BC4A54"/>
    <w:rsid w:val="00BD337C"/>
    <w:rsid w:val="00BD4964"/>
    <w:rsid w:val="00BE3A61"/>
    <w:rsid w:val="00BE46BD"/>
    <w:rsid w:val="00BF4853"/>
    <w:rsid w:val="00C066BB"/>
    <w:rsid w:val="00C12638"/>
    <w:rsid w:val="00C17E91"/>
    <w:rsid w:val="00C2330E"/>
    <w:rsid w:val="00C3143A"/>
    <w:rsid w:val="00C36666"/>
    <w:rsid w:val="00C463B8"/>
    <w:rsid w:val="00C516CC"/>
    <w:rsid w:val="00C536C1"/>
    <w:rsid w:val="00C57309"/>
    <w:rsid w:val="00C77261"/>
    <w:rsid w:val="00C77292"/>
    <w:rsid w:val="00C774BF"/>
    <w:rsid w:val="00CA4F4E"/>
    <w:rsid w:val="00CB5230"/>
    <w:rsid w:val="00CD228B"/>
    <w:rsid w:val="00CE0A68"/>
    <w:rsid w:val="00CE5AD6"/>
    <w:rsid w:val="00CF0836"/>
    <w:rsid w:val="00D021A6"/>
    <w:rsid w:val="00D057FD"/>
    <w:rsid w:val="00D05CC2"/>
    <w:rsid w:val="00D1112E"/>
    <w:rsid w:val="00D274C7"/>
    <w:rsid w:val="00D46A03"/>
    <w:rsid w:val="00D5102C"/>
    <w:rsid w:val="00D74B79"/>
    <w:rsid w:val="00D75F3C"/>
    <w:rsid w:val="00D81F06"/>
    <w:rsid w:val="00D8442B"/>
    <w:rsid w:val="00D92BE9"/>
    <w:rsid w:val="00D96896"/>
    <w:rsid w:val="00DB7ACC"/>
    <w:rsid w:val="00DD3902"/>
    <w:rsid w:val="00DD3B0E"/>
    <w:rsid w:val="00DF237F"/>
    <w:rsid w:val="00DF2C10"/>
    <w:rsid w:val="00E07751"/>
    <w:rsid w:val="00E15E43"/>
    <w:rsid w:val="00E3737B"/>
    <w:rsid w:val="00E44F93"/>
    <w:rsid w:val="00E46FBE"/>
    <w:rsid w:val="00E607F7"/>
    <w:rsid w:val="00E6465D"/>
    <w:rsid w:val="00E67A27"/>
    <w:rsid w:val="00E840EB"/>
    <w:rsid w:val="00E92E41"/>
    <w:rsid w:val="00E97CE4"/>
    <w:rsid w:val="00EA028F"/>
    <w:rsid w:val="00EA377C"/>
    <w:rsid w:val="00EB420C"/>
    <w:rsid w:val="00EC1934"/>
    <w:rsid w:val="00EE0C00"/>
    <w:rsid w:val="00EF4509"/>
    <w:rsid w:val="00F0467C"/>
    <w:rsid w:val="00F23026"/>
    <w:rsid w:val="00F27C28"/>
    <w:rsid w:val="00F40060"/>
    <w:rsid w:val="00F575E4"/>
    <w:rsid w:val="00F63CA0"/>
    <w:rsid w:val="00F64BDE"/>
    <w:rsid w:val="00F66315"/>
    <w:rsid w:val="00F81309"/>
    <w:rsid w:val="00F8798D"/>
    <w:rsid w:val="00FC35AB"/>
    <w:rsid w:val="00FD5AB3"/>
    <w:rsid w:val="00FE0165"/>
    <w:rsid w:val="00FF18B6"/>
    <w:rsid w:val="00FF4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FootnoteText">
    <w:name w:val="footnote text"/>
    <w:basedOn w:val="Normal"/>
    <w:link w:val="FootnoteTextChar"/>
    <w:uiPriority w:val="99"/>
    <w:semiHidden/>
    <w:unhideWhenUsed/>
    <w:rsid w:val="005E4D7A"/>
    <w:pPr>
      <w:spacing w:line="240" w:lineRule="auto"/>
    </w:pPr>
    <w:rPr>
      <w:sz w:val="20"/>
      <w:szCs w:val="20"/>
    </w:rPr>
  </w:style>
  <w:style w:type="character" w:customStyle="1" w:styleId="FootnoteTextChar">
    <w:name w:val="Footnote Text Char"/>
    <w:basedOn w:val="DefaultParagraphFont"/>
    <w:link w:val="FootnoteText"/>
    <w:uiPriority w:val="99"/>
    <w:semiHidden/>
    <w:rsid w:val="005E4D7A"/>
    <w:rPr>
      <w:rFonts w:ascii="Verdana" w:hAnsi="Verdana"/>
      <w:color w:val="000000"/>
    </w:rPr>
  </w:style>
  <w:style w:type="character" w:styleId="FootnoteReference">
    <w:name w:val="footnote reference"/>
    <w:basedOn w:val="DefaultParagraphFont"/>
    <w:uiPriority w:val="99"/>
    <w:semiHidden/>
    <w:unhideWhenUsed/>
    <w:rsid w:val="005E4D7A"/>
    <w:rPr>
      <w:vertAlign w:val="superscript"/>
    </w:rPr>
  </w:style>
  <w:style w:type="character" w:styleId="CommentReference">
    <w:name w:val="annotation reference"/>
    <w:basedOn w:val="DefaultParagraphFont"/>
    <w:uiPriority w:val="99"/>
    <w:semiHidden/>
    <w:unhideWhenUsed/>
    <w:rsid w:val="00DD3B0E"/>
    <w:rPr>
      <w:sz w:val="16"/>
      <w:szCs w:val="16"/>
    </w:rPr>
  </w:style>
  <w:style w:type="paragraph" w:styleId="CommentText">
    <w:name w:val="annotation text"/>
    <w:basedOn w:val="Normal"/>
    <w:link w:val="CommentTextChar"/>
    <w:uiPriority w:val="99"/>
    <w:unhideWhenUsed/>
    <w:rsid w:val="00DD3B0E"/>
    <w:pPr>
      <w:spacing w:line="240" w:lineRule="auto"/>
    </w:pPr>
    <w:rPr>
      <w:sz w:val="20"/>
      <w:szCs w:val="20"/>
    </w:rPr>
  </w:style>
  <w:style w:type="character" w:customStyle="1" w:styleId="CommentTextChar">
    <w:name w:val="Comment Text Char"/>
    <w:basedOn w:val="DefaultParagraphFont"/>
    <w:link w:val="CommentText"/>
    <w:uiPriority w:val="99"/>
    <w:rsid w:val="00DD3B0E"/>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DD3B0E"/>
    <w:rPr>
      <w:b/>
      <w:bCs/>
    </w:rPr>
  </w:style>
  <w:style w:type="character" w:customStyle="1" w:styleId="CommentSubjectChar">
    <w:name w:val="Comment Subject Char"/>
    <w:basedOn w:val="CommentTextChar"/>
    <w:link w:val="CommentSubject"/>
    <w:uiPriority w:val="99"/>
    <w:semiHidden/>
    <w:rsid w:val="00DD3B0E"/>
    <w:rPr>
      <w:rFonts w:ascii="Verdana" w:hAnsi="Verdana"/>
      <w:b/>
      <w:bCs/>
      <w:color w:val="000000"/>
    </w:rPr>
  </w:style>
  <w:style w:type="paragraph" w:styleId="Revision">
    <w:name w:val="Revision"/>
    <w:hidden/>
    <w:uiPriority w:val="99"/>
    <w:semiHidden/>
    <w:rsid w:val="00AF4822"/>
    <w:pPr>
      <w:autoSpaceDN/>
      <w:textAlignment w:val="auto"/>
    </w:pPr>
    <w:rPr>
      <w:rFonts w:ascii="Verdana" w:hAnsi="Verdana"/>
      <w:color w:val="000000"/>
      <w:sz w:val="18"/>
      <w:szCs w:val="18"/>
    </w:rPr>
  </w:style>
  <w:style w:type="paragraph" w:styleId="Header">
    <w:name w:val="header"/>
    <w:basedOn w:val="Normal"/>
    <w:link w:val="HeaderChar"/>
    <w:uiPriority w:val="99"/>
    <w:unhideWhenUsed/>
    <w:rsid w:val="00D8442B"/>
    <w:pPr>
      <w:tabs>
        <w:tab w:val="center" w:pos="4536"/>
        <w:tab w:val="right" w:pos="9072"/>
      </w:tabs>
      <w:spacing w:line="240" w:lineRule="auto"/>
    </w:pPr>
  </w:style>
  <w:style w:type="character" w:customStyle="1" w:styleId="HeaderChar">
    <w:name w:val="Header Char"/>
    <w:basedOn w:val="DefaultParagraphFont"/>
    <w:link w:val="Header"/>
    <w:uiPriority w:val="99"/>
    <w:rsid w:val="00D8442B"/>
    <w:rPr>
      <w:rFonts w:ascii="Verdana" w:hAnsi="Verdana"/>
      <w:color w:val="000000"/>
      <w:sz w:val="18"/>
      <w:szCs w:val="18"/>
    </w:rPr>
  </w:style>
  <w:style w:type="paragraph" w:styleId="Footer">
    <w:name w:val="footer"/>
    <w:basedOn w:val="Normal"/>
    <w:link w:val="FooterChar"/>
    <w:uiPriority w:val="99"/>
    <w:unhideWhenUsed/>
    <w:rsid w:val="00D8442B"/>
    <w:pPr>
      <w:tabs>
        <w:tab w:val="center" w:pos="4536"/>
        <w:tab w:val="right" w:pos="9072"/>
      </w:tabs>
      <w:spacing w:line="240" w:lineRule="auto"/>
    </w:pPr>
  </w:style>
  <w:style w:type="character" w:customStyle="1" w:styleId="FooterChar">
    <w:name w:val="Footer Char"/>
    <w:basedOn w:val="DefaultParagraphFont"/>
    <w:link w:val="Footer"/>
    <w:uiPriority w:val="99"/>
    <w:rsid w:val="00D8442B"/>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171BDA"/>
    <w:rPr>
      <w:color w:val="605E5C"/>
      <w:shd w:val="clear" w:color="auto" w:fill="E1DFDD"/>
    </w:rPr>
  </w:style>
  <w:style w:type="paragraph" w:styleId="ListParagraph">
    <w:name w:val="List Paragraph"/>
    <w:basedOn w:val="Normal"/>
    <w:uiPriority w:val="34"/>
    <w:semiHidden/>
    <w:rsid w:val="00CD2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819980">
      <w:bodyDiv w:val="1"/>
      <w:marLeft w:val="0"/>
      <w:marRight w:val="0"/>
      <w:marTop w:val="0"/>
      <w:marBottom w:val="0"/>
      <w:divBdr>
        <w:top w:val="none" w:sz="0" w:space="0" w:color="auto"/>
        <w:left w:val="none" w:sz="0" w:space="0" w:color="auto"/>
        <w:bottom w:val="none" w:sz="0" w:space="0" w:color="auto"/>
        <w:right w:val="none" w:sz="0" w:space="0" w:color="auto"/>
      </w:divBdr>
    </w:div>
    <w:div w:id="863518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webSetting" Target="webSettings0.xml" Id="rId25"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cid:image001.png@01DC80B9.A3D96230" TargetMode="Externa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onderwerpen/financien-gemeenten-en-provincies/uitwisseling-financiele-gegevens-met-sisa-en-iv3/single-information-single-audit-sisa"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4).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5017</ap:Words>
  <ap:Characters>28601</ap:Characters>
  <ap:DocSecurity>0</ap:DocSecurity>
  <ap:Lines>238</ap:Lines>
  <ap:Paragraphs>67</ap:Paragraphs>
  <ap:ScaleCrop>false</ap:ScaleCrop>
  <ap:HeadingPairs>
    <vt:vector baseType="variant" size="2">
      <vt:variant>
        <vt:lpstr>Titel</vt:lpstr>
      </vt:variant>
      <vt:variant>
        <vt:i4>1</vt:i4>
      </vt:variant>
    </vt:vector>
  </ap:HeadingPairs>
  <ap:TitlesOfParts>
    <vt:vector baseType="lpstr" size="1">
      <vt:lpstr>Brief aan Parlement - Periodieke rapportage art. 16 van Hoofdstuk 12 van de rijksbegroting en aanverwante artikelen</vt:lpstr>
    </vt:vector>
  </ap:TitlesOfParts>
  <ap:LinksUpToDate>false</ap:LinksUpToDate>
  <ap:CharactersWithSpaces>33551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2026-09-14T14:35:00.0000000Z</dcterms:created>
  <dcterms:modified xsi:type="dcterms:W3CDTF">2026-09-14T14:35:00.0000000Z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Periodieke rapportage art. 16 van Hoofdstuk 12 van de rijksbegroting en aanverwante artikelen</vt:lpwstr>
  </property>
  <property fmtid="{D5CDD505-2E9C-101B-9397-08002B2CF9AE}" pid="5" name="Publicatiedatum">
    <vt:lpwstr/>
  </property>
  <property fmtid="{D5CDD505-2E9C-101B-9397-08002B2CF9AE}" pid="6" name="Verantwoordelijke organisatie">
    <vt:lpwstr>Dir.Openbaar Vervoer en Spoor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J.H.J. Peters</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