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4ADB" w:rsidR="005E2F6B" w:rsidP="006C3F50" w:rsidRDefault="005E2F6B" w14:paraId="67FBAAEA" w14:textId="77777777">
      <w:pPr>
        <w:rPr>
          <w:rFonts w:ascii="Calibri" w:hAnsi="Calibri" w:cs="Calibri"/>
        </w:rPr>
      </w:pPr>
    </w:p>
    <w:p w:rsidRPr="007D4ADB" w:rsidR="005E2F6B" w:rsidP="006C3F50" w:rsidRDefault="005E2F6B" w14:paraId="61D2F6D4" w14:textId="77777777">
      <w:pPr>
        <w:rPr>
          <w:rFonts w:ascii="Calibri" w:hAnsi="Calibri" w:cs="Calibri"/>
        </w:rPr>
      </w:pPr>
    </w:p>
    <w:p w:rsidRPr="007D4ADB" w:rsidR="007D4ADB" w:rsidP="007D4ADB" w:rsidRDefault="005E2F6B" w14:paraId="06B8FD95" w14:textId="798D5C18">
      <w:pPr>
        <w:ind w:left="2124" w:hanging="2124"/>
        <w:rPr>
          <w:rFonts w:ascii="Calibri" w:hAnsi="Calibri" w:cs="Calibri"/>
        </w:rPr>
      </w:pPr>
      <w:r w:rsidRPr="007D4ADB">
        <w:rPr>
          <w:rFonts w:ascii="Calibri" w:hAnsi="Calibri" w:cs="Calibri"/>
        </w:rPr>
        <w:t>37011</w:t>
      </w:r>
      <w:r w:rsidRPr="007D4ADB" w:rsidR="007D4ADB">
        <w:rPr>
          <w:rFonts w:ascii="Calibri" w:hAnsi="Calibri" w:cs="Calibri"/>
        </w:rPr>
        <w:tab/>
        <w:t>Verdrag tussen de regering van het Koninkrijk der Nederlanden en de regering van het Hasjemitisch Koninkrijk Jordanië inzake de status van personeel van hun Ministeries van Defensie aanwezig op elkaars grondgebied in het kader van defensiesamenwerking; ’s-Gravenhage, 4 september 2026</w:t>
      </w:r>
    </w:p>
    <w:p w:rsidRPr="007D4ADB" w:rsidR="007D4ADB" w:rsidP="00D80872" w:rsidRDefault="007D4ADB" w14:paraId="25AAB294" w14:textId="77777777">
      <w:pPr>
        <w:rPr>
          <w:rFonts w:ascii="Calibri" w:hAnsi="Calibri" w:cs="Calibri"/>
        </w:rPr>
      </w:pPr>
      <w:r w:rsidRPr="007D4ADB">
        <w:rPr>
          <w:rFonts w:ascii="Calibri" w:hAnsi="Calibri" w:cs="Calibri"/>
        </w:rPr>
        <w:t xml:space="preserve">Nr. </w:t>
      </w:r>
      <w:r w:rsidRPr="007D4ADB">
        <w:rPr>
          <w:rFonts w:ascii="Calibri" w:hAnsi="Calibri" w:cs="Calibri"/>
        </w:rPr>
        <w:t>1</w:t>
      </w:r>
      <w:r w:rsidRPr="007D4ADB">
        <w:rPr>
          <w:rFonts w:ascii="Calibri" w:hAnsi="Calibri" w:cs="Calibri"/>
        </w:rPr>
        <w:tab/>
      </w:r>
      <w:r w:rsidRPr="007D4ADB">
        <w:rPr>
          <w:rFonts w:ascii="Calibri" w:hAnsi="Calibri" w:cs="Calibri"/>
        </w:rPr>
        <w:tab/>
      </w:r>
      <w:r w:rsidRPr="007D4ADB">
        <w:rPr>
          <w:rFonts w:ascii="Calibri" w:hAnsi="Calibri" w:cs="Calibri"/>
        </w:rPr>
        <w:tab/>
        <w:t>Brief van de minister van Buitenlandse Zaken</w:t>
      </w:r>
    </w:p>
    <w:p w:rsidRPr="007D4ADB" w:rsidR="007D4ADB" w:rsidP="007D4ADB" w:rsidRDefault="007D4ADB" w14:paraId="5E696BAD" w14:textId="6B48998E">
      <w:pPr>
        <w:rPr>
          <w:rFonts w:ascii="Calibri" w:hAnsi="Calibri" w:cs="Calibri"/>
        </w:rPr>
      </w:pPr>
      <w:r w:rsidRPr="007D4ADB">
        <w:rPr>
          <w:rFonts w:ascii="Calibri" w:hAnsi="Calibri" w:cs="Calibri"/>
        </w:rPr>
        <w:t>Aan de Voorzitter van de Tweede Kamer der Staten-Generaal</w:t>
      </w:r>
    </w:p>
    <w:p w:rsidRPr="007D4ADB" w:rsidR="007D4ADB" w:rsidP="007D4ADB" w:rsidRDefault="007D4ADB" w14:paraId="074C5816" w14:textId="38E6B1E6">
      <w:pPr>
        <w:rPr>
          <w:rFonts w:ascii="Calibri" w:hAnsi="Calibri" w:cs="Calibri"/>
        </w:rPr>
      </w:pPr>
      <w:r w:rsidRPr="007D4ADB">
        <w:rPr>
          <w:rFonts w:ascii="Calibri" w:hAnsi="Calibri" w:cs="Calibri"/>
        </w:rPr>
        <w:t>Den Haag, 10 september 2026</w:t>
      </w:r>
    </w:p>
    <w:p w:rsidRPr="007D4ADB" w:rsidR="007D4ADB" w:rsidP="006C3F50" w:rsidRDefault="007D4ADB" w14:paraId="7220AD40" w14:textId="0D54BDAB">
      <w:pPr>
        <w:rPr>
          <w:rFonts w:ascii="Calibri" w:hAnsi="Calibri" w:cs="Calibri"/>
        </w:rPr>
      </w:pPr>
    </w:p>
    <w:p w:rsidRPr="007D4ADB" w:rsidR="005E2F6B" w:rsidP="006C3F50" w:rsidRDefault="005E2F6B" w14:paraId="4D84383E" w14:textId="77777777">
      <w:pPr>
        <w:rPr>
          <w:rFonts w:ascii="Calibri" w:hAnsi="Calibri" w:cs="Calibri"/>
        </w:rPr>
      </w:pPr>
    </w:p>
    <w:p w:rsidRPr="007D4ADB" w:rsidR="006C3F50" w:rsidP="006C3F50" w:rsidRDefault="006C3F50" w14:paraId="104C387E" w14:textId="2840803C">
      <w:pPr>
        <w:rPr>
          <w:rFonts w:ascii="Calibri" w:hAnsi="Calibri" w:cs="Calibri"/>
        </w:rPr>
      </w:pPr>
      <w:r w:rsidRPr="007D4ADB">
        <w:rPr>
          <w:rFonts w:ascii="Calibri" w:hAnsi="Calibri" w:cs="Calibri"/>
        </w:rPr>
        <w:t>Overeenkomstig het bepaalde in artikel 15, vierde lid, van de Rijkswet goedkeuring en bekendmaking verdragen moge ik u mededelen dat het bovengenoemde verdrag vanaf 4 september 2026 voorlopig wordt toegepast. Voorlopige toepassing is in het belang van beide landen om de continuering van de samenwerking tussen beide landen veilig te stellen. Voorlopige toepassing is ook van belang omdat het na de ondertekening van het Verdrag hierdoor niet meer noodzakelijk is om het eenjarige verdrag te verlengen.</w:t>
      </w:r>
    </w:p>
    <w:p w:rsidRPr="007D4ADB" w:rsidR="006C3F50" w:rsidP="006C3F50" w:rsidRDefault="006C3F50" w14:paraId="571FE7B4" w14:textId="0A140CC2">
      <w:pPr>
        <w:rPr>
          <w:rFonts w:ascii="Calibri" w:hAnsi="Calibri" w:cs="Calibri"/>
        </w:rPr>
      </w:pPr>
      <w:r w:rsidRPr="007D4ADB">
        <w:rPr>
          <w:rFonts w:ascii="Calibri" w:hAnsi="Calibri" w:cs="Calibri"/>
        </w:rPr>
        <w:t xml:space="preserve">De tekst van het verdrag is geplaatst in </w:t>
      </w:r>
      <w:proofErr w:type="spellStart"/>
      <w:r w:rsidRPr="007D4ADB">
        <w:rPr>
          <w:rFonts w:ascii="Calibri" w:hAnsi="Calibri" w:cs="Calibri"/>
        </w:rPr>
        <w:t>Tractatenblad</w:t>
      </w:r>
      <w:proofErr w:type="spellEnd"/>
      <w:r w:rsidRPr="007D4ADB">
        <w:rPr>
          <w:rFonts w:ascii="Calibri" w:hAnsi="Calibri" w:cs="Calibri"/>
        </w:rPr>
        <w:t xml:space="preserve"> 2026, nr. 104.</w:t>
      </w:r>
    </w:p>
    <w:p w:rsidRPr="007D4ADB" w:rsidR="006C3F50" w:rsidP="006C3F50" w:rsidRDefault="006C3F50" w14:paraId="7E08CB7D" w14:textId="77777777">
      <w:pPr>
        <w:rPr>
          <w:rFonts w:ascii="Calibri" w:hAnsi="Calibri" w:cs="Calibri"/>
        </w:rPr>
      </w:pPr>
    </w:p>
    <w:p w:rsidRPr="007D4ADB" w:rsidR="006C3F50" w:rsidP="006C3F50" w:rsidRDefault="006C3F50" w14:paraId="32737837" w14:textId="77777777">
      <w:pPr>
        <w:rPr>
          <w:rFonts w:ascii="Calibri" w:hAnsi="Calibri" w:cs="Calibri"/>
        </w:rPr>
      </w:pPr>
      <w:r w:rsidRPr="007D4ADB">
        <w:rPr>
          <w:rFonts w:ascii="Calibri" w:hAnsi="Calibri" w:cs="Calibri"/>
        </w:rPr>
        <w:t>Nadat het advies van de Raad van State zal zijn ingewonnen, zal het verdrag ter goedkeuring aan de Staten-Generaal worden overgelegd.</w:t>
      </w:r>
    </w:p>
    <w:p w:rsidRPr="007D4ADB" w:rsidR="006C3F50" w:rsidP="006C3F50" w:rsidRDefault="006C3F50" w14:paraId="12D7AEEC" w14:textId="77777777">
      <w:pPr>
        <w:rPr>
          <w:rFonts w:ascii="Calibri" w:hAnsi="Calibri" w:cs="Calibri"/>
        </w:rPr>
      </w:pPr>
    </w:p>
    <w:p w:rsidRPr="007D4ADB" w:rsidR="006C3F50" w:rsidP="006C3F50" w:rsidRDefault="006C3F50" w14:paraId="775E5E82" w14:textId="77777777">
      <w:pPr>
        <w:rPr>
          <w:rFonts w:ascii="Calibri" w:hAnsi="Calibri" w:cs="Calibri"/>
        </w:rPr>
      </w:pPr>
    </w:p>
    <w:p w:rsidRPr="007D4ADB" w:rsidR="006C3F50" w:rsidP="007D4ADB" w:rsidRDefault="006C3F50" w14:paraId="5041F858" w14:textId="54DDDEDC">
      <w:pPr>
        <w:pStyle w:val="Geenafstand"/>
        <w:rPr>
          <w:rFonts w:ascii="Calibri" w:hAnsi="Calibri" w:cs="Calibri"/>
        </w:rPr>
      </w:pPr>
      <w:r w:rsidRPr="007D4ADB">
        <w:rPr>
          <w:rFonts w:ascii="Calibri" w:hAnsi="Calibri" w:cs="Calibri"/>
        </w:rPr>
        <w:t xml:space="preserve">De </w:t>
      </w:r>
      <w:r w:rsidR="007D4ADB">
        <w:rPr>
          <w:rFonts w:ascii="Calibri" w:hAnsi="Calibri" w:cs="Calibri"/>
        </w:rPr>
        <w:t>m</w:t>
      </w:r>
      <w:r w:rsidRPr="007D4ADB">
        <w:rPr>
          <w:rFonts w:ascii="Calibri" w:hAnsi="Calibri" w:cs="Calibri"/>
        </w:rPr>
        <w:t>inister van Buitenlandse Zaken,</w:t>
      </w:r>
    </w:p>
    <w:p w:rsidRPr="007D4ADB" w:rsidR="006C3F50" w:rsidP="007D4ADB" w:rsidRDefault="006C3F50" w14:paraId="456AFEF9" w14:textId="77777777">
      <w:pPr>
        <w:pStyle w:val="Geenafstand"/>
        <w:rPr>
          <w:rFonts w:ascii="Calibri" w:hAnsi="Calibri" w:cs="Calibri"/>
        </w:rPr>
      </w:pPr>
      <w:r w:rsidRPr="007D4ADB">
        <w:rPr>
          <w:rFonts w:ascii="Calibri" w:hAnsi="Calibri" w:cs="Calibri"/>
        </w:rPr>
        <w:t>T.B.W. Berendsen</w:t>
      </w:r>
    </w:p>
    <w:p w:rsidRPr="007D4ADB" w:rsidR="00FE0FA3" w:rsidRDefault="00FE0FA3" w14:paraId="34C4759E" w14:textId="77777777">
      <w:pPr>
        <w:rPr>
          <w:rFonts w:ascii="Calibri" w:hAnsi="Calibri" w:cs="Calibri"/>
        </w:rPr>
      </w:pPr>
    </w:p>
    <w:sectPr w:rsidRPr="007D4ADB"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D0BDF" w14:textId="77777777" w:rsidR="009711A0" w:rsidRDefault="009711A0" w:rsidP="006C3F50">
      <w:pPr>
        <w:spacing w:after="0" w:line="240" w:lineRule="auto"/>
      </w:pPr>
      <w:r>
        <w:separator/>
      </w:r>
    </w:p>
  </w:endnote>
  <w:endnote w:type="continuationSeparator" w:id="0">
    <w:p w14:paraId="6C2D8E52" w14:textId="77777777" w:rsidR="009711A0" w:rsidRDefault="009711A0" w:rsidP="006C3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9944" w14:textId="77777777" w:rsidR="006C3F50" w:rsidRPr="006C3F50" w:rsidRDefault="006C3F50" w:rsidP="006C3F5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B5065" w14:textId="77777777" w:rsidR="006C3F50" w:rsidRPr="006C3F50" w:rsidRDefault="006C3F50" w:rsidP="006C3F5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789D" w14:textId="77777777" w:rsidR="006C3F50" w:rsidRPr="006C3F50" w:rsidRDefault="006C3F50" w:rsidP="006C3F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2E343" w14:textId="77777777" w:rsidR="009711A0" w:rsidRDefault="009711A0" w:rsidP="006C3F50">
      <w:pPr>
        <w:spacing w:after="0" w:line="240" w:lineRule="auto"/>
      </w:pPr>
      <w:r>
        <w:separator/>
      </w:r>
    </w:p>
  </w:footnote>
  <w:footnote w:type="continuationSeparator" w:id="0">
    <w:p w14:paraId="2B36E16F" w14:textId="77777777" w:rsidR="009711A0" w:rsidRDefault="009711A0" w:rsidP="006C3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8A66" w14:textId="77777777" w:rsidR="006C3F50" w:rsidRPr="006C3F50" w:rsidRDefault="006C3F50" w:rsidP="006C3F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748C9" w14:textId="77777777" w:rsidR="006C3F50" w:rsidRPr="006C3F50" w:rsidRDefault="006C3F50" w:rsidP="006C3F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7A55" w14:textId="77777777" w:rsidR="006C3F50" w:rsidRPr="006C3F50" w:rsidRDefault="006C3F50" w:rsidP="006C3F5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F50"/>
    <w:rsid w:val="002E3E61"/>
    <w:rsid w:val="004464BB"/>
    <w:rsid w:val="005E2F6B"/>
    <w:rsid w:val="006C3F50"/>
    <w:rsid w:val="007071B3"/>
    <w:rsid w:val="007D4ADB"/>
    <w:rsid w:val="00852DC2"/>
    <w:rsid w:val="009711A0"/>
    <w:rsid w:val="009722E4"/>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2B5B9"/>
  <w15:chartTrackingRefBased/>
  <w15:docId w15:val="{E890BF46-6516-41E2-9A1C-66F6CA4B0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C3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3F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3F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3F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3F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3F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3F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3F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3F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3F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3F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3F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3F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3F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3F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3F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3F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3F50"/>
    <w:rPr>
      <w:rFonts w:eastAsiaTheme="majorEastAsia" w:cstheme="majorBidi"/>
      <w:color w:val="272727" w:themeColor="text1" w:themeTint="D8"/>
    </w:rPr>
  </w:style>
  <w:style w:type="paragraph" w:styleId="Titel">
    <w:name w:val="Title"/>
    <w:basedOn w:val="Standaard"/>
    <w:next w:val="Standaard"/>
    <w:link w:val="TitelChar"/>
    <w:uiPriority w:val="10"/>
    <w:qFormat/>
    <w:rsid w:val="006C3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3F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3F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3F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C3F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3F50"/>
    <w:rPr>
      <w:i/>
      <w:iCs/>
      <w:color w:val="404040" w:themeColor="text1" w:themeTint="BF"/>
    </w:rPr>
  </w:style>
  <w:style w:type="paragraph" w:styleId="Lijstalinea">
    <w:name w:val="List Paragraph"/>
    <w:basedOn w:val="Standaard"/>
    <w:uiPriority w:val="34"/>
    <w:qFormat/>
    <w:rsid w:val="006C3F50"/>
    <w:pPr>
      <w:ind w:left="720"/>
      <w:contextualSpacing/>
    </w:pPr>
  </w:style>
  <w:style w:type="character" w:styleId="Intensievebenadrukking">
    <w:name w:val="Intense Emphasis"/>
    <w:basedOn w:val="Standaardalinea-lettertype"/>
    <w:uiPriority w:val="21"/>
    <w:qFormat/>
    <w:rsid w:val="006C3F50"/>
    <w:rPr>
      <w:i/>
      <w:iCs/>
      <w:color w:val="0F4761" w:themeColor="accent1" w:themeShade="BF"/>
    </w:rPr>
  </w:style>
  <w:style w:type="paragraph" w:styleId="Duidelijkcitaat">
    <w:name w:val="Intense Quote"/>
    <w:basedOn w:val="Standaard"/>
    <w:next w:val="Standaard"/>
    <w:link w:val="DuidelijkcitaatChar"/>
    <w:uiPriority w:val="30"/>
    <w:qFormat/>
    <w:rsid w:val="006C3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3F50"/>
    <w:rPr>
      <w:i/>
      <w:iCs/>
      <w:color w:val="0F4761" w:themeColor="accent1" w:themeShade="BF"/>
    </w:rPr>
  </w:style>
  <w:style w:type="character" w:styleId="Intensieveverwijzing">
    <w:name w:val="Intense Reference"/>
    <w:basedOn w:val="Standaardalinea-lettertype"/>
    <w:uiPriority w:val="32"/>
    <w:qFormat/>
    <w:rsid w:val="006C3F50"/>
    <w:rPr>
      <w:b/>
      <w:bCs/>
      <w:smallCaps/>
      <w:color w:val="0F4761" w:themeColor="accent1" w:themeShade="BF"/>
      <w:spacing w:val="5"/>
    </w:rPr>
  </w:style>
  <w:style w:type="paragraph" w:styleId="Koptekst">
    <w:name w:val="header"/>
    <w:basedOn w:val="Standaard"/>
    <w:link w:val="KoptekstChar"/>
    <w:uiPriority w:val="99"/>
    <w:unhideWhenUsed/>
    <w:rsid w:val="006C3F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3F50"/>
  </w:style>
  <w:style w:type="paragraph" w:styleId="Voettekst">
    <w:name w:val="footer"/>
    <w:basedOn w:val="Standaard"/>
    <w:link w:val="VoettekstChar"/>
    <w:uiPriority w:val="99"/>
    <w:unhideWhenUsed/>
    <w:rsid w:val="006C3F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3F50"/>
  </w:style>
  <w:style w:type="paragraph" w:styleId="Geenafstand">
    <w:name w:val="No Spacing"/>
    <w:uiPriority w:val="1"/>
    <w:qFormat/>
    <w:rsid w:val="007D4A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184</ap:Words>
  <ap:Characters>1014</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2026-09-17T14:10:00.0000000Z</dcterms:created>
  <dcterms:modified xsi:type="dcterms:W3CDTF">2026-09-17T14:10:00.0000000Z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