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E84" w:rsidRDefault="00E24AE9" w14:paraId="6AC58727" w14:textId="05F542B0">
      <w:pPr>
        <w:pStyle w:val="Pagina-eindeKop1"/>
      </w:pPr>
      <w:r>
        <w:t>Bijlagen</w:t>
      </w:r>
    </w:p>
    <w:p w:rsidR="00B63E84" w:rsidRDefault="00B63E84" w14:paraId="36DEE0AC" w14:textId="77777777"/>
    <w:tbl>
      <w:tblPr>
        <w:tblStyle w:val="Tabelzonderranden"/>
        <w:tblW w:w="7541" w:type="dxa"/>
        <w:tblInd w:w="0" w:type="dxa"/>
        <w:tblLayout w:type="fixed"/>
        <w:tblLook w:val="07E0" w:firstRow="1" w:lastRow="1" w:firstColumn="1" w:lastColumn="1" w:noHBand="1" w:noVBand="1"/>
      </w:tblPr>
      <w:tblGrid>
        <w:gridCol w:w="377"/>
        <w:gridCol w:w="7164"/>
      </w:tblGrid>
      <w:tr w:rsidR="00B63E84" w14:paraId="5D02070C" w14:textId="77777777">
        <w:tc>
          <w:tcPr>
            <w:tcW w:w="377" w:type="dxa"/>
          </w:tcPr>
          <w:p w:rsidR="00B63E84" w:rsidRDefault="00E24AE9" w14:paraId="1F5E09EB" w14:textId="77777777">
            <w:r>
              <w:t>1.</w:t>
            </w:r>
          </w:p>
        </w:tc>
        <w:tc>
          <w:tcPr>
            <w:tcW w:w="7164" w:type="dxa"/>
          </w:tcPr>
          <w:p w:rsidR="00B63E84" w:rsidRDefault="00E24AE9" w14:paraId="75AF3144" w14:textId="77777777">
            <w:r>
              <w:t>Wetsvoorstel novelle verval onverenigbaarheid rechterschap met lidmaatschap gemeenteraad en provinciale staten</w:t>
            </w:r>
          </w:p>
        </w:tc>
      </w:tr>
      <w:tr w:rsidR="00B63E84" w14:paraId="5C7113C2" w14:textId="77777777">
        <w:tc>
          <w:tcPr>
            <w:tcW w:w="377" w:type="dxa"/>
          </w:tcPr>
          <w:p w:rsidR="00B63E84" w:rsidRDefault="00E24AE9" w14:paraId="31D52F40" w14:textId="77777777">
            <w:r>
              <w:t>2.</w:t>
            </w:r>
          </w:p>
        </w:tc>
        <w:tc>
          <w:tcPr>
            <w:tcW w:w="7164" w:type="dxa"/>
          </w:tcPr>
          <w:p w:rsidR="00B63E84" w:rsidRDefault="00E24AE9" w14:paraId="5A82868F" w14:textId="77777777">
            <w:r>
              <w:t>Memorie van toelichting novelle verval onverenigbaarheid rechterschap met lidmaatschap gemeenteraad en provinciale staten</w:t>
            </w:r>
          </w:p>
        </w:tc>
      </w:tr>
      <w:tr w:rsidR="00B63E84" w14:paraId="192329BB" w14:textId="77777777">
        <w:tc>
          <w:tcPr>
            <w:tcW w:w="377" w:type="dxa"/>
          </w:tcPr>
          <w:p w:rsidR="00B63E84" w:rsidRDefault="00E24AE9" w14:paraId="790FE452" w14:textId="77777777">
            <w:r>
              <w:t>3.</w:t>
            </w:r>
          </w:p>
        </w:tc>
        <w:tc>
          <w:tcPr>
            <w:tcW w:w="7164" w:type="dxa"/>
          </w:tcPr>
          <w:p w:rsidR="00B63E84" w:rsidRDefault="00E24AE9" w14:paraId="71B71EBD" w14:textId="77777777">
            <w:r>
              <w:t>Nader rapport novelle verval onverenigbaarheid rechterschap met lidmaatschap gemeenteraad en provinciale staten</w:t>
            </w:r>
          </w:p>
        </w:tc>
      </w:tr>
      <w:tr w:rsidR="00B63E84" w14:paraId="668020D9" w14:textId="77777777">
        <w:tc>
          <w:tcPr>
            <w:tcW w:w="377" w:type="dxa"/>
          </w:tcPr>
          <w:p w:rsidR="00B63E84" w:rsidRDefault="00E24AE9" w14:paraId="7504A227" w14:textId="77777777">
            <w:r>
              <w:t>4.</w:t>
            </w:r>
          </w:p>
        </w:tc>
        <w:tc>
          <w:tcPr>
            <w:tcW w:w="7164" w:type="dxa"/>
          </w:tcPr>
          <w:p w:rsidR="002706FC" w:rsidP="002706FC" w:rsidRDefault="00E24AE9" w14:paraId="4DCDAD59" w14:textId="2AD96DBA">
            <w:r>
              <w:t>Advies RvS novelle verval onverenigbaarheid rechterschap met lidmaatschap gemeenteraad en provinciale staten</w:t>
            </w:r>
          </w:p>
        </w:tc>
      </w:tr>
    </w:tbl>
    <w:p w:rsidR="00B63E84" w:rsidRDefault="00B63E84" w14:paraId="5C7905CA" w14:textId="77777777"/>
    <w:p w:rsidR="00B63E84" w:rsidRDefault="00B63E84" w14:paraId="0F4EC989" w14:textId="77777777"/>
    <w:p w:rsidR="00B63E84" w:rsidRDefault="00E24AE9" w14:paraId="5C965839" w14:textId="77777777">
      <w:pPr>
        <w:pStyle w:val="Agendapunt"/>
      </w:pPr>
      <w:r>
        <w:t>Aanleiding</w:t>
      </w:r>
    </w:p>
    <w:p w:rsidR="00B63E84" w:rsidRDefault="00B63E84" w14:paraId="7740DE59" w14:textId="77777777"/>
    <w:p w:rsidR="003B637F" w:rsidRDefault="003B637F" w14:paraId="08BEC837" w14:textId="08906629">
      <w:r>
        <w:t>Op 22 juli 2026 heeft de Afdeling Advis</w:t>
      </w:r>
      <w:r w:rsidR="00CA1E7B">
        <w:t>ering</w:t>
      </w:r>
      <w:r>
        <w:t xml:space="preserve"> van de Raad van State (hierna: de Afdeling) advies uitgebracht over de novelle </w:t>
      </w:r>
      <w:r w:rsidRPr="003B637F">
        <w:t>verval onverenigbaarheid rechterschap met lidmaatschap gemeenteraad en provinciale staten</w:t>
      </w:r>
      <w:r>
        <w:t>. De volledige naam van de novelle is</w:t>
      </w:r>
      <w:r w:rsidR="00C058E3">
        <w:t>:</w:t>
      </w:r>
      <w:r>
        <w:t xml:space="preserve"> </w:t>
      </w:r>
      <w:r w:rsidRPr="003B637F">
        <w:t>Wijziging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t xml:space="preserve">. </w:t>
      </w:r>
    </w:p>
    <w:p w:rsidR="003B637F" w:rsidRDefault="003B637F" w14:paraId="7D09EE23" w14:textId="77777777"/>
    <w:p w:rsidRPr="0005790F" w:rsidR="001A5616" w:rsidRDefault="001A5616" w14:paraId="5226D6BB" w14:textId="2D5E305B">
      <w:r w:rsidRPr="0005790F">
        <w:t xml:space="preserve">De Afdeling heeft geen opmerkingen bij het </w:t>
      </w:r>
      <w:r w:rsidRPr="0005790F" w:rsidR="00CE1581">
        <w:t>wets</w:t>
      </w:r>
      <w:r w:rsidRPr="0005790F">
        <w:t xml:space="preserve">voorstel en adviseert het </w:t>
      </w:r>
      <w:r w:rsidRPr="0005790F" w:rsidR="00CE1581">
        <w:t>wets</w:t>
      </w:r>
      <w:r w:rsidRPr="0005790F">
        <w:t>voorstel bij de Tweede Kamer der Staten-Generaal in te dienen (dictum A).</w:t>
      </w:r>
    </w:p>
    <w:p w:rsidRPr="0005790F" w:rsidR="001A5616" w:rsidRDefault="001A5616" w14:paraId="69D78D1D" w14:textId="77777777"/>
    <w:p w:rsidRPr="0005790F" w:rsidR="001A5616" w:rsidRDefault="001A5616" w14:paraId="53552B48" w14:textId="75A593DB">
      <w:r w:rsidRPr="0005790F">
        <w:t>U bent eerste ondertekenaar van dit wetsvoorstel, MBZK is tweede ondertekenaar. Parallel start een lijn naar MBZK met een nota van gelijke strekking.</w:t>
      </w:r>
    </w:p>
    <w:p w:rsidRPr="0005790F" w:rsidR="004878A3" w:rsidRDefault="004878A3" w14:paraId="5ED0F56A" w14:textId="77777777"/>
    <w:p w:rsidRPr="0005790F" w:rsidR="00B63E84" w:rsidRDefault="00E24AE9" w14:paraId="0E9EF5B8" w14:textId="77777777">
      <w:pPr>
        <w:pStyle w:val="Agendapunt"/>
      </w:pPr>
      <w:r w:rsidRPr="0005790F">
        <w:t>Geadviseerd besluit</w:t>
      </w:r>
    </w:p>
    <w:p w:rsidRPr="0005790F" w:rsidR="00B63E84" w:rsidRDefault="00B63E84" w14:paraId="15495565" w14:textId="77777777"/>
    <w:p w:rsidRPr="0005790F" w:rsidR="003B637F" w:rsidP="003B637F" w:rsidRDefault="003B637F" w14:paraId="0B3907AD" w14:textId="2D1A79E5">
      <w:r w:rsidRPr="0005790F">
        <w:t>U wordt geadviseerd in te stemmen met het nader rapport en de indiening</w:t>
      </w:r>
      <w:r w:rsidRPr="0005790F" w:rsidR="00AA6348">
        <w:t xml:space="preserve"> van</w:t>
      </w:r>
      <w:r w:rsidRPr="0005790F">
        <w:t xml:space="preserve"> </w:t>
      </w:r>
      <w:r w:rsidRPr="0005790F" w:rsidR="00CE1581">
        <w:t xml:space="preserve">het </w:t>
      </w:r>
      <w:r w:rsidRPr="0005790F">
        <w:t xml:space="preserve">wetsvoorstel </w:t>
      </w:r>
      <w:r w:rsidRPr="0005790F" w:rsidR="001A5616">
        <w:t xml:space="preserve">en de memorie van toelichting </w:t>
      </w:r>
      <w:r w:rsidRPr="0005790F">
        <w:t>bij de Tweede Kamer.</w:t>
      </w:r>
    </w:p>
    <w:p w:rsidRPr="0005790F" w:rsidR="004878A3" w:rsidRDefault="004878A3" w14:paraId="05775C59" w14:textId="77777777"/>
    <w:p w:rsidRPr="0005790F" w:rsidR="00B63E84" w:rsidRDefault="00E24AE9" w14:paraId="395DAFD4" w14:textId="77777777">
      <w:pPr>
        <w:pStyle w:val="Agendapunt"/>
      </w:pPr>
      <w:r w:rsidRPr="0005790F">
        <w:t>Kernpunten</w:t>
      </w:r>
    </w:p>
    <w:p w:rsidRPr="0005790F" w:rsidR="001A5616" w:rsidP="001A5616" w:rsidRDefault="001A5616" w14:paraId="66FB20E3" w14:textId="77777777"/>
    <w:p w:rsidRPr="0005790F" w:rsidR="001A5616" w:rsidP="00E6587D" w:rsidRDefault="00E6587D" w14:paraId="346071EF" w14:textId="284E7AB3">
      <w:pPr>
        <w:pStyle w:val="Lijstalinea"/>
        <w:numPr>
          <w:ilvl w:val="0"/>
          <w:numId w:val="8"/>
        </w:numPr>
      </w:pPr>
      <w:r w:rsidRPr="0005790F">
        <w:t>Het advies van de Afdeling is een zogenaamd blanco advies (dictum A). Dit betekent dat de Afdeling geen opmerkingen heeft. Het advies van de Afdeling is het wetsvoorstel (de novelle) in te dienen bij de Tweede Kamer.</w:t>
      </w:r>
      <w:r w:rsidRPr="0005790F" w:rsidR="00CE1581">
        <w:t xml:space="preserve"> Het in de </w:t>
      </w:r>
      <w:r w:rsidRPr="0005790F" w:rsidR="00CE1581">
        <w:lastRenderedPageBreak/>
        <w:t xml:space="preserve">bijlagen </w:t>
      </w:r>
      <w:r w:rsidRPr="0005790F" w:rsidR="00CA1E7B">
        <w:t xml:space="preserve">bij deze nota </w:t>
      </w:r>
      <w:r w:rsidRPr="0005790F" w:rsidR="00CE1581">
        <w:t xml:space="preserve">opgenomen wetsvoorstel en de toelichting zijn niet gewijzigd ten opzichte van de versie die aan de Afdeling is voorgelegd. </w:t>
      </w:r>
    </w:p>
    <w:p w:rsidRPr="0005790F" w:rsidR="001A5616" w:rsidP="00E6587D" w:rsidRDefault="001A5616" w14:paraId="2115CC5E" w14:textId="7320E89B">
      <w:pPr>
        <w:pStyle w:val="Lijstalinea"/>
        <w:numPr>
          <w:ilvl w:val="0"/>
          <w:numId w:val="8"/>
        </w:numPr>
      </w:pPr>
      <w:r w:rsidRPr="0005790F">
        <w:t xml:space="preserve">De novelle strekt tot schrapping van de wettelijke onverenigbaarheid van het rechterschap met het lidmaatschap van de gemeenteraad en het lidmaatschap van provinciale staten, zoals die door de Tweede Kamer in </w:t>
      </w:r>
      <w:r w:rsidRPr="0005790F" w:rsidR="00CE1581">
        <w:t xml:space="preserve">het thans bij de Eerste Kamer aanhangige </w:t>
      </w:r>
      <w:r w:rsidRPr="0005790F">
        <w:t xml:space="preserve">wetsvoorstel </w:t>
      </w:r>
      <w:r w:rsidRPr="0005790F" w:rsidR="00CE1581">
        <w:t xml:space="preserve">36243 </w:t>
      </w:r>
      <w:r w:rsidRPr="0005790F">
        <w:t>was toegevoegd via het amendement-Helder</w:t>
      </w:r>
      <w:r w:rsidRPr="0005790F" w:rsidR="002732F2">
        <w:t xml:space="preserve"> (Kamerstukken II 2024/25, 36243, nr. 8).</w:t>
      </w:r>
      <w:r w:rsidRPr="0005790F">
        <w:t xml:space="preserve"> Het amendement was, mede gebaseerd op </w:t>
      </w:r>
      <w:r w:rsidRPr="0005790F" w:rsidR="00CE1581">
        <w:t xml:space="preserve">een kritisch </w:t>
      </w:r>
      <w:r w:rsidRPr="0005790F">
        <w:t>advies van de Afdeling</w:t>
      </w:r>
      <w:r w:rsidRPr="0005790F" w:rsidR="00CE1581">
        <w:t xml:space="preserve"> over dit amendement-Helder</w:t>
      </w:r>
      <w:r w:rsidRPr="0005790F">
        <w:t>, door het kabinet ontraden, maar is desondanks door de vorige TK (</w:t>
      </w:r>
      <w:r w:rsidRPr="0005790F" w:rsidR="00E24AE9">
        <w:t xml:space="preserve">na hoofdelijke stemming </w:t>
      </w:r>
      <w:r w:rsidRPr="0005790F">
        <w:t>met een nipte meerderheid</w:t>
      </w:r>
      <w:r w:rsidRPr="0005790F" w:rsidR="002732F2">
        <w:t>, 73 stemmen voor, 72 stemmen tegen</w:t>
      </w:r>
      <w:r w:rsidRPr="0005790F">
        <w:t>) aangenomen.</w:t>
      </w:r>
    </w:p>
    <w:p w:rsidRPr="0005790F" w:rsidR="001A5616" w:rsidP="00E6587D" w:rsidRDefault="001A5616" w14:paraId="6CD119D6" w14:textId="37B76257">
      <w:pPr>
        <w:pStyle w:val="Lijstalinea"/>
        <w:numPr>
          <w:ilvl w:val="0"/>
          <w:numId w:val="8"/>
        </w:numPr>
      </w:pPr>
      <w:r w:rsidRPr="0005790F">
        <w:t>Een meerderheid van de fracties van de E</w:t>
      </w:r>
      <w:r w:rsidRPr="0005790F" w:rsidR="002732F2">
        <w:t>erste Kamer</w:t>
      </w:r>
      <w:r w:rsidRPr="0005790F">
        <w:t xml:space="preserve"> heeft per brief van 17 september 2025 verzocht om reparatiemogelijkheden ten aanzien van het amendement-Helder. Naar aanleiding van dit verzoek heeft u de E</w:t>
      </w:r>
      <w:r w:rsidRPr="0005790F" w:rsidR="002732F2">
        <w:t>erste Kamer</w:t>
      </w:r>
      <w:r w:rsidRPr="0005790F">
        <w:t xml:space="preserve"> per brief van 2 april 2026 laten weten een novelle in procedure te brengen. De E</w:t>
      </w:r>
      <w:r w:rsidRPr="0005790F" w:rsidR="002732F2">
        <w:t>erste Kamer</w:t>
      </w:r>
      <w:r w:rsidRPr="0005790F">
        <w:t xml:space="preserve"> heeft naar aanleiding daarvan besloten de verdere behandeling van wetsvoorstel 36243 aan te houden in afwachting van de novelle. </w:t>
      </w:r>
    </w:p>
    <w:p w:rsidRPr="0005790F" w:rsidR="004878A3" w:rsidRDefault="004878A3" w14:paraId="0910D616" w14:textId="77777777"/>
    <w:p w:rsidRPr="0005790F" w:rsidR="00B63E84" w:rsidRDefault="00E24AE9" w14:paraId="23C6B001" w14:textId="1163BB54">
      <w:pPr>
        <w:pStyle w:val="Agendapunt"/>
      </w:pPr>
      <w:r w:rsidRPr="0005790F">
        <w:t>Toelichting</w:t>
      </w:r>
    </w:p>
    <w:p w:rsidRPr="0005790F" w:rsidR="00B63E84" w:rsidRDefault="00B63E84" w14:paraId="11EC603B" w14:textId="77777777"/>
    <w:p w:rsidR="00311F87" w:rsidP="00311F87" w:rsidRDefault="00311F87" w14:paraId="210EF20A" w14:textId="36F4F672">
      <w:r w:rsidRPr="0005790F">
        <w:t>De novelle wijzigt het bij de Eerste Kamer aanhangige wetsvoorstel 36243 dat, ter opvolging van een GRECO aanbeveling, voorziet in een verbod op de functiecombinatie rechter – lidmaatschap Tweede Kamer, Eerste Kamer en het Europees Parlement. Daarnaast voorziet het wetsvoorstel in regelingen over andere rechtspraak-gerelateerde onderwerpen, waarover binnen de rechtspraak brede consensus bestaat. Het gaat om de volgende onderwerpen:</w:t>
      </w:r>
    </w:p>
    <w:p w:rsidR="00311F87" w:rsidP="00311F87" w:rsidRDefault="00311F87" w14:paraId="55682FFD" w14:textId="516DDF4E">
      <w:pPr>
        <w:pStyle w:val="Lijstalinea"/>
        <w:numPr>
          <w:ilvl w:val="0"/>
          <w:numId w:val="7"/>
        </w:numPr>
      </w:pPr>
      <w:r>
        <w:t>een voor</w:t>
      </w:r>
      <w:r w:rsidR="002732F2">
        <w:t xml:space="preserve"> </w:t>
      </w:r>
      <w:r>
        <w:t xml:space="preserve">rechterlijke ambtenaren (kortweg: rechters en officieren van justitie) </w:t>
      </w:r>
      <w:r w:rsidR="008535DC">
        <w:t xml:space="preserve">en hun partners </w:t>
      </w:r>
      <w:r>
        <w:t>geldend verbod om bepaalde financiële belangen te hebben en een meldplicht en plicht tot registratie van financiële belangen;</w:t>
      </w:r>
    </w:p>
    <w:p w:rsidR="00311F87" w:rsidP="00311F87" w:rsidRDefault="00311F87" w14:paraId="1905EC42" w14:textId="00F932DC">
      <w:pPr>
        <w:pStyle w:val="Lijstalinea"/>
        <w:numPr>
          <w:ilvl w:val="0"/>
          <w:numId w:val="7"/>
        </w:numPr>
      </w:pPr>
      <w:r>
        <w:t>de wettelijke opdracht aan de functionele autoriteit van rechterlijk</w:t>
      </w:r>
      <w:r w:rsidR="00161E54">
        <w:t>e</w:t>
      </w:r>
      <w:r>
        <w:t xml:space="preserve"> ambtenaren (rechters en officieren van justitie) tot het voeren van  integriteitsbeleid;</w:t>
      </w:r>
    </w:p>
    <w:p w:rsidR="00311F87" w:rsidP="00311F87" w:rsidRDefault="00311F87" w14:paraId="1345504F" w14:textId="77777777">
      <w:pPr>
        <w:pStyle w:val="Lijstalinea"/>
        <w:numPr>
          <w:ilvl w:val="0"/>
          <w:numId w:val="7"/>
        </w:numPr>
      </w:pPr>
      <w:r>
        <w:t>wijziging van de regeling voor de klachtbehandeling door de Hoge Raad (verzoek van de Hoge Raad);</w:t>
      </w:r>
    </w:p>
    <w:p w:rsidR="00311F87" w:rsidP="00311F87" w:rsidRDefault="00311F87" w14:paraId="6526A03E" w14:textId="77777777">
      <w:pPr>
        <w:pStyle w:val="Lijstalinea"/>
        <w:numPr>
          <w:ilvl w:val="0"/>
          <w:numId w:val="7"/>
        </w:numPr>
      </w:pPr>
      <w:r>
        <w:t>wijziging in het aantal te benoemen advocaten-generaal dat ten hoogste kan worden benoemd bij de Hoge Raad (verzoek van de procureur-generaal bij de Hoge Raad);</w:t>
      </w:r>
    </w:p>
    <w:p w:rsidR="003B637F" w:rsidP="003B637F" w:rsidRDefault="003B637F" w14:paraId="507E9086" w14:textId="55FFA3B1">
      <w:pPr>
        <w:pStyle w:val="Lijstalinea"/>
        <w:numPr>
          <w:ilvl w:val="0"/>
          <w:numId w:val="7"/>
        </w:numPr>
      </w:pPr>
      <w:r>
        <w:t>wettelijke verankering van de toedeling van zaken aan rechters op grond van “objectieve, transparante en controleerbare criteria”;</w:t>
      </w:r>
    </w:p>
    <w:p w:rsidR="003B637F" w:rsidP="003B637F" w:rsidRDefault="003B637F" w14:paraId="5E35A903" w14:textId="69EB0A40">
      <w:pPr>
        <w:pStyle w:val="Lijstalinea"/>
        <w:numPr>
          <w:ilvl w:val="0"/>
          <w:numId w:val="7"/>
        </w:numPr>
      </w:pPr>
      <w:r>
        <w:t>meerderheid van de leden Raad voor de rechtspraak bestaat uit rechterlijke ambtenaren met rechtspraak belast;</w:t>
      </w:r>
    </w:p>
    <w:p w:rsidR="00311F87" w:rsidP="00311F87" w:rsidRDefault="00311F87" w14:paraId="15DE578C" w14:textId="723F8D98">
      <w:pPr>
        <w:pStyle w:val="Lijstalinea"/>
        <w:numPr>
          <w:ilvl w:val="0"/>
          <w:numId w:val="7"/>
        </w:numPr>
      </w:pPr>
      <w:r>
        <w:t>enkele (noodzakelijke) technische aanpassingen naar aanleiding van de invoering van de Wet normalisering rechtspositie ambtenaren</w:t>
      </w:r>
      <w:r w:rsidR="003B637F">
        <w:t>.</w:t>
      </w:r>
      <w:r>
        <w:t xml:space="preserve"> </w:t>
      </w:r>
    </w:p>
    <w:p w:rsidR="004878A3" w:rsidRDefault="004878A3" w14:paraId="3A303DED" w14:textId="77777777"/>
    <w:p w:rsidR="00B63E84" w:rsidRDefault="00E24AE9" w14:paraId="34345F4C" w14:textId="77777777">
      <w:pPr>
        <w:pStyle w:val="Agendapunt"/>
      </w:pPr>
      <w:r>
        <w:t>Informatie die niet openbaar gemaakt kan worden</w:t>
      </w:r>
      <w:r>
        <w:br/>
        <w:t>          </w:t>
      </w:r>
    </w:p>
    <w:p w:rsidR="00B63E84" w:rsidRDefault="00E24AE9" w14:paraId="598FCAB9" w14:textId="3A16347F">
      <w:r>
        <w:t>De persoonsgegevens van de ambtenaren zijn niet openbaar ter bescherming van de persoonlijke levenssfeer.</w:t>
      </w:r>
    </w:p>
    <w:p w:rsidR="00B63E84" w:rsidRDefault="00B63E84" w14:paraId="402B62F6" w14:textId="00E8C1B6"/>
    <w:p w:rsidR="00B63E84" w:rsidRDefault="00B63E84" w14:paraId="5B8042D2" w14:textId="77777777"/>
    <w:sectPr w:rsidR="00B63E84">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602E" w14:textId="77777777" w:rsidR="00E0749F" w:rsidRDefault="00E0749F">
      <w:pPr>
        <w:spacing w:line="240" w:lineRule="auto"/>
      </w:pPr>
      <w:r>
        <w:separator/>
      </w:r>
    </w:p>
  </w:endnote>
  <w:endnote w:type="continuationSeparator" w:id="0">
    <w:p w14:paraId="73E06CAA" w14:textId="77777777" w:rsidR="00E0749F" w:rsidRDefault="00E07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F02B" w14:textId="77777777" w:rsidR="00DF40CF" w:rsidRDefault="00DF40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ABD8" w14:textId="77777777" w:rsidR="00B63E84" w:rsidRDefault="00B63E84">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4332" w14:textId="77777777" w:rsidR="00DF40CF" w:rsidRDefault="00DF40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2D9D" w14:textId="77777777" w:rsidR="00E0749F" w:rsidRDefault="00E0749F">
      <w:pPr>
        <w:pStyle w:val="Voetnoottekst"/>
      </w:pPr>
    </w:p>
  </w:footnote>
  <w:footnote w:type="continuationSeparator" w:id="0">
    <w:p w14:paraId="4D506A69" w14:textId="77777777" w:rsidR="00E0749F" w:rsidRDefault="00E0749F">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BAD5" w14:textId="77777777" w:rsidR="00DF40CF" w:rsidRDefault="00DF40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2765" w14:textId="77777777" w:rsidR="00B63E84" w:rsidRDefault="00E24AE9">
    <w:r>
      <w:rPr>
        <w:noProof/>
      </w:rPr>
      <mc:AlternateContent>
        <mc:Choice Requires="wps">
          <w:drawing>
            <wp:anchor distT="0" distB="0" distL="0" distR="0" simplePos="0" relativeHeight="251652608" behindDoc="0" locked="1" layoutInCell="1" allowOverlap="1" wp14:anchorId="29F7F273" wp14:editId="6BDC207D">
              <wp:simplePos x="5921375" y="1965325"/>
              <wp:positionH relativeFrom="page">
                <wp:posOffset>5921375</wp:posOffset>
              </wp:positionH>
              <wp:positionV relativeFrom="paragraph">
                <wp:posOffset>1965325</wp:posOffset>
              </wp:positionV>
              <wp:extent cx="1277620" cy="8009890"/>
              <wp:effectExtent l="0" t="0" r="0" b="0"/>
              <wp:wrapNone/>
              <wp:docPr id="1" name="076f4401-05ce-4232-a17a-143b96a281e9"/>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695AF1" w14:textId="1E107923" w:rsidR="00B63E84" w:rsidRDefault="00E24AE9" w:rsidP="00D773A6">
                          <w:pPr>
                            <w:pStyle w:val="Referentiegegevensbold"/>
                          </w:pPr>
                          <w:r>
                            <w:t>Directie Wetgeving en Juridische Zaken</w:t>
                          </w:r>
                        </w:p>
                        <w:p w14:paraId="37D2BEF8" w14:textId="77777777" w:rsidR="00B63E84" w:rsidRDefault="00E24AE9">
                          <w:pPr>
                            <w:pStyle w:val="Referentiegegevens"/>
                          </w:pPr>
                          <w:r>
                            <w:t>Sector Staats- en bestuursrecht</w:t>
                          </w:r>
                        </w:p>
                        <w:p w14:paraId="2AF50DD5" w14:textId="77777777" w:rsidR="00B63E84" w:rsidRDefault="00B63E84">
                          <w:pPr>
                            <w:pStyle w:val="WitregelW2"/>
                          </w:pPr>
                        </w:p>
                        <w:p w14:paraId="162060C6" w14:textId="77777777" w:rsidR="00B63E84" w:rsidRDefault="00E24AE9">
                          <w:pPr>
                            <w:pStyle w:val="Referentiegegevensbold"/>
                          </w:pPr>
                          <w:r>
                            <w:t>Datum</w:t>
                          </w:r>
                        </w:p>
                        <w:p w14:paraId="732D4ED6" w14:textId="2A74DEAD" w:rsidR="00B63E84" w:rsidRDefault="00000000">
                          <w:pPr>
                            <w:pStyle w:val="Referentiegegevens"/>
                          </w:pPr>
                          <w:sdt>
                            <w:sdtPr>
                              <w:id w:val="-1352324995"/>
                              <w:date w:fullDate="2026-08-18T00:00:00Z">
                                <w:dateFormat w:val="d MMMM yyyy"/>
                                <w:lid w:val="nl"/>
                                <w:storeMappedDataAs w:val="dateTime"/>
                                <w:calendar w:val="gregorian"/>
                              </w:date>
                            </w:sdtPr>
                            <w:sdtContent>
                              <w:r w:rsidR="00D773A6">
                                <w:rPr>
                                  <w:lang w:val="nl"/>
                                </w:rPr>
                                <w:t>18 augustus 2026</w:t>
                              </w:r>
                            </w:sdtContent>
                          </w:sdt>
                        </w:p>
                        <w:p w14:paraId="2C366FD0" w14:textId="77777777" w:rsidR="00B63E84" w:rsidRDefault="00B63E84">
                          <w:pPr>
                            <w:pStyle w:val="WitregelW1"/>
                          </w:pPr>
                        </w:p>
                        <w:p w14:paraId="3F6C5302" w14:textId="77777777" w:rsidR="00B63E84" w:rsidRDefault="00E24AE9">
                          <w:pPr>
                            <w:pStyle w:val="Referentiegegevensbold"/>
                          </w:pPr>
                          <w:r>
                            <w:t>Onze referentie</w:t>
                          </w:r>
                        </w:p>
                        <w:p w14:paraId="39B94267" w14:textId="752BCD5F" w:rsidR="00B63E84" w:rsidRDefault="00D773A6">
                          <w:pPr>
                            <w:pStyle w:val="Referentiegegevens"/>
                          </w:pPr>
                          <w:r w:rsidRPr="00D773A6">
                            <w:t>79</w:t>
                          </w:r>
                          <w:r w:rsidR="00DF40CF">
                            <w:t>69101</w:t>
                          </w:r>
                        </w:p>
                      </w:txbxContent>
                    </wps:txbx>
                    <wps:bodyPr vert="horz" wrap="square" lIns="0" tIns="0" rIns="0" bIns="0" anchor="t" anchorCtr="0"/>
                  </wps:wsp>
                </a:graphicData>
              </a:graphic>
            </wp:anchor>
          </w:drawing>
        </mc:Choice>
        <mc:Fallback>
          <w:pict>
            <v:shapetype w14:anchorId="29F7F273" id="_x0000_t202" coordsize="21600,21600" o:spt="202" path="m,l,21600r21600,l21600,xe">
              <v:stroke joinstyle="miter"/>
              <v:path gradientshapeok="t" o:connecttype="rect"/>
            </v:shapetype>
            <v:shape id="076f4401-05ce-4232-a17a-143b96a281e9"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F695AF1" w14:textId="1E107923" w:rsidR="00B63E84" w:rsidRDefault="00E24AE9" w:rsidP="00D773A6">
                    <w:pPr>
                      <w:pStyle w:val="Referentiegegevensbold"/>
                    </w:pPr>
                    <w:r>
                      <w:t>Directie Wetgeving en Juridische Zaken</w:t>
                    </w:r>
                  </w:p>
                  <w:p w14:paraId="37D2BEF8" w14:textId="77777777" w:rsidR="00B63E84" w:rsidRDefault="00E24AE9">
                    <w:pPr>
                      <w:pStyle w:val="Referentiegegevens"/>
                    </w:pPr>
                    <w:r>
                      <w:t>Sector Staats- en bestuursrecht</w:t>
                    </w:r>
                  </w:p>
                  <w:p w14:paraId="2AF50DD5" w14:textId="77777777" w:rsidR="00B63E84" w:rsidRDefault="00B63E84">
                    <w:pPr>
                      <w:pStyle w:val="WitregelW2"/>
                    </w:pPr>
                  </w:p>
                  <w:p w14:paraId="162060C6" w14:textId="77777777" w:rsidR="00B63E84" w:rsidRDefault="00E24AE9">
                    <w:pPr>
                      <w:pStyle w:val="Referentiegegevensbold"/>
                    </w:pPr>
                    <w:r>
                      <w:t>Datum</w:t>
                    </w:r>
                  </w:p>
                  <w:p w14:paraId="732D4ED6" w14:textId="2A74DEAD" w:rsidR="00B63E84" w:rsidRDefault="00000000">
                    <w:pPr>
                      <w:pStyle w:val="Referentiegegevens"/>
                    </w:pPr>
                    <w:sdt>
                      <w:sdtPr>
                        <w:id w:val="-1352324995"/>
                        <w:date w:fullDate="2026-08-18T00:00:00Z">
                          <w:dateFormat w:val="d MMMM yyyy"/>
                          <w:lid w:val="nl"/>
                          <w:storeMappedDataAs w:val="dateTime"/>
                          <w:calendar w:val="gregorian"/>
                        </w:date>
                      </w:sdtPr>
                      <w:sdtContent>
                        <w:r w:rsidR="00D773A6">
                          <w:rPr>
                            <w:lang w:val="nl"/>
                          </w:rPr>
                          <w:t>18 augustus 2026</w:t>
                        </w:r>
                      </w:sdtContent>
                    </w:sdt>
                  </w:p>
                  <w:p w14:paraId="2C366FD0" w14:textId="77777777" w:rsidR="00B63E84" w:rsidRDefault="00B63E84">
                    <w:pPr>
                      <w:pStyle w:val="WitregelW1"/>
                    </w:pPr>
                  </w:p>
                  <w:p w14:paraId="3F6C5302" w14:textId="77777777" w:rsidR="00B63E84" w:rsidRDefault="00E24AE9">
                    <w:pPr>
                      <w:pStyle w:val="Referentiegegevensbold"/>
                    </w:pPr>
                    <w:r>
                      <w:t>Onze referentie</w:t>
                    </w:r>
                  </w:p>
                  <w:p w14:paraId="39B94267" w14:textId="752BCD5F" w:rsidR="00B63E84" w:rsidRDefault="00D773A6">
                    <w:pPr>
                      <w:pStyle w:val="Referentiegegevens"/>
                    </w:pPr>
                    <w:r w:rsidRPr="00D773A6">
                      <w:t>79</w:t>
                    </w:r>
                    <w:r w:rsidR="00DF40CF">
                      <w:t>69101</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BC09F7B" wp14:editId="27B32BBE">
              <wp:simplePos x="1007744" y="10194925"/>
              <wp:positionH relativeFrom="page">
                <wp:posOffset>1007744</wp:posOffset>
              </wp:positionH>
              <wp:positionV relativeFrom="paragraph">
                <wp:posOffset>10194925</wp:posOffset>
              </wp:positionV>
              <wp:extent cx="4787900" cy="161290"/>
              <wp:effectExtent l="0" t="0" r="0" b="0"/>
              <wp:wrapNone/>
              <wp:docPr id="2" name="04dc9442-b118-483b-88bf-878988a045da"/>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BC9DF02" w14:textId="77777777" w:rsidR="00E24AE9" w:rsidRDefault="00E24AE9"/>
                      </w:txbxContent>
                    </wps:txbx>
                    <wps:bodyPr vert="horz" wrap="square" lIns="0" tIns="0" rIns="0" bIns="0" anchor="t" anchorCtr="0"/>
                  </wps:wsp>
                </a:graphicData>
              </a:graphic>
            </wp:anchor>
          </w:drawing>
        </mc:Choice>
        <mc:Fallback>
          <w:pict>
            <v:shape w14:anchorId="7BC09F7B" id="04dc9442-b118-483b-88bf-878988a045da"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BC9DF02" w14:textId="77777777" w:rsidR="00E24AE9" w:rsidRDefault="00E24AE9"/>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1FA1EDD2" wp14:editId="222D43F1">
              <wp:simplePos x="5921375" y="10194925"/>
              <wp:positionH relativeFrom="page">
                <wp:posOffset>5921375</wp:posOffset>
              </wp:positionH>
              <wp:positionV relativeFrom="paragraph">
                <wp:posOffset>10194925</wp:posOffset>
              </wp:positionV>
              <wp:extent cx="1285875" cy="161290"/>
              <wp:effectExtent l="0" t="0" r="0" b="0"/>
              <wp:wrapNone/>
              <wp:docPr id="3" name="c24a2c70-98dd-4740-b3df-185ff859ca67"/>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D49F2D" w14:textId="77777777" w:rsidR="00B63E84" w:rsidRDefault="00E24AE9">
                          <w:pPr>
                            <w:pStyle w:val="Referentiegegevens"/>
                          </w:pPr>
                          <w:r>
                            <w:t xml:space="preserve">Pagina </w:t>
                          </w:r>
                          <w:r>
                            <w:fldChar w:fldCharType="begin"/>
                          </w:r>
                          <w:r>
                            <w:instrText>PAGE</w:instrText>
                          </w:r>
                          <w:r>
                            <w:fldChar w:fldCharType="separate"/>
                          </w:r>
                          <w:r w:rsidR="00365782">
                            <w:rPr>
                              <w:noProof/>
                            </w:rPr>
                            <w:t>2</w:t>
                          </w:r>
                          <w:r>
                            <w:fldChar w:fldCharType="end"/>
                          </w:r>
                          <w:r>
                            <w:t xml:space="preserve"> van </w:t>
                          </w:r>
                          <w:r>
                            <w:fldChar w:fldCharType="begin"/>
                          </w:r>
                          <w:r>
                            <w:instrText>NUMPAGES</w:instrText>
                          </w:r>
                          <w:r>
                            <w:fldChar w:fldCharType="separate"/>
                          </w:r>
                          <w:r w:rsidR="00365782">
                            <w:rPr>
                              <w:noProof/>
                            </w:rPr>
                            <w:t>3</w:t>
                          </w:r>
                          <w:r>
                            <w:fldChar w:fldCharType="end"/>
                          </w:r>
                        </w:p>
                      </w:txbxContent>
                    </wps:txbx>
                    <wps:bodyPr vert="horz" wrap="square" lIns="0" tIns="0" rIns="0" bIns="0" anchor="t" anchorCtr="0"/>
                  </wps:wsp>
                </a:graphicData>
              </a:graphic>
            </wp:anchor>
          </w:drawing>
        </mc:Choice>
        <mc:Fallback>
          <w:pict>
            <v:shape w14:anchorId="1FA1EDD2" id="c24a2c70-98dd-4740-b3df-185ff859ca67"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5D49F2D" w14:textId="77777777" w:rsidR="00B63E84" w:rsidRDefault="00E24AE9">
                    <w:pPr>
                      <w:pStyle w:val="Referentiegegevens"/>
                    </w:pPr>
                    <w:r>
                      <w:t xml:space="preserve">Pagina </w:t>
                    </w:r>
                    <w:r>
                      <w:fldChar w:fldCharType="begin"/>
                    </w:r>
                    <w:r>
                      <w:instrText>PAGE</w:instrText>
                    </w:r>
                    <w:r>
                      <w:fldChar w:fldCharType="separate"/>
                    </w:r>
                    <w:r w:rsidR="00365782">
                      <w:rPr>
                        <w:noProof/>
                      </w:rPr>
                      <w:t>2</w:t>
                    </w:r>
                    <w:r>
                      <w:fldChar w:fldCharType="end"/>
                    </w:r>
                    <w:r>
                      <w:t xml:space="preserve"> van </w:t>
                    </w:r>
                    <w:r>
                      <w:fldChar w:fldCharType="begin"/>
                    </w:r>
                    <w:r>
                      <w:instrText>NUMPAGES</w:instrText>
                    </w:r>
                    <w:r>
                      <w:fldChar w:fldCharType="separate"/>
                    </w:r>
                    <w:r w:rsidR="00365782">
                      <w:rPr>
                        <w:noProof/>
                      </w:rPr>
                      <w:t>3</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6DD8" w14:textId="77777777" w:rsidR="00B63E84" w:rsidRDefault="00E24AE9">
    <w:pPr>
      <w:spacing w:after="6236" w:line="14" w:lineRule="exact"/>
    </w:pPr>
    <w:r>
      <w:rPr>
        <w:noProof/>
      </w:rPr>
      <mc:AlternateContent>
        <mc:Choice Requires="wps">
          <w:drawing>
            <wp:anchor distT="0" distB="0" distL="0" distR="0" simplePos="0" relativeHeight="251655680" behindDoc="0" locked="1" layoutInCell="1" allowOverlap="1" wp14:anchorId="3D94464C" wp14:editId="7C59B1F7">
              <wp:simplePos x="1007744" y="1954530"/>
              <wp:positionH relativeFrom="page">
                <wp:posOffset>1007744</wp:posOffset>
              </wp:positionH>
              <wp:positionV relativeFrom="paragraph">
                <wp:posOffset>1954530</wp:posOffset>
              </wp:positionV>
              <wp:extent cx="4787900" cy="1115695"/>
              <wp:effectExtent l="0" t="0" r="0" b="0"/>
              <wp:wrapNone/>
              <wp:docPr id="4" name="ec31fc56-399b-42ae-aa3c-edceac692d7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6A6EC29" w14:textId="2C577D5B" w:rsidR="00E24AE9" w:rsidRDefault="00D773A6">
                          <w:r>
                            <w:t xml:space="preserve">Aan de Staatsecretaris van Justitie en Veiligheid </w:t>
                          </w:r>
                        </w:p>
                      </w:txbxContent>
                    </wps:txbx>
                    <wps:bodyPr vert="horz" wrap="square" lIns="0" tIns="0" rIns="0" bIns="0" anchor="t" anchorCtr="0"/>
                  </wps:wsp>
                </a:graphicData>
              </a:graphic>
            </wp:anchor>
          </w:drawing>
        </mc:Choice>
        <mc:Fallback>
          <w:pict>
            <v:shapetype w14:anchorId="3D94464C" id="_x0000_t202" coordsize="21600,21600" o:spt="202" path="m,l,21600r21600,l21600,xe">
              <v:stroke joinstyle="miter"/>
              <v:path gradientshapeok="t" o:connecttype="rect"/>
            </v:shapetype>
            <v:shape id="ec31fc56-399b-42ae-aa3c-edceac692d76"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6A6EC29" w14:textId="2C577D5B" w:rsidR="00E24AE9" w:rsidRDefault="00D773A6">
                    <w:r>
                      <w:t xml:space="preserve">Aan de Staatsecretaris van Justitie en Veiligheid </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80D4133" wp14:editId="54F4D35E">
              <wp:simplePos x="0" y="0"/>
              <wp:positionH relativeFrom="page">
                <wp:posOffset>2419350</wp:posOffset>
              </wp:positionH>
              <wp:positionV relativeFrom="paragraph">
                <wp:posOffset>3352800</wp:posOffset>
              </wp:positionV>
              <wp:extent cx="3362325" cy="476250"/>
              <wp:effectExtent l="0" t="0" r="0" b="0"/>
              <wp:wrapNone/>
              <wp:docPr id="5" name="4496f1f9-0df9-44a6-8290-c67f042f9ee9"/>
              <wp:cNvGraphicFramePr/>
              <a:graphic xmlns:a="http://schemas.openxmlformats.org/drawingml/2006/main">
                <a:graphicData uri="http://schemas.microsoft.com/office/word/2010/wordprocessingShape">
                  <wps:wsp>
                    <wps:cNvSpPr txBox="1"/>
                    <wps:spPr>
                      <a:xfrm>
                        <a:off x="0" y="0"/>
                        <a:ext cx="3362325" cy="476250"/>
                      </a:xfrm>
                      <a:prstGeom prst="rect">
                        <a:avLst/>
                      </a:prstGeom>
                      <a:noFill/>
                    </wps:spPr>
                    <wps:txbx>
                      <w:txbxContent>
                        <w:p w14:paraId="6A42A4A9" w14:textId="77777777" w:rsidR="00B63E84" w:rsidRDefault="00E24AE9">
                          <w:r>
                            <w:t>Nader rapport novelle verval onverenigbaarheid rechterschap met lidmaatschap gemeenteraad en provinciale staten</w:t>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80D4133" id="4496f1f9-0df9-44a6-8290-c67f042f9ee9" o:spid="_x0000_s1030" type="#_x0000_t202" style="position:absolute;margin-left:190.5pt;margin-top:264pt;width:264.75pt;height:37.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" filled="f" stroked="f">
              <v:textbox inset="0,0,0,0">
                <w:txbxContent>
                  <w:p w14:paraId="6A42A4A9" w14:textId="77777777" w:rsidR="00B63E84" w:rsidRDefault="00E24AE9">
                    <w:r>
                      <w:t>Nader rapport novelle verval onverenigbaarheid rechterschap met lidmaatschap gemeenteraad en provinciale staten</w:t>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249A8E5C" wp14:editId="58542794">
              <wp:simplePos x="5921375" y="1965325"/>
              <wp:positionH relativeFrom="page">
                <wp:posOffset>5921375</wp:posOffset>
              </wp:positionH>
              <wp:positionV relativeFrom="paragraph">
                <wp:posOffset>1965325</wp:posOffset>
              </wp:positionV>
              <wp:extent cx="1277620" cy="8009890"/>
              <wp:effectExtent l="0" t="0" r="0" b="0"/>
              <wp:wrapNone/>
              <wp:docPr id="6" name="f918debe-a0b1-423c-8a60-bfb2f19e367b"/>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2B29EED" w14:textId="1967CD4A" w:rsidR="00B63E84" w:rsidRDefault="00E24AE9" w:rsidP="00D773A6">
                          <w:pPr>
                            <w:pStyle w:val="Referentiegegevensbold"/>
                          </w:pPr>
                          <w:r>
                            <w:t>Directie Wetgeving en Juridische Zaken</w:t>
                          </w:r>
                        </w:p>
                        <w:p w14:paraId="0987B46E" w14:textId="77777777" w:rsidR="00B63E84" w:rsidRDefault="00E24AE9">
                          <w:pPr>
                            <w:pStyle w:val="Referentiegegevens"/>
                          </w:pPr>
                          <w:r>
                            <w:t>Sector Staats- en bestuursrecht</w:t>
                          </w:r>
                        </w:p>
                        <w:p w14:paraId="36219AA1" w14:textId="77777777" w:rsidR="00B63E84" w:rsidRDefault="00B63E84">
                          <w:pPr>
                            <w:pStyle w:val="WitregelW1"/>
                          </w:pPr>
                        </w:p>
                        <w:p w14:paraId="4235F4F2" w14:textId="77777777" w:rsidR="00B63E84" w:rsidRDefault="00E24AE9">
                          <w:pPr>
                            <w:pStyle w:val="Referentiegegevens"/>
                          </w:pPr>
                          <w:r>
                            <w:t>Turfmarkt 147</w:t>
                          </w:r>
                        </w:p>
                        <w:p w14:paraId="2B02B551" w14:textId="77777777" w:rsidR="00B63E84" w:rsidRPr="00D773A6" w:rsidRDefault="00E24AE9">
                          <w:pPr>
                            <w:pStyle w:val="Referentiegegevens"/>
                            <w:rPr>
                              <w:lang w:val="de-DE"/>
                            </w:rPr>
                          </w:pPr>
                          <w:r w:rsidRPr="00D773A6">
                            <w:rPr>
                              <w:lang w:val="de-DE"/>
                            </w:rPr>
                            <w:t>2511 DP  Den Haag</w:t>
                          </w:r>
                        </w:p>
                        <w:p w14:paraId="21F2B041" w14:textId="77777777" w:rsidR="00B63E84" w:rsidRPr="00D773A6" w:rsidRDefault="00E24AE9">
                          <w:pPr>
                            <w:pStyle w:val="Referentiegegevens"/>
                            <w:rPr>
                              <w:lang w:val="de-DE"/>
                            </w:rPr>
                          </w:pPr>
                          <w:r w:rsidRPr="00D773A6">
                            <w:rPr>
                              <w:lang w:val="de-DE"/>
                            </w:rPr>
                            <w:t>Postbus 20301</w:t>
                          </w:r>
                        </w:p>
                        <w:p w14:paraId="7660808E" w14:textId="77777777" w:rsidR="00B63E84" w:rsidRPr="00D773A6" w:rsidRDefault="00E24AE9">
                          <w:pPr>
                            <w:pStyle w:val="Referentiegegevens"/>
                            <w:rPr>
                              <w:lang w:val="de-DE"/>
                            </w:rPr>
                          </w:pPr>
                          <w:r w:rsidRPr="00D773A6">
                            <w:rPr>
                              <w:lang w:val="de-DE"/>
                            </w:rPr>
                            <w:t>2500 EH  Den Haag</w:t>
                          </w:r>
                        </w:p>
                        <w:p w14:paraId="6F30CAB5" w14:textId="77777777" w:rsidR="00B63E84" w:rsidRPr="00D773A6" w:rsidRDefault="00E24AE9">
                          <w:pPr>
                            <w:pStyle w:val="Referentiegegevens"/>
                            <w:rPr>
                              <w:lang w:val="de-DE"/>
                            </w:rPr>
                          </w:pPr>
                          <w:r w:rsidRPr="00D773A6">
                            <w:rPr>
                              <w:lang w:val="de-DE"/>
                            </w:rPr>
                            <w:t>www.rijksoverheid.nl/jenv</w:t>
                          </w:r>
                        </w:p>
                        <w:p w14:paraId="3DDD7D29" w14:textId="77777777" w:rsidR="00B63E84" w:rsidRPr="00D773A6" w:rsidRDefault="00B63E84">
                          <w:pPr>
                            <w:pStyle w:val="WitregelW1"/>
                            <w:rPr>
                              <w:lang w:val="de-DE"/>
                            </w:rPr>
                          </w:pPr>
                        </w:p>
                        <w:p w14:paraId="4421A551" w14:textId="77777777" w:rsidR="00B63E84" w:rsidRDefault="00B63E84">
                          <w:pPr>
                            <w:pStyle w:val="WitregelW2"/>
                          </w:pPr>
                        </w:p>
                        <w:p w14:paraId="59CFF741" w14:textId="77777777" w:rsidR="00B63E84" w:rsidRDefault="00E24AE9">
                          <w:pPr>
                            <w:pStyle w:val="Referentiegegevensbold"/>
                          </w:pPr>
                          <w:r>
                            <w:t>Datum</w:t>
                          </w:r>
                        </w:p>
                        <w:p w14:paraId="1A4D68DC" w14:textId="0209F84E" w:rsidR="00B63E84" w:rsidRDefault="00000000">
                          <w:pPr>
                            <w:pStyle w:val="Referentiegegevens"/>
                          </w:pPr>
                          <w:sdt>
                            <w:sdtPr>
                              <w:id w:val="-386731491"/>
                              <w:date w:fullDate="2026-08-18T00:00:00Z">
                                <w:dateFormat w:val="d MMMM yyyy"/>
                                <w:lid w:val="nl"/>
                                <w:storeMappedDataAs w:val="dateTime"/>
                                <w:calendar w:val="gregorian"/>
                              </w:date>
                            </w:sdtPr>
                            <w:sdtContent>
                              <w:r w:rsidR="00D773A6">
                                <w:rPr>
                                  <w:lang w:val="nl"/>
                                </w:rPr>
                                <w:t>18 augustus 2026</w:t>
                              </w:r>
                            </w:sdtContent>
                          </w:sdt>
                        </w:p>
                        <w:p w14:paraId="26BC7725" w14:textId="77777777" w:rsidR="00B63E84" w:rsidRDefault="00B63E84">
                          <w:pPr>
                            <w:pStyle w:val="WitregelW1"/>
                          </w:pPr>
                        </w:p>
                        <w:p w14:paraId="27339B43" w14:textId="77777777" w:rsidR="00B63E84" w:rsidRDefault="00E24AE9">
                          <w:pPr>
                            <w:pStyle w:val="Referentiegegevensbold"/>
                          </w:pPr>
                          <w:r>
                            <w:t>Onze referentie</w:t>
                          </w:r>
                        </w:p>
                        <w:p w14:paraId="01D8247F" w14:textId="6D830208" w:rsidR="00B63E84" w:rsidRDefault="00D773A6">
                          <w:pPr>
                            <w:pStyle w:val="Referentiegegevens"/>
                          </w:pPr>
                          <w:r w:rsidRPr="00D773A6">
                            <w:t>79</w:t>
                          </w:r>
                          <w:r w:rsidR="00DF40CF">
                            <w:t>69101</w:t>
                          </w:r>
                        </w:p>
                        <w:p w14:paraId="5BFCD6BB" w14:textId="77777777" w:rsidR="00B63E84" w:rsidRDefault="00B63E84">
                          <w:pPr>
                            <w:pStyle w:val="WitregelW1"/>
                          </w:pPr>
                        </w:p>
                        <w:p w14:paraId="0DC69F6D" w14:textId="77777777" w:rsidR="00B63E84" w:rsidRDefault="00E24AE9">
                          <w:pPr>
                            <w:pStyle w:val="Referentiegegevensbold"/>
                          </w:pPr>
                          <w:r>
                            <w:t>Bijlage(n)</w:t>
                          </w:r>
                        </w:p>
                        <w:p w14:paraId="17DEDAC3" w14:textId="77777777" w:rsidR="00B63E84" w:rsidRDefault="00E24AE9">
                          <w:pPr>
                            <w:pStyle w:val="Referentiegegevens"/>
                          </w:pPr>
                          <w:r>
                            <w:t>4</w:t>
                          </w:r>
                        </w:p>
                      </w:txbxContent>
                    </wps:txbx>
                    <wps:bodyPr vert="horz" wrap="square" lIns="0" tIns="0" rIns="0" bIns="0" anchor="t" anchorCtr="0"/>
                  </wps:wsp>
                </a:graphicData>
              </a:graphic>
            </wp:anchor>
          </w:drawing>
        </mc:Choice>
        <mc:Fallback>
          <w:pict>
            <v:shape w14:anchorId="249A8E5C" id="f918debe-a0b1-423c-8a60-bfb2f19e367b"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2B29EED" w14:textId="1967CD4A" w:rsidR="00B63E84" w:rsidRDefault="00E24AE9" w:rsidP="00D773A6">
                    <w:pPr>
                      <w:pStyle w:val="Referentiegegevensbold"/>
                    </w:pPr>
                    <w:r>
                      <w:t>Directie Wetgeving en Juridische Zaken</w:t>
                    </w:r>
                  </w:p>
                  <w:p w14:paraId="0987B46E" w14:textId="77777777" w:rsidR="00B63E84" w:rsidRDefault="00E24AE9">
                    <w:pPr>
                      <w:pStyle w:val="Referentiegegevens"/>
                    </w:pPr>
                    <w:r>
                      <w:t>Sector Staats- en bestuursrecht</w:t>
                    </w:r>
                  </w:p>
                  <w:p w14:paraId="36219AA1" w14:textId="77777777" w:rsidR="00B63E84" w:rsidRDefault="00B63E84">
                    <w:pPr>
                      <w:pStyle w:val="WitregelW1"/>
                    </w:pPr>
                  </w:p>
                  <w:p w14:paraId="4235F4F2" w14:textId="77777777" w:rsidR="00B63E84" w:rsidRDefault="00E24AE9">
                    <w:pPr>
                      <w:pStyle w:val="Referentiegegevens"/>
                    </w:pPr>
                    <w:r>
                      <w:t>Turfmarkt 147</w:t>
                    </w:r>
                  </w:p>
                  <w:p w14:paraId="2B02B551" w14:textId="77777777" w:rsidR="00B63E84" w:rsidRPr="00D773A6" w:rsidRDefault="00E24AE9">
                    <w:pPr>
                      <w:pStyle w:val="Referentiegegevens"/>
                      <w:rPr>
                        <w:lang w:val="de-DE"/>
                      </w:rPr>
                    </w:pPr>
                    <w:r w:rsidRPr="00D773A6">
                      <w:rPr>
                        <w:lang w:val="de-DE"/>
                      </w:rPr>
                      <w:t>2511 DP  Den Haag</w:t>
                    </w:r>
                  </w:p>
                  <w:p w14:paraId="21F2B041" w14:textId="77777777" w:rsidR="00B63E84" w:rsidRPr="00D773A6" w:rsidRDefault="00E24AE9">
                    <w:pPr>
                      <w:pStyle w:val="Referentiegegevens"/>
                      <w:rPr>
                        <w:lang w:val="de-DE"/>
                      </w:rPr>
                    </w:pPr>
                    <w:r w:rsidRPr="00D773A6">
                      <w:rPr>
                        <w:lang w:val="de-DE"/>
                      </w:rPr>
                      <w:t>Postbus 20301</w:t>
                    </w:r>
                  </w:p>
                  <w:p w14:paraId="7660808E" w14:textId="77777777" w:rsidR="00B63E84" w:rsidRPr="00D773A6" w:rsidRDefault="00E24AE9">
                    <w:pPr>
                      <w:pStyle w:val="Referentiegegevens"/>
                      <w:rPr>
                        <w:lang w:val="de-DE"/>
                      </w:rPr>
                    </w:pPr>
                    <w:r w:rsidRPr="00D773A6">
                      <w:rPr>
                        <w:lang w:val="de-DE"/>
                      </w:rPr>
                      <w:t>2500 EH  Den Haag</w:t>
                    </w:r>
                  </w:p>
                  <w:p w14:paraId="6F30CAB5" w14:textId="77777777" w:rsidR="00B63E84" w:rsidRPr="00D773A6" w:rsidRDefault="00E24AE9">
                    <w:pPr>
                      <w:pStyle w:val="Referentiegegevens"/>
                      <w:rPr>
                        <w:lang w:val="de-DE"/>
                      </w:rPr>
                    </w:pPr>
                    <w:r w:rsidRPr="00D773A6">
                      <w:rPr>
                        <w:lang w:val="de-DE"/>
                      </w:rPr>
                      <w:t>www.rijksoverheid.nl/jenv</w:t>
                    </w:r>
                  </w:p>
                  <w:p w14:paraId="3DDD7D29" w14:textId="77777777" w:rsidR="00B63E84" w:rsidRPr="00D773A6" w:rsidRDefault="00B63E84">
                    <w:pPr>
                      <w:pStyle w:val="WitregelW1"/>
                      <w:rPr>
                        <w:lang w:val="de-DE"/>
                      </w:rPr>
                    </w:pPr>
                  </w:p>
                  <w:p w14:paraId="4421A551" w14:textId="77777777" w:rsidR="00B63E84" w:rsidRDefault="00B63E84">
                    <w:pPr>
                      <w:pStyle w:val="WitregelW2"/>
                    </w:pPr>
                  </w:p>
                  <w:p w14:paraId="59CFF741" w14:textId="77777777" w:rsidR="00B63E84" w:rsidRDefault="00E24AE9">
                    <w:pPr>
                      <w:pStyle w:val="Referentiegegevensbold"/>
                    </w:pPr>
                    <w:r>
                      <w:t>Datum</w:t>
                    </w:r>
                  </w:p>
                  <w:p w14:paraId="1A4D68DC" w14:textId="0209F84E" w:rsidR="00B63E84" w:rsidRDefault="00000000">
                    <w:pPr>
                      <w:pStyle w:val="Referentiegegevens"/>
                    </w:pPr>
                    <w:sdt>
                      <w:sdtPr>
                        <w:id w:val="-386731491"/>
                        <w:date w:fullDate="2026-08-18T00:00:00Z">
                          <w:dateFormat w:val="d MMMM yyyy"/>
                          <w:lid w:val="nl"/>
                          <w:storeMappedDataAs w:val="dateTime"/>
                          <w:calendar w:val="gregorian"/>
                        </w:date>
                      </w:sdtPr>
                      <w:sdtContent>
                        <w:r w:rsidR="00D773A6">
                          <w:rPr>
                            <w:lang w:val="nl"/>
                          </w:rPr>
                          <w:t>18 augustus 2026</w:t>
                        </w:r>
                      </w:sdtContent>
                    </w:sdt>
                  </w:p>
                  <w:p w14:paraId="26BC7725" w14:textId="77777777" w:rsidR="00B63E84" w:rsidRDefault="00B63E84">
                    <w:pPr>
                      <w:pStyle w:val="WitregelW1"/>
                    </w:pPr>
                  </w:p>
                  <w:p w14:paraId="27339B43" w14:textId="77777777" w:rsidR="00B63E84" w:rsidRDefault="00E24AE9">
                    <w:pPr>
                      <w:pStyle w:val="Referentiegegevensbold"/>
                    </w:pPr>
                    <w:r>
                      <w:t>Onze referentie</w:t>
                    </w:r>
                  </w:p>
                  <w:p w14:paraId="01D8247F" w14:textId="6D830208" w:rsidR="00B63E84" w:rsidRDefault="00D773A6">
                    <w:pPr>
                      <w:pStyle w:val="Referentiegegevens"/>
                    </w:pPr>
                    <w:r w:rsidRPr="00D773A6">
                      <w:t>79</w:t>
                    </w:r>
                    <w:r w:rsidR="00DF40CF">
                      <w:t>69101</w:t>
                    </w:r>
                  </w:p>
                  <w:p w14:paraId="5BFCD6BB" w14:textId="77777777" w:rsidR="00B63E84" w:rsidRDefault="00B63E84">
                    <w:pPr>
                      <w:pStyle w:val="WitregelW1"/>
                    </w:pPr>
                  </w:p>
                  <w:p w14:paraId="0DC69F6D" w14:textId="77777777" w:rsidR="00B63E84" w:rsidRDefault="00E24AE9">
                    <w:pPr>
                      <w:pStyle w:val="Referentiegegevensbold"/>
                    </w:pPr>
                    <w:r>
                      <w:t>Bijlage(n)</w:t>
                    </w:r>
                  </w:p>
                  <w:p w14:paraId="17DEDAC3" w14:textId="77777777" w:rsidR="00B63E84" w:rsidRDefault="00E24AE9">
                    <w:pPr>
                      <w:pStyle w:val="Referentiegegevens"/>
                    </w:pPr>
                    <w:r>
                      <w:t>4</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F7F2F89" wp14:editId="3D4F5B49">
              <wp:simplePos x="1007744" y="10194925"/>
              <wp:positionH relativeFrom="page">
                <wp:posOffset>1007744</wp:posOffset>
              </wp:positionH>
              <wp:positionV relativeFrom="paragraph">
                <wp:posOffset>10194925</wp:posOffset>
              </wp:positionV>
              <wp:extent cx="4787900" cy="161925"/>
              <wp:effectExtent l="0" t="0" r="0" b="0"/>
              <wp:wrapNone/>
              <wp:docPr id="7" name="63ec4069-900e-49c1-9594-e89e8bc3323b"/>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82E15D" w14:textId="77777777" w:rsidR="00E24AE9" w:rsidRDefault="00E24AE9"/>
                      </w:txbxContent>
                    </wps:txbx>
                    <wps:bodyPr vert="horz" wrap="square" lIns="0" tIns="0" rIns="0" bIns="0" anchor="t" anchorCtr="0"/>
                  </wps:wsp>
                </a:graphicData>
              </a:graphic>
            </wp:anchor>
          </w:drawing>
        </mc:Choice>
        <mc:Fallback>
          <w:pict>
            <v:shape w14:anchorId="2F7F2F89" id="63ec4069-900e-49c1-9594-e89e8bc3323b"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F82E15D" w14:textId="77777777" w:rsidR="00E24AE9" w:rsidRDefault="00E24AE9"/>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286DC20F" wp14:editId="15BA7851">
              <wp:simplePos x="5921375" y="10194925"/>
              <wp:positionH relativeFrom="page">
                <wp:posOffset>5921375</wp:posOffset>
              </wp:positionH>
              <wp:positionV relativeFrom="paragraph">
                <wp:posOffset>10194925</wp:posOffset>
              </wp:positionV>
              <wp:extent cx="1285875" cy="161290"/>
              <wp:effectExtent l="0" t="0" r="0" b="0"/>
              <wp:wrapNone/>
              <wp:docPr id="8" name="c740d299-7ad4-41df-8cf5-8679933fab32"/>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8597389" w14:textId="77777777" w:rsidR="00B63E84" w:rsidRDefault="00E24AE9">
                          <w:pPr>
                            <w:pStyle w:val="Referentiegegevens"/>
                          </w:pPr>
                          <w:r>
                            <w:t xml:space="preserve">Pagina </w:t>
                          </w:r>
                          <w:r>
                            <w:fldChar w:fldCharType="begin"/>
                          </w:r>
                          <w:r>
                            <w:instrText>PAGE</w:instrText>
                          </w:r>
                          <w:r>
                            <w:fldChar w:fldCharType="separate"/>
                          </w:r>
                          <w:r w:rsidR="00365782">
                            <w:rPr>
                              <w:noProof/>
                            </w:rPr>
                            <w:t>1</w:t>
                          </w:r>
                          <w:r>
                            <w:fldChar w:fldCharType="end"/>
                          </w:r>
                          <w:r>
                            <w:t xml:space="preserve"> van </w:t>
                          </w:r>
                          <w:r>
                            <w:fldChar w:fldCharType="begin"/>
                          </w:r>
                          <w:r>
                            <w:instrText>NUMPAGES</w:instrText>
                          </w:r>
                          <w:r>
                            <w:fldChar w:fldCharType="separate"/>
                          </w:r>
                          <w:r w:rsidR="00365782">
                            <w:rPr>
                              <w:noProof/>
                            </w:rPr>
                            <w:t>2</w:t>
                          </w:r>
                          <w:r>
                            <w:fldChar w:fldCharType="end"/>
                          </w:r>
                        </w:p>
                      </w:txbxContent>
                    </wps:txbx>
                    <wps:bodyPr vert="horz" wrap="square" lIns="0" tIns="0" rIns="0" bIns="0" anchor="t" anchorCtr="0"/>
                  </wps:wsp>
                </a:graphicData>
              </a:graphic>
            </wp:anchor>
          </w:drawing>
        </mc:Choice>
        <mc:Fallback>
          <w:pict>
            <v:shape w14:anchorId="286DC20F" id="c740d299-7ad4-41df-8cf5-8679933fab32"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8597389" w14:textId="77777777" w:rsidR="00B63E84" w:rsidRDefault="00E24AE9">
                    <w:pPr>
                      <w:pStyle w:val="Referentiegegevens"/>
                    </w:pPr>
                    <w:r>
                      <w:t xml:space="preserve">Pagina </w:t>
                    </w:r>
                    <w:r>
                      <w:fldChar w:fldCharType="begin"/>
                    </w:r>
                    <w:r>
                      <w:instrText>PAGE</w:instrText>
                    </w:r>
                    <w:r>
                      <w:fldChar w:fldCharType="separate"/>
                    </w:r>
                    <w:r w:rsidR="00365782">
                      <w:rPr>
                        <w:noProof/>
                      </w:rPr>
                      <w:t>1</w:t>
                    </w:r>
                    <w:r>
                      <w:fldChar w:fldCharType="end"/>
                    </w:r>
                    <w:r>
                      <w:t xml:space="preserve"> van </w:t>
                    </w:r>
                    <w:r>
                      <w:fldChar w:fldCharType="begin"/>
                    </w:r>
                    <w:r>
                      <w:instrText>NUMPAGES</w:instrText>
                    </w:r>
                    <w:r>
                      <w:fldChar w:fldCharType="separate"/>
                    </w:r>
                    <w:r w:rsidR="00365782">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2DA67E1D" wp14:editId="6740EB56">
              <wp:simplePos x="3545840" y="0"/>
              <wp:positionH relativeFrom="page">
                <wp:posOffset>3545840</wp:posOffset>
              </wp:positionH>
              <wp:positionV relativeFrom="paragraph">
                <wp:posOffset>0</wp:posOffset>
              </wp:positionV>
              <wp:extent cx="467995" cy="1583055"/>
              <wp:effectExtent l="0" t="0" r="0" b="0"/>
              <wp:wrapNone/>
              <wp:docPr id="9" name="b05a5d2c-b337-419c-843d-386dace804a2"/>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C29643E" w14:textId="77777777" w:rsidR="00B63E84" w:rsidRDefault="00E24AE9">
                          <w:pPr>
                            <w:spacing w:line="240" w:lineRule="auto"/>
                          </w:pPr>
                          <w:r>
                            <w:rPr>
                              <w:noProof/>
                            </w:rPr>
                            <w:drawing>
                              <wp:inline distT="0" distB="0" distL="0" distR="0" wp14:anchorId="19BFF3F7" wp14:editId="73FEFC1B">
                                <wp:extent cx="467995" cy="1583865"/>
                                <wp:effectExtent l="0" t="0" r="0" b="0"/>
                                <wp:docPr id="10" name="Logo__custom_"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__custom_"/>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DA67E1D" id="b05a5d2c-b337-419c-843d-386dace804a2"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C29643E" w14:textId="77777777" w:rsidR="00B63E84" w:rsidRDefault="00E24AE9">
                    <w:pPr>
                      <w:spacing w:line="240" w:lineRule="auto"/>
                    </w:pPr>
                    <w:r>
                      <w:rPr>
                        <w:noProof/>
                      </w:rPr>
                      <w:drawing>
                        <wp:inline distT="0" distB="0" distL="0" distR="0" wp14:anchorId="19BFF3F7" wp14:editId="73FEFC1B">
                          <wp:extent cx="467995" cy="1583865"/>
                          <wp:effectExtent l="0" t="0" r="0" b="0"/>
                          <wp:docPr id="10" name="Logo__custom_"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__custom_"/>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4091230D" wp14:editId="1AFA7747">
              <wp:simplePos x="3995420" y="0"/>
              <wp:positionH relativeFrom="page">
                <wp:posOffset>3995420</wp:posOffset>
              </wp:positionH>
              <wp:positionV relativeFrom="paragraph">
                <wp:posOffset>0</wp:posOffset>
              </wp:positionV>
              <wp:extent cx="2339975" cy="1583690"/>
              <wp:effectExtent l="0" t="0" r="0" b="0"/>
              <wp:wrapNone/>
              <wp:docPr id="11" name="11f57cea-a5ae-409b-894a-4c9ada522d7c"/>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7606506" w14:textId="77777777" w:rsidR="00B63E84" w:rsidRDefault="00E24AE9">
                          <w:pPr>
                            <w:spacing w:line="240" w:lineRule="auto"/>
                          </w:pPr>
                          <w:r>
                            <w:rPr>
                              <w:noProof/>
                            </w:rPr>
                            <w:drawing>
                              <wp:inline distT="0" distB="0" distL="0" distR="0" wp14:anchorId="181A980D" wp14:editId="4F47ECBC">
                                <wp:extent cx="2339975" cy="1582834"/>
                                <wp:effectExtent l="0" t="0" r="0" b="0"/>
                                <wp:docPr id="12" name="Logotype__custom_"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__custom_"/>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091230D" id="11f57cea-a5ae-409b-894a-4c9ada522d7c"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7606506" w14:textId="77777777" w:rsidR="00B63E84" w:rsidRDefault="00E24AE9">
                    <w:pPr>
                      <w:spacing w:line="240" w:lineRule="auto"/>
                    </w:pPr>
                    <w:r>
                      <w:rPr>
                        <w:noProof/>
                      </w:rPr>
                      <w:drawing>
                        <wp:inline distT="0" distB="0" distL="0" distR="0" wp14:anchorId="181A980D" wp14:editId="4F47ECBC">
                          <wp:extent cx="2339975" cy="1582834"/>
                          <wp:effectExtent l="0" t="0" r="0" b="0"/>
                          <wp:docPr id="12" name="Logotype__custom_"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__custom_"/>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5BE9232" wp14:editId="4AFB52DE">
              <wp:simplePos x="1007744" y="3070225"/>
              <wp:positionH relativeFrom="page">
                <wp:posOffset>1007744</wp:posOffset>
              </wp:positionH>
              <wp:positionV relativeFrom="paragraph">
                <wp:posOffset>3070225</wp:posOffset>
              </wp:positionV>
              <wp:extent cx="1238250" cy="532765"/>
              <wp:effectExtent l="0" t="0" r="0" b="0"/>
              <wp:wrapNone/>
              <wp:docPr id="13" name="ff2f0d63-c1fe-47a2-90b7-76eb0115d4f0"/>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1CFFD9A2" w14:textId="77777777" w:rsidR="00B63E84" w:rsidRDefault="00E24AE9">
                          <w:pPr>
                            <w:spacing w:line="240" w:lineRule="auto"/>
                          </w:pPr>
                          <w:r>
                            <w:rPr>
                              <w:noProof/>
                            </w:rPr>
                            <w:drawing>
                              <wp:inline distT="0" distB="0" distL="0" distR="0" wp14:anchorId="1551C31D" wp14:editId="7CB6E8B4">
                                <wp:extent cx="1238250" cy="535376"/>
                                <wp:effectExtent l="0" t="0" r="0" b="0"/>
                                <wp:docPr id="14" name="Document_name_-_note__custom_" descr="nota "/>
                                <wp:cNvGraphicFramePr/>
                                <a:graphic xmlns:a="http://schemas.openxmlformats.org/drawingml/2006/main">
                                  <a:graphicData uri="http://schemas.openxmlformats.org/drawingml/2006/picture">
                                    <pic:pic xmlns:pic="http://schemas.openxmlformats.org/drawingml/2006/picture">
                                      <pic:nvPicPr>
                                        <pic:cNvPr id="14" name="Document_name_-_note__custom_"/>
                                        <pic:cNvPicPr/>
                                      </pic:nvPicPr>
                                      <pic:blipFill>
                                        <a:blip r:embed="rId3"/>
                                        <a:stretch>
                                          <a:fillRect/>
                                        </a:stretch>
                                      </pic:blipFill>
                                      <pic:spPr bwMode="auto">
                                        <a:xfrm>
                                          <a:off x="0" y="0"/>
                                          <a:ext cx="1238250" cy="535376"/>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5BE9232" id="ff2f0d63-c1fe-47a2-90b7-76eb0115d4f0" o:spid="_x0000_s1036" type="#_x0000_t202" style="position:absolute;margin-left:79.35pt;margin-top:241.75pt;width:97.5pt;height:41.9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" filled="f" stroked="f">
              <v:textbox inset="0,0,0,0">
                <w:txbxContent>
                  <w:p w14:paraId="1CFFD9A2" w14:textId="77777777" w:rsidR="00B63E84" w:rsidRDefault="00E24AE9">
                    <w:pPr>
                      <w:spacing w:line="240" w:lineRule="auto"/>
                    </w:pPr>
                    <w:r>
                      <w:rPr>
                        <w:noProof/>
                      </w:rPr>
                      <w:drawing>
                        <wp:inline distT="0" distB="0" distL="0" distR="0" wp14:anchorId="1551C31D" wp14:editId="7CB6E8B4">
                          <wp:extent cx="1238250" cy="535376"/>
                          <wp:effectExtent l="0" t="0" r="0" b="0"/>
                          <wp:docPr id="14" name="Document_name_-_note__custom_" descr="nota "/>
                          <wp:cNvGraphicFramePr/>
                          <a:graphic xmlns:a="http://schemas.openxmlformats.org/drawingml/2006/main">
                            <a:graphicData uri="http://schemas.openxmlformats.org/drawingml/2006/picture">
                              <pic:pic xmlns:pic="http://schemas.openxmlformats.org/drawingml/2006/picture">
                                <pic:nvPicPr>
                                  <pic:cNvPr id="14" name="Document_name_-_note__custom_"/>
                                  <pic:cNvPicPr/>
                                </pic:nvPicPr>
                                <pic:blipFill>
                                  <a:blip r:embed="rId3"/>
                                  <a:stretch>
                                    <a:fillRect/>
                                  </a:stretch>
                                </pic:blipFill>
                                <pic:spPr bwMode="auto">
                                  <a:xfrm>
                                    <a:off x="0" y="0"/>
                                    <a:ext cx="1238250" cy="535376"/>
                                  </a:xfrm>
                                  <a:prstGeom prst="rect">
                                    <a:avLst/>
                                  </a:prstGeom>
                                </pic:spPr>
                              </pic:pic>
                            </a:graphicData>
                          </a:graphic>
                        </wp:inline>
                      </w:drawing>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19E046"/>
    <w:multiLevelType w:val="multilevel"/>
    <w:tmpl w:val="6545B3E2"/>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753B52B"/>
    <w:multiLevelType w:val="multilevel"/>
    <w:tmpl w:val="9ACAE27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B48D8C31"/>
    <w:multiLevelType w:val="multilevel"/>
    <w:tmpl w:val="059F9993"/>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B1B07EF"/>
    <w:multiLevelType w:val="multilevel"/>
    <w:tmpl w:val="9D606B86"/>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0037B93"/>
    <w:multiLevelType w:val="hybridMultilevel"/>
    <w:tmpl w:val="F93E6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EA6F6D"/>
    <w:multiLevelType w:val="multilevel"/>
    <w:tmpl w:val="2B04B42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628B1175"/>
    <w:multiLevelType w:val="multilevel"/>
    <w:tmpl w:val="31C1287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67EA52DE"/>
    <w:multiLevelType w:val="hybridMultilevel"/>
    <w:tmpl w:val="BBCAA7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C3141"/>
    <w:multiLevelType w:val="hybridMultilevel"/>
    <w:tmpl w:val="9A80A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8183661">
    <w:abstractNumId w:val="3"/>
  </w:num>
  <w:num w:numId="2" w16cid:durableId="1023167461">
    <w:abstractNumId w:val="0"/>
  </w:num>
  <w:num w:numId="3" w16cid:durableId="47996728">
    <w:abstractNumId w:val="6"/>
  </w:num>
  <w:num w:numId="4" w16cid:durableId="1747919127">
    <w:abstractNumId w:val="5"/>
  </w:num>
  <w:num w:numId="5" w16cid:durableId="1682047697">
    <w:abstractNumId w:val="2"/>
  </w:num>
  <w:num w:numId="6" w16cid:durableId="1185552926">
    <w:abstractNumId w:val="1"/>
  </w:num>
  <w:num w:numId="7" w16cid:durableId="1554735925">
    <w:abstractNumId w:val="4"/>
  </w:num>
  <w:num w:numId="8" w16cid:durableId="1806124413">
    <w:abstractNumId w:val="8"/>
  </w:num>
  <w:num w:numId="9" w16cid:durableId="171989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E84"/>
    <w:rsid w:val="0000204D"/>
    <w:rsid w:val="000027AE"/>
    <w:rsid w:val="0002544A"/>
    <w:rsid w:val="0003114A"/>
    <w:rsid w:val="000352F4"/>
    <w:rsid w:val="0005790F"/>
    <w:rsid w:val="000616F0"/>
    <w:rsid w:val="000F408F"/>
    <w:rsid w:val="00161E54"/>
    <w:rsid w:val="001A5616"/>
    <w:rsid w:val="00215BA9"/>
    <w:rsid w:val="002706FC"/>
    <w:rsid w:val="002732F2"/>
    <w:rsid w:val="002B2179"/>
    <w:rsid w:val="002E3160"/>
    <w:rsid w:val="00311F87"/>
    <w:rsid w:val="00365782"/>
    <w:rsid w:val="003B637F"/>
    <w:rsid w:val="003E0DAF"/>
    <w:rsid w:val="004232A1"/>
    <w:rsid w:val="00447E27"/>
    <w:rsid w:val="004878A3"/>
    <w:rsid w:val="005453D5"/>
    <w:rsid w:val="005666ED"/>
    <w:rsid w:val="00597458"/>
    <w:rsid w:val="006C662A"/>
    <w:rsid w:val="006F3149"/>
    <w:rsid w:val="008535DC"/>
    <w:rsid w:val="008F2F55"/>
    <w:rsid w:val="00AA6348"/>
    <w:rsid w:val="00AC5F8C"/>
    <w:rsid w:val="00B02665"/>
    <w:rsid w:val="00B377C1"/>
    <w:rsid w:val="00B63E84"/>
    <w:rsid w:val="00C058E3"/>
    <w:rsid w:val="00CA1E7B"/>
    <w:rsid w:val="00CA2382"/>
    <w:rsid w:val="00CE1581"/>
    <w:rsid w:val="00D66E09"/>
    <w:rsid w:val="00D773A6"/>
    <w:rsid w:val="00DC2216"/>
    <w:rsid w:val="00DF40CF"/>
    <w:rsid w:val="00E0749F"/>
    <w:rsid w:val="00E24AE9"/>
    <w:rsid w:val="00E6587D"/>
    <w:rsid w:val="00E704B2"/>
    <w:rsid w:val="00E76C6F"/>
    <w:rsid w:val="00E92661"/>
    <w:rsid w:val="00EF4896"/>
    <w:rsid w:val="00F1256B"/>
    <w:rsid w:val="00F46980"/>
    <w:rsid w:val="00FA7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A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311F87"/>
    <w:pPr>
      <w:ind w:left="720"/>
      <w:contextualSpacing/>
    </w:pPr>
  </w:style>
  <w:style w:type="paragraph" w:styleId="Koptekst">
    <w:name w:val="header"/>
    <w:basedOn w:val="Standaard"/>
    <w:link w:val="KoptekstChar"/>
    <w:uiPriority w:val="99"/>
    <w:unhideWhenUsed/>
    <w:rsid w:val="003B637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637F"/>
    <w:rPr>
      <w:rFonts w:ascii="Verdana" w:hAnsi="Verdana"/>
      <w:color w:val="000000"/>
      <w:sz w:val="18"/>
      <w:szCs w:val="18"/>
    </w:rPr>
  </w:style>
  <w:style w:type="character" w:styleId="Voetnootmarkering">
    <w:name w:val="footnote reference"/>
    <w:basedOn w:val="Standaardalinea-lettertype"/>
    <w:uiPriority w:val="99"/>
    <w:semiHidden/>
    <w:unhideWhenUsed/>
    <w:rsid w:val="003B637F"/>
    <w:rPr>
      <w:vertAlign w:val="superscript"/>
    </w:rPr>
  </w:style>
  <w:style w:type="paragraph" w:styleId="Revisie">
    <w:name w:val="Revision"/>
    <w:hidden/>
    <w:uiPriority w:val="99"/>
    <w:semiHidden/>
    <w:rsid w:val="00CA1E7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713</ap:Words>
  <ap:Characters>3924</ap:Characters>
  <ap:DocSecurity>0</ap:DocSecurity>
  <ap:Lines>32</ap:Lines>
  <ap:Paragraphs>9</ap:Paragraphs>
  <ap:ScaleCrop>false</ap:ScaleCrop>
  <ap:LinksUpToDate>false</ap:LinksUpToDate>
  <ap:CharactersWithSpaces>4628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2026-08-24T06:58:00.0000000Z</dcterms:created>
  <dcterms:modified xsi:type="dcterms:W3CDTF">2026-08-24T07:06:00.0000000Z</dcterms:modified>
  <dc:description>------------------------</dc:description>
  <dc:subject/>
  <keywords/>
  <version/>
  <category/>
</coreProperties>
</file>