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EA3C3E" w:rsidP="005668BD" w14:paraId="24D5D856" w14:textId="77777777">
      <w:pPr>
        <w:spacing w:line="276" w:lineRule="auto"/>
      </w:pPr>
      <w:r>
        <w:t xml:space="preserve">Voor vertrouwen van mensen is een menselijke overheid nodig, een overheid die rekening kan houden met de menselijke maat en menselijk contact. </w:t>
      </w:r>
    </w:p>
    <w:p w:rsidR="00EA3C3E" w:rsidP="005668BD" w14:paraId="3AD93276" w14:textId="77777777">
      <w:pPr>
        <w:spacing w:line="276" w:lineRule="auto"/>
      </w:pPr>
    </w:p>
    <w:p w:rsidRPr="00C00054" w:rsidR="00C00054" w:rsidP="005668BD" w14:paraId="39719CD4" w14:textId="77777777">
      <w:pPr>
        <w:spacing w:line="276" w:lineRule="auto"/>
      </w:pPr>
      <w:r>
        <w:t xml:space="preserve">Niet voor niets heeft uw Kamer gevraagd om geïnformeerd te worden over het wetsvoorstel dat dit bevordert. </w:t>
      </w:r>
      <w:r w:rsidRPr="00C00054">
        <w:t xml:space="preserve">In het commissiedebat Staats- en bestuursrecht van 11 december 2025 heeft de toenmalige Staatssecretaris van Justitie en Veiligheid toegezegd uw Kamer te informeren over de stand van zaken van het wetsvoorstel Wet versterking waarborgfunctie </w:t>
      </w:r>
      <w:r w:rsidRPr="00C00054">
        <w:t>Awb</w:t>
      </w:r>
      <w:r w:rsidRPr="00C00054">
        <w:t xml:space="preserve"> en de </w:t>
      </w:r>
      <w:r w:rsidR="00BA25AB">
        <w:t>uitvoerings</w:t>
      </w:r>
      <w:r w:rsidRPr="00C00054">
        <w:t xml:space="preserve">kosten van het wetsvoorstel. </w:t>
      </w:r>
    </w:p>
    <w:p w:rsidRPr="00C00054" w:rsidR="00C00054" w:rsidP="005668BD" w14:paraId="569A4130" w14:textId="77777777">
      <w:pPr>
        <w:spacing w:line="276" w:lineRule="auto"/>
      </w:pPr>
    </w:p>
    <w:p w:rsidRPr="00C00054" w:rsidR="00C00054" w:rsidP="005668BD" w14:paraId="76C3B5E9" w14:textId="77777777">
      <w:pPr>
        <w:spacing w:line="276" w:lineRule="auto"/>
      </w:pPr>
      <w:r w:rsidRPr="00C00054">
        <w:t xml:space="preserve">Mede namens de Staatssecretaris van Justitie en Veiligheid voldoe ik aan dit verzoek. Achtereenvolgens ga ik in op de aanleiding en het doel van het </w:t>
      </w:r>
      <w:r w:rsidR="00C95F19">
        <w:t xml:space="preserve">beoogde </w:t>
      </w:r>
      <w:r w:rsidRPr="00C00054">
        <w:t xml:space="preserve">wetsvoorstel, </w:t>
      </w:r>
      <w:r w:rsidR="00C95F19">
        <w:t>de voorbereiding</w:t>
      </w:r>
      <w:r w:rsidRPr="00C00054">
        <w:t xml:space="preserve"> tot nu toe, de uitkomsten van de (internet)consultatie en de uitvoeringstoetsen en de verwerking hiervan. De financiële</w:t>
      </w:r>
      <w:r w:rsidR="00C95F19">
        <w:t xml:space="preserve"> kaders</w:t>
      </w:r>
      <w:r w:rsidRPr="00C00054">
        <w:t xml:space="preserve"> en uitvoeringsgevolgen spelen een belangrijke rol en nopen tot keuzes in de </w:t>
      </w:r>
      <w:r w:rsidR="00C95F19">
        <w:t>reikwijdte</w:t>
      </w:r>
      <w:r w:rsidR="00A70C46">
        <w:t xml:space="preserve"> en vormgeving</w:t>
      </w:r>
      <w:r w:rsidR="009D291D">
        <w:t xml:space="preserve"> </w:t>
      </w:r>
      <w:r w:rsidRPr="00C00054">
        <w:t>van het wetsvoorstel</w:t>
      </w:r>
      <w:r w:rsidR="00BA25AB">
        <w:t xml:space="preserve">. </w:t>
      </w:r>
      <w:r w:rsidRPr="00C00054">
        <w:t xml:space="preserve">Afsluitend schets ik het proces en de planning voor de komende tijd. </w:t>
      </w:r>
      <w:r w:rsidRPr="00C00054">
        <w:rPr>
          <w:rStyle w:val="cf01"/>
          <w:rFonts w:ascii="Verdana" w:hAnsi="Verdana"/>
        </w:rPr>
        <w:t xml:space="preserve">Graag ben ik bereid met uw Kamer in gesprek te gaan over het voorstel. </w:t>
      </w:r>
    </w:p>
    <w:p w:rsidRPr="00C00054" w:rsidR="00C00054" w:rsidP="005668BD" w14:paraId="4D26A5ED" w14:textId="77777777">
      <w:pPr>
        <w:spacing w:line="276" w:lineRule="auto"/>
      </w:pPr>
    </w:p>
    <w:p w:rsidRPr="00C00054" w:rsidR="00C00054" w:rsidP="005668BD" w14:paraId="5EB85FB8" w14:textId="77777777">
      <w:pPr>
        <w:pStyle w:val="ListParagraph"/>
        <w:numPr>
          <w:ilvl w:val="0"/>
          <w:numId w:val="6"/>
        </w:numPr>
        <w:spacing w:after="0" w:line="276" w:lineRule="auto"/>
        <w:rPr>
          <w:szCs w:val="18"/>
          <w:u w:val="single"/>
        </w:rPr>
      </w:pPr>
      <w:r w:rsidRPr="00C00054">
        <w:rPr>
          <w:szCs w:val="18"/>
          <w:u w:val="single"/>
        </w:rPr>
        <w:t>Aanleiding en doel van het wetsvoorstel</w:t>
      </w:r>
    </w:p>
    <w:p w:rsidRPr="00C00054" w:rsidR="00C00054" w:rsidP="005668BD" w14:paraId="623D01E3" w14:textId="77777777">
      <w:pPr>
        <w:spacing w:line="276" w:lineRule="auto"/>
      </w:pPr>
      <w:r w:rsidRPr="00C00054">
        <w:t xml:space="preserve">Voor een sterke democratie is een betrouwbare en menselijke overheid onontbeerlijk. In het coalitieakkoord is opgenomen dat het kabinet het wetsvoorstel Wet versterking waarborgfunctie </w:t>
      </w:r>
      <w:r w:rsidRPr="00C00054">
        <w:t>Awb</w:t>
      </w:r>
      <w:r w:rsidRPr="00C00054">
        <w:t xml:space="preserve"> doorzet.</w:t>
      </w:r>
      <w:r>
        <w:rPr>
          <w:rStyle w:val="FootnoteReference"/>
        </w:rPr>
        <w:footnoteReference w:id="2"/>
      </w:r>
      <w:r w:rsidRPr="00C00054">
        <w:t xml:space="preserve"> Het wetsvoorstel in ontwikkeling zet in op verbetering van de dienstverlening door de overheid, het vaker hanteren van de menselijke maat en het bevorderen van laagdrempelig contact tussen overheid en burger. Het geeft overheidsorganisaties en de rechter meer ruimte om rekening te houden met de individuele situatie van mensen. </w:t>
      </w:r>
      <w:r w:rsidRPr="00C00054">
        <w:rPr>
          <w:bCs/>
        </w:rPr>
        <w:t xml:space="preserve">Het doel van het voorstel is om </w:t>
      </w:r>
      <w:r w:rsidR="00D520CB">
        <w:rPr>
          <w:bCs/>
        </w:rPr>
        <w:t xml:space="preserve">hiermee </w:t>
      </w:r>
      <w:r w:rsidRPr="00C00054">
        <w:rPr>
          <w:bCs/>
        </w:rPr>
        <w:t>vanuit het burgerperspectief bij te dragen aan het herstel van vertrouwen in de overheid.</w:t>
      </w:r>
      <w:r w:rsidRPr="00C00054">
        <w:t xml:space="preserve"> </w:t>
      </w:r>
    </w:p>
    <w:p w:rsidRPr="00C00054" w:rsidR="00C00054" w:rsidP="005668BD" w14:paraId="597E5ED2" w14:textId="77777777">
      <w:pPr>
        <w:spacing w:line="276" w:lineRule="auto"/>
      </w:pPr>
    </w:p>
    <w:p w:rsidRPr="00C00054" w:rsidR="00C00054" w:rsidP="005668BD" w14:paraId="600873B5" w14:textId="498D5966">
      <w:pPr>
        <w:spacing w:line="276" w:lineRule="auto"/>
      </w:pPr>
      <w:r w:rsidRPr="00C00054">
        <w:t>Het beoogde wetsvoorstel is mede ingegeven door de wens om de algemene beginselen van behoorlijk bestuur beter te verankeren in het overheidshandelen. Dit streven is versterkt</w:t>
      </w:r>
      <w:r w:rsidRPr="00C00054">
        <w:rPr>
          <w:bCs/>
        </w:rPr>
        <w:t xml:space="preserve"> door de in de loop der tijd aanvaarde moties die vragen om aanpassing van de Algemene wet bestuursrecht</w:t>
      </w:r>
      <w:r w:rsidR="00BD27C6">
        <w:rPr>
          <w:bCs/>
        </w:rPr>
        <w:t xml:space="preserve"> (</w:t>
      </w:r>
      <w:r w:rsidR="00BD27C6">
        <w:rPr>
          <w:bCs/>
        </w:rPr>
        <w:t>Awb</w:t>
      </w:r>
      <w:r w:rsidR="00BD27C6">
        <w:rPr>
          <w:bCs/>
        </w:rPr>
        <w:t>)</w:t>
      </w:r>
      <w:r w:rsidRPr="00C00054">
        <w:rPr>
          <w:bCs/>
        </w:rPr>
        <w:t>.</w:t>
      </w:r>
      <w:r>
        <w:rPr>
          <w:rStyle w:val="FootnoteReference"/>
          <w:bCs/>
        </w:rPr>
        <w:footnoteReference w:id="3"/>
      </w:r>
      <w:r w:rsidRPr="00C00054">
        <w:rPr>
          <w:bCs/>
        </w:rPr>
        <w:t xml:space="preserve"> </w:t>
      </w:r>
    </w:p>
    <w:p w:rsidRPr="00C00054" w:rsidR="00C00054" w:rsidP="005668BD" w14:paraId="3F4BC34A" w14:textId="77777777">
      <w:pPr>
        <w:spacing w:line="276" w:lineRule="auto"/>
        <w:rPr>
          <w:bCs/>
        </w:rPr>
      </w:pPr>
    </w:p>
    <w:p w:rsidR="00AC05EA" w:rsidP="005668BD" w14:paraId="588FD43C" w14:textId="77777777">
      <w:pPr>
        <w:spacing w:line="276" w:lineRule="auto"/>
        <w:rPr>
          <w:bCs/>
        </w:rPr>
      </w:pPr>
      <w:r w:rsidRPr="00C00054">
        <w:rPr>
          <w:bCs/>
        </w:rPr>
        <w:t xml:space="preserve">De noodzaak om het bestuursrecht responsiever te maken is nog altijd </w:t>
      </w:r>
      <w:r w:rsidR="00EA3C3E">
        <w:rPr>
          <w:bCs/>
        </w:rPr>
        <w:t>groot</w:t>
      </w:r>
      <w:r w:rsidRPr="00C00054">
        <w:rPr>
          <w:bCs/>
        </w:rPr>
        <w:t xml:space="preserve">. Een situatie waarin mensen ernstig in de knel komen door onvoldoende bescherming van de overheid en de rechtspraak kan zich opnieuw voordoen. Het is zaak de positie van de burger in de Algemene wet bestuursrecht te versterken. </w:t>
      </w:r>
    </w:p>
    <w:p w:rsidRPr="00C00054" w:rsidR="00C00054" w:rsidP="005668BD" w14:paraId="20CDE049" w14:textId="77777777">
      <w:pPr>
        <w:spacing w:line="276" w:lineRule="auto"/>
        <w:rPr>
          <w:bCs/>
        </w:rPr>
      </w:pPr>
      <w:r w:rsidRPr="00C00054">
        <w:rPr>
          <w:bCs/>
        </w:rPr>
        <w:t xml:space="preserve">De urgentie blijkt </w:t>
      </w:r>
      <w:r w:rsidR="000C00AC">
        <w:rPr>
          <w:bCs/>
        </w:rPr>
        <w:t xml:space="preserve">onder meer </w:t>
      </w:r>
      <w:r w:rsidRPr="00C00054">
        <w:rPr>
          <w:bCs/>
        </w:rPr>
        <w:t xml:space="preserve">uit </w:t>
      </w:r>
      <w:r w:rsidR="000C00AC">
        <w:rPr>
          <w:bCs/>
        </w:rPr>
        <w:t xml:space="preserve">het </w:t>
      </w:r>
      <w:r w:rsidRPr="00C00054">
        <w:rPr>
          <w:bCs/>
        </w:rPr>
        <w:t>rapport van de Staatscommissie rechtsstaat (De gebroken belofte van de rechtsstaat), waarin de noodzaak van een cultuuromslag wordt benadrukt.</w:t>
      </w:r>
      <w:r>
        <w:rPr>
          <w:rStyle w:val="FootnoteReference"/>
          <w:bCs/>
        </w:rPr>
        <w:footnoteReference w:id="4"/>
      </w:r>
      <w:r w:rsidRPr="00C00054">
        <w:rPr>
          <w:bCs/>
        </w:rPr>
        <w:t xml:space="preserve"> Herstel van vertrouwen in de overheid vergt bovendien lange tijd: wie een slechte ervaring heeft gehad met de overheid, heeft moeite dit beeld weer bij te stellen. Recent onderzoek laat bovendien zien dat wantrouwen nog generaties lang kan doorwerken.</w:t>
      </w:r>
      <w:r>
        <w:rPr>
          <w:rStyle w:val="FootnoteReference"/>
          <w:bCs/>
        </w:rPr>
        <w:footnoteReference w:id="5"/>
      </w:r>
      <w:r w:rsidRPr="00C00054">
        <w:rPr>
          <w:bCs/>
        </w:rPr>
        <w:t xml:space="preserve"> Voorkomen moet worden dat zoiets nog eens voorkomt.</w:t>
      </w:r>
    </w:p>
    <w:p w:rsidRPr="00C00054" w:rsidR="00C00054" w:rsidP="005668BD" w14:paraId="152205DF" w14:textId="77777777">
      <w:pPr>
        <w:spacing w:line="276" w:lineRule="auto"/>
      </w:pPr>
    </w:p>
    <w:p w:rsidRPr="00C00054" w:rsidR="00C00054" w:rsidP="005668BD" w14:paraId="5547FC13" w14:textId="77777777">
      <w:pPr>
        <w:pStyle w:val="ListParagraph"/>
        <w:numPr>
          <w:ilvl w:val="0"/>
          <w:numId w:val="6"/>
        </w:numPr>
        <w:spacing w:after="0" w:line="276" w:lineRule="auto"/>
        <w:rPr>
          <w:szCs w:val="18"/>
          <w:u w:val="single"/>
        </w:rPr>
      </w:pPr>
      <w:r w:rsidRPr="00C00054">
        <w:rPr>
          <w:szCs w:val="18"/>
          <w:u w:val="single"/>
        </w:rPr>
        <w:t xml:space="preserve">Uitkomsten (internet)consultatie en uitvoeringstoetsen </w:t>
      </w:r>
    </w:p>
    <w:p w:rsidRPr="00C00054" w:rsidR="00C00054" w:rsidP="005668BD" w14:paraId="459E4A5B" w14:textId="77777777">
      <w:pPr>
        <w:spacing w:line="276" w:lineRule="auto"/>
        <w:rPr>
          <w:rFonts w:cstheme="minorHAnsi"/>
          <w:bCs/>
        </w:rPr>
      </w:pPr>
      <w:r w:rsidRPr="00C00054">
        <w:rPr>
          <w:rFonts w:eastAsia="Times New Roman" w:cs="Calibri"/>
        </w:rPr>
        <w:t xml:space="preserve">Het wetsvoorstel is </w:t>
      </w:r>
      <w:r w:rsidRPr="00C00054">
        <w:t>voorbereid in een interdepartementaal netwerk</w:t>
      </w:r>
      <w:r>
        <w:rPr>
          <w:rStyle w:val="FootnoteReference"/>
        </w:rPr>
        <w:footnoteReference w:id="6"/>
      </w:r>
      <w:r w:rsidRPr="00C00054">
        <w:t xml:space="preserve"> en is in 2024 in (internet)consultatie geweest, waarbij ook 60 uitvoeringstoetsen zijn uitgevoerd. In 2025 zijn gesprekken gevoerd met </w:t>
      </w:r>
      <w:r w:rsidRPr="00C00054">
        <w:rPr>
          <w:rFonts w:cstheme="minorHAnsi"/>
          <w:bCs/>
        </w:rPr>
        <w:t>enkele grote publieke dienstverleners, de VNG en de rechtspraak.</w:t>
      </w:r>
      <w:r>
        <w:rPr>
          <w:rStyle w:val="FootnoteReference"/>
          <w:rFonts w:cstheme="minorHAnsi"/>
          <w:bCs/>
        </w:rPr>
        <w:footnoteReference w:id="7"/>
      </w:r>
      <w:r w:rsidRPr="00C00054">
        <w:rPr>
          <w:rFonts w:cstheme="minorHAnsi"/>
          <w:bCs/>
        </w:rPr>
        <w:t xml:space="preserve"> Doel daarvan </w:t>
      </w:r>
      <w:r w:rsidRPr="00C00054">
        <w:t>was een goed onderling begrip van de voorstellen en de uitvoerbaarheid daarvan</w:t>
      </w:r>
      <w:r w:rsidR="0054215D">
        <w:t xml:space="preserve"> </w:t>
      </w:r>
      <w:r w:rsidRPr="00C00054">
        <w:t xml:space="preserve">en meer inzicht in de financiële gevolgen van het wetsvoorstel. </w:t>
      </w:r>
      <w:r w:rsidRPr="00C00054">
        <w:rPr>
          <w:rStyle w:val="bumpedfont17"/>
          <w:rFonts w:eastAsia="Times New Roman"/>
        </w:rPr>
        <w:t xml:space="preserve">In 2025 werd </w:t>
      </w:r>
      <w:r w:rsidR="0054215D">
        <w:rPr>
          <w:rStyle w:val="bumpedfont17"/>
          <w:rFonts w:eastAsia="Times New Roman"/>
        </w:rPr>
        <w:t xml:space="preserve">tevens </w:t>
      </w:r>
      <w:r w:rsidRPr="00C00054">
        <w:t>een congres georganiseerd over de implementatie van het wetsvoorstel voor professionals uit de uitvoeringspraktijk en vond een trialoog plaats over het wetsvoorstel tussen enkele Kamerleden, beleidsambtenaren en ambtenaren uit de uitvoering.</w:t>
      </w:r>
      <w:r>
        <w:rPr>
          <w:rStyle w:val="FootnoteReference"/>
        </w:rPr>
        <w:footnoteReference w:id="8"/>
      </w:r>
    </w:p>
    <w:p w:rsidRPr="00C00054" w:rsidR="00C00054" w:rsidP="005668BD" w14:paraId="64975CA6" w14:textId="77777777">
      <w:pPr>
        <w:spacing w:line="276" w:lineRule="auto"/>
        <w:rPr>
          <w:rFonts w:eastAsia="Times New Roman" w:cs="Calibri"/>
        </w:rPr>
      </w:pPr>
    </w:p>
    <w:p w:rsidRPr="00C00054" w:rsidR="00C00054" w:rsidP="005668BD" w14:paraId="1DCA331C" w14:textId="77777777">
      <w:pPr>
        <w:spacing w:line="276" w:lineRule="auto"/>
        <w:rPr>
          <w:rFonts w:eastAsia="Times New Roman" w:cs="Calibri"/>
        </w:rPr>
      </w:pPr>
      <w:r w:rsidRPr="00C00054">
        <w:rPr>
          <w:rFonts w:eastAsia="Times New Roman" w:cs="Calibri"/>
        </w:rPr>
        <w:t xml:space="preserve">We zien in de (internet)consultatiereacties en adviezen positieve reacties op het voorstel. De doelstellingen worden over het algemeen omarmd met soms de aanmoediging om nog verder te gaan in het bevorderen van de menselijke maat. </w:t>
      </w:r>
    </w:p>
    <w:p w:rsidRPr="00C00054" w:rsidR="00C00054" w:rsidP="005668BD" w14:paraId="711774BD" w14:textId="77777777">
      <w:pPr>
        <w:spacing w:line="276" w:lineRule="auto"/>
        <w:rPr>
          <w:rFonts w:eastAsia="Times New Roman" w:cs="Calibri"/>
        </w:rPr>
      </w:pPr>
    </w:p>
    <w:p w:rsidRPr="00C00054" w:rsidR="00C00054" w:rsidP="005668BD" w14:paraId="2BE66003" w14:textId="77777777">
      <w:pPr>
        <w:spacing w:line="276" w:lineRule="auto"/>
        <w:rPr>
          <w:rFonts w:eastAsia="Times New Roman" w:cs="Calibri"/>
        </w:rPr>
      </w:pPr>
      <w:r w:rsidRPr="00C00054">
        <w:rPr>
          <w:rFonts w:eastAsia="Times New Roman" w:cs="Calibri"/>
        </w:rPr>
        <w:t xml:space="preserve">Het algemene beeld dat uit de uitvoeringstoetsen naar voren komt is evenwel (ook) dat veel partijen uitvoeringsconsequenties en extra </w:t>
      </w:r>
      <w:r w:rsidR="00EA3C3E">
        <w:rPr>
          <w:rFonts w:eastAsia="Times New Roman" w:cs="Calibri"/>
        </w:rPr>
        <w:t>uitvoerings</w:t>
      </w:r>
      <w:r w:rsidRPr="00C00054">
        <w:rPr>
          <w:rFonts w:eastAsia="Times New Roman" w:cs="Calibri"/>
        </w:rPr>
        <w:t xml:space="preserve">kosten verwachten. </w:t>
      </w:r>
      <w:r w:rsidRPr="00C00054">
        <w:t xml:space="preserve">In de uitvoeringstoetsen worden globaal genomen codificatie van jurisprudentie en minder ingrijpende onderdelen van het wetsvoorstel meestal uitvoerbaar geacht (zoals </w:t>
      </w:r>
      <w:r w:rsidRPr="00C00054">
        <w:rPr>
          <w:rStyle w:val="bumpedfont17"/>
          <w:rFonts w:eastAsia="Times New Roman"/>
        </w:rPr>
        <w:t>verruiming verschoonbaarheid van termijnoverschrijding in bezwaar en beroep</w:t>
      </w:r>
      <w:r w:rsidRPr="00C00054">
        <w:t xml:space="preserve">, aanpassing geldschuldentitel, uitbreiding motiveringsplicht, codificatie jurisprudentie evenredigheidsbeginsel bij beleidsregels en boetes, </w:t>
      </w:r>
      <w:r w:rsidRPr="00C00054">
        <w:t>burgerlus</w:t>
      </w:r>
      <w:r w:rsidRPr="00C00054">
        <w:t xml:space="preserve">). </w:t>
      </w:r>
      <w:r w:rsidRPr="00EA3C3E">
        <w:t xml:space="preserve">Uit de reacties blijken vooral bezwaren tegen of zorgen bij meer modificerende/nieuwe elementen, zoals verplicht contact met de bezwaarmaker, uitbreiding van de </w:t>
      </w:r>
      <w:r w:rsidRPr="00EA3C3E">
        <w:t>hoorplicht</w:t>
      </w:r>
      <w:r w:rsidRPr="00EA3C3E">
        <w:t xml:space="preserve"> in de primaire fase, herstel van kennelijke fouten en verruiming van de evenredigheidstoets bij formele wetten. </w:t>
      </w:r>
      <w:r w:rsidR="00475D05">
        <w:t xml:space="preserve">Voor deze elementen worden ook de meeste </w:t>
      </w:r>
      <w:r w:rsidR="00BA25AB">
        <w:t>uitvoerings</w:t>
      </w:r>
      <w:r w:rsidR="00475D05">
        <w:t>kosten</w:t>
      </w:r>
      <w:r w:rsidR="00255C62">
        <w:t xml:space="preserve"> en </w:t>
      </w:r>
      <w:r w:rsidR="00EA3C3E">
        <w:t xml:space="preserve">de grootste </w:t>
      </w:r>
      <w:r w:rsidR="00255C62">
        <w:t>uitbreiding van fte</w:t>
      </w:r>
      <w:r w:rsidR="00475D05">
        <w:t xml:space="preserve"> geraamd.</w:t>
      </w:r>
      <w:r w:rsidR="001E508A">
        <w:t xml:space="preserve"> </w:t>
      </w:r>
      <w:r w:rsidRPr="00C00054">
        <w:rPr>
          <w:rFonts w:eastAsia="Times New Roman"/>
        </w:rPr>
        <w:t xml:space="preserve">Een aantal partijen heeft aangegeven </w:t>
      </w:r>
      <w:r w:rsidR="001B0671">
        <w:rPr>
          <w:rFonts w:eastAsia="Times New Roman"/>
        </w:rPr>
        <w:t xml:space="preserve">dat </w:t>
      </w:r>
      <w:r w:rsidRPr="00C00054">
        <w:rPr>
          <w:rFonts w:eastAsia="Times New Roman"/>
        </w:rPr>
        <w:t xml:space="preserve">het wetsvoorstel </w:t>
      </w:r>
      <w:r w:rsidR="00255C62">
        <w:rPr>
          <w:rFonts w:eastAsia="Times New Roman"/>
        </w:rPr>
        <w:t xml:space="preserve">in de voorgelegde vorm </w:t>
      </w:r>
      <w:r w:rsidRPr="00C00054">
        <w:rPr>
          <w:rFonts w:eastAsia="Times New Roman"/>
        </w:rPr>
        <w:t>niet uitvoerbaar</w:t>
      </w:r>
      <w:r w:rsidR="00715EC5">
        <w:rPr>
          <w:rFonts w:eastAsia="Times New Roman"/>
        </w:rPr>
        <w:t xml:space="preserve"> is.</w:t>
      </w:r>
      <w:r w:rsidRPr="00C00054">
        <w:rPr>
          <w:rFonts w:eastAsia="Times New Roman"/>
        </w:rPr>
        <w:t xml:space="preserve"> </w:t>
      </w:r>
      <w:r w:rsidR="00161368">
        <w:rPr>
          <w:rFonts w:eastAsia="Times New Roman"/>
        </w:rPr>
        <w:t>De uitvoeringsorganisaties geven aan dat</w:t>
      </w:r>
      <w:r w:rsidRPr="00C00054">
        <w:rPr>
          <w:rFonts w:eastAsia="Times New Roman"/>
        </w:rPr>
        <w:t xml:space="preserve"> </w:t>
      </w:r>
      <w:r w:rsidR="00161368">
        <w:rPr>
          <w:rFonts w:eastAsia="Times New Roman"/>
        </w:rPr>
        <w:t>het wetsvoorstel</w:t>
      </w:r>
      <w:r w:rsidRPr="00C00054">
        <w:rPr>
          <w:rFonts w:eastAsia="Times New Roman"/>
        </w:rPr>
        <w:t xml:space="preserve"> uitvoerbaar</w:t>
      </w:r>
      <w:r w:rsidR="00161368">
        <w:rPr>
          <w:rFonts w:eastAsia="Times New Roman"/>
        </w:rPr>
        <w:t xml:space="preserve"> is</w:t>
      </w:r>
      <w:r w:rsidRPr="00C00054">
        <w:rPr>
          <w:rFonts w:eastAsia="Times New Roman"/>
        </w:rPr>
        <w:t xml:space="preserve"> mits aan bepaalde voorwaarden wordt voldaan, zoals: (in alle gevallen) financiële dekking van de in kaart gebrachte incidentele en structurele kosten en/of aanpassingen in het wetsvoorstel, dan wel uitzonderingsposities in sectorale wetten en regels. </w:t>
      </w:r>
      <w:r w:rsidR="00EA3C3E">
        <w:rPr>
          <w:rFonts w:eastAsia="Times New Roman"/>
        </w:rPr>
        <w:t>Gevreesd wordt</w:t>
      </w:r>
      <w:r w:rsidR="00161368">
        <w:rPr>
          <w:rFonts w:eastAsia="Times New Roman"/>
        </w:rPr>
        <w:t xml:space="preserve"> voor</w:t>
      </w:r>
      <w:r w:rsidRPr="00C00054">
        <w:rPr>
          <w:rFonts w:eastAsia="Times New Roman"/>
        </w:rPr>
        <w:t xml:space="preserve"> langere doorlooptijden en vertraging in processen. Ten slotte wordt in vrijwel alle uitvoeringstoetsen gewezen op het belang ook sectorale wetten en regels te vereenvoudigen.</w:t>
      </w:r>
    </w:p>
    <w:p w:rsidRPr="00C00054" w:rsidR="00C00054" w:rsidP="005668BD" w14:paraId="3FFE158D" w14:textId="77777777">
      <w:pPr>
        <w:spacing w:line="276" w:lineRule="auto"/>
        <w:rPr>
          <w:rFonts w:eastAsia="Times New Roman"/>
        </w:rPr>
      </w:pPr>
    </w:p>
    <w:p w:rsidRPr="00C00054" w:rsidR="00C00054" w:rsidP="005668BD" w14:paraId="118DA07C" w14:textId="77777777">
      <w:pPr>
        <w:spacing w:line="276" w:lineRule="auto"/>
        <w:rPr>
          <w:rFonts w:eastAsia="Times New Roman"/>
        </w:rPr>
      </w:pPr>
      <w:r w:rsidRPr="00C00054">
        <w:rPr>
          <w:rFonts w:eastAsia="Times New Roman"/>
        </w:rPr>
        <w:t>Door publieke dienstverleners wordt regelmatig opgemerkt dat onderdelen van het wetsvoorstel (zoals persoonlijk contact en maatwerk) feitelijk al worden</w:t>
      </w:r>
      <w:r w:rsidR="00AC05EA">
        <w:rPr>
          <w:rFonts w:eastAsia="Times New Roman"/>
        </w:rPr>
        <w:t xml:space="preserve"> </w:t>
      </w:r>
      <w:r w:rsidRPr="00C00054">
        <w:rPr>
          <w:rFonts w:eastAsia="Times New Roman"/>
        </w:rPr>
        <w:t>uitgevoerd, maar dat het neerleggen hiervan in de wet problematisch zou zijn</w:t>
      </w:r>
      <w:r w:rsidR="001122DC">
        <w:rPr>
          <w:rFonts w:eastAsia="Times New Roman"/>
        </w:rPr>
        <w:t xml:space="preserve"> omdat de betreffende onderdelen dan niet meer situationeel toegepast kunnen worden</w:t>
      </w:r>
      <w:r w:rsidRPr="00C00054">
        <w:rPr>
          <w:rFonts w:eastAsia="Times New Roman"/>
        </w:rPr>
        <w:t>. Ook is dikwijls aangegeven dat het wetsvoorstel open normen bevat, wat uitvoeringsbeleid vergt en het risico met zich meebrengt van jurisprudentie met ongewisse uitkomsten. Een daaraan tegengesteld bezwaar dat naar voren komt is dat het vastleggen van bepaalde aanspraken in het wetsvoorstel zal leiden tot juridificering en dat het wetsvoorstel op onderdelen weinig toegevoegde waarde heeft. Dit wordt volgens de reacties met name veroorzaakt door het ‘</w:t>
      </w:r>
      <w:r w:rsidRPr="00C00054">
        <w:rPr>
          <w:rFonts w:eastAsia="Times New Roman"/>
        </w:rPr>
        <w:t>one</w:t>
      </w:r>
      <w:r w:rsidRPr="00C00054">
        <w:rPr>
          <w:rFonts w:eastAsia="Times New Roman"/>
        </w:rPr>
        <w:t xml:space="preserve"> </w:t>
      </w:r>
      <w:r w:rsidRPr="00C00054">
        <w:rPr>
          <w:rFonts w:eastAsia="Times New Roman"/>
        </w:rPr>
        <w:t>size</w:t>
      </w:r>
      <w:r w:rsidRPr="00C00054">
        <w:rPr>
          <w:rFonts w:eastAsia="Times New Roman"/>
        </w:rPr>
        <w:t xml:space="preserve"> fits </w:t>
      </w:r>
      <w:r w:rsidRPr="00C00054">
        <w:rPr>
          <w:rFonts w:eastAsia="Times New Roman"/>
        </w:rPr>
        <w:t>all</w:t>
      </w:r>
      <w:r w:rsidRPr="00C00054">
        <w:rPr>
          <w:rFonts w:eastAsia="Times New Roman"/>
        </w:rPr>
        <w:t xml:space="preserve">’-karakter van het wetsvoorstel, terwijl er grote variëteit is in soorten overheidsinstanties en in soorten doelgroepen en domeinen. </w:t>
      </w:r>
      <w:r w:rsidRPr="00EA3C3E" w:rsidR="00EA3C3E">
        <w:rPr>
          <w:rFonts w:eastAsia="Times New Roman"/>
        </w:rPr>
        <w:t>In de gespreksronde kwam naar voren dat het niet altijd mogelijk bleek te zijn om te bepalen of kosten te relateren zijn aan het wetsvoorstel of aan andere ontwikkelingen in de praktijk.</w:t>
      </w:r>
    </w:p>
    <w:p w:rsidRPr="00C00054" w:rsidR="00C00054" w:rsidP="005668BD" w14:paraId="01527BDC" w14:textId="77777777">
      <w:pPr>
        <w:spacing w:line="276" w:lineRule="auto"/>
      </w:pPr>
    </w:p>
    <w:p w:rsidRPr="00C00054" w:rsidR="00C00054" w:rsidP="005668BD" w14:paraId="54664CFC" w14:textId="77777777">
      <w:pPr>
        <w:pStyle w:val="ListParagraph"/>
        <w:numPr>
          <w:ilvl w:val="0"/>
          <w:numId w:val="6"/>
        </w:numPr>
        <w:autoSpaceDN w:val="0"/>
        <w:spacing w:after="0" w:line="276" w:lineRule="auto"/>
        <w:rPr>
          <w:szCs w:val="18"/>
          <w:u w:val="single"/>
        </w:rPr>
      </w:pPr>
      <w:r w:rsidRPr="00C00054">
        <w:rPr>
          <w:szCs w:val="18"/>
          <w:u w:val="single"/>
        </w:rPr>
        <w:t>Verwerking reacties op het wetsvoorstel</w:t>
      </w:r>
    </w:p>
    <w:p w:rsidRPr="00C00054" w:rsidR="00C00054" w:rsidP="005668BD" w14:paraId="73A443E0" w14:textId="77777777">
      <w:pPr>
        <w:spacing w:line="276" w:lineRule="auto"/>
        <w:rPr>
          <w:rStyle w:val="bumpedfont17"/>
          <w:rFonts w:eastAsia="Times New Roman"/>
        </w:rPr>
      </w:pPr>
      <w:r w:rsidRPr="00C00054">
        <w:rPr>
          <w:rStyle w:val="bumpedfont17"/>
          <w:rFonts w:eastAsia="Times New Roman"/>
        </w:rPr>
        <w:t xml:space="preserve">Vanuit het coalitieakkoord is </w:t>
      </w:r>
      <w:r w:rsidR="00255C62">
        <w:rPr>
          <w:rStyle w:val="bumpedfont17"/>
          <w:rFonts w:eastAsia="Times New Roman"/>
        </w:rPr>
        <w:t xml:space="preserve">ter dekking van de uitvoeringskosten van het wetsvoorstel </w:t>
      </w:r>
      <w:r w:rsidRPr="00C00054">
        <w:rPr>
          <w:rStyle w:val="bumpedfont17"/>
          <w:rFonts w:eastAsia="Times New Roman"/>
        </w:rPr>
        <w:t xml:space="preserve">structureel 10 miljoen euro gereserveerd op de Aanvullende Post van het </w:t>
      </w:r>
      <w:r w:rsidR="001B0671">
        <w:rPr>
          <w:rStyle w:val="bumpedfont17"/>
          <w:rFonts w:eastAsia="Times New Roman"/>
        </w:rPr>
        <w:t>M</w:t>
      </w:r>
      <w:r w:rsidRPr="00C00054">
        <w:rPr>
          <w:rStyle w:val="bumpedfont17"/>
          <w:rFonts w:eastAsia="Times New Roman"/>
        </w:rPr>
        <w:t xml:space="preserve">inisterie van Financiën </w:t>
      </w:r>
      <w:r w:rsidR="00255C62">
        <w:rPr>
          <w:rStyle w:val="bumpedfont17"/>
          <w:rFonts w:eastAsia="Times New Roman"/>
        </w:rPr>
        <w:t>(</w:t>
      </w:r>
      <w:r w:rsidRPr="00C00054">
        <w:rPr>
          <w:rStyle w:val="bumpedfont17"/>
          <w:rFonts w:eastAsia="Times New Roman"/>
        </w:rPr>
        <w:t>uit de post rechtsstaat per 2030</w:t>
      </w:r>
      <w:r w:rsidR="00255C62">
        <w:rPr>
          <w:rStyle w:val="bumpedfont17"/>
          <w:rFonts w:eastAsia="Times New Roman"/>
        </w:rPr>
        <w:t>)</w:t>
      </w:r>
      <w:r w:rsidRPr="00C00054">
        <w:rPr>
          <w:rStyle w:val="bumpedfont17"/>
          <w:rFonts w:eastAsia="Times New Roman"/>
        </w:rPr>
        <w:t xml:space="preserve">. </w:t>
      </w:r>
      <w:r w:rsidRPr="009D291D">
        <w:rPr>
          <w:rStyle w:val="bumpedfont17"/>
          <w:rFonts w:eastAsia="Times New Roman"/>
        </w:rPr>
        <w:t xml:space="preserve">De </w:t>
      </w:r>
      <w:r w:rsidR="00AC05EA">
        <w:rPr>
          <w:rStyle w:val="bumpedfont17"/>
          <w:rFonts w:eastAsia="Times New Roman"/>
        </w:rPr>
        <w:t>u</w:t>
      </w:r>
      <w:r w:rsidRPr="009D291D">
        <w:rPr>
          <w:rStyle w:val="bumpedfont17"/>
          <w:rFonts w:eastAsia="Times New Roman"/>
        </w:rPr>
        <w:t xml:space="preserve">itvoeringstoetsen en adviezen uit de consultatie geven </w:t>
      </w:r>
      <w:r w:rsidR="00EA3C3E">
        <w:rPr>
          <w:rStyle w:val="bumpedfont17"/>
          <w:rFonts w:eastAsia="Times New Roman"/>
        </w:rPr>
        <w:t>eveneens</w:t>
      </w:r>
      <w:r w:rsidRPr="009D291D" w:rsidR="00D00639">
        <w:rPr>
          <w:rStyle w:val="bumpedfont17"/>
          <w:rFonts w:eastAsia="Times New Roman"/>
        </w:rPr>
        <w:t xml:space="preserve"> </w:t>
      </w:r>
      <w:r w:rsidRPr="009D291D">
        <w:rPr>
          <w:rStyle w:val="bumpedfont17"/>
          <w:rFonts w:eastAsia="Times New Roman"/>
        </w:rPr>
        <w:t>aanleiding het wetsvoorstel op belangrijke onderdelen te herzien en om scherpe keuzes te maken en bepaalde onderdelen hiervan niet door te voeren. Het wetsvoorstel zal zodoende meer rekening houden met wat de organisaties in de uitvoering kunnen realiseren</w:t>
      </w:r>
      <w:r w:rsidRPr="009D291D" w:rsidR="00D00639">
        <w:rPr>
          <w:rStyle w:val="bumpedfont17"/>
          <w:rFonts w:eastAsia="Times New Roman"/>
        </w:rPr>
        <w:t xml:space="preserve">, gegeven </w:t>
      </w:r>
      <w:r w:rsidR="00EA3C3E">
        <w:rPr>
          <w:rStyle w:val="bumpedfont17"/>
          <w:rFonts w:eastAsia="Times New Roman"/>
        </w:rPr>
        <w:t>de</w:t>
      </w:r>
      <w:r w:rsidRPr="009D291D" w:rsidR="00D00639">
        <w:rPr>
          <w:rStyle w:val="bumpedfont17"/>
          <w:rFonts w:eastAsia="Times New Roman"/>
        </w:rPr>
        <w:t xml:space="preserve"> financiële kader</w:t>
      </w:r>
      <w:r w:rsidR="00EA3C3E">
        <w:rPr>
          <w:rStyle w:val="bumpedfont17"/>
          <w:rFonts w:eastAsia="Times New Roman"/>
        </w:rPr>
        <w:t>s als hierboven vermeld</w:t>
      </w:r>
      <w:r w:rsidR="009D291D">
        <w:rPr>
          <w:rStyle w:val="bumpedfont17"/>
          <w:rFonts w:eastAsia="Times New Roman"/>
        </w:rPr>
        <w:t>.</w:t>
      </w:r>
    </w:p>
    <w:p w:rsidRPr="00C00054" w:rsidR="00C00054" w:rsidP="005668BD" w14:paraId="7FCCD5FE" w14:textId="77777777">
      <w:pPr>
        <w:spacing w:line="276" w:lineRule="auto"/>
        <w:rPr>
          <w:rStyle w:val="bumpedfont17"/>
          <w:rFonts w:eastAsia="Times New Roman"/>
        </w:rPr>
      </w:pPr>
    </w:p>
    <w:p w:rsidRPr="00C00054" w:rsidR="00C00054" w:rsidP="005668BD" w14:paraId="703A6795" w14:textId="77777777">
      <w:pPr>
        <w:spacing w:line="276" w:lineRule="auto"/>
      </w:pPr>
      <w:r w:rsidRPr="00C00054">
        <w:rPr>
          <w:rStyle w:val="bumpedfont17"/>
          <w:rFonts w:eastAsia="Times New Roman"/>
        </w:rPr>
        <w:t xml:space="preserve">De </w:t>
      </w:r>
      <w:r w:rsidRPr="00C00054">
        <w:rPr>
          <w:rStyle w:val="bumpedfont17"/>
          <w:rFonts w:eastAsia="Times New Roman"/>
        </w:rPr>
        <w:t>Awb</w:t>
      </w:r>
      <w:r w:rsidRPr="00C00054">
        <w:rPr>
          <w:rStyle w:val="bumpedfont17"/>
          <w:rFonts w:eastAsia="Times New Roman"/>
        </w:rPr>
        <w:t xml:space="preserve"> is van toepassing op vrijwel alle overheidsbesluiten en andere handelingen richting burgers en bedrijven. Een aanpassing van deze generieke wet heeft dus per definitie grote gevolgen. Van groot belang is te komen tot een uitvoerbaar wetsvoorstel dat daadwerkelijk resulteert in een meer responsieve overheid.</w:t>
      </w:r>
      <w:r w:rsidRPr="00C00054">
        <w:t xml:space="preserve"> Verder zijn voldoende draagvlak</w:t>
      </w:r>
      <w:r w:rsidR="00270539">
        <w:t>,</w:t>
      </w:r>
      <w:r w:rsidRPr="00C00054">
        <w:t xml:space="preserve"> financiële </w:t>
      </w:r>
      <w:r w:rsidR="00334DC7">
        <w:t xml:space="preserve">inpasbaarheid binnen de reservering van 10 miljoen euro </w:t>
      </w:r>
      <w:r w:rsidR="00270539">
        <w:t>en geen exponenti</w:t>
      </w:r>
      <w:r w:rsidR="0078001D">
        <w:t>ë</w:t>
      </w:r>
      <w:r w:rsidR="00270539">
        <w:t xml:space="preserve">le groei van personeel bij de uitvoeringsorganisaties </w:t>
      </w:r>
      <w:r w:rsidRPr="00C00054">
        <w:t>randvoorwaardelijk</w:t>
      </w:r>
      <w:r w:rsidRPr="00C00054">
        <w:rPr>
          <w:bCs/>
        </w:rPr>
        <w:t xml:space="preserve"> o</w:t>
      </w:r>
      <w:r w:rsidRPr="00C00054">
        <w:t xml:space="preserve">m het wetsvoorstel aan te kunnen bieden aan de ministerraad i.v.m. het vragen van advies aan de Raad van State. </w:t>
      </w:r>
    </w:p>
    <w:p w:rsidRPr="00C00054" w:rsidR="00C00054" w:rsidP="005668BD" w14:paraId="0BA4B824" w14:textId="77777777">
      <w:pPr>
        <w:spacing w:line="276" w:lineRule="auto"/>
      </w:pPr>
    </w:p>
    <w:p w:rsidRPr="00C00054" w:rsidR="00C00054" w:rsidP="005668BD" w14:paraId="4938FE0A" w14:textId="77777777">
      <w:pPr>
        <w:spacing w:line="276" w:lineRule="auto"/>
      </w:pPr>
      <w:r w:rsidRPr="00C00054">
        <w:rPr>
          <w:bCs/>
        </w:rPr>
        <w:t>Op basis van de in 2024 ontvangen ramingen in de uitvoeringstoetsen word</w:t>
      </w:r>
      <w:r w:rsidR="00EA3C3E">
        <w:rPr>
          <w:bCs/>
        </w:rPr>
        <w:t>en</w:t>
      </w:r>
      <w:r w:rsidRPr="00C00054">
        <w:rPr>
          <w:bCs/>
        </w:rPr>
        <w:t xml:space="preserve"> door de uitvoeringsorganisaties de uitvoeringskosten van het wetsvoorstel</w:t>
      </w:r>
      <w:r w:rsidR="003A213F">
        <w:rPr>
          <w:bCs/>
        </w:rPr>
        <w:t>,</w:t>
      </w:r>
      <w:r w:rsidRPr="00C00054">
        <w:rPr>
          <w:bCs/>
        </w:rPr>
        <w:t xml:space="preserve"> </w:t>
      </w:r>
      <w:r w:rsidR="00D00639">
        <w:rPr>
          <w:bCs/>
        </w:rPr>
        <w:t xml:space="preserve">zoals dat in </w:t>
      </w:r>
      <w:r w:rsidR="00250D1E">
        <w:rPr>
          <w:bCs/>
        </w:rPr>
        <w:t>(internet)</w:t>
      </w:r>
      <w:r w:rsidR="00D00639">
        <w:rPr>
          <w:bCs/>
        </w:rPr>
        <w:t xml:space="preserve">consultatie is gegeven, </w:t>
      </w:r>
      <w:r w:rsidRPr="00C00054">
        <w:rPr>
          <w:bCs/>
        </w:rPr>
        <w:t>overheidsbreed</w:t>
      </w:r>
      <w:r w:rsidRPr="00C00054">
        <w:rPr>
          <w:bCs/>
        </w:rPr>
        <w:t xml:space="preserve"> jaarlijks</w:t>
      </w:r>
      <w:r w:rsidR="00270539">
        <w:rPr>
          <w:bCs/>
        </w:rPr>
        <w:t xml:space="preserve"> op</w:t>
      </w:r>
      <w:r w:rsidRPr="00C00054">
        <w:rPr>
          <w:bCs/>
        </w:rPr>
        <w:t xml:space="preserve"> tenminste 300 miljoen euro geraamd.</w:t>
      </w:r>
      <w:r w:rsidR="00270539">
        <w:rPr>
          <w:bCs/>
        </w:rPr>
        <w:t xml:space="preserve"> </w:t>
      </w:r>
      <w:r w:rsidR="003A213F">
        <w:rPr>
          <w:bCs/>
        </w:rPr>
        <w:t xml:space="preserve">Dit is </w:t>
      </w:r>
      <w:r w:rsidR="00270539">
        <w:rPr>
          <w:bCs/>
        </w:rPr>
        <w:t>niet inpasbaar binnen de financiële kaders.</w:t>
      </w:r>
      <w:r w:rsidRPr="00C00054">
        <w:rPr>
          <w:bCs/>
        </w:rPr>
        <w:t xml:space="preserve"> </w:t>
      </w:r>
    </w:p>
    <w:p w:rsidRPr="00C00054" w:rsidR="00C00054" w:rsidP="005668BD" w14:paraId="2A76B1FB" w14:textId="77777777">
      <w:pPr>
        <w:spacing w:line="276" w:lineRule="auto"/>
        <w:rPr>
          <w:rFonts w:eastAsia="Times New Roman"/>
        </w:rPr>
      </w:pPr>
    </w:p>
    <w:p w:rsidRPr="00C00054" w:rsidR="00C00054" w:rsidP="005668BD" w14:paraId="2696B6B0" w14:textId="77777777">
      <w:pPr>
        <w:spacing w:line="276" w:lineRule="auto"/>
        <w:rPr>
          <w:rFonts w:eastAsia="Times New Roman"/>
          <w:u w:val="single"/>
        </w:rPr>
      </w:pPr>
      <w:r w:rsidRPr="00C00054">
        <w:rPr>
          <w:rFonts w:eastAsia="Times New Roman"/>
          <w:u w:val="single"/>
        </w:rPr>
        <w:t>Voorgenomen inhoud wetsvoorstel</w:t>
      </w:r>
    </w:p>
    <w:p w:rsidRPr="00C00054" w:rsidR="00C00054" w:rsidP="005668BD" w14:paraId="7EEB42DE" w14:textId="77777777">
      <w:pPr>
        <w:spacing w:line="276" w:lineRule="auto"/>
        <w:rPr>
          <w:rFonts w:eastAsia="Times New Roman"/>
        </w:rPr>
      </w:pPr>
      <w:r>
        <w:rPr>
          <w:rStyle w:val="bumpedfont17"/>
          <w:rFonts w:eastAsia="Times New Roman"/>
        </w:rPr>
        <w:t>Zoals hiervoor al aangegeven</w:t>
      </w:r>
      <w:r w:rsidR="00EF1C6D">
        <w:rPr>
          <w:rStyle w:val="bumpedfont17"/>
          <w:rFonts w:eastAsia="Times New Roman"/>
        </w:rPr>
        <w:t>,</w:t>
      </w:r>
      <w:r>
        <w:rPr>
          <w:rStyle w:val="bumpedfont17"/>
          <w:rFonts w:eastAsia="Times New Roman"/>
        </w:rPr>
        <w:t xml:space="preserve"> is </w:t>
      </w:r>
      <w:r w:rsidR="00EF1C6D">
        <w:rPr>
          <w:rStyle w:val="bumpedfont17"/>
          <w:rFonts w:eastAsia="Times New Roman"/>
        </w:rPr>
        <w:t>vanuit</w:t>
      </w:r>
      <w:r w:rsidRPr="00C00054">
        <w:rPr>
          <w:rStyle w:val="bumpedfont17"/>
          <w:rFonts w:eastAsia="Times New Roman"/>
        </w:rPr>
        <w:t xml:space="preserve"> het coalitieakkoord structureel 10 miljoen euro gereserveerd op de Aanvullende Post van het </w:t>
      </w:r>
      <w:r w:rsidR="001B0671">
        <w:rPr>
          <w:rStyle w:val="bumpedfont17"/>
          <w:rFonts w:eastAsia="Times New Roman"/>
        </w:rPr>
        <w:t>M</w:t>
      </w:r>
      <w:r w:rsidRPr="00C00054">
        <w:rPr>
          <w:rStyle w:val="bumpedfont17"/>
          <w:rFonts w:eastAsia="Times New Roman"/>
        </w:rPr>
        <w:t>inisterie van Financiën vanuit de post rechtsstaat per 2030. Dit is minder dan het bedrag dat uit de uitvoeringstoetsen uit 2024 volgt als het gehele wetsvoorstel zou worden voortgezet.</w:t>
      </w:r>
      <w:r w:rsidRPr="00C00054">
        <w:rPr>
          <w:rFonts w:eastAsia="Times New Roman"/>
        </w:rPr>
        <w:t xml:space="preserve"> </w:t>
      </w:r>
      <w:r w:rsidR="00AB43E1">
        <w:rPr>
          <w:rFonts w:eastAsia="Times New Roman"/>
        </w:rPr>
        <w:t>Dat vraagt om een aantal</w:t>
      </w:r>
      <w:r w:rsidR="00270539">
        <w:rPr>
          <w:rFonts w:eastAsia="Times New Roman"/>
        </w:rPr>
        <w:t xml:space="preserve"> </w:t>
      </w:r>
      <w:r w:rsidRPr="001A1064">
        <w:rPr>
          <w:rFonts w:eastAsia="Times New Roman"/>
        </w:rPr>
        <w:t xml:space="preserve">scherpe keuzes </w:t>
      </w:r>
      <w:r w:rsidRPr="001A1064" w:rsidR="00AB43E1">
        <w:rPr>
          <w:rFonts w:eastAsia="Times New Roman"/>
        </w:rPr>
        <w:t xml:space="preserve">om </w:t>
      </w:r>
      <w:r w:rsidRPr="001A1064">
        <w:rPr>
          <w:rFonts w:eastAsia="Times New Roman"/>
        </w:rPr>
        <w:t>een aantal onderdelen niet in procedure te brengen</w:t>
      </w:r>
      <w:r w:rsidR="00EA3C3E">
        <w:rPr>
          <w:rFonts w:eastAsia="Times New Roman"/>
        </w:rPr>
        <w:t xml:space="preserve"> </w:t>
      </w:r>
      <w:r w:rsidRPr="00EA3C3E" w:rsidR="00EA3C3E">
        <w:rPr>
          <w:rFonts w:eastAsia="Times New Roman"/>
        </w:rPr>
        <w:t>en om gezamenlijk te komen tot een goed uitvoerbaar en budget</w:t>
      </w:r>
      <w:r w:rsidR="00EA3C3E">
        <w:rPr>
          <w:rFonts w:eastAsia="Times New Roman"/>
        </w:rPr>
        <w:t>t</w:t>
      </w:r>
      <w:r w:rsidRPr="00EA3C3E" w:rsidR="00EA3C3E">
        <w:rPr>
          <w:rFonts w:eastAsia="Times New Roman"/>
        </w:rPr>
        <w:t>air inpasbaar voorstel</w:t>
      </w:r>
      <w:r w:rsidRPr="001A1064" w:rsidR="001A1064">
        <w:rPr>
          <w:rFonts w:eastAsia="Times New Roman"/>
        </w:rPr>
        <w:t>.</w:t>
      </w:r>
    </w:p>
    <w:p w:rsidRPr="00C00054" w:rsidR="00C00054" w:rsidP="005668BD" w14:paraId="2271430D" w14:textId="77777777">
      <w:pPr>
        <w:spacing w:line="276" w:lineRule="auto"/>
        <w:rPr>
          <w:rFonts w:eastAsia="Times New Roman"/>
        </w:rPr>
      </w:pPr>
    </w:p>
    <w:p w:rsidR="001A54B6" w:rsidP="005668BD" w14:paraId="6E25FBB3" w14:textId="77777777">
      <w:pPr>
        <w:spacing w:line="276" w:lineRule="auto"/>
      </w:pPr>
      <w:r w:rsidRPr="00C00054">
        <w:rPr>
          <w:rFonts w:eastAsia="Times New Roman"/>
        </w:rPr>
        <w:t>Het kabinet is voornemens om nu verder te gaan met minder ingrijpende</w:t>
      </w:r>
      <w:r w:rsidR="00270539">
        <w:rPr>
          <w:rFonts w:eastAsia="Times New Roman"/>
        </w:rPr>
        <w:t xml:space="preserve"> en </w:t>
      </w:r>
      <w:r w:rsidR="00270539">
        <w:rPr>
          <w:rFonts w:eastAsia="Times New Roman"/>
        </w:rPr>
        <w:t>uitvoering</w:t>
      </w:r>
      <w:r w:rsidR="004C5AFF">
        <w:rPr>
          <w:rFonts w:eastAsia="Times New Roman"/>
        </w:rPr>
        <w:t>s</w:t>
      </w:r>
      <w:r w:rsidR="00270539">
        <w:rPr>
          <w:rFonts w:eastAsia="Times New Roman"/>
        </w:rPr>
        <w:t>intensieve</w:t>
      </w:r>
      <w:r w:rsidRPr="00C00054">
        <w:rPr>
          <w:rFonts w:eastAsia="Times New Roman"/>
        </w:rPr>
        <w:t xml:space="preserve"> elementen van het wetsvoorstel, waarbij geen grote uitvoeringsgevolgen worden verwacht. Ook is het voornemen</w:t>
      </w:r>
      <w:r w:rsidRPr="00C00054">
        <w:rPr>
          <w:rFonts w:eastAsia="Times New Roman"/>
        </w:rPr>
        <w:t xml:space="preserve"> </w:t>
      </w:r>
      <w:r w:rsidRPr="00C00054">
        <w:rPr>
          <w:rFonts w:eastAsia="Times New Roman"/>
        </w:rPr>
        <w:t xml:space="preserve">om twee andere onderdelen op te nemen. Om dit te onderzoeken zijn het wetsvoorstel en de toelichting naar aanleiding van de reacties aangepast en verduidelijkt. </w:t>
      </w:r>
      <w:r w:rsidRPr="001A1064">
        <w:rPr>
          <w:rFonts w:eastAsia="Times New Roman"/>
        </w:rPr>
        <w:t>Het aangepaste wetsvoorstel is</w:t>
      </w:r>
      <w:r w:rsidRPr="001A1064" w:rsidR="00475D05">
        <w:rPr>
          <w:rFonts w:eastAsia="Times New Roman"/>
        </w:rPr>
        <w:t xml:space="preserve"> </w:t>
      </w:r>
      <w:r w:rsidRPr="001A1064" w:rsidR="00AB43E1">
        <w:rPr>
          <w:rFonts w:eastAsia="Times New Roman"/>
        </w:rPr>
        <w:t>op dit moment</w:t>
      </w:r>
      <w:r w:rsidRPr="001A1064">
        <w:rPr>
          <w:rFonts w:eastAsia="Times New Roman"/>
        </w:rPr>
        <w:t xml:space="preserve"> aan uitvoeringsinstanties, medeoverheden en de rechtspraak voorgelegd voor een</w:t>
      </w:r>
      <w:r w:rsidRPr="001A1064" w:rsidR="00270539">
        <w:rPr>
          <w:rFonts w:eastAsia="Times New Roman"/>
        </w:rPr>
        <w:t xml:space="preserve"> nieuwe</w:t>
      </w:r>
      <w:r w:rsidR="003A213F">
        <w:rPr>
          <w:rFonts w:eastAsia="Times New Roman"/>
        </w:rPr>
        <w:t xml:space="preserve"> </w:t>
      </w:r>
      <w:r w:rsidRPr="001A1064">
        <w:rPr>
          <w:rFonts w:eastAsia="Times New Roman"/>
        </w:rPr>
        <w:t>toets op uitvoerbaarheid</w:t>
      </w:r>
      <w:r w:rsidR="001B0671">
        <w:rPr>
          <w:rFonts w:eastAsia="Times New Roman"/>
        </w:rPr>
        <w:t xml:space="preserve"> en</w:t>
      </w:r>
      <w:r w:rsidRPr="001A1064">
        <w:rPr>
          <w:rFonts w:eastAsia="Times New Roman"/>
        </w:rPr>
        <w:t xml:space="preserve"> financiële </w:t>
      </w:r>
      <w:r w:rsidRPr="001A1064" w:rsidR="00334DC7">
        <w:rPr>
          <w:rFonts w:eastAsia="Times New Roman"/>
        </w:rPr>
        <w:t xml:space="preserve">inpasbaarheid binnen de gereserveerde </w:t>
      </w:r>
      <w:r w:rsidRPr="00181CE4" w:rsidR="00334DC7">
        <w:rPr>
          <w:rFonts w:eastAsia="Times New Roman"/>
        </w:rPr>
        <w:t>middelen</w:t>
      </w:r>
      <w:r w:rsidRPr="00181CE4" w:rsidR="00FE103A">
        <w:rPr>
          <w:rFonts w:eastAsia="Times New Roman"/>
        </w:rPr>
        <w:t xml:space="preserve">. </w:t>
      </w:r>
      <w:r w:rsidRPr="00181CE4">
        <w:rPr>
          <w:rFonts w:eastAsia="Times New Roman"/>
        </w:rPr>
        <w:t>Bij de vormgeving van het wetsvoorstel zal met inachtneming van de doelstelling van het wetsvoorstel rekening gehouden worden met het voorkomen van verdringingseffecten in de uitvoering en het kabinetsvoornemen om het ambtenarenapparaat niet te laten groeien.</w:t>
      </w:r>
    </w:p>
    <w:p w:rsidR="001A54B6" w:rsidP="005668BD" w14:paraId="4235E1C9" w14:textId="77777777">
      <w:pPr>
        <w:spacing w:line="276" w:lineRule="auto"/>
        <w:rPr>
          <w:rFonts w:eastAsia="Times New Roman"/>
        </w:rPr>
      </w:pPr>
    </w:p>
    <w:p w:rsidRPr="00C00054" w:rsidR="00C00054" w:rsidP="005668BD" w14:paraId="2823BB41" w14:textId="77777777">
      <w:pPr>
        <w:spacing w:line="276" w:lineRule="auto"/>
        <w:rPr>
          <w:rStyle w:val="bumpedfont17"/>
          <w:rFonts w:eastAsia="Times New Roman"/>
        </w:rPr>
      </w:pPr>
      <w:r w:rsidRPr="001A1064">
        <w:rPr>
          <w:rFonts w:eastAsia="Times New Roman"/>
        </w:rPr>
        <w:t xml:space="preserve">Pas als hierover duidelijkheid bestaat, </w:t>
      </w:r>
      <w:r w:rsidRPr="001A1064" w:rsidR="00270539">
        <w:rPr>
          <w:rFonts w:eastAsia="Times New Roman"/>
        </w:rPr>
        <w:t>kan</w:t>
      </w:r>
      <w:r w:rsidRPr="001A1064">
        <w:rPr>
          <w:rFonts w:eastAsia="Times New Roman"/>
        </w:rPr>
        <w:t xml:space="preserve"> worden besloten of het haalbaar is de genoemde onderdelen </w:t>
      </w:r>
      <w:r w:rsidRPr="001A1064" w:rsidR="00475D05">
        <w:rPr>
          <w:rFonts w:eastAsia="Times New Roman"/>
        </w:rPr>
        <w:t xml:space="preserve">in </w:t>
      </w:r>
      <w:r w:rsidRPr="001A1064">
        <w:rPr>
          <w:rFonts w:eastAsia="Times New Roman"/>
        </w:rPr>
        <w:t>het wetsvoorstel op te nemen. Het gaat ten eerste om de aanpassing van het</w:t>
      </w:r>
      <w:r w:rsidRPr="00C00054">
        <w:rPr>
          <w:rFonts w:eastAsia="Times New Roman"/>
        </w:rPr>
        <w:t xml:space="preserve"> evenredigheidsbeginsel. </w:t>
      </w:r>
      <w:r w:rsidRPr="00C00054">
        <w:rPr>
          <w:rStyle w:val="bumpedfont17"/>
          <w:rFonts w:eastAsia="Times New Roman"/>
        </w:rPr>
        <w:t xml:space="preserve">Het betreft een </w:t>
      </w:r>
      <w:r w:rsidR="003A5E81">
        <w:rPr>
          <w:rStyle w:val="bumpedfont17"/>
          <w:rFonts w:eastAsia="Times New Roman"/>
        </w:rPr>
        <w:t xml:space="preserve">gewichtig </w:t>
      </w:r>
      <w:r w:rsidRPr="00C00054">
        <w:rPr>
          <w:rStyle w:val="bumpedfont17"/>
          <w:rFonts w:eastAsia="Times New Roman"/>
        </w:rPr>
        <w:t xml:space="preserve">onderdeel van het wetsvoorstel (uitvoering van de Kamerbreed aanvaarde motie </w:t>
      </w:r>
      <w:r w:rsidRPr="00C00054">
        <w:rPr>
          <w:rStyle w:val="bumpedfont17"/>
          <w:rFonts w:eastAsia="Times New Roman"/>
        </w:rPr>
        <w:t>Jetten</w:t>
      </w:r>
      <w:r w:rsidRPr="00C00054">
        <w:rPr>
          <w:rStyle w:val="bumpedfont17"/>
          <w:rFonts w:eastAsia="Times New Roman"/>
        </w:rPr>
        <w:t xml:space="preserve">/Marijnissen, </w:t>
      </w:r>
      <w:r w:rsidRPr="00C00054">
        <w:t xml:space="preserve">Kamerstukken II 2020/21, 35510, nr. 15), om te voorkomen dat een burger of bedrijf onevenredig hard wordt geraakt. </w:t>
      </w:r>
      <w:r w:rsidRPr="00C00054">
        <w:rPr>
          <w:rFonts w:eastAsia="Times New Roman"/>
        </w:rPr>
        <w:t xml:space="preserve">Het opnemen van dit onderdeel in het wetsvoorstel kan een belangrijke bijdrage leveren aan het vergroten van </w:t>
      </w:r>
      <w:r w:rsidRPr="00C00054">
        <w:rPr>
          <w:rStyle w:val="bumpedfont17"/>
          <w:rFonts w:eastAsia="Times New Roman"/>
        </w:rPr>
        <w:t xml:space="preserve">de menselijke maat in het overheidshandelen. Verduidelijkt is dat de verruiming van de evenredigheidstoets bedoeld is als veiligheidsklep voor uitzonderlijke gevallen en dat bijvoorbeeld massale besluitvormingsprocessen regulier kunnen plaatsvinden. </w:t>
      </w:r>
      <w:r w:rsidRPr="001A1064">
        <w:rPr>
          <w:rStyle w:val="bumpedfont17"/>
          <w:rFonts w:eastAsia="Times New Roman"/>
        </w:rPr>
        <w:t xml:space="preserve">We </w:t>
      </w:r>
      <w:r w:rsidRPr="001A1064" w:rsidR="00AB43E1">
        <w:rPr>
          <w:rStyle w:val="bumpedfont17"/>
          <w:rFonts w:eastAsia="Times New Roman"/>
        </w:rPr>
        <w:t>leggen aan onze publieke dienstverleners de vraag voor of</w:t>
      </w:r>
      <w:r w:rsidRPr="001A1064">
        <w:rPr>
          <w:rStyle w:val="bumpedfont17"/>
          <w:rFonts w:eastAsia="Times New Roman"/>
        </w:rPr>
        <w:t xml:space="preserve"> deze verduidelijking leidt tot aanmerkelijk minder uitvoeringsconsequenties dan in 2024 geraamd. </w:t>
      </w:r>
    </w:p>
    <w:p w:rsidRPr="00C00054" w:rsidR="00C00054" w:rsidP="005668BD" w14:paraId="7DD38147" w14:textId="77777777">
      <w:pPr>
        <w:spacing w:line="276" w:lineRule="auto"/>
        <w:rPr>
          <w:rStyle w:val="bumpedfont17"/>
          <w:rFonts w:eastAsia="Times New Roman"/>
        </w:rPr>
      </w:pPr>
    </w:p>
    <w:p w:rsidRPr="00C00054" w:rsidR="00C00054" w:rsidP="005668BD" w14:paraId="36138ABD" w14:textId="53B60F69">
      <w:pPr>
        <w:spacing w:line="276" w:lineRule="auto"/>
        <w:rPr>
          <w:rFonts w:eastAsia="Times New Roman"/>
        </w:rPr>
      </w:pPr>
      <w:r w:rsidRPr="00C00054">
        <w:rPr>
          <w:rStyle w:val="bumpedfont17"/>
          <w:rFonts w:eastAsia="Times New Roman"/>
        </w:rPr>
        <w:t xml:space="preserve">Ten tweede </w:t>
      </w:r>
      <w:r w:rsidRPr="00C00054">
        <w:rPr>
          <w:rFonts w:eastAsia="Times New Roman"/>
        </w:rPr>
        <w:t xml:space="preserve">is het streven om in het wetsvoorstel elementen op te nemen die persoonlijk contact tussen overheid en burgers en bedrijven bevorderen. Een belangrijke norm hierbij </w:t>
      </w:r>
      <w:r w:rsidR="00AC7ABC">
        <w:rPr>
          <w:rFonts w:eastAsia="Times New Roman"/>
        </w:rPr>
        <w:t>is</w:t>
      </w:r>
      <w:r w:rsidRPr="00C00054">
        <w:rPr>
          <w:rFonts w:eastAsia="Times New Roman"/>
        </w:rPr>
        <w:t xml:space="preserve"> dat de overheid contact legt als iemand een bezwaar heeft ingediend, teneinde het probleem van de burger zo goed mogelijk op te </w:t>
      </w:r>
      <w:r w:rsidRPr="00C00054">
        <w:rPr>
          <w:rFonts w:eastAsia="Times New Roman"/>
          <w:color w:val="auto"/>
        </w:rPr>
        <w:t>lossen zonder onnodige procedures. Hiermee wordt invulling gegeven aan belangrijke aanbevelingen van de Staatscommissie rechtsstaat.</w:t>
      </w:r>
      <w:r w:rsidRPr="00C00054">
        <w:rPr>
          <w:color w:val="auto"/>
        </w:rPr>
        <w:t xml:space="preserve"> </w:t>
      </w:r>
      <w:r w:rsidRPr="001A1064">
        <w:rPr>
          <w:color w:val="auto"/>
        </w:rPr>
        <w:t xml:space="preserve">Het voorstel is zo aangepast dat </w:t>
      </w:r>
      <w:r w:rsidR="00CE3CFF">
        <w:rPr>
          <w:color w:val="auto"/>
        </w:rPr>
        <w:t>–</w:t>
      </w:r>
      <w:r w:rsidRPr="001A1064">
        <w:rPr>
          <w:color w:val="auto"/>
        </w:rPr>
        <w:t xml:space="preserve"> aansluitend</w:t>
      </w:r>
      <w:r w:rsidR="00CE3CFF">
        <w:rPr>
          <w:color w:val="auto"/>
        </w:rPr>
        <w:t xml:space="preserve"> </w:t>
      </w:r>
      <w:r w:rsidRPr="001A1064">
        <w:rPr>
          <w:color w:val="auto"/>
        </w:rPr>
        <w:t>bij de huidige praktijk – een bestuursorgaan zelf de afweging kan maken wanneer vroegtijdig contact behulpzaam is bij de verdere behandeling van het bezwaar. We verwachten dat ook deze aanpassing de uitvoeringsconsequenties beperkt</w:t>
      </w:r>
      <w:r w:rsidRPr="001A1064" w:rsidR="00AB43E1">
        <w:rPr>
          <w:color w:val="auto"/>
        </w:rPr>
        <w:t xml:space="preserve"> en leggen de</w:t>
      </w:r>
      <w:r w:rsidRPr="001A1064" w:rsidR="00BA25AB">
        <w:rPr>
          <w:color w:val="auto"/>
        </w:rPr>
        <w:t>z</w:t>
      </w:r>
      <w:r w:rsidRPr="001A1064" w:rsidR="00AB43E1">
        <w:rPr>
          <w:color w:val="auto"/>
        </w:rPr>
        <w:t>e vraag eveneens voor</w:t>
      </w:r>
      <w:r w:rsidRPr="001A1064">
        <w:rPr>
          <w:color w:val="auto"/>
        </w:rPr>
        <w:t>.</w:t>
      </w:r>
      <w:r w:rsidRPr="00C00054">
        <w:rPr>
          <w:color w:val="auto"/>
        </w:rPr>
        <w:t xml:space="preserve"> </w:t>
      </w:r>
    </w:p>
    <w:p w:rsidRPr="00C00054" w:rsidR="00C00054" w:rsidP="005668BD" w14:paraId="26BE3793" w14:textId="77777777">
      <w:pPr>
        <w:spacing w:line="276" w:lineRule="auto"/>
        <w:rPr>
          <w:rFonts w:eastAsia="Times New Roman"/>
        </w:rPr>
      </w:pPr>
    </w:p>
    <w:p w:rsidRPr="00C00054" w:rsidR="00C00054" w:rsidP="005668BD" w14:paraId="6A66BDBE" w14:textId="77777777">
      <w:pPr>
        <w:spacing w:line="276" w:lineRule="auto"/>
        <w:rPr>
          <w:rFonts w:eastAsia="Times New Roman"/>
        </w:rPr>
      </w:pPr>
      <w:r w:rsidRPr="00C00054">
        <w:rPr>
          <w:rFonts w:eastAsia="Times New Roman"/>
        </w:rPr>
        <w:t xml:space="preserve">De uitvoerbaarheid krijgt veel aandacht in het aangepaste wetsvoorstel. Het gaat dus niet alleen om een beperkter wetsvoorstel, maar ook om een wetsvoorstel dat op onderdelen significant is aangepast om </w:t>
      </w:r>
      <w:r w:rsidR="00BA25AB">
        <w:rPr>
          <w:rFonts w:eastAsia="Times New Roman"/>
        </w:rPr>
        <w:t xml:space="preserve">met inachtneming van de doelstellingen van het wetsvoorstel </w:t>
      </w:r>
      <w:r w:rsidRPr="00C00054">
        <w:rPr>
          <w:rFonts w:eastAsia="Times New Roman"/>
        </w:rPr>
        <w:t>te komen tot een goede en betaalbare uitvoerbaarheid</w:t>
      </w:r>
      <w:r w:rsidR="00AB43E1">
        <w:rPr>
          <w:rFonts w:eastAsia="Times New Roman"/>
        </w:rPr>
        <w:t xml:space="preserve"> binnen de beschikbare kaders</w:t>
      </w:r>
      <w:r w:rsidRPr="00C00054">
        <w:rPr>
          <w:rFonts w:eastAsia="Times New Roman"/>
        </w:rPr>
        <w:t>.</w:t>
      </w:r>
      <w:r w:rsidR="00AB43E1">
        <w:rPr>
          <w:rFonts w:eastAsia="Times New Roman"/>
        </w:rPr>
        <w:t xml:space="preserve"> Onze ambitie is om dit samen met de uitvoeringsorganisaties gestalte te geven.</w:t>
      </w:r>
    </w:p>
    <w:p w:rsidRPr="003406D2" w:rsidR="00C00054" w:rsidP="005668BD" w14:paraId="028A1CD6" w14:textId="77777777">
      <w:pPr>
        <w:spacing w:line="276" w:lineRule="auto"/>
      </w:pPr>
    </w:p>
    <w:p w:rsidR="00743008" w:rsidP="005668BD" w14:paraId="0780E60F" w14:textId="77777777">
      <w:pPr>
        <w:spacing w:line="276" w:lineRule="auto"/>
        <w:rPr>
          <w:rFonts w:eastAsia="Times New Roman"/>
        </w:rPr>
      </w:pPr>
      <w:r w:rsidRPr="00C00054">
        <w:rPr>
          <w:rFonts w:eastAsia="Times New Roman"/>
          <w:u w:val="single"/>
        </w:rPr>
        <w:t>Langetermijnagenda</w:t>
      </w:r>
      <w:r w:rsidRPr="00C00054">
        <w:rPr>
          <w:rFonts w:eastAsia="Times New Roman"/>
        </w:rPr>
        <w:t xml:space="preserve"> </w:t>
      </w:r>
    </w:p>
    <w:p w:rsidRPr="00C00054" w:rsidR="00C00054" w:rsidP="005668BD" w14:paraId="77067649" w14:textId="77777777">
      <w:pPr>
        <w:spacing w:line="276" w:lineRule="auto"/>
        <w:rPr>
          <w:rFonts w:eastAsia="Times New Roman"/>
        </w:rPr>
      </w:pPr>
      <w:r w:rsidRPr="00C00054">
        <w:rPr>
          <w:rFonts w:eastAsia="Times New Roman"/>
        </w:rPr>
        <w:t>De keuzes gemaakt in het aangepaste wetsvoorstel betekenen dat een aantal andere onderdelen van de (internet)consultatie</w:t>
      </w:r>
      <w:r w:rsidR="003A213F">
        <w:rPr>
          <w:rFonts w:eastAsia="Times New Roman"/>
        </w:rPr>
        <w:t>-</w:t>
      </w:r>
      <w:r w:rsidRPr="00C00054">
        <w:rPr>
          <w:rFonts w:eastAsia="Times New Roman"/>
        </w:rPr>
        <w:t xml:space="preserve">versie van het wetsvoorstel </w:t>
      </w:r>
      <w:r w:rsidRPr="001A1064">
        <w:rPr>
          <w:rFonts w:eastAsia="Times New Roman"/>
        </w:rPr>
        <w:t>geen doorgang kunnen vinden. Dit geldt</w:t>
      </w:r>
      <w:r w:rsidR="001A1064">
        <w:rPr>
          <w:rFonts w:eastAsia="Times New Roman"/>
        </w:rPr>
        <w:t xml:space="preserve"> </w:t>
      </w:r>
      <w:r w:rsidRPr="001A1064">
        <w:rPr>
          <w:rFonts w:eastAsia="Times New Roman"/>
        </w:rPr>
        <w:t>voor het herstel van kennelijke fouten, het horen bij financiële beschikkingen als gebruik wordt gemaakt van gegevens die niet van de belanghebbende afkomstig zijn en het voorafgaand aan het indienen van een bezwaarschrift inzage geven in stukken.</w:t>
      </w:r>
    </w:p>
    <w:p w:rsidRPr="00C00054" w:rsidR="00C00054" w:rsidP="005668BD" w14:paraId="4DF4BF20" w14:textId="77777777">
      <w:pPr>
        <w:pStyle w:val="Default"/>
        <w:spacing w:line="276" w:lineRule="auto"/>
        <w:rPr>
          <w:sz w:val="18"/>
          <w:szCs w:val="18"/>
        </w:rPr>
      </w:pPr>
    </w:p>
    <w:p w:rsidRPr="00C00054" w:rsidR="00C00054" w:rsidP="005668BD" w14:paraId="41551FD8" w14:textId="77777777">
      <w:pPr>
        <w:pStyle w:val="Default"/>
        <w:spacing w:line="276" w:lineRule="auto"/>
        <w:rPr>
          <w:sz w:val="18"/>
          <w:szCs w:val="18"/>
        </w:rPr>
      </w:pPr>
      <w:r w:rsidRPr="00C00054">
        <w:rPr>
          <w:sz w:val="18"/>
          <w:szCs w:val="18"/>
        </w:rPr>
        <w:t xml:space="preserve">In de (internet)consultatie en de uitvoeringstoetsen is </w:t>
      </w:r>
      <w:r w:rsidR="00AB43E1">
        <w:rPr>
          <w:sz w:val="18"/>
          <w:szCs w:val="18"/>
        </w:rPr>
        <w:t xml:space="preserve">ook </w:t>
      </w:r>
      <w:r w:rsidRPr="00C00054">
        <w:rPr>
          <w:sz w:val="18"/>
          <w:szCs w:val="18"/>
        </w:rPr>
        <w:t xml:space="preserve">het herstel van kennelijke fouten kritisch ontvangen. Enerzijds werd dit onderdeel als te mager aangeduid (weinig toegevoegde waarde), anderzijds werd dit onderdeel als procedureel nodeloos ingewikkeld aangemerkt. Verder is geen sprake van een ‘echt’/breder vergisrecht in de zin dat een burger bij een kleine vergissing niet in grote problemen kan komen. Het herstel van een kennelijke fout leidt namelijk meestal niet tot een ander besluit. Daarnaast is duidelijk geworden dat vrijwel alle uitvoeringsinstanties thans al bepaalde fouten herstellen, met regelmatig ingewikkelde afbakening tot gevolg. Onderzocht zal worden hoe in de </w:t>
      </w:r>
      <w:r w:rsidRPr="00C00054">
        <w:rPr>
          <w:sz w:val="18"/>
          <w:szCs w:val="18"/>
        </w:rPr>
        <w:t>langetermijnagenda</w:t>
      </w:r>
      <w:r w:rsidRPr="00C00054">
        <w:rPr>
          <w:sz w:val="18"/>
          <w:szCs w:val="18"/>
        </w:rPr>
        <w:t xml:space="preserve"> van de waarborgfunctie een beter en breder vergisrecht kan worden verankerd. </w:t>
      </w:r>
    </w:p>
    <w:p w:rsidRPr="00C00054" w:rsidR="00C00054" w:rsidP="005668BD" w14:paraId="79B3668D" w14:textId="77777777">
      <w:pPr>
        <w:pStyle w:val="Default"/>
        <w:spacing w:line="276" w:lineRule="auto"/>
        <w:rPr>
          <w:sz w:val="18"/>
          <w:szCs w:val="18"/>
        </w:rPr>
      </w:pPr>
    </w:p>
    <w:p w:rsidRPr="00C00054" w:rsidR="00C00054" w:rsidP="005668BD" w14:paraId="72721B31" w14:textId="77777777">
      <w:pPr>
        <w:pStyle w:val="Default"/>
        <w:spacing w:line="276" w:lineRule="auto"/>
        <w:rPr>
          <w:rFonts w:eastAsia="Times New Roman"/>
          <w:sz w:val="18"/>
          <w:szCs w:val="18"/>
        </w:rPr>
      </w:pPr>
      <w:r w:rsidRPr="00C00054">
        <w:rPr>
          <w:rFonts w:eastAsia="Times New Roman"/>
          <w:sz w:val="18"/>
          <w:szCs w:val="18"/>
        </w:rPr>
        <w:t xml:space="preserve">Het vaker horen bij financiële beschikkingen zal niet in het wetsvoorstel worden opgenomen, omdat bij geautomatiseerde verwerking van gegevens uit een betrouwbare bron (denk aan de inkomensregistratie van de Belastingdienst) horen blijkens de uitvoeringstoetsen en de gespreksronde weinig toegevoegde waarde heeft, terwijl daarmee wel het geautomatiseerde proces wordt opgehouden. Daarnaast kan dit oponthoud leiden tot het oplopen van terug te betalen bedragen, hetgeen juist onwenselijk is. </w:t>
      </w:r>
    </w:p>
    <w:p w:rsidRPr="00C00054" w:rsidR="00C00054" w:rsidP="005668BD" w14:paraId="1E8A1D44" w14:textId="77777777">
      <w:pPr>
        <w:pStyle w:val="Default"/>
        <w:spacing w:line="276" w:lineRule="auto"/>
        <w:rPr>
          <w:rFonts w:eastAsia="Times New Roman"/>
          <w:sz w:val="18"/>
          <w:szCs w:val="18"/>
        </w:rPr>
      </w:pPr>
    </w:p>
    <w:p w:rsidRPr="00C00054" w:rsidR="00C00054" w:rsidP="005668BD" w14:paraId="339173EC" w14:textId="77777777">
      <w:pPr>
        <w:pStyle w:val="Default"/>
        <w:spacing w:line="276" w:lineRule="auto"/>
        <w:rPr>
          <w:sz w:val="18"/>
          <w:szCs w:val="18"/>
        </w:rPr>
      </w:pPr>
      <w:r w:rsidRPr="00C00054">
        <w:rPr>
          <w:sz w:val="18"/>
          <w:szCs w:val="18"/>
        </w:rPr>
        <w:t xml:space="preserve">Een ander onderwerp dat geen doorgang kan vinden en op de </w:t>
      </w:r>
      <w:r w:rsidRPr="00C00054">
        <w:rPr>
          <w:sz w:val="18"/>
          <w:szCs w:val="18"/>
        </w:rPr>
        <w:t>langetermijnagenda</w:t>
      </w:r>
      <w:r w:rsidRPr="00C00054">
        <w:rPr>
          <w:sz w:val="18"/>
          <w:szCs w:val="18"/>
        </w:rPr>
        <w:t xml:space="preserve"> wordt geplaatst, is het eerder inzage geven in op de zaak betrekking hebbende stukken (al voorafgaand aan het eventueel indienen van bezwaar). Er is </w:t>
      </w:r>
      <w:r w:rsidR="00AB43E1">
        <w:rPr>
          <w:sz w:val="18"/>
          <w:szCs w:val="18"/>
        </w:rPr>
        <w:t xml:space="preserve">op zichzelf </w:t>
      </w:r>
      <w:r w:rsidRPr="00C00054">
        <w:rPr>
          <w:sz w:val="18"/>
          <w:szCs w:val="18"/>
        </w:rPr>
        <w:t xml:space="preserve">brede steun voor dit streven als stip op de horizon, maar slechts weinig partijen zijn hier ICT-technisch klaar voor. </w:t>
      </w:r>
    </w:p>
    <w:p w:rsidRPr="00C00054" w:rsidR="00C00054" w:rsidP="005668BD" w14:paraId="6E1903BE" w14:textId="77777777">
      <w:pPr>
        <w:pStyle w:val="Default"/>
        <w:spacing w:line="276" w:lineRule="auto"/>
        <w:rPr>
          <w:sz w:val="18"/>
          <w:szCs w:val="18"/>
        </w:rPr>
      </w:pPr>
    </w:p>
    <w:p w:rsidRPr="00C00054" w:rsidR="00C00054" w:rsidP="00BD27C6" w14:paraId="50B17626" w14:textId="77777777">
      <w:pPr>
        <w:pStyle w:val="ListParagraph"/>
        <w:keepNext/>
        <w:numPr>
          <w:ilvl w:val="0"/>
          <w:numId w:val="6"/>
        </w:numPr>
        <w:autoSpaceDN w:val="0"/>
        <w:spacing w:after="0" w:line="276" w:lineRule="auto"/>
        <w:ind w:left="357" w:hanging="357"/>
        <w:rPr>
          <w:bCs/>
          <w:szCs w:val="18"/>
          <w:u w:val="single"/>
        </w:rPr>
      </w:pPr>
      <w:r w:rsidRPr="00C00054">
        <w:rPr>
          <w:bCs/>
          <w:szCs w:val="18"/>
          <w:u w:val="single"/>
        </w:rPr>
        <w:t>Vervolgstappen en planning</w:t>
      </w:r>
    </w:p>
    <w:p w:rsidRPr="00C00054" w:rsidR="00C00054" w:rsidP="005668BD" w14:paraId="430E7FD3" w14:textId="77777777">
      <w:pPr>
        <w:spacing w:line="276" w:lineRule="auto"/>
        <w:rPr>
          <w:bCs/>
        </w:rPr>
      </w:pPr>
      <w:r w:rsidRPr="00C00054">
        <w:rPr>
          <w:bCs/>
        </w:rPr>
        <w:t>De komende maanden zal samen met alle betrokken</w:t>
      </w:r>
      <w:r w:rsidR="00AB43E1">
        <w:rPr>
          <w:bCs/>
        </w:rPr>
        <w:t xml:space="preserve"> departementen en publieke dienstverleners</w:t>
      </w:r>
      <w:r w:rsidRPr="00C00054">
        <w:rPr>
          <w:bCs/>
        </w:rPr>
        <w:t xml:space="preserve"> verder worden gewerkt aan het wetsvoorstel en de </w:t>
      </w:r>
      <w:r w:rsidR="001B0671">
        <w:rPr>
          <w:bCs/>
        </w:rPr>
        <w:t>memorie van toelichting</w:t>
      </w:r>
      <w:r w:rsidRPr="00C00054">
        <w:rPr>
          <w:bCs/>
        </w:rPr>
        <w:t xml:space="preserve">. </w:t>
      </w:r>
      <w:r w:rsidRPr="001B287C">
        <w:rPr>
          <w:bCs/>
        </w:rPr>
        <w:t>Het is belangrijk dit proces zorgvuldig te doorlopen zodat daadwerkelijk sprake zal zijn van een betere uitvoerbaarheid</w:t>
      </w:r>
      <w:r w:rsidRPr="001B287C" w:rsidR="00334DC7">
        <w:rPr>
          <w:bCs/>
        </w:rPr>
        <w:t xml:space="preserve"> en inpasbaarheid in de financiële kaders</w:t>
      </w:r>
      <w:r w:rsidRPr="001B287C">
        <w:rPr>
          <w:bCs/>
        </w:rPr>
        <w:t xml:space="preserve">. Benadrukt wordt dat pas na de aanvullende uitvoeringstoetsen besluitvorming plaatsvindt over </w:t>
      </w:r>
      <w:r w:rsidRPr="001B287C" w:rsidR="008A3598">
        <w:rPr>
          <w:bCs/>
        </w:rPr>
        <w:t xml:space="preserve">de </w:t>
      </w:r>
      <w:r w:rsidRPr="001B287C">
        <w:rPr>
          <w:bCs/>
        </w:rPr>
        <w:t xml:space="preserve">inhoud en </w:t>
      </w:r>
      <w:r w:rsidR="00EA3C3E">
        <w:rPr>
          <w:bCs/>
        </w:rPr>
        <w:t xml:space="preserve">het </w:t>
      </w:r>
      <w:r w:rsidRPr="001B287C">
        <w:rPr>
          <w:bCs/>
        </w:rPr>
        <w:t>vervolg van het wetsvoorstel.</w:t>
      </w:r>
      <w:r w:rsidRPr="00C00054">
        <w:rPr>
          <w:bCs/>
        </w:rPr>
        <w:t xml:space="preserve"> </w:t>
      </w:r>
    </w:p>
    <w:p w:rsidRPr="00C00054" w:rsidR="00C00054" w:rsidP="005668BD" w14:paraId="1E4A8A56" w14:textId="77777777">
      <w:pPr>
        <w:spacing w:line="276" w:lineRule="auto"/>
        <w:rPr>
          <w:bCs/>
        </w:rPr>
      </w:pPr>
    </w:p>
    <w:p w:rsidRPr="00C00054" w:rsidR="00C00054" w:rsidP="005668BD" w14:paraId="2CA9C010" w14:textId="34A3C006">
      <w:pPr>
        <w:spacing w:line="276" w:lineRule="auto"/>
        <w:rPr>
          <w:rFonts w:eastAsia="Calibri" w:cs="Calibri"/>
        </w:rPr>
      </w:pPr>
      <w:r w:rsidRPr="00181CE4">
        <w:t xml:space="preserve">De uitvoeringsorganisaties hebben te maken met </w:t>
      </w:r>
      <w:r w:rsidRPr="00181CE4" w:rsidR="00A4456B">
        <w:t>een taakstelling</w:t>
      </w:r>
      <w:r w:rsidRPr="00181CE4" w:rsidR="00C20A88">
        <w:t>.</w:t>
      </w:r>
      <w:r w:rsidRPr="00181CE4" w:rsidR="00A4456B">
        <w:t xml:space="preserve"> </w:t>
      </w:r>
      <w:r w:rsidRPr="00181CE4" w:rsidR="00C20A88">
        <w:t>M</w:t>
      </w:r>
      <w:r w:rsidRPr="00181CE4">
        <w:t xml:space="preserve">et de voorgestelde wijzigingen in de </w:t>
      </w:r>
      <w:r w:rsidRPr="00181CE4">
        <w:t>Awb</w:t>
      </w:r>
      <w:r w:rsidRPr="00181CE4">
        <w:t xml:space="preserve"> wordt een </w:t>
      </w:r>
      <w:r w:rsidRPr="00181CE4" w:rsidR="00A4456B">
        <w:t xml:space="preserve">aanvullende </w:t>
      </w:r>
      <w:r w:rsidRPr="00181CE4">
        <w:t>inspanning gevraagd van de uitvoeringsorganisaties</w:t>
      </w:r>
      <w:r w:rsidR="001B0671">
        <w:t>.</w:t>
      </w:r>
      <w:r w:rsidRPr="00181CE4" w:rsidR="00EB4EEA">
        <w:t xml:space="preserve"> D</w:t>
      </w:r>
      <w:r w:rsidRPr="00181CE4" w:rsidR="00C20A88">
        <w:t>it vraagt om bewust keuzes te maken.</w:t>
      </w:r>
      <w:r w:rsidR="00EB4EEA">
        <w:t xml:space="preserve"> </w:t>
      </w:r>
      <w:r w:rsidRPr="00C00054">
        <w:t>Zoals het toenmalig</w:t>
      </w:r>
      <w:r w:rsidR="00FD6408">
        <w:t>e</w:t>
      </w:r>
      <w:r w:rsidRPr="00C00054">
        <w:t xml:space="preserve"> kabinet al heeft erkend in de kabinetsreactie op het advies van de Staatscommissie rechtsstaat, </w:t>
      </w:r>
      <w:r w:rsidRPr="00C00054">
        <w:rPr>
          <w:rFonts w:eastAsia="Verdana" w:cs="Verdana"/>
        </w:rPr>
        <w:t>moeten deze wijzigingen worden geïmplementeerd voordat ze kunnen bijdragen aan de door de Staatscommissie voorgestane cultuurverandering.</w:t>
      </w:r>
      <w:r>
        <w:rPr>
          <w:rStyle w:val="FootnoteReference"/>
          <w:rFonts w:eastAsia="Verdana" w:cs="Verdana"/>
        </w:rPr>
        <w:footnoteReference w:id="9"/>
      </w:r>
      <w:r w:rsidRPr="00C00054">
        <w:rPr>
          <w:rFonts w:eastAsia="Verdana" w:cs="Verdana"/>
        </w:rPr>
        <w:t xml:space="preserve"> Daarom is in de kabinetsreactie in het kader van aanbeveling</w:t>
      </w:r>
      <w:r w:rsidR="00A44547">
        <w:rPr>
          <w:rFonts w:eastAsia="Verdana" w:cs="Verdana"/>
        </w:rPr>
        <w:t> </w:t>
      </w:r>
      <w:r w:rsidRPr="00C00054">
        <w:rPr>
          <w:rFonts w:eastAsia="Verdana" w:cs="Verdana"/>
        </w:rPr>
        <w:t>9 van de Staatscommissie een programma aangekondigd om bestuursorganen te ondersteunen bij die implementatie.</w:t>
      </w:r>
      <w:r w:rsidRPr="00C00054">
        <w:rPr>
          <w:rFonts w:eastAsia="Calibri" w:cs="Calibri"/>
        </w:rPr>
        <w:t xml:space="preserve"> Die ondersteuning is voorzien op drie niveaus: </w:t>
      </w:r>
    </w:p>
    <w:p w:rsidRPr="00C00054" w:rsidR="00C00054" w:rsidP="005668BD" w14:paraId="0739EFD8" w14:textId="77777777">
      <w:pPr>
        <w:numPr>
          <w:ilvl w:val="0"/>
          <w:numId w:val="5"/>
        </w:numPr>
        <w:autoSpaceDN/>
        <w:spacing w:line="276" w:lineRule="auto"/>
        <w:textAlignment w:val="auto"/>
        <w:rPr>
          <w:rFonts w:eastAsia="Times New Roman" w:cs="Calibri"/>
        </w:rPr>
      </w:pPr>
      <w:r w:rsidRPr="00C00054">
        <w:rPr>
          <w:rFonts w:eastAsia="Times New Roman" w:cs="Calibri"/>
        </w:rPr>
        <w:t>handvatten voor bestuur en management om een verandering in te zetten naar een meer burgergerichte organisatie;</w:t>
      </w:r>
    </w:p>
    <w:p w:rsidRPr="00C00054" w:rsidR="00C00054" w:rsidP="005668BD" w14:paraId="54B2F6A0" w14:textId="77777777">
      <w:pPr>
        <w:numPr>
          <w:ilvl w:val="0"/>
          <w:numId w:val="5"/>
        </w:numPr>
        <w:autoSpaceDN/>
        <w:spacing w:line="276" w:lineRule="auto"/>
        <w:textAlignment w:val="auto"/>
        <w:rPr>
          <w:rFonts w:eastAsia="Times New Roman" w:cs="Calibri"/>
        </w:rPr>
      </w:pPr>
      <w:r w:rsidRPr="00C00054">
        <w:rPr>
          <w:rFonts w:eastAsia="Times New Roman" w:cs="Calibri"/>
        </w:rPr>
        <w:t>bouwstenen voor het verbeteren van procedures en het versterken van het lerend vermogen van een organisatie in de fase van de bezwaarbehandeling en de primaire fase waarin het besluit wordt genomen;</w:t>
      </w:r>
      <w:r w:rsidR="002F5740">
        <w:rPr>
          <w:rFonts w:eastAsia="Times New Roman" w:cs="Calibri"/>
        </w:rPr>
        <w:t xml:space="preserve"> </w:t>
      </w:r>
    </w:p>
    <w:p w:rsidR="00C00054" w:rsidP="005668BD" w14:paraId="70AC4B10" w14:textId="77777777">
      <w:pPr>
        <w:numPr>
          <w:ilvl w:val="0"/>
          <w:numId w:val="5"/>
        </w:numPr>
        <w:autoSpaceDN/>
        <w:spacing w:line="276" w:lineRule="auto"/>
        <w:textAlignment w:val="auto"/>
        <w:rPr>
          <w:rFonts w:eastAsia="Times New Roman" w:cs="Calibri"/>
        </w:rPr>
      </w:pPr>
      <w:r w:rsidRPr="00C00054">
        <w:rPr>
          <w:rFonts w:eastAsia="Times New Roman" w:cs="Calibri"/>
        </w:rPr>
        <w:t xml:space="preserve">trainingen en cursussen voor ambtenaren waarin gesprekstechnieken en </w:t>
      </w:r>
      <w:r w:rsidRPr="00C00054">
        <w:rPr>
          <w:rFonts w:eastAsia="Times New Roman" w:cs="Calibri"/>
        </w:rPr>
        <w:t>mediationvaardigheden</w:t>
      </w:r>
      <w:r w:rsidRPr="00C00054">
        <w:rPr>
          <w:rFonts w:eastAsia="Times New Roman" w:cs="Calibri"/>
        </w:rPr>
        <w:t xml:space="preserve"> kunnen worden ontwikkeld. </w:t>
      </w:r>
    </w:p>
    <w:p w:rsidR="00AC05EA" w:rsidP="005668BD" w14:paraId="1CC89715" w14:textId="77777777">
      <w:pPr>
        <w:autoSpaceDN/>
        <w:spacing w:line="276" w:lineRule="auto"/>
        <w:textAlignment w:val="auto"/>
        <w:rPr>
          <w:rFonts w:eastAsia="Times New Roman" w:cs="Calibri"/>
        </w:rPr>
      </w:pPr>
    </w:p>
    <w:p w:rsidRPr="00C00054" w:rsidR="00C00054" w:rsidP="005668BD" w14:paraId="5658B441" w14:textId="77777777">
      <w:pPr>
        <w:spacing w:line="276" w:lineRule="auto"/>
      </w:pPr>
      <w:r w:rsidRPr="00C00054">
        <w:rPr>
          <w:rFonts w:eastAsia="Verdana" w:cs="Verdana"/>
          <w:bCs/>
        </w:rPr>
        <w:t>Niet alleen is van belang dat ambtenaren</w:t>
      </w:r>
      <w:r w:rsidR="00AB43E1">
        <w:rPr>
          <w:rFonts w:eastAsia="Verdana" w:cs="Verdana"/>
          <w:bCs/>
        </w:rPr>
        <w:t xml:space="preserve"> </w:t>
      </w:r>
      <w:r w:rsidRPr="00C00054">
        <w:rPr>
          <w:rFonts w:eastAsia="Verdana" w:cs="Verdana"/>
          <w:bCs/>
        </w:rPr>
        <w:t xml:space="preserve">worden getraind om de goede gesprekken te voeren, maar ook dat een bestuursorgaan beziet of er in de organisatie en de werkwijze aanpassingen nodig zijn. Hieraan zal in het aangekondigde programma aandacht worden besteed. </w:t>
      </w:r>
    </w:p>
    <w:p w:rsidR="00C00054" w:rsidP="005668BD" w14:paraId="24080139" w14:textId="77777777">
      <w:pPr>
        <w:pStyle w:val="WitregelW1bodytekst"/>
        <w:spacing w:line="276" w:lineRule="auto"/>
      </w:pPr>
    </w:p>
    <w:p w:rsidRPr="001D7BFA" w:rsidR="001D7BFA" w:rsidP="005668BD" w14:paraId="119BF486" w14:textId="77777777">
      <w:pPr>
        <w:spacing w:line="276" w:lineRule="auto"/>
      </w:pPr>
    </w:p>
    <w:p w:rsidRPr="00C00054" w:rsidR="00C00054" w:rsidP="005668BD" w14:paraId="6223B8DA" w14:textId="77777777">
      <w:pPr>
        <w:spacing w:line="276" w:lineRule="auto"/>
      </w:pPr>
      <w:r w:rsidRPr="00C00054">
        <w:t>De Minister van Binnenlandse Zaken en Koninkrijksrelaties</w:t>
      </w:r>
      <w:r w:rsidRPr="00C00054">
        <w:rPr>
          <w:i/>
        </w:rPr>
        <w:t>,</w:t>
      </w:r>
    </w:p>
    <w:p w:rsidRPr="00C00054" w:rsidR="00C00054" w:rsidP="005668BD" w14:paraId="0F777889" w14:textId="77777777">
      <w:pPr>
        <w:spacing w:line="276" w:lineRule="auto"/>
      </w:pPr>
    </w:p>
    <w:p w:rsidRPr="00C00054" w:rsidR="00C00054" w:rsidP="005668BD" w14:paraId="7557E47A" w14:textId="77777777">
      <w:pPr>
        <w:spacing w:line="276" w:lineRule="auto"/>
      </w:pPr>
    </w:p>
    <w:p w:rsidRPr="00C00054" w:rsidR="00C00054" w:rsidP="005668BD" w14:paraId="47E50BD0" w14:textId="77777777">
      <w:pPr>
        <w:spacing w:line="276" w:lineRule="auto"/>
      </w:pPr>
    </w:p>
    <w:p w:rsidRPr="00C00054" w:rsidR="00C00054" w:rsidP="005668BD" w14:paraId="39030F31" w14:textId="77777777">
      <w:pPr>
        <w:spacing w:line="276" w:lineRule="auto"/>
      </w:pPr>
    </w:p>
    <w:p w:rsidRPr="00C00054" w:rsidR="00C00054" w:rsidP="005668BD" w14:paraId="456AA278" w14:textId="77777777">
      <w:pPr>
        <w:spacing w:line="276" w:lineRule="auto"/>
      </w:pPr>
    </w:p>
    <w:p w:rsidRPr="00C00054" w:rsidR="00C00054" w:rsidP="005668BD" w14:paraId="1E7EE6D0" w14:textId="77777777">
      <w:pPr>
        <w:spacing w:line="276" w:lineRule="auto"/>
      </w:pPr>
      <w:r w:rsidRPr="00C00054">
        <w:t>Pieter Heerma</w:t>
      </w:r>
    </w:p>
    <w:sectPr>
      <w:headerReference w:type="even" r:id="rId7"/>
      <w:headerReference w:type="default" r:id="rId8"/>
      <w:footerReference w:type="even" r:id="rId9"/>
      <w:footerReference w:type="default" r:id="rId10"/>
      <w:headerReference w:type="first" r:id="rId11"/>
      <w:footerReference w:type="first" r:id="rId12"/>
      <w:pgSz w:w="11905" w:h="16837"/>
      <w:pgMar w:top="3764" w:right="2777" w:bottom="1076" w:left="1587" w:header="0" w:footer="0" w:gutter="0"/>
      <w:cols w:space="708"/>
      <w:titlePg/>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panose1 w:val="00000000000000000000"/>
    <w:charset w:val="00"/>
    <w:family w:val="roman"/>
    <w:notTrueType/>
    <w:pitch w:val="default"/>
  </w:font>
  <w:font w:name="Lohit Hindi">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KIX Barcode">
    <w:panose1 w:val="020B7200000000000000"/>
    <w:charset w:val="00"/>
    <w:family w:val="swiss"/>
    <w:pitch w:val="variable"/>
    <w:sig w:usb0="80000003" w:usb1="00000000" w:usb2="00000000" w:usb3="00000000" w:csb0="0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E3CFF" w14:paraId="0725071F"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60F09" w14:paraId="5F6440BD" w14:textId="77777777">
    <w:pPr>
      <w:spacing w:after="1077" w:line="14"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E3CFF" w14:paraId="2F36962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3A5184" w14:paraId="7E4C8FC9" w14:textId="77777777">
      <w:pPr>
        <w:pStyle w:val="FootnoteText"/>
      </w:pPr>
      <w:r>
        <w:separator/>
      </w:r>
    </w:p>
  </w:footnote>
  <w:footnote w:type="continuationSeparator" w:id="1">
    <w:p w:rsidR="003A5184" w14:paraId="3E3A46C9" w14:textId="77777777">
      <w:pPr>
        <w:pStyle w:val="FootnoteText"/>
      </w:pPr>
    </w:p>
  </w:footnote>
  <w:footnote w:id="2">
    <w:p w:rsidR="00C00054" w:rsidRPr="00B64485" w:rsidP="00C00054" w14:paraId="255F9655" w14:textId="77777777">
      <w:pPr>
        <w:pStyle w:val="FootnoteText"/>
        <w:spacing w:line="240" w:lineRule="auto"/>
      </w:pPr>
      <w:r w:rsidRPr="00B64485">
        <w:rPr>
          <w:rStyle w:val="FootnoteReference"/>
        </w:rPr>
        <w:footnoteRef/>
      </w:r>
      <w:r w:rsidRPr="00B64485">
        <w:t xml:space="preserve"> Aan de slag – coalitieakkoord 2026-2030, p. 8. </w:t>
      </w:r>
    </w:p>
  </w:footnote>
  <w:footnote w:id="3">
    <w:p w:rsidR="00C00054" w:rsidRPr="00B64485" w:rsidP="00C00054" w14:paraId="5F16F399" w14:textId="1D2B84E1">
      <w:pPr>
        <w:spacing w:line="240" w:lineRule="auto"/>
        <w:rPr>
          <w:rFonts w:eastAsia="Verdana" w:cs="Verdana"/>
          <w:sz w:val="13"/>
          <w:szCs w:val="13"/>
        </w:rPr>
      </w:pPr>
      <w:r w:rsidRPr="00B64485">
        <w:rPr>
          <w:rStyle w:val="FootnoteReference"/>
          <w:sz w:val="13"/>
          <w:szCs w:val="13"/>
        </w:rPr>
        <w:footnoteRef/>
      </w:r>
      <w:r w:rsidRPr="00B64485">
        <w:rPr>
          <w:sz w:val="13"/>
          <w:szCs w:val="13"/>
        </w:rPr>
        <w:t xml:space="preserve"> O.a. de </w:t>
      </w:r>
      <w:r w:rsidRPr="00B64485">
        <w:rPr>
          <w:rFonts w:eastAsia="Verdana" w:cs="Verdana"/>
          <w:sz w:val="13"/>
          <w:szCs w:val="13"/>
        </w:rPr>
        <w:t>motie-</w:t>
      </w:r>
      <w:r w:rsidRPr="00B64485">
        <w:rPr>
          <w:rFonts w:eastAsia="Verdana" w:cs="Verdana"/>
          <w:sz w:val="13"/>
          <w:szCs w:val="13"/>
        </w:rPr>
        <w:t>Jetten</w:t>
      </w:r>
      <w:r w:rsidRPr="00B64485">
        <w:rPr>
          <w:rFonts w:eastAsia="Verdana" w:cs="Verdana"/>
          <w:sz w:val="13"/>
          <w:szCs w:val="13"/>
        </w:rPr>
        <w:t>/Marijnissen</w:t>
      </w:r>
      <w:r w:rsidR="00E4158A">
        <w:rPr>
          <w:rFonts w:eastAsia="Verdana" w:cs="Verdana"/>
          <w:sz w:val="13"/>
          <w:szCs w:val="13"/>
        </w:rPr>
        <w:t>,</w:t>
      </w:r>
      <w:r w:rsidRPr="00B64485">
        <w:rPr>
          <w:rFonts w:eastAsia="Verdana" w:cs="Verdana"/>
          <w:sz w:val="13"/>
          <w:szCs w:val="13"/>
        </w:rPr>
        <w:t xml:space="preserve"> Kamerstukken II 2020/21, 35510, nr. 15. Verder wordt in het wetsvoorstel uitvoering gegeven aan de motie-Teunissen c.s.</w:t>
      </w:r>
      <w:r w:rsidR="00E4158A">
        <w:rPr>
          <w:rFonts w:eastAsia="Verdana" w:cs="Verdana"/>
          <w:sz w:val="13"/>
          <w:szCs w:val="13"/>
        </w:rPr>
        <w:t xml:space="preserve"> (</w:t>
      </w:r>
      <w:r w:rsidRPr="00B64485">
        <w:rPr>
          <w:sz w:val="13"/>
          <w:szCs w:val="13"/>
        </w:rPr>
        <w:t>Kamerstukken II 2023/24, 36410 VII, nr. 60</w:t>
      </w:r>
      <w:r w:rsidR="00E4158A">
        <w:rPr>
          <w:sz w:val="13"/>
          <w:szCs w:val="13"/>
        </w:rPr>
        <w:t>)</w:t>
      </w:r>
      <w:r w:rsidRPr="00B64485">
        <w:rPr>
          <w:sz w:val="13"/>
          <w:szCs w:val="13"/>
        </w:rPr>
        <w:t xml:space="preserve">, de </w:t>
      </w:r>
      <w:r w:rsidRPr="00B64485">
        <w:rPr>
          <w:rFonts w:eastAsia="Verdana" w:cs="Verdana"/>
          <w:sz w:val="13"/>
          <w:szCs w:val="13"/>
        </w:rPr>
        <w:t>motie</w:t>
      </w:r>
      <w:r w:rsidR="00E4158A">
        <w:rPr>
          <w:rFonts w:eastAsia="Verdana" w:cs="Verdana"/>
          <w:sz w:val="13"/>
          <w:szCs w:val="13"/>
        </w:rPr>
        <w:noBreakHyphen/>
      </w:r>
      <w:r w:rsidRPr="00B64485">
        <w:rPr>
          <w:rFonts w:eastAsia="Verdana" w:cs="Verdana"/>
          <w:sz w:val="13"/>
          <w:szCs w:val="13"/>
        </w:rPr>
        <w:t>Grinwis</w:t>
      </w:r>
      <w:r w:rsidRPr="00B64485">
        <w:rPr>
          <w:rFonts w:eastAsia="Verdana" w:cs="Verdana"/>
          <w:sz w:val="13"/>
          <w:szCs w:val="13"/>
        </w:rPr>
        <w:t>/</w:t>
      </w:r>
      <w:r w:rsidRPr="00B64485">
        <w:rPr>
          <w:rFonts w:eastAsia="Verdana" w:cs="Verdana"/>
          <w:sz w:val="13"/>
          <w:szCs w:val="13"/>
        </w:rPr>
        <w:t>Leijten</w:t>
      </w:r>
      <w:r w:rsidRPr="00B64485">
        <w:rPr>
          <w:rFonts w:eastAsia="Verdana" w:cs="Verdana"/>
          <w:sz w:val="13"/>
          <w:szCs w:val="13"/>
        </w:rPr>
        <w:t xml:space="preserve"> </w:t>
      </w:r>
      <w:r w:rsidR="00E4158A">
        <w:rPr>
          <w:rFonts w:eastAsia="Verdana" w:cs="Verdana"/>
          <w:sz w:val="13"/>
          <w:szCs w:val="13"/>
        </w:rPr>
        <w:t>(</w:t>
      </w:r>
      <w:r w:rsidRPr="00B64485">
        <w:rPr>
          <w:rFonts w:eastAsia="Verdana" w:cs="Verdana"/>
          <w:sz w:val="13"/>
          <w:szCs w:val="13"/>
        </w:rPr>
        <w:t>Kamerstukken II 2020/21, 35510, nr. 73</w:t>
      </w:r>
      <w:r w:rsidR="00E4158A">
        <w:rPr>
          <w:rFonts w:eastAsia="Verdana" w:cs="Verdana"/>
          <w:sz w:val="13"/>
          <w:szCs w:val="13"/>
        </w:rPr>
        <w:t>)</w:t>
      </w:r>
      <w:r w:rsidRPr="00B64485">
        <w:rPr>
          <w:rFonts w:eastAsia="Verdana" w:cs="Verdana"/>
          <w:sz w:val="13"/>
          <w:szCs w:val="13"/>
        </w:rPr>
        <w:t xml:space="preserve">, de </w:t>
      </w:r>
      <w:r w:rsidRPr="00B64485">
        <w:rPr>
          <w:rFonts w:cs="Arial"/>
          <w:sz w:val="13"/>
          <w:szCs w:val="13"/>
        </w:rPr>
        <w:t xml:space="preserve">motie-Omtzigt c.s. </w:t>
      </w:r>
      <w:r w:rsidR="00E4158A">
        <w:rPr>
          <w:rFonts w:cs="Arial"/>
          <w:sz w:val="13"/>
          <w:szCs w:val="13"/>
        </w:rPr>
        <w:t>(</w:t>
      </w:r>
      <w:r w:rsidRPr="00B64485">
        <w:rPr>
          <w:rFonts w:cs="Arial"/>
          <w:sz w:val="13"/>
          <w:szCs w:val="13"/>
        </w:rPr>
        <w:t>Kamerstukken II 2021/22, 35925 VI, nr. 115</w:t>
      </w:r>
      <w:r w:rsidR="00E4158A">
        <w:rPr>
          <w:rFonts w:cs="Arial"/>
          <w:sz w:val="13"/>
          <w:szCs w:val="13"/>
        </w:rPr>
        <w:t>)</w:t>
      </w:r>
      <w:r w:rsidRPr="00B64485">
        <w:rPr>
          <w:rFonts w:cs="Arial"/>
          <w:sz w:val="13"/>
          <w:szCs w:val="13"/>
        </w:rPr>
        <w:t xml:space="preserve"> en </w:t>
      </w:r>
      <w:r w:rsidRPr="00B64485">
        <w:rPr>
          <w:sz w:val="13"/>
          <w:szCs w:val="13"/>
        </w:rPr>
        <w:t>d</w:t>
      </w:r>
      <w:r w:rsidRPr="00B64485">
        <w:rPr>
          <w:rFonts w:eastAsia="Verdana" w:cs="Verdana"/>
          <w:sz w:val="13"/>
          <w:szCs w:val="13"/>
        </w:rPr>
        <w:t xml:space="preserve">e </w:t>
      </w:r>
      <w:r w:rsidRPr="00B64485">
        <w:rPr>
          <w:sz w:val="13"/>
          <w:szCs w:val="13"/>
        </w:rPr>
        <w:t>motie</w:t>
      </w:r>
      <w:r w:rsidR="00E4158A">
        <w:rPr>
          <w:sz w:val="13"/>
          <w:szCs w:val="13"/>
        </w:rPr>
        <w:t>-</w:t>
      </w:r>
      <w:r w:rsidRPr="00B64485">
        <w:rPr>
          <w:sz w:val="13"/>
          <w:szCs w:val="13"/>
        </w:rPr>
        <w:t xml:space="preserve">Dijk </w:t>
      </w:r>
      <w:r w:rsidR="00E4158A">
        <w:rPr>
          <w:sz w:val="13"/>
          <w:szCs w:val="13"/>
        </w:rPr>
        <w:t>(</w:t>
      </w:r>
      <w:r w:rsidRPr="00B64485">
        <w:rPr>
          <w:sz w:val="13"/>
          <w:szCs w:val="13"/>
        </w:rPr>
        <w:t xml:space="preserve">Kamerstukken II 2024/25, </w:t>
      </w:r>
      <w:bookmarkStart w:id="0" w:name="_Hlk225850834"/>
      <w:r w:rsidRPr="00B64485">
        <w:rPr>
          <w:sz w:val="13"/>
          <w:szCs w:val="13"/>
        </w:rPr>
        <w:t>35867</w:t>
      </w:r>
      <w:bookmarkEnd w:id="0"/>
      <w:r w:rsidRPr="00B64485">
        <w:rPr>
          <w:sz w:val="13"/>
          <w:szCs w:val="13"/>
        </w:rPr>
        <w:t>, nr. 18</w:t>
      </w:r>
      <w:r w:rsidR="00E4158A">
        <w:rPr>
          <w:sz w:val="13"/>
          <w:szCs w:val="13"/>
        </w:rPr>
        <w:t>)</w:t>
      </w:r>
      <w:r w:rsidRPr="00B64485">
        <w:rPr>
          <w:sz w:val="13"/>
          <w:szCs w:val="13"/>
        </w:rPr>
        <w:t xml:space="preserve"> als het gaat om het bevorderen van persoonlijk contact. </w:t>
      </w:r>
    </w:p>
  </w:footnote>
  <w:footnote w:id="4">
    <w:p w:rsidR="00C00054" w:rsidRPr="00B64485" w:rsidP="00C00054" w14:paraId="0E8C21AE" w14:textId="6A6CA707">
      <w:pPr>
        <w:pStyle w:val="FootnoteText"/>
        <w:spacing w:line="240" w:lineRule="auto"/>
      </w:pPr>
      <w:r w:rsidRPr="00B64485">
        <w:rPr>
          <w:rStyle w:val="FootnoteReference"/>
        </w:rPr>
        <w:footnoteRef/>
      </w:r>
      <w:r w:rsidRPr="00B64485">
        <w:t xml:space="preserve"> </w:t>
      </w:r>
      <w:bookmarkStart w:id="1" w:name="_Hlk239855911"/>
      <w:r w:rsidRPr="00B64485">
        <w:t>Staatscommissie rechtsstaat</w:t>
      </w:r>
      <w:bookmarkEnd w:id="1"/>
      <w:r w:rsidRPr="00B64485">
        <w:t xml:space="preserve">, </w:t>
      </w:r>
      <w:r w:rsidRPr="00B64485">
        <w:rPr>
          <w:i/>
          <w:iCs/>
        </w:rPr>
        <w:t>De gebroken belofte van de rechtsstaat</w:t>
      </w:r>
      <w:r w:rsidRPr="00B64485">
        <w:t>, Den Haag 2024</w:t>
      </w:r>
      <w:r w:rsidR="00E4158A">
        <w:t>;</w:t>
      </w:r>
      <w:r w:rsidRPr="00B64485">
        <w:t xml:space="preserve"> bijlage bij Kamerstukken</w:t>
      </w:r>
      <w:r w:rsidR="00E4158A">
        <w:t> </w:t>
      </w:r>
      <w:r w:rsidRPr="00B64485">
        <w:t>II 2023/24, 29279, nr. 869, p. XIII.</w:t>
      </w:r>
    </w:p>
  </w:footnote>
  <w:footnote w:id="5">
    <w:p w:rsidR="00C00054" w:rsidRPr="00B64485" w:rsidP="00C00054" w14:paraId="30F4D5AC" w14:textId="40B51FB2">
      <w:pPr>
        <w:pStyle w:val="FootnoteText"/>
        <w:spacing w:line="240" w:lineRule="auto"/>
      </w:pPr>
      <w:r w:rsidRPr="00B64485">
        <w:rPr>
          <w:rStyle w:val="FootnoteReference"/>
        </w:rPr>
        <w:footnoteRef/>
      </w:r>
      <w:r w:rsidRPr="00B64485">
        <w:t xml:space="preserve"> Rapport van vijf Kinderombudsmannen ‘Het is niet jouw studieschuld’, </w:t>
      </w:r>
      <w:r w:rsidRPr="00E4158A">
        <w:t>opgesteld naar aanleiding van een landelijk meldpunt '</w:t>
      </w:r>
      <w:r w:rsidRPr="00E4158A">
        <w:rPr>
          <w:i/>
          <w:iCs/>
        </w:rPr>
        <w:t>Het is niet jouw</w:t>
      </w:r>
      <w:r w:rsidRPr="00E4158A">
        <w:t> (</w:t>
      </w:r>
      <w:r w:rsidRPr="00E4158A">
        <w:rPr>
          <w:i/>
          <w:iCs/>
        </w:rPr>
        <w:t>Studie)schuld!</w:t>
      </w:r>
      <w:r w:rsidRPr="00E4158A">
        <w:t>' voor gedupeerde jongeren van het toeslagenschandaal</w:t>
      </w:r>
      <w:r w:rsidR="00E4158A">
        <w:t>;</w:t>
      </w:r>
      <w:r w:rsidRPr="00E4158A">
        <w:t xml:space="preserve"> zie</w:t>
      </w:r>
      <w:r w:rsidRPr="00B64485">
        <w:rPr>
          <w:rFonts w:cs="Arial"/>
          <w:color w:val="474747"/>
          <w:shd w:val="clear" w:color="auto" w:fill="FFFFFF"/>
        </w:rPr>
        <w:t xml:space="preserve"> </w:t>
      </w:r>
      <w:hyperlink r:id="rId1" w:history="1">
        <w:r w:rsidRPr="00E4158A">
          <w:rPr>
            <w:rStyle w:val="Hyperlink"/>
            <w:rFonts w:cs="Arial"/>
            <w:color w:val="auto"/>
            <w:u w:val="none"/>
            <w:shd w:val="clear" w:color="auto" w:fill="FFFFFF"/>
          </w:rPr>
          <w:t>https://orr.nl/wp-content/uploads/2025/11/Rapport-resultaten-DUO-actie-Het-is-niet-jouw-studieschuld-2.pdf</w:t>
        </w:r>
      </w:hyperlink>
      <w:r w:rsidRPr="003E2A17">
        <w:t>.</w:t>
      </w:r>
      <w:r w:rsidRPr="003E2A17">
        <w:rPr>
          <w:rFonts w:cs="Arial"/>
          <w:shd w:val="clear" w:color="auto" w:fill="FFFFFF"/>
        </w:rPr>
        <w:t xml:space="preserve"> </w:t>
      </w:r>
    </w:p>
  </w:footnote>
  <w:footnote w:id="6">
    <w:p w:rsidR="00C00054" w:rsidRPr="00B64485" w:rsidP="00C00054" w14:paraId="3BB5E992" w14:textId="77777777">
      <w:pPr>
        <w:pStyle w:val="FootnoteText"/>
        <w:spacing w:line="240" w:lineRule="auto"/>
      </w:pPr>
      <w:r w:rsidRPr="00B64485">
        <w:rPr>
          <w:rStyle w:val="FootnoteReference"/>
        </w:rPr>
        <w:footnoteRef/>
      </w:r>
      <w:r w:rsidRPr="00B64485">
        <w:t xml:space="preserve"> In dit interdepartementale</w:t>
      </w:r>
      <w:r>
        <w:t xml:space="preserve"> </w:t>
      </w:r>
      <w:r w:rsidRPr="005D506E">
        <w:t>netwerk zijn</w:t>
      </w:r>
      <w:r w:rsidRPr="00B64485">
        <w:t xml:space="preserve"> tevens negen grote uitvoeringsorganisaties (Rijkswaterstaat, NVWA, IND, UWV, SVB, CAK, DUO, RVO, CBR) en de VNG vertegenwoordigd, evenals </w:t>
      </w:r>
      <w:r w:rsidRPr="00B64485">
        <w:t>Rijksbrede</w:t>
      </w:r>
      <w:r w:rsidRPr="00B64485">
        <w:t xml:space="preserve"> programma’s zoals het programma Werk aan uitvoering. </w:t>
      </w:r>
    </w:p>
  </w:footnote>
  <w:footnote w:id="7">
    <w:p w:rsidR="00C00054" w:rsidRPr="006976DF" w:rsidP="00C00054" w14:paraId="4CCE67D2" w14:textId="77777777">
      <w:pPr>
        <w:pStyle w:val="FootnoteText"/>
        <w:spacing w:line="240" w:lineRule="auto"/>
      </w:pPr>
      <w:r w:rsidRPr="00B64485">
        <w:rPr>
          <w:rStyle w:val="FootnoteReference"/>
        </w:rPr>
        <w:footnoteRef/>
      </w:r>
      <w:r w:rsidRPr="00B64485">
        <w:t xml:space="preserve"> Er zijn bilaterale gesprekken gevoerd met VNG, UWV, SVB, DUO, CAK, IND, Belastingdienst, Toeslagen, Douane en de Raad voor de rechtspraak.</w:t>
      </w:r>
      <w:r w:rsidRPr="006976DF">
        <w:t xml:space="preserve"> </w:t>
      </w:r>
    </w:p>
  </w:footnote>
  <w:footnote w:id="8">
    <w:p w:rsidR="00C00054" w:rsidRPr="00DF5F77" w:rsidP="00C00054" w14:paraId="2571BEB4" w14:textId="77777777">
      <w:pPr>
        <w:pStyle w:val="FootnoteText"/>
        <w:spacing w:line="240" w:lineRule="auto"/>
      </w:pPr>
      <w:r w:rsidRPr="00DF5F77">
        <w:rPr>
          <w:rStyle w:val="FootnoteReference"/>
        </w:rPr>
        <w:footnoteRef/>
      </w:r>
      <w:r w:rsidRPr="00DF5F77">
        <w:t xml:space="preserve"> Het ging om een pilotgesprek gefaciliteerd door het programma Werk aan uitvoering volgens de ‘</w:t>
      </w:r>
      <w:r w:rsidRPr="00DF5F77">
        <w:t>whole</w:t>
      </w:r>
      <w:r w:rsidRPr="00DF5F77">
        <w:t xml:space="preserve"> system in </w:t>
      </w:r>
      <w:r w:rsidRPr="00DF5F77">
        <w:t>the</w:t>
      </w:r>
      <w:r w:rsidRPr="00DF5F77">
        <w:t xml:space="preserve"> room’-methode, waarin belanghebbenden bij elkaar komen om dilemma’s en oplossingen in kaart te brengen.</w:t>
      </w:r>
    </w:p>
  </w:footnote>
  <w:footnote w:id="9">
    <w:p w:rsidR="00C00054" w:rsidRPr="00DF5F77" w:rsidP="00C00054" w14:paraId="17ADC9F2" w14:textId="5B0649E9">
      <w:pPr>
        <w:pStyle w:val="FootnoteText"/>
        <w:spacing w:line="240" w:lineRule="auto"/>
      </w:pPr>
      <w:r w:rsidRPr="00A51985">
        <w:rPr>
          <w:rStyle w:val="FootnoteReference"/>
        </w:rPr>
        <w:footnoteRef/>
      </w:r>
      <w:r w:rsidRPr="00A51985">
        <w:t xml:space="preserve"> Kamerstukken II 2024/25, 29279</w:t>
      </w:r>
      <w:r w:rsidR="00E4158A">
        <w:t>,</w:t>
      </w:r>
      <w:r w:rsidRPr="00A51985">
        <w:t xml:space="preserve"> nr. 981, met bijlage.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E3CFF" w14:paraId="177822E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60F09" w14:paraId="7DDB1B65" w14:textId="77777777">
    <w:r>
      <w:rPr>
        <w:noProof/>
      </w:rPr>
      <mc:AlternateContent>
        <mc:Choice Requires="wps">
          <w:drawing>
            <wp:anchor distT="0" distB="0" distL="0" distR="0" simplePos="0" relativeHeight="251658240" behindDoc="0" locked="1" layoutInCell="1" allowOverlap="1">
              <wp:simplePos x="0" y="0"/>
              <wp:positionH relativeFrom="page">
                <wp:posOffset>1007744</wp:posOffset>
              </wp:positionH>
              <wp:positionV relativeFrom="paragraph">
                <wp:posOffset>1965325</wp:posOffset>
              </wp:positionV>
              <wp:extent cx="4787900" cy="161290"/>
              <wp:effectExtent l="0" t="0" r="0" b="0"/>
              <wp:wrapNone/>
              <wp:docPr id="1" name="46feee07-aa3c-11ea-a756-beb5f67e67be"/>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290"/>
                      </a:xfrm>
                      <a:prstGeom prst="rect">
                        <a:avLst/>
                      </a:prstGeom>
                      <a:noFill/>
                    </wps:spPr>
                    <wps:txbx>
                      <w:txbxContent>
                        <w:p w:rsidR="000518E9" w14:textId="77777777"/>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46feee07-aa3c-11ea-a756-beb5f67e67be" o:spid="_x0000_s2049" type="#_x0000_t202" style="width:377pt;height:12.7pt;margin-top:154.75pt;margin-left:79.35pt;mso-position-horizontal-relative:page;mso-wrap-distance-bottom:0;mso-wrap-distance-left:0;mso-wrap-distance-right:0;mso-wrap-distance-top:0;mso-wrap-style:square;position:absolute;v-text-anchor:top;visibility:visible;z-index:251659264" filled="f" stroked="f">
              <v:textbox inset="0,0,0,0">
                <w:txbxContent>
                  <w:p w:rsidR="000518E9" w14:paraId="209D4981" w14:textId="77777777"/>
                </w:txbxContent>
              </v:textbox>
              <w10:anchorlock/>
            </v:shape>
          </w:pict>
        </mc:Fallback>
      </mc:AlternateContent>
    </w:r>
    <w:r>
      <w:rPr>
        <w:noProof/>
      </w:rPr>
      <mc:AlternateContent>
        <mc:Choice Requires="wps">
          <w:drawing>
            <wp:anchor distT="0" distB="0" distL="0" distR="0" simplePos="0" relativeHeight="251660288" behindDoc="0" locked="1" layoutInCell="1" allowOverlap="1">
              <wp:simplePos x="0" y="0"/>
              <wp:positionH relativeFrom="page">
                <wp:posOffset>5921375</wp:posOffset>
              </wp:positionH>
              <wp:positionV relativeFrom="paragraph">
                <wp:posOffset>1965325</wp:posOffset>
              </wp:positionV>
              <wp:extent cx="1277620" cy="8009890"/>
              <wp:effectExtent l="0" t="0" r="0" b="0"/>
              <wp:wrapNone/>
              <wp:docPr id="2" name="46fef022-aa3c-11ea-a756-beb5f67e67be" descr="Colofon"/>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7620" cy="8009890"/>
                      </a:xfrm>
                      <a:prstGeom prst="rect">
                        <a:avLst/>
                      </a:prstGeom>
                      <a:noFill/>
                    </wps:spPr>
                    <wps:txbx>
                      <w:txbxContent>
                        <w:p w:rsidR="004E0858" w:rsidP="004E0858" w14:textId="77777777">
                          <w:pPr>
                            <w:pStyle w:val="Referentiegegevensbold"/>
                          </w:pPr>
                          <w:r>
                            <w:t>DG Openbaar Bestuur &amp; Democratische Rechtsstaat</w:t>
                          </w:r>
                        </w:p>
                        <w:p w:rsidR="00FA64E9" w:rsidP="00FA64E9" w14:textId="77777777">
                          <w:pPr>
                            <w:pStyle w:val="Referentiegegevens"/>
                          </w:pPr>
                          <w:r>
                            <w:t>Directie Constitutionele Zaken en Wetgeving</w:t>
                          </w:r>
                        </w:p>
                        <w:p w:rsidR="00FA64E9" w:rsidP="00FA64E9" w14:textId="77777777">
                          <w:pPr>
                            <w:pStyle w:val="Referentiegegevens"/>
                          </w:pPr>
                          <w:r>
                            <w:t>Afdeling Bestuursrecht</w:t>
                          </w:r>
                        </w:p>
                        <w:p w:rsidR="004E0858" w:rsidP="004E0858" w14:textId="77777777">
                          <w:pPr>
                            <w:pStyle w:val="WitregelW1"/>
                          </w:pPr>
                        </w:p>
                        <w:p w:rsidR="00B91BE8" w14:textId="30047497">
                          <w:pPr>
                            <w:pStyle w:val="Referentiegegevens"/>
                          </w:pPr>
                          <w:r>
                            <w:fldChar w:fldCharType="begin"/>
                          </w:r>
                          <w:r>
                            <w:instrText xml:space="preserve"> DOCPROPERTY  "Datum"  \* MERGEFORMAT </w:instrText>
                          </w:r>
                          <w:r>
                            <w:fldChar w:fldCharType="separate"/>
                          </w:r>
                          <w:r>
                            <w:fldChar w:fldCharType="end"/>
                          </w:r>
                        </w:p>
                        <w:p w:rsidR="00760F09" w14:textId="77777777">
                          <w:pPr>
                            <w:pStyle w:val="WitregelW1"/>
                          </w:pPr>
                        </w:p>
                        <w:p w:rsidR="00760F09" w14:textId="77777777">
                          <w:pPr>
                            <w:pStyle w:val="Referentiegegevensbold"/>
                          </w:pPr>
                          <w:r>
                            <w:t>Onze referentie</w:t>
                          </w:r>
                        </w:p>
                        <w:p w:rsidR="00DF7F98" w14:textId="40E8AB43">
                          <w:pPr>
                            <w:pStyle w:val="Referentiegegevens"/>
                          </w:pPr>
                          <w:r>
                            <w:fldChar w:fldCharType="begin"/>
                          </w:r>
                          <w:r>
                            <w:instrText xml:space="preserve"> DOCPROPERTY  "Kenmerk"  \* MERGEFORMAT </w:instrText>
                          </w:r>
                          <w:r>
                            <w:fldChar w:fldCharType="separate"/>
                          </w:r>
                          <w:r w:rsidR="007E6D05">
                            <w:t>2026-0000479468</w:t>
                          </w:r>
                          <w:r w:rsidR="007E6D05">
                            <w:fldChar w:fldCharType="end"/>
                          </w:r>
                        </w:p>
                      </w:txbxContent>
                    </wps:txbx>
                    <wps:bodyPr vert="horz" wrap="square" lIns="0" tIns="0" rIns="0" bIns="0" anchor="t" anchorCtr="0"/>
                  </wps:wsp>
                </a:graphicData>
              </a:graphic>
            </wp:anchor>
          </w:drawing>
        </mc:Choice>
        <mc:Fallback>
          <w:pict>
            <v:shape id="46fef022-aa3c-11ea-a756-beb5f67e67be" o:spid="_x0000_s2050" type="#_x0000_t202" alt="Colofon" style="width:100.6pt;height:630.7pt;margin-top:154.75pt;margin-left:466.25pt;mso-position-horizontal-relative:page;mso-wrap-distance-bottom:0;mso-wrap-distance-left:0;mso-wrap-distance-right:0;mso-wrap-distance-top:0;mso-wrap-style:square;position:absolute;v-text-anchor:top;visibility:visible;z-index:251661312" filled="f" stroked="f">
              <v:textbox inset="0,0,0,0">
                <w:txbxContent>
                  <w:p w:rsidR="004E0858" w:rsidP="004E0858" w14:paraId="4AC280C3" w14:textId="77777777">
                    <w:pPr>
                      <w:pStyle w:val="Referentiegegevensbold"/>
                    </w:pPr>
                    <w:r>
                      <w:t>DG Openbaar Bestuur &amp; Democratische Rechtsstaat</w:t>
                    </w:r>
                  </w:p>
                  <w:p w:rsidR="00FA64E9" w:rsidP="00FA64E9" w14:paraId="54E18009" w14:textId="77777777">
                    <w:pPr>
                      <w:pStyle w:val="Referentiegegevens"/>
                    </w:pPr>
                    <w:r>
                      <w:t>Directie Constitutionele Zaken en Wetgeving</w:t>
                    </w:r>
                  </w:p>
                  <w:p w:rsidR="00FA64E9" w:rsidP="00FA64E9" w14:paraId="69F9ABD7" w14:textId="77777777">
                    <w:pPr>
                      <w:pStyle w:val="Referentiegegevens"/>
                    </w:pPr>
                    <w:r>
                      <w:t>Afdeling Bestuursrecht</w:t>
                    </w:r>
                  </w:p>
                  <w:p w:rsidR="004E0858" w:rsidP="004E0858" w14:paraId="01B9C140" w14:textId="77777777">
                    <w:pPr>
                      <w:pStyle w:val="WitregelW1"/>
                    </w:pPr>
                  </w:p>
                  <w:p w:rsidR="00B91BE8" w14:paraId="5458CA10" w14:textId="30047497">
                    <w:pPr>
                      <w:pStyle w:val="Referentiegegevens"/>
                    </w:pPr>
                    <w:r>
                      <w:fldChar w:fldCharType="begin"/>
                    </w:r>
                    <w:r>
                      <w:instrText xml:space="preserve"> DOCPROPERTY  "Datum"  \* MERGEFORMAT </w:instrText>
                    </w:r>
                    <w:r>
                      <w:fldChar w:fldCharType="separate"/>
                    </w:r>
                    <w:r>
                      <w:fldChar w:fldCharType="end"/>
                    </w:r>
                  </w:p>
                  <w:p w:rsidR="00760F09" w14:paraId="3BD8A7BB" w14:textId="77777777">
                    <w:pPr>
                      <w:pStyle w:val="WitregelW1"/>
                    </w:pPr>
                  </w:p>
                  <w:p w:rsidR="00760F09" w14:paraId="01A77FB0" w14:textId="77777777">
                    <w:pPr>
                      <w:pStyle w:val="Referentiegegevensbold"/>
                    </w:pPr>
                    <w:r>
                      <w:t>Onze referentie</w:t>
                    </w:r>
                  </w:p>
                  <w:p w:rsidR="00DF7F98" w14:paraId="11DA32BF" w14:textId="40E8AB43">
                    <w:pPr>
                      <w:pStyle w:val="Referentiegegevens"/>
                    </w:pPr>
                    <w:r>
                      <w:fldChar w:fldCharType="begin"/>
                    </w:r>
                    <w:r>
                      <w:instrText xml:space="preserve"> DOCPROPERTY  "Kenmerk"  \* MERGEFORMAT </w:instrText>
                    </w:r>
                    <w:r>
                      <w:fldChar w:fldCharType="separate"/>
                    </w:r>
                    <w:r w:rsidR="007E6D05">
                      <w:t>2026-0000479468</w:t>
                    </w:r>
                    <w:r w:rsidR="007E6D05">
                      <w:fldChar w:fldCharType="end"/>
                    </w:r>
                  </w:p>
                </w:txbxContent>
              </v:textbox>
              <w10:anchorlock/>
            </v:shape>
          </w:pict>
        </mc:Fallback>
      </mc:AlternateContent>
    </w:r>
    <w:r>
      <w:rPr>
        <w:noProof/>
      </w:rPr>
      <mc:AlternateContent>
        <mc:Choice Requires="wps">
          <w:drawing>
            <wp:anchor distT="0" distB="0" distL="0" distR="0" simplePos="0" relativeHeight="251662336" behindDoc="0" locked="1" layoutInCell="1" allowOverlap="1">
              <wp:simplePos x="0" y="0"/>
              <wp:positionH relativeFrom="page">
                <wp:posOffset>1007744</wp:posOffset>
              </wp:positionH>
              <wp:positionV relativeFrom="paragraph">
                <wp:posOffset>10194925</wp:posOffset>
              </wp:positionV>
              <wp:extent cx="4787900" cy="161925"/>
              <wp:effectExtent l="0" t="0" r="0" b="0"/>
              <wp:wrapNone/>
              <wp:docPr id="3" name="46fef0b8-aa3c-11ea-a756-beb5f67e67be" descr="Voettekst"/>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925"/>
                      </a:xfrm>
                      <a:prstGeom prst="rect">
                        <a:avLst/>
                      </a:prstGeom>
                      <a:noFill/>
                    </wps:spPr>
                    <wps:txbx>
                      <w:txbxContent>
                        <w:p w:rsidR="000518E9" w14:textId="77777777"/>
                      </w:txbxContent>
                    </wps:txbx>
                    <wps:bodyPr vert="horz" wrap="square" lIns="0" tIns="0" rIns="0" bIns="0" anchor="t" anchorCtr="0"/>
                  </wps:wsp>
                </a:graphicData>
              </a:graphic>
            </wp:anchor>
          </w:drawing>
        </mc:Choice>
        <mc:Fallback>
          <w:pict>
            <v:shape id="46fef0b8-aa3c-11ea-a756-beb5f67e67be" o:spid="_x0000_s2051" type="#_x0000_t202" alt="Voettekst" style="width:377pt;height:12.75pt;margin-top:802.75pt;margin-left:79.35pt;mso-position-horizontal-relative:page;mso-wrap-distance-bottom:0;mso-wrap-distance-left:0;mso-wrap-distance-right:0;mso-wrap-distance-top:0;mso-wrap-style:square;position:absolute;v-text-anchor:top;visibility:visible;z-index:251663360" filled="f" stroked="f">
              <v:textbox inset="0,0,0,0">
                <w:txbxContent>
                  <w:p w:rsidR="000518E9" w14:paraId="03F14EF7" w14:textId="77777777"/>
                </w:txbxContent>
              </v:textbox>
              <w10:anchorlock/>
            </v:shape>
          </w:pict>
        </mc:Fallback>
      </mc:AlternateContent>
    </w:r>
    <w:r>
      <w:rPr>
        <w:noProof/>
      </w:rPr>
      <mc:AlternateContent>
        <mc:Choice Requires="wps">
          <w:drawing>
            <wp:anchor distT="0" distB="0" distL="0" distR="0" simplePos="0" relativeHeight="251664384" behindDoc="0" locked="1" layoutInCell="1" allowOverlap="1">
              <wp:simplePos x="0" y="0"/>
              <wp:positionH relativeFrom="page">
                <wp:posOffset>5921375</wp:posOffset>
              </wp:positionH>
              <wp:positionV relativeFrom="paragraph">
                <wp:posOffset>10194925</wp:posOffset>
              </wp:positionV>
              <wp:extent cx="1285875" cy="161925"/>
              <wp:effectExtent l="0" t="0" r="0" b="0"/>
              <wp:wrapNone/>
              <wp:docPr id="4" name="46fef06f-aa3c-11ea-a756-beb5f67e67be" descr="Paginanummering"/>
              <wp:cNvGraphicFramePr/>
              <a:graphic xmlns:a="http://schemas.openxmlformats.org/drawingml/2006/main">
                <a:graphicData uri="http://schemas.microsoft.com/office/word/2010/wordprocessingShape">
                  <wps:wsp xmlns:wps="http://schemas.microsoft.com/office/word/2010/wordprocessingShape">
                    <wps:cNvSpPr txBox="1"/>
                    <wps:spPr>
                      <a:xfrm>
                        <a:off x="0" y="0"/>
                        <a:ext cx="1285875" cy="161925"/>
                      </a:xfrm>
                      <a:prstGeom prst="rect">
                        <a:avLst/>
                      </a:prstGeom>
                      <a:noFill/>
                    </wps:spPr>
                    <wps:txbx>
                      <w:txbxContent>
                        <w:p w:rsidR="00B91BE8"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id="46fef06f-aa3c-11ea-a756-beb5f67e67be" o:spid="_x0000_s2052" type="#_x0000_t202" alt="Paginanummering" style="width:101.25pt;height:12.75pt;margin-top:802.75pt;margin-left:466.25pt;mso-position-horizontal-relative:page;mso-wrap-distance-bottom:0;mso-wrap-distance-left:0;mso-wrap-distance-right:0;mso-wrap-distance-top:0;mso-wrap-style:square;position:absolute;v-text-anchor:top;visibility:visible;z-index:251665408" filled="f" stroked="f">
              <v:textbox inset="0,0,0,0">
                <w:txbxContent>
                  <w:p w:rsidR="00B91BE8" w14:paraId="40B3FB9A"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v:textbox>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60F09" w14:paraId="42C36BEF" w14:textId="77777777">
    <w:pPr>
      <w:spacing w:after="6377" w:line="14" w:lineRule="exact"/>
    </w:pPr>
    <w:r>
      <w:rPr>
        <w:noProof/>
      </w:rPr>
      <mc:AlternateContent>
        <mc:Choice Requires="wps">
          <w:drawing>
            <wp:anchor distT="0" distB="0" distL="0" distR="0" simplePos="0" relativeHeight="251666432" behindDoc="0" locked="1" layoutInCell="1" allowOverlap="1">
              <wp:simplePos x="0" y="0"/>
              <wp:positionH relativeFrom="page">
                <wp:posOffset>3545840</wp:posOffset>
              </wp:positionH>
              <wp:positionV relativeFrom="paragraph">
                <wp:posOffset>0</wp:posOffset>
              </wp:positionV>
              <wp:extent cx="467995" cy="1583055"/>
              <wp:effectExtent l="0" t="0" r="0" b="0"/>
              <wp:wrapNone/>
              <wp:docPr id="5" name="8cd303e7-05ab-474b-9412-44e5272a8f7f" descr="Container voor beeldmerk"/>
              <wp:cNvGraphicFramePr/>
              <a:graphic xmlns:a="http://schemas.openxmlformats.org/drawingml/2006/main">
                <a:graphicData uri="http://schemas.microsoft.com/office/word/2010/wordprocessingShape">
                  <wps:wsp xmlns:wps="http://schemas.microsoft.com/office/word/2010/wordprocessingShape">
                    <wps:cNvSpPr txBox="1"/>
                    <wps:spPr>
                      <a:xfrm>
                        <a:off x="0" y="0"/>
                        <a:ext cx="467995" cy="1583055"/>
                      </a:xfrm>
                      <a:prstGeom prst="rect">
                        <a:avLst/>
                      </a:prstGeom>
                      <a:noFill/>
                    </wps:spPr>
                    <wps:txbx>
                      <w:txbxContent>
                        <w:p w:rsidR="00760F09" w14:textId="77777777">
                          <w:pPr>
                            <w:spacing w:line="240" w:lineRule="auto"/>
                          </w:pPr>
                          <w:r>
                            <w:rPr>
                              <w:noProof/>
                            </w:rPr>
                            <w:drawing>
                              <wp:inline distT="0" distB="0" distL="0" distR="0">
                                <wp:extent cx="467995" cy="1583865"/>
                                <wp:effectExtent l="0" t="0" r="0" b="0"/>
                                <wp:docPr id="597819119"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597819119" name="Logo"/>
                                        <pic:cNvPicPr/>
                                      </pic:nvPicPr>
                                      <pic:blipFill>
                                        <a:blip xmlns:r="http://schemas.openxmlformats.org/officeDocument/2006/relationships"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8cd303e7-05ab-474b-9412-44e5272a8f7f" o:spid="_x0000_s2053" type="#_x0000_t202" alt="Container voor beeldmerk" style="width:36.85pt;height:124.65pt;margin-top:0;margin-left:279.2pt;mso-position-horizontal-relative:page;mso-wrap-distance-bottom:0;mso-wrap-distance-left:0;mso-wrap-distance-right:0;mso-wrap-distance-top:0;mso-wrap-style:square;position:absolute;v-text-anchor:top;visibility:visible;z-index:251667456" filled="f" stroked="f">
              <v:textbox inset="0,0,0,0">
                <w:txbxContent>
                  <w:p w:rsidR="00760F09" w14:paraId="1F88FC46" w14:textId="77777777">
                    <w:pPr>
                      <w:spacing w:line="240" w:lineRule="auto"/>
                    </w:pPr>
                    <w:drawing>
                      <wp:inline distT="0" distB="0" distL="0" distR="0">
                        <wp:extent cx="467995" cy="1583865"/>
                        <wp:effectExtent l="0" t="0" r="0" b="0"/>
                        <wp:docPr id="6"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6" name="Logo"/>
                                <pic:cNvPicPr/>
                              </pic:nvPicPr>
                              <pic:blipFill>
                                <a:blip xmlns:r="http://schemas.openxmlformats.org/officeDocument/2006/relationships" r:embed="rId1"/>
                                <a:stretch>
                                  <a:fillRect/>
                                </a:stretch>
                              </pic:blipFill>
                              <pic:spPr bwMode="auto">
                                <a:xfrm>
                                  <a:off x="0" y="0"/>
                                  <a:ext cx="467995" cy="1583865"/>
                                </a:xfrm>
                                <a:prstGeom prst="rect">
                                  <a:avLst/>
                                </a:prstGeom>
                              </pic:spPr>
                            </pic:pic>
                          </a:graphicData>
                        </a:graphic>
                      </wp:inline>
                    </w:drawing>
                  </w:p>
                </w:txbxContent>
              </v:textbox>
              <w10:anchorlock/>
            </v:shape>
          </w:pict>
        </mc:Fallback>
      </mc:AlternateContent>
    </w:r>
    <w:r>
      <w:rPr>
        <w:noProof/>
      </w:rPr>
      <mc:AlternateContent>
        <mc:Choice Requires="wps">
          <w:drawing>
            <wp:anchor distT="0" distB="0" distL="0" distR="0" simplePos="0" relativeHeight="251668480" behindDoc="0" locked="1" layoutInCell="1" allowOverlap="1">
              <wp:simplePos x="0" y="0"/>
              <wp:positionH relativeFrom="page">
                <wp:posOffset>3995420</wp:posOffset>
              </wp:positionH>
              <wp:positionV relativeFrom="paragraph">
                <wp:posOffset>0</wp:posOffset>
              </wp:positionV>
              <wp:extent cx="2339975" cy="1583690"/>
              <wp:effectExtent l="0" t="0" r="0" b="0"/>
              <wp:wrapNone/>
              <wp:docPr id="7" name="583cb846-a587-474e-9efc-17a024d629a0" descr="Container voor woordmerk"/>
              <wp:cNvGraphicFramePr/>
              <a:graphic xmlns:a="http://schemas.openxmlformats.org/drawingml/2006/main">
                <a:graphicData uri="http://schemas.microsoft.com/office/word/2010/wordprocessingShape">
                  <wps:wsp xmlns:wps="http://schemas.microsoft.com/office/word/2010/wordprocessingShape">
                    <wps:cNvSpPr txBox="1"/>
                    <wps:spPr>
                      <a:xfrm>
                        <a:off x="0" y="0"/>
                        <a:ext cx="2339975" cy="1583690"/>
                      </a:xfrm>
                      <a:prstGeom prst="rect">
                        <a:avLst/>
                      </a:prstGeom>
                      <a:noFill/>
                    </wps:spPr>
                    <wps:txbx>
                      <w:txbxContent>
                        <w:p w:rsidR="00760F09" w14:textId="77777777">
                          <w:pPr>
                            <w:spacing w:line="240" w:lineRule="auto"/>
                          </w:pPr>
                          <w:r>
                            <w:rPr>
                              <w:noProof/>
                            </w:rPr>
                            <w:drawing>
                              <wp:inline distT="0" distB="0" distL="0" distR="0">
                                <wp:extent cx="2339975" cy="1582834"/>
                                <wp:effectExtent l="0" t="0" r="0" b="0"/>
                                <wp:docPr id="1893326251" name="Logotype"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1893326251" name="Logotype"/>
                                        <pic:cNvPicPr/>
                                      </pic:nvPicPr>
                                      <pic:blipFill>
                                        <a:blip xmlns:r="http://schemas.openxmlformats.org/officeDocument/2006/relationships"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id="583cb846-a587-474e-9efc-17a024d629a0" o:spid="_x0000_s2054" type="#_x0000_t202" alt="Container voor woordmerk" style="width:184.25pt;height:124.7pt;margin-top:0;margin-left:314.6pt;mso-position-horizontal-relative:page;mso-wrap-distance-bottom:0;mso-wrap-distance-left:0;mso-wrap-distance-right:0;mso-wrap-distance-top:0;mso-wrap-style:square;position:absolute;v-text-anchor:top;visibility:visible;z-index:251669504" filled="f" stroked="f">
              <v:textbox inset="0,0,0,0">
                <w:txbxContent>
                  <w:p w:rsidR="00760F09" w14:paraId="4E66CA28" w14:textId="77777777">
                    <w:pPr>
                      <w:spacing w:line="240" w:lineRule="auto"/>
                    </w:pPr>
                    <w:drawing>
                      <wp:inline distT="0" distB="0" distL="0" distR="0">
                        <wp:extent cx="2339975" cy="1582834"/>
                        <wp:effectExtent l="0" t="0" r="0" b="0"/>
                        <wp:docPr id="8" name="Logotype"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8" name="Logotype"/>
                                <pic:cNvPicPr/>
                              </pic:nvPicPr>
                              <pic:blipFill>
                                <a:blip xmlns:r="http://schemas.openxmlformats.org/officeDocument/2006/relationships" r:embed="rId2"/>
                                <a:stretch>
                                  <a:fillRect/>
                                </a:stretch>
                              </pic:blipFill>
                              <pic:spPr bwMode="auto">
                                <a:xfrm>
                                  <a:off x="0" y="0"/>
                                  <a:ext cx="2339975" cy="1582834"/>
                                </a:xfrm>
                                <a:prstGeom prst="rect">
                                  <a:avLst/>
                                </a:prstGeom>
                              </pic:spPr>
                            </pic:pic>
                          </a:graphicData>
                        </a:graphic>
                      </wp:inline>
                    </w:drawing>
                  </w:p>
                </w:txbxContent>
              </v:textbox>
              <w10:anchorlock/>
            </v:shape>
          </w:pict>
        </mc:Fallback>
      </mc:AlternateContent>
    </w:r>
    <w:r>
      <w:rPr>
        <w:noProof/>
      </w:rPr>
      <mc:AlternateContent>
        <mc:Choice Requires="wps">
          <w:drawing>
            <wp:anchor distT="0" distB="0" distL="0" distR="0" simplePos="0" relativeHeight="251670528" behindDoc="0" locked="1" layoutInCell="1" allowOverlap="1">
              <wp:simplePos x="0" y="0"/>
              <wp:positionH relativeFrom="page">
                <wp:posOffset>1010919</wp:posOffset>
              </wp:positionH>
              <wp:positionV relativeFrom="paragraph">
                <wp:posOffset>1720214</wp:posOffset>
              </wp:positionV>
              <wp:extent cx="4787900" cy="161925"/>
              <wp:effectExtent l="0" t="0" r="0" b="0"/>
              <wp:wrapNone/>
              <wp:docPr id="9" name="f053fe88-db2b-430b-bcc5-fbb915a19314"/>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925"/>
                      </a:xfrm>
                      <a:prstGeom prst="rect">
                        <a:avLst/>
                      </a:prstGeom>
                      <a:noFill/>
                    </wps:spPr>
                    <wps:txbx>
                      <w:txbxContent>
                        <w:p w:rsidR="00760F09" w14:textId="77777777">
                          <w:pPr>
                            <w:pStyle w:val="Referentiegegevens"/>
                          </w:pPr>
                          <w:r>
                            <w:t>&gt; Retouradres Postbus 20011 2500 EA  Den Haag</w:t>
                          </w:r>
                        </w:p>
                      </w:txbxContent>
                    </wps:txbx>
                    <wps:bodyPr vert="horz" wrap="square" lIns="0" tIns="0" rIns="0" bIns="0" anchor="t" anchorCtr="0"/>
                  </wps:wsp>
                </a:graphicData>
              </a:graphic>
            </wp:anchor>
          </w:drawing>
        </mc:Choice>
        <mc:Fallback>
          <w:pict>
            <v:shape id="f053fe88-db2b-430b-bcc5-fbb915a19314" o:spid="_x0000_s2055" type="#_x0000_t202" style="width:377pt;height:12.75pt;margin-top:135.45pt;margin-left:79.6pt;mso-position-horizontal-relative:page;mso-wrap-distance-bottom:0;mso-wrap-distance-left:0;mso-wrap-distance-right:0;mso-wrap-distance-top:0;mso-wrap-style:square;position:absolute;v-text-anchor:top;visibility:visible;z-index:251671552" filled="f" stroked="f">
              <v:textbox inset="0,0,0,0">
                <w:txbxContent>
                  <w:p w:rsidR="00760F09" w14:paraId="6621D170" w14:textId="77777777">
                    <w:pPr>
                      <w:pStyle w:val="Referentiegegevens"/>
                    </w:pPr>
                    <w:r>
                      <w:t>&gt; Retouradres Postbus 20011 2500 EA  Den Haag</w:t>
                    </w:r>
                  </w:p>
                </w:txbxContent>
              </v:textbox>
              <w10:anchorlock/>
            </v:shape>
          </w:pict>
        </mc:Fallback>
      </mc:AlternateContent>
    </w:r>
    <w:r>
      <w:rPr>
        <w:noProof/>
      </w:rPr>
      <mc:AlternateContent>
        <mc:Choice Requires="wps">
          <w:drawing>
            <wp:anchor distT="0" distB="0" distL="0" distR="0" simplePos="0" relativeHeight="251672576" behindDoc="0" locked="1" layoutInCell="1" allowOverlap="1">
              <wp:simplePos x="0" y="0"/>
              <wp:positionH relativeFrom="page">
                <wp:posOffset>1007744</wp:posOffset>
              </wp:positionH>
              <wp:positionV relativeFrom="paragraph">
                <wp:posOffset>1954530</wp:posOffset>
              </wp:positionV>
              <wp:extent cx="4787900" cy="1115695"/>
              <wp:effectExtent l="0" t="0" r="0" b="0"/>
              <wp:wrapNone/>
              <wp:docPr id="10" name="d302f2a1-bb28-4417-9701-e3b1450e5fb6" descr="Adresvak"/>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115695"/>
                      </a:xfrm>
                      <a:prstGeom prst="rect">
                        <a:avLst/>
                      </a:prstGeom>
                      <a:noFill/>
                    </wps:spPr>
                    <wps:txbx>
                      <w:txbxContent>
                        <w:p w:rsidR="00760F09" w14:textId="77777777">
                          <w:r>
                            <w:t>Aan de Voorzitter van de Tweede Kamer der Staten-Generaal</w:t>
                          </w:r>
                        </w:p>
                        <w:p w:rsidR="00C00054" w:rsidP="00C00054" w14:textId="77777777">
                          <w:r>
                            <w:t>Postbus 20018</w:t>
                          </w:r>
                        </w:p>
                        <w:p w:rsidR="00C00054" w:rsidP="00C00054" w14:textId="77777777">
                          <w:r>
                            <w:t>2500 EA  DEN HAAG</w:t>
                          </w:r>
                        </w:p>
                        <w:p w:rsidR="00C00054" w:rsidP="00C00054" w14:textId="77777777">
                          <w:pPr>
                            <w:pStyle w:val="KixBarcode"/>
                          </w:pPr>
                          <w:r>
                            <w:t>2500EA20018</w:t>
                          </w:r>
                        </w:p>
                        <w:p w:rsidR="00C00054" w14:textId="77777777"/>
                      </w:txbxContent>
                    </wps:txbx>
                    <wps:bodyPr vert="horz" wrap="square" lIns="0" tIns="0" rIns="0" bIns="0" anchor="t" anchorCtr="0"/>
                  </wps:wsp>
                </a:graphicData>
              </a:graphic>
            </wp:anchor>
          </w:drawing>
        </mc:Choice>
        <mc:Fallback>
          <w:pict>
            <v:shape id="d302f2a1-bb28-4417-9701-e3b1450e5fb6" o:spid="_x0000_s2056" type="#_x0000_t202" alt="Adresvak" style="width:377pt;height:87.85pt;margin-top:153.9pt;margin-left:79.35pt;mso-position-horizontal-relative:page;mso-wrap-distance-bottom:0;mso-wrap-distance-left:0;mso-wrap-distance-right:0;mso-wrap-distance-top:0;mso-wrap-style:square;position:absolute;v-text-anchor:top;visibility:visible;z-index:251673600" filled="f" stroked="f">
              <v:textbox inset="0,0,0,0">
                <w:txbxContent>
                  <w:p w:rsidR="00760F09" w14:paraId="760F4E91" w14:textId="77777777">
                    <w:r>
                      <w:t>Aan de Voorzitter van de Tweede Kamer der Staten-Generaal</w:t>
                    </w:r>
                  </w:p>
                  <w:p w:rsidR="00C00054" w:rsidP="00C00054" w14:paraId="44461752" w14:textId="77777777">
                    <w:r>
                      <w:t>Postbus 20018</w:t>
                    </w:r>
                  </w:p>
                  <w:p w:rsidR="00C00054" w:rsidP="00C00054" w14:paraId="4FF98E5D" w14:textId="77777777">
                    <w:r>
                      <w:t>2500 EA  DEN HAAG</w:t>
                    </w:r>
                  </w:p>
                  <w:p w:rsidR="00C00054" w:rsidP="00C00054" w14:paraId="33D75D01" w14:textId="77777777">
                    <w:pPr>
                      <w:pStyle w:val="KixBarcode"/>
                    </w:pPr>
                    <w:r>
                      <w:t>2500EA20018</w:t>
                    </w:r>
                  </w:p>
                  <w:p w:rsidR="00C00054" w14:paraId="6817B352" w14:textId="77777777"/>
                </w:txbxContent>
              </v:textbox>
              <w10:anchorlock/>
            </v:shape>
          </w:pict>
        </mc:Fallback>
      </mc:AlternateContent>
    </w:r>
    <w:r>
      <w:rPr>
        <w:noProof/>
      </w:rPr>
      <mc:AlternateContent>
        <mc:Choice Requires="wps">
          <w:drawing>
            <wp:anchor distT="0" distB="0" distL="0" distR="0" simplePos="0" relativeHeight="251674624" behindDoc="0" locked="1" layoutInCell="1" allowOverlap="1">
              <wp:simplePos x="0" y="0"/>
              <wp:positionH relativeFrom="margin">
                <wp:align>right</wp:align>
              </wp:positionH>
              <wp:positionV relativeFrom="paragraph">
                <wp:posOffset>3352165</wp:posOffset>
              </wp:positionV>
              <wp:extent cx="4787900" cy="504825"/>
              <wp:effectExtent l="0" t="0" r="0" b="0"/>
              <wp:wrapNone/>
              <wp:docPr id="11" name="1670fa0c-13cb-45ec-92be-ef1f34d237c5"/>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504825"/>
                      </a:xfrm>
                      <a:prstGeom prst="rect">
                        <a:avLst/>
                      </a:prstGeom>
                      <a:noFill/>
                    </wps:spPr>
                    <wps:txbx>
                      <w:txbxContent>
                        <w:tbl>
                          <w:tblPr>
                            <w:tblW w:w="0" w:type="auto"/>
                            <w:tblLayout w:type="fixed"/>
                            <w:tblLook w:val="0740"/>
                          </w:tblPr>
                          <w:tblGrid>
                            <w:gridCol w:w="1140"/>
                            <w:gridCol w:w="5918"/>
                          </w:tblGrid>
                          <w:tr w14:paraId="3EC0B65B" w14:textId="77777777">
                            <w:tblPrEx>
                              <w:tblW w:w="0" w:type="auto"/>
                              <w:tblLayout w:type="fixed"/>
                              <w:tblLook w:val="0740"/>
                            </w:tblPrEx>
                            <w:trPr>
                              <w:trHeight w:val="240"/>
                            </w:trPr>
                            <w:tc>
                              <w:tcPr>
                                <w:tcW w:w="1140" w:type="dxa"/>
                              </w:tcPr>
                              <w:p w:rsidR="00760F09" w14:textId="77777777">
                                <w:r>
                                  <w:t>Datum</w:t>
                                </w:r>
                              </w:p>
                            </w:tc>
                            <w:tc>
                              <w:tcPr>
                                <w:tcW w:w="5918" w:type="dxa"/>
                              </w:tcPr>
                              <w:p w:rsidR="00B91BE8" w14:textId="77C72E2F">
                                <w:r>
                                  <w:t>11 september 2026</w:t>
                                </w:r>
                                <w:r>
                                  <w:fldChar w:fldCharType="begin"/>
                                </w:r>
                                <w:r>
                                  <w:instrText xml:space="preserve"> DOCPROPERTY  "Datum"  \* MERGEFORMAT </w:instrText>
                                </w:r>
                                <w:r>
                                  <w:fldChar w:fldCharType="separate"/>
                                </w:r>
                                <w:r>
                                  <w:fldChar w:fldCharType="end"/>
                                </w:r>
                              </w:p>
                            </w:tc>
                          </w:tr>
                          <w:tr w14:paraId="034D0E99" w14:textId="77777777">
                            <w:tblPrEx>
                              <w:tblW w:w="0" w:type="auto"/>
                              <w:tblLayout w:type="fixed"/>
                              <w:tblLook w:val="0740"/>
                            </w:tblPrEx>
                            <w:trPr>
                              <w:trHeight w:val="240"/>
                            </w:trPr>
                            <w:tc>
                              <w:tcPr>
                                <w:tcW w:w="1140" w:type="dxa"/>
                              </w:tcPr>
                              <w:p w:rsidR="00760F09" w14:textId="77777777">
                                <w:r>
                                  <w:t>Betreft</w:t>
                                </w:r>
                              </w:p>
                            </w:tc>
                            <w:bookmarkStart w:id="2" w:name="_Hlk239088754"/>
                            <w:tc>
                              <w:tcPr>
                                <w:tcW w:w="5918" w:type="dxa"/>
                              </w:tcPr>
                              <w:p w:rsidR="00B91BE8" w14:textId="341B41F4">
                                <w:r>
                                  <w:fldChar w:fldCharType="begin"/>
                                </w:r>
                                <w:r>
                                  <w:instrText xml:space="preserve"> DOCPROPERTY  "Onderwerp"  \* MERGEFORMAT </w:instrText>
                                </w:r>
                                <w:r>
                                  <w:fldChar w:fldCharType="separate"/>
                                </w:r>
                                <w:r>
                                  <w:t xml:space="preserve">Stand van zaken wetsvoorstel Wet versterking waarborgfunctie </w:t>
                                </w:r>
                                <w:r>
                                  <w:t>Awb</w:t>
                                </w:r>
                                <w:r>
                                  <w:fldChar w:fldCharType="end"/>
                                </w:r>
                                <w:bookmarkEnd w:id="2"/>
                              </w:p>
                            </w:tc>
                          </w:tr>
                        </w:tbl>
                        <w:p w:rsidR="000518E9" w14:textId="77777777"/>
                      </w:txbxContent>
                    </wps:txbx>
                    <wps:bodyPr vert="horz" wrap="square" lIns="0" tIns="0" rIns="0" bIns="0" anchor="t" anchorCtr="0"/>
                  </wps:wsp>
                </a:graphicData>
              </a:graphic>
              <wp14:sizeRelV relativeFrom="margin">
                <wp14:pctHeight>0</wp14:pctHeight>
              </wp14:sizeRelV>
            </wp:anchor>
          </w:drawing>
        </mc:Choice>
        <mc:Fallback>
          <w:pict>
            <v:shape id="1670fa0c-13cb-45ec-92be-ef1f34d237c5" o:spid="_x0000_s2057" type="#_x0000_t202" style="width:377pt;height:39.75pt;margin-top:263.95pt;margin-left:325.8pt;mso-height-percent:0;mso-height-relative:margin;mso-position-horizontal:right;mso-position-horizontal-relative:margin;mso-wrap-distance-bottom:0;mso-wrap-distance-left:0;mso-wrap-distance-right:0;mso-wrap-distance-top:0;mso-wrap-style:square;position:absolute;v-text-anchor:top;visibility:visible;z-index:251675648" filled="f" stroked="f">
              <v:textbox inset="0,0,0,0">
                <w:txbxContent>
                  <w:tbl>
                    <w:tblPr>
                      <w:tblW w:w="0" w:type="auto"/>
                      <w:tblLayout w:type="fixed"/>
                      <w:tblLook w:val="0740"/>
                    </w:tblPr>
                    <w:tblGrid>
                      <w:gridCol w:w="1140"/>
                      <w:gridCol w:w="5918"/>
                    </w:tblGrid>
                    <w:tr w14:paraId="3EC0B65A" w14:textId="77777777">
                      <w:tblPrEx>
                        <w:tblW w:w="0" w:type="auto"/>
                        <w:tblLayout w:type="fixed"/>
                        <w:tblLook w:val="0740"/>
                      </w:tblPrEx>
                      <w:trPr>
                        <w:trHeight w:val="240"/>
                      </w:trPr>
                      <w:tc>
                        <w:tcPr>
                          <w:tcW w:w="1140" w:type="dxa"/>
                        </w:tcPr>
                        <w:p w:rsidR="00760F09" w14:paraId="798822A0" w14:textId="77777777">
                          <w:r>
                            <w:t>Datum</w:t>
                          </w:r>
                        </w:p>
                      </w:tc>
                      <w:tc>
                        <w:tcPr>
                          <w:tcW w:w="5918" w:type="dxa"/>
                        </w:tcPr>
                        <w:p w:rsidR="00B91BE8" w14:paraId="6A890588" w14:textId="77C72E2F">
                          <w:r>
                            <w:t>11 september 2026</w:t>
                          </w:r>
                          <w:r>
                            <w:fldChar w:fldCharType="begin"/>
                          </w:r>
                          <w:r>
                            <w:instrText xml:space="preserve"> DOCPROPERTY  "Datum"  \* MERGEFORMAT </w:instrText>
                          </w:r>
                          <w:r>
                            <w:fldChar w:fldCharType="separate"/>
                          </w:r>
                          <w:r>
                            <w:fldChar w:fldCharType="end"/>
                          </w:r>
                        </w:p>
                      </w:tc>
                    </w:tr>
                    <w:tr w14:paraId="034D0E98" w14:textId="77777777">
                      <w:tblPrEx>
                        <w:tblW w:w="0" w:type="auto"/>
                        <w:tblLayout w:type="fixed"/>
                        <w:tblLook w:val="0740"/>
                      </w:tblPrEx>
                      <w:trPr>
                        <w:trHeight w:val="240"/>
                      </w:trPr>
                      <w:tc>
                        <w:tcPr>
                          <w:tcW w:w="1140" w:type="dxa"/>
                        </w:tcPr>
                        <w:p w:rsidR="00760F09" w14:paraId="0220634E" w14:textId="77777777">
                          <w:r>
                            <w:t>Betreft</w:t>
                          </w:r>
                        </w:p>
                      </w:tc>
                      <w:bookmarkStart w:id="2" w:name="_Hlk239088754"/>
                      <w:tc>
                        <w:tcPr>
                          <w:tcW w:w="5918" w:type="dxa"/>
                        </w:tcPr>
                        <w:p w:rsidR="00B91BE8" w14:paraId="25A621FA" w14:textId="341B41F4">
                          <w:r>
                            <w:fldChar w:fldCharType="begin"/>
                          </w:r>
                          <w:r>
                            <w:instrText xml:space="preserve"> DOCPROPERTY  "Onderwerp"  \* MERGEFORMAT </w:instrText>
                          </w:r>
                          <w:r>
                            <w:fldChar w:fldCharType="separate"/>
                          </w:r>
                          <w:r>
                            <w:t xml:space="preserve">Stand van zaken wetsvoorstel Wet versterking waarborgfunctie </w:t>
                          </w:r>
                          <w:r>
                            <w:t>Awb</w:t>
                          </w:r>
                          <w:r>
                            <w:fldChar w:fldCharType="end"/>
                          </w:r>
                          <w:bookmarkEnd w:id="2"/>
                        </w:p>
                      </w:tc>
                    </w:tr>
                  </w:tbl>
                  <w:p w:rsidR="000518E9" w14:paraId="3E3592A5" w14:textId="77777777"/>
                </w:txbxContent>
              </v:textbox>
              <w10:wrap anchorx="margin"/>
              <w10:anchorlock/>
            </v:shape>
          </w:pict>
        </mc:Fallback>
      </mc:AlternateContent>
    </w:r>
    <w:r>
      <w:rPr>
        <w:noProof/>
      </w:rPr>
      <mc:AlternateContent>
        <mc:Choice Requires="wps">
          <w:drawing>
            <wp:anchor distT="0" distB="0" distL="0" distR="0" simplePos="0" relativeHeight="251676672" behindDoc="0" locked="1" layoutInCell="1" allowOverlap="1">
              <wp:simplePos x="0" y="0"/>
              <wp:positionH relativeFrom="page">
                <wp:posOffset>5921375</wp:posOffset>
              </wp:positionH>
              <wp:positionV relativeFrom="paragraph">
                <wp:posOffset>1965325</wp:posOffset>
              </wp:positionV>
              <wp:extent cx="1277620" cy="8009890"/>
              <wp:effectExtent l="0" t="0" r="0" b="0"/>
              <wp:wrapNone/>
              <wp:docPr id="12" name="aa29ef58-fa5a-4ef1-bc47-43f659f7c670" descr="Colofon"/>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7620" cy="8009890"/>
                      </a:xfrm>
                      <a:prstGeom prst="rect">
                        <a:avLst/>
                      </a:prstGeom>
                      <a:noFill/>
                    </wps:spPr>
                    <wps:txbx>
                      <w:txbxContent>
                        <w:p w:rsidR="00760F09" w14:textId="77777777">
                          <w:pPr>
                            <w:pStyle w:val="Referentiegegevensbold"/>
                          </w:pPr>
                          <w:r>
                            <w:t>DG Openbaar Bestuur &amp; Democr</w:t>
                          </w:r>
                          <w:r w:rsidR="001B0671">
                            <w:t>atische</w:t>
                          </w:r>
                          <w:r>
                            <w:t xml:space="preserve"> Rechtsstaat</w:t>
                          </w:r>
                        </w:p>
                        <w:p w:rsidR="00FA64E9" w14:textId="77777777">
                          <w:pPr>
                            <w:pStyle w:val="Referentiegegevens"/>
                          </w:pPr>
                          <w:r>
                            <w:t xml:space="preserve">Directie </w:t>
                          </w:r>
                          <w:r w:rsidR="003C40B8">
                            <w:t>C</w:t>
                          </w:r>
                          <w:r>
                            <w:t>onstitutionele Zaken en Wetgeving</w:t>
                          </w:r>
                        </w:p>
                        <w:p w:rsidR="00760F09" w14:textId="5F6CFC43">
                          <w:pPr>
                            <w:pStyle w:val="Referentiegegevens"/>
                          </w:pPr>
                          <w:r>
                            <w:t xml:space="preserve">Afdeling </w:t>
                          </w:r>
                          <w:r w:rsidR="001B0671">
                            <w:t>Bestuursrecht</w:t>
                          </w:r>
                        </w:p>
                        <w:p w:rsidR="00760F09" w14:textId="77777777">
                          <w:pPr>
                            <w:pStyle w:val="WitregelW1"/>
                          </w:pPr>
                        </w:p>
                        <w:p w:rsidR="00760F09" w:rsidRPr="00CE3CFF" w14:textId="77777777">
                          <w:pPr>
                            <w:pStyle w:val="Referentiegegevens"/>
                          </w:pPr>
                          <w:r w:rsidRPr="00CE3CFF">
                            <w:t>Turfmarkt 147</w:t>
                          </w:r>
                        </w:p>
                        <w:p w:rsidR="00760F09" w:rsidRPr="00CE3CFF" w14:textId="77777777">
                          <w:pPr>
                            <w:pStyle w:val="Referentiegegevens"/>
                          </w:pPr>
                          <w:r w:rsidRPr="00CE3CFF">
                            <w:t>2511 DP  Den Haag</w:t>
                          </w:r>
                        </w:p>
                        <w:p w:rsidR="00760F09" w:rsidRPr="006E18DB" w14:textId="77777777">
                          <w:pPr>
                            <w:pStyle w:val="Referentiegegevens"/>
                            <w:rPr>
                              <w:lang w:val="de-DE"/>
                            </w:rPr>
                          </w:pPr>
                          <w:r w:rsidRPr="006E18DB">
                            <w:rPr>
                              <w:lang w:val="de-DE"/>
                            </w:rPr>
                            <w:t>Postbus 20011</w:t>
                          </w:r>
                        </w:p>
                        <w:p w:rsidR="00760F09" w:rsidRPr="006E18DB" w14:textId="77777777">
                          <w:pPr>
                            <w:pStyle w:val="Referentiegegevens"/>
                            <w:rPr>
                              <w:lang w:val="de-DE"/>
                            </w:rPr>
                          </w:pPr>
                          <w:r w:rsidRPr="006E18DB">
                            <w:rPr>
                              <w:lang w:val="de-DE"/>
                            </w:rPr>
                            <w:t>2500 EA  Den Haag</w:t>
                          </w:r>
                        </w:p>
                        <w:p w:rsidR="00760F09" w:rsidRPr="006E18DB" w14:textId="77777777">
                          <w:pPr>
                            <w:pStyle w:val="Referentiegegevens"/>
                            <w:rPr>
                              <w:lang w:val="de-DE"/>
                            </w:rPr>
                          </w:pPr>
                          <w:r w:rsidRPr="006E18DB">
                            <w:rPr>
                              <w:lang w:val="de-DE"/>
                            </w:rPr>
                            <w:t>www.rijksoverheid.nl</w:t>
                          </w:r>
                        </w:p>
                        <w:p w:rsidR="00760F09" w:rsidRPr="006E18DB" w14:textId="77777777">
                          <w:pPr>
                            <w:pStyle w:val="WitregelW1"/>
                            <w:rPr>
                              <w:lang w:val="de-DE"/>
                            </w:rPr>
                          </w:pPr>
                        </w:p>
                        <w:p w:rsidR="00760F09" w:rsidRPr="006E18DB" w14:textId="77777777">
                          <w:pPr>
                            <w:pStyle w:val="WitregelW2"/>
                            <w:rPr>
                              <w:lang w:val="de-DE"/>
                            </w:rPr>
                          </w:pPr>
                        </w:p>
                        <w:p w:rsidR="00760F09" w14:textId="77777777">
                          <w:pPr>
                            <w:pStyle w:val="Referentiegegevensbold"/>
                          </w:pPr>
                          <w:r>
                            <w:t>Onze referentie</w:t>
                          </w:r>
                        </w:p>
                        <w:p w:rsidR="00DF7F98" w14:textId="55383923">
                          <w:pPr>
                            <w:pStyle w:val="Referentiegegevens"/>
                          </w:pPr>
                          <w:r>
                            <w:fldChar w:fldCharType="begin"/>
                          </w:r>
                          <w:r>
                            <w:instrText xml:space="preserve"> DOCPROPERTY  "Kenmerk"  \* MERGEFORMAT </w:instrText>
                          </w:r>
                          <w:r>
                            <w:fldChar w:fldCharType="separate"/>
                          </w:r>
                          <w:r w:rsidR="007E6D05">
                            <w:t>2026-0000479468</w:t>
                          </w:r>
                          <w:r w:rsidR="007E6D05">
                            <w:fldChar w:fldCharType="end"/>
                          </w:r>
                        </w:p>
                        <w:p w:rsidR="00415CBE" w14:textId="77777777">
                          <w:pPr>
                            <w:pStyle w:val="Referentiegegevens"/>
                          </w:pPr>
                        </w:p>
                      </w:txbxContent>
                    </wps:txbx>
                    <wps:bodyPr vert="horz" wrap="square" lIns="0" tIns="0" rIns="0" bIns="0" anchor="t" anchorCtr="0"/>
                  </wps:wsp>
                </a:graphicData>
              </a:graphic>
            </wp:anchor>
          </w:drawing>
        </mc:Choice>
        <mc:Fallback>
          <w:pict>
            <v:shape id="aa29ef58-fa5a-4ef1-bc47-43f659f7c670" o:spid="_x0000_s2058" type="#_x0000_t202" alt="Colofon" style="width:100.6pt;height:630.7pt;margin-top:154.75pt;margin-left:466.25pt;mso-position-horizontal-relative:page;mso-wrap-distance-bottom:0;mso-wrap-distance-left:0;mso-wrap-distance-right:0;mso-wrap-distance-top:0;mso-wrap-style:square;position:absolute;v-text-anchor:top;visibility:visible;z-index:251677696" filled="f" stroked="f">
              <v:textbox inset="0,0,0,0">
                <w:txbxContent>
                  <w:p w:rsidR="00760F09" w14:paraId="5BAB6ACA" w14:textId="77777777">
                    <w:pPr>
                      <w:pStyle w:val="Referentiegegevensbold"/>
                    </w:pPr>
                    <w:r>
                      <w:t>DG Openbaar Bestuur &amp; Democr</w:t>
                    </w:r>
                    <w:r w:rsidR="001B0671">
                      <w:t>atische</w:t>
                    </w:r>
                    <w:r>
                      <w:t xml:space="preserve"> Rechtsstaat</w:t>
                    </w:r>
                  </w:p>
                  <w:p w:rsidR="00FA64E9" w14:paraId="2857CEC5" w14:textId="77777777">
                    <w:pPr>
                      <w:pStyle w:val="Referentiegegevens"/>
                    </w:pPr>
                    <w:r>
                      <w:t xml:space="preserve">Directie </w:t>
                    </w:r>
                    <w:r w:rsidR="003C40B8">
                      <w:t>C</w:t>
                    </w:r>
                    <w:r>
                      <w:t>onstitutionele Zaken en Wetgeving</w:t>
                    </w:r>
                  </w:p>
                  <w:p w:rsidR="00760F09" w14:paraId="5A2CBCA5" w14:textId="5F6CFC43">
                    <w:pPr>
                      <w:pStyle w:val="Referentiegegevens"/>
                    </w:pPr>
                    <w:r>
                      <w:t xml:space="preserve">Afdeling </w:t>
                    </w:r>
                    <w:r w:rsidR="001B0671">
                      <w:t>Bestuursrecht</w:t>
                    </w:r>
                  </w:p>
                  <w:p w:rsidR="00760F09" w14:paraId="014DEA0D" w14:textId="77777777">
                    <w:pPr>
                      <w:pStyle w:val="WitregelW1"/>
                    </w:pPr>
                  </w:p>
                  <w:p w:rsidR="00760F09" w:rsidRPr="00CE3CFF" w14:paraId="25189B9D" w14:textId="77777777">
                    <w:pPr>
                      <w:pStyle w:val="Referentiegegevens"/>
                    </w:pPr>
                    <w:r w:rsidRPr="00CE3CFF">
                      <w:t>Turfmarkt 147</w:t>
                    </w:r>
                  </w:p>
                  <w:p w:rsidR="00760F09" w:rsidRPr="00CE3CFF" w14:paraId="3C1693ED" w14:textId="77777777">
                    <w:pPr>
                      <w:pStyle w:val="Referentiegegevens"/>
                    </w:pPr>
                    <w:r w:rsidRPr="00CE3CFF">
                      <w:t>2511 DP  Den Haag</w:t>
                    </w:r>
                  </w:p>
                  <w:p w:rsidR="00760F09" w:rsidRPr="006E18DB" w14:paraId="4935D1C9" w14:textId="77777777">
                    <w:pPr>
                      <w:pStyle w:val="Referentiegegevens"/>
                      <w:rPr>
                        <w:lang w:val="de-DE"/>
                      </w:rPr>
                    </w:pPr>
                    <w:r w:rsidRPr="006E18DB">
                      <w:rPr>
                        <w:lang w:val="de-DE"/>
                      </w:rPr>
                      <w:t>Postbus 20011</w:t>
                    </w:r>
                  </w:p>
                  <w:p w:rsidR="00760F09" w:rsidRPr="006E18DB" w14:paraId="30BDF6B8" w14:textId="77777777">
                    <w:pPr>
                      <w:pStyle w:val="Referentiegegevens"/>
                      <w:rPr>
                        <w:lang w:val="de-DE"/>
                      </w:rPr>
                    </w:pPr>
                    <w:r w:rsidRPr="006E18DB">
                      <w:rPr>
                        <w:lang w:val="de-DE"/>
                      </w:rPr>
                      <w:t>2500 EA  Den Haag</w:t>
                    </w:r>
                  </w:p>
                  <w:p w:rsidR="00760F09" w:rsidRPr="006E18DB" w14:paraId="02AEBD80" w14:textId="77777777">
                    <w:pPr>
                      <w:pStyle w:val="Referentiegegevens"/>
                      <w:rPr>
                        <w:lang w:val="de-DE"/>
                      </w:rPr>
                    </w:pPr>
                    <w:r w:rsidRPr="006E18DB">
                      <w:rPr>
                        <w:lang w:val="de-DE"/>
                      </w:rPr>
                      <w:t>www.rijksoverheid.nl</w:t>
                    </w:r>
                  </w:p>
                  <w:p w:rsidR="00760F09" w:rsidRPr="006E18DB" w14:paraId="04A88403" w14:textId="77777777">
                    <w:pPr>
                      <w:pStyle w:val="WitregelW1"/>
                      <w:rPr>
                        <w:lang w:val="de-DE"/>
                      </w:rPr>
                    </w:pPr>
                  </w:p>
                  <w:p w:rsidR="00760F09" w:rsidRPr="006E18DB" w14:paraId="4FDD1685" w14:textId="77777777">
                    <w:pPr>
                      <w:pStyle w:val="WitregelW2"/>
                      <w:rPr>
                        <w:lang w:val="de-DE"/>
                      </w:rPr>
                    </w:pPr>
                  </w:p>
                  <w:p w:rsidR="00760F09" w14:paraId="6FB5DC52" w14:textId="77777777">
                    <w:pPr>
                      <w:pStyle w:val="Referentiegegevensbold"/>
                    </w:pPr>
                    <w:r>
                      <w:t>Onze referentie</w:t>
                    </w:r>
                  </w:p>
                  <w:p w:rsidR="00DF7F98" w14:paraId="2ED23BE9" w14:textId="55383923">
                    <w:pPr>
                      <w:pStyle w:val="Referentiegegevens"/>
                    </w:pPr>
                    <w:r>
                      <w:fldChar w:fldCharType="begin"/>
                    </w:r>
                    <w:r>
                      <w:instrText xml:space="preserve"> DOCPROPERTY  "Kenmerk"  \* MERGEFORMAT </w:instrText>
                    </w:r>
                    <w:r>
                      <w:fldChar w:fldCharType="separate"/>
                    </w:r>
                    <w:r w:rsidR="007E6D05">
                      <w:t>2026-0000479468</w:t>
                    </w:r>
                    <w:r w:rsidR="007E6D05">
                      <w:fldChar w:fldCharType="end"/>
                    </w:r>
                  </w:p>
                  <w:p w:rsidR="00415CBE" w14:paraId="525138E1" w14:textId="77777777">
                    <w:pPr>
                      <w:pStyle w:val="Referentiegegevens"/>
                    </w:pPr>
                  </w:p>
                </w:txbxContent>
              </v:textbox>
              <w10:anchorlock/>
            </v:shape>
          </w:pict>
        </mc:Fallback>
      </mc:AlternateContent>
    </w:r>
    <w:r>
      <w:rPr>
        <w:noProof/>
      </w:rPr>
      <mc:AlternateContent>
        <mc:Choice Requires="wps">
          <w:drawing>
            <wp:anchor distT="0" distB="0" distL="0" distR="0" simplePos="0" relativeHeight="251678720" behindDoc="0" locked="1" layoutInCell="1" allowOverlap="1">
              <wp:simplePos x="0" y="0"/>
              <wp:positionH relativeFrom="page">
                <wp:posOffset>5921375</wp:posOffset>
              </wp:positionH>
              <wp:positionV relativeFrom="paragraph">
                <wp:posOffset>10194925</wp:posOffset>
              </wp:positionV>
              <wp:extent cx="1285875" cy="161290"/>
              <wp:effectExtent l="0" t="0" r="0" b="0"/>
              <wp:wrapNone/>
              <wp:docPr id="13" name="fc795519-edb4-40fa-b772-922592680a29" descr="Paginanummering"/>
              <wp:cNvGraphicFramePr/>
              <a:graphic xmlns:a="http://schemas.openxmlformats.org/drawingml/2006/main">
                <a:graphicData uri="http://schemas.microsoft.com/office/word/2010/wordprocessingShape">
                  <wps:wsp xmlns:wps="http://schemas.microsoft.com/office/word/2010/wordprocessingShape">
                    <wps:cNvSpPr txBox="1"/>
                    <wps:spPr>
                      <a:xfrm>
                        <a:off x="0" y="0"/>
                        <a:ext cx="1285875" cy="161290"/>
                      </a:xfrm>
                      <a:prstGeom prst="rect">
                        <a:avLst/>
                      </a:prstGeom>
                      <a:noFill/>
                    </wps:spPr>
                    <wps:txbx>
                      <w:txbxContent>
                        <w:p w:rsidR="00B91BE8"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id="fc795519-edb4-40fa-b772-922592680a29" o:spid="_x0000_s2059" type="#_x0000_t202" alt="Paginanummering" style="width:101.25pt;height:12.7pt;margin-top:802.75pt;margin-left:466.25pt;mso-position-horizontal-relative:page;mso-wrap-distance-bottom:0;mso-wrap-distance-left:0;mso-wrap-distance-right:0;mso-wrap-distance-top:0;mso-wrap-style:square;position:absolute;v-text-anchor:top;visibility:visible;z-index:251679744" filled="f" stroked="f">
              <v:textbox inset="0,0,0,0">
                <w:txbxContent>
                  <w:p w:rsidR="00B91BE8" w14:paraId="6D03C416"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v:textbox>
              <w10:anchorlock/>
            </v:shape>
          </w:pict>
        </mc:Fallback>
      </mc:AlternateContent>
    </w:r>
    <w:r>
      <w:rPr>
        <w:noProof/>
      </w:rPr>
      <mc:AlternateContent>
        <mc:Choice Requires="wps">
          <w:drawing>
            <wp:anchor distT="0" distB="0" distL="0" distR="0" simplePos="0" relativeHeight="251680768" behindDoc="0" locked="1" layoutInCell="1" allowOverlap="1">
              <wp:simplePos x="0" y="0"/>
              <wp:positionH relativeFrom="page">
                <wp:posOffset>998219</wp:posOffset>
              </wp:positionH>
              <wp:positionV relativeFrom="paragraph">
                <wp:posOffset>10197465</wp:posOffset>
              </wp:positionV>
              <wp:extent cx="4787900" cy="161925"/>
              <wp:effectExtent l="0" t="0" r="0" b="0"/>
              <wp:wrapNone/>
              <wp:docPr id="14" name="ea113d41-b39a-4e3b-9a6a-dce66e72abe4" descr="Voettekst"/>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925"/>
                      </a:xfrm>
                      <a:prstGeom prst="rect">
                        <a:avLst/>
                      </a:prstGeom>
                      <a:noFill/>
                    </wps:spPr>
                    <wps:txbx>
                      <w:txbxContent>
                        <w:p w:rsidR="000518E9" w14:textId="77777777"/>
                      </w:txbxContent>
                    </wps:txbx>
                    <wps:bodyPr vert="horz" wrap="square" lIns="0" tIns="0" rIns="0" bIns="0" anchor="t" anchorCtr="0"/>
                  </wps:wsp>
                </a:graphicData>
              </a:graphic>
            </wp:anchor>
          </w:drawing>
        </mc:Choice>
        <mc:Fallback>
          <w:pict>
            <v:shape id="ea113d41-b39a-4e3b-9a6a-dce66e72abe4" o:spid="_x0000_s2060" type="#_x0000_t202" alt="Voettekst" style="width:377pt;height:12.75pt;margin-top:802.95pt;margin-left:78.6pt;mso-position-horizontal-relative:page;mso-wrap-distance-bottom:0;mso-wrap-distance-left:0;mso-wrap-distance-right:0;mso-wrap-distance-top:0;mso-wrap-style:square;position:absolute;v-text-anchor:top;visibility:visible;z-index:251681792" filled="f" stroked="f">
              <v:textbox inset="0,0,0,0">
                <w:txbxContent>
                  <w:p w:rsidR="000518E9" w14:paraId="2B12CD80" w14:textId="77777777"/>
                </w:txbxContent>
              </v:textbox>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85346DAF"/>
    <w:multiLevelType w:val="multilevel"/>
    <w:tmpl w:val="CC6083B8"/>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
    <w:nsid w:val="91C62E7A"/>
    <w:multiLevelType w:val="multilevel"/>
    <w:tmpl w:val="F880440C"/>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nsid w:val="E2CE2C45"/>
    <w:multiLevelType w:val="multilevel"/>
    <w:tmpl w:val="072B8E4B"/>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Jc w:val="left"/>
      <w:pPr>
        <w:ind w:left="0" w:firstLine="0"/>
      </w:pPr>
    </w:lvl>
    <w:lvl w:ilvl="6">
      <w:start w:val="1"/>
      <w:numFmt w:val="none"/>
      <w:lvlJc w:val="left"/>
      <w:pPr>
        <w:ind w:left="0" w:firstLine="0"/>
      </w:pPr>
    </w:lvl>
    <w:lvl w:ilvl="7">
      <w:start w:val="1"/>
      <w:numFmt w:val="none"/>
      <w:lvlJc w:val="left"/>
      <w:pPr>
        <w:ind w:left="0" w:firstLine="0"/>
      </w:pPr>
    </w:lvl>
    <w:lvl w:ilvl="8">
      <w:start w:val="1"/>
      <w:numFmt w:val="none"/>
      <w:lvlJc w:val="left"/>
      <w:pPr>
        <w:ind w:left="0" w:firstLine="0"/>
      </w:pPr>
    </w:lvl>
  </w:abstractNum>
  <w:abstractNum w:abstractNumId="3">
    <w:nsid w:val="ECE2F0C0"/>
    <w:multiLevelType w:val="multilevel"/>
    <w:tmpl w:val="24990778"/>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4">
    <w:nsid w:val="4C011104"/>
    <w:multiLevelType w:val="hybridMultilevel"/>
    <w:tmpl w:val="BFF483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676606E9"/>
    <w:multiLevelType w:val="hybridMultilevel"/>
    <w:tmpl w:val="1F5A095A"/>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278803953">
    <w:abstractNumId w:val="2"/>
  </w:num>
  <w:num w:numId="2" w16cid:durableId="1515656064">
    <w:abstractNumId w:val="0"/>
  </w:num>
  <w:num w:numId="3" w16cid:durableId="326369486">
    <w:abstractNumId w:val="3"/>
  </w:num>
  <w:num w:numId="4" w16cid:durableId="1272514368">
    <w:abstractNumId w:val="1"/>
  </w:num>
  <w:num w:numId="5" w16cid:durableId="7473146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11347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defaultTableStyle w:val="TableNormal"/>
  <w:hyphenationZone w:val="425"/>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F09"/>
    <w:rsid w:val="00023CDD"/>
    <w:rsid w:val="000518E9"/>
    <w:rsid w:val="00074C23"/>
    <w:rsid w:val="00075338"/>
    <w:rsid w:val="00077A57"/>
    <w:rsid w:val="00084213"/>
    <w:rsid w:val="000A48D6"/>
    <w:rsid w:val="000B1A6B"/>
    <w:rsid w:val="000C00AC"/>
    <w:rsid w:val="000C3898"/>
    <w:rsid w:val="000D20C2"/>
    <w:rsid w:val="000D368C"/>
    <w:rsid w:val="001122DC"/>
    <w:rsid w:val="00127EF4"/>
    <w:rsid w:val="00136D45"/>
    <w:rsid w:val="00153E79"/>
    <w:rsid w:val="00161368"/>
    <w:rsid w:val="00181CE4"/>
    <w:rsid w:val="001829BF"/>
    <w:rsid w:val="0019435E"/>
    <w:rsid w:val="001A1064"/>
    <w:rsid w:val="001A54B6"/>
    <w:rsid w:val="001B0671"/>
    <w:rsid w:val="001B287C"/>
    <w:rsid w:val="001C582D"/>
    <w:rsid w:val="001D7BFA"/>
    <w:rsid w:val="001E3A2F"/>
    <w:rsid w:val="001E508A"/>
    <w:rsid w:val="00204C32"/>
    <w:rsid w:val="00214554"/>
    <w:rsid w:val="002426D6"/>
    <w:rsid w:val="002441FE"/>
    <w:rsid w:val="00250D1E"/>
    <w:rsid w:val="00255C62"/>
    <w:rsid w:val="00270539"/>
    <w:rsid w:val="002F5740"/>
    <w:rsid w:val="00334DC7"/>
    <w:rsid w:val="0033654A"/>
    <w:rsid w:val="003406D2"/>
    <w:rsid w:val="003855BA"/>
    <w:rsid w:val="003A0718"/>
    <w:rsid w:val="003A0819"/>
    <w:rsid w:val="003A213F"/>
    <w:rsid w:val="003A2C95"/>
    <w:rsid w:val="003A5184"/>
    <w:rsid w:val="003A5E81"/>
    <w:rsid w:val="003B5D46"/>
    <w:rsid w:val="003C40B8"/>
    <w:rsid w:val="003C713F"/>
    <w:rsid w:val="003D54DE"/>
    <w:rsid w:val="003E2A17"/>
    <w:rsid w:val="003E32E6"/>
    <w:rsid w:val="003F4BCB"/>
    <w:rsid w:val="0040527B"/>
    <w:rsid w:val="00415CBE"/>
    <w:rsid w:val="00424D02"/>
    <w:rsid w:val="004424F7"/>
    <w:rsid w:val="00453062"/>
    <w:rsid w:val="00471BE3"/>
    <w:rsid w:val="00475D05"/>
    <w:rsid w:val="00486CD7"/>
    <w:rsid w:val="00487321"/>
    <w:rsid w:val="004A491E"/>
    <w:rsid w:val="004C5AFF"/>
    <w:rsid w:val="004E0858"/>
    <w:rsid w:val="004E7279"/>
    <w:rsid w:val="005045E7"/>
    <w:rsid w:val="0054215D"/>
    <w:rsid w:val="005668BD"/>
    <w:rsid w:val="00566EC4"/>
    <w:rsid w:val="005834C1"/>
    <w:rsid w:val="005923D0"/>
    <w:rsid w:val="005A1AE1"/>
    <w:rsid w:val="005D506E"/>
    <w:rsid w:val="005E22A2"/>
    <w:rsid w:val="006040B8"/>
    <w:rsid w:val="00605A4D"/>
    <w:rsid w:val="00617AD3"/>
    <w:rsid w:val="00626F1F"/>
    <w:rsid w:val="0063462C"/>
    <w:rsid w:val="00635091"/>
    <w:rsid w:val="00684B15"/>
    <w:rsid w:val="006976DF"/>
    <w:rsid w:val="006A732E"/>
    <w:rsid w:val="006C7141"/>
    <w:rsid w:val="006E18DB"/>
    <w:rsid w:val="006F7041"/>
    <w:rsid w:val="00712DF7"/>
    <w:rsid w:val="00715EC5"/>
    <w:rsid w:val="00724C58"/>
    <w:rsid w:val="00743008"/>
    <w:rsid w:val="00756630"/>
    <w:rsid w:val="00760F09"/>
    <w:rsid w:val="0076290A"/>
    <w:rsid w:val="0078001D"/>
    <w:rsid w:val="007870F1"/>
    <w:rsid w:val="007A34EB"/>
    <w:rsid w:val="007E1AF9"/>
    <w:rsid w:val="007E6D05"/>
    <w:rsid w:val="008078A5"/>
    <w:rsid w:val="0082276C"/>
    <w:rsid w:val="00853BB0"/>
    <w:rsid w:val="00855037"/>
    <w:rsid w:val="00881CDF"/>
    <w:rsid w:val="0088603F"/>
    <w:rsid w:val="00896B64"/>
    <w:rsid w:val="008A1BF2"/>
    <w:rsid w:val="008A3598"/>
    <w:rsid w:val="008A6896"/>
    <w:rsid w:val="008B57FB"/>
    <w:rsid w:val="008D38AE"/>
    <w:rsid w:val="008E1272"/>
    <w:rsid w:val="009013E5"/>
    <w:rsid w:val="00935822"/>
    <w:rsid w:val="009909AC"/>
    <w:rsid w:val="00997D8B"/>
    <w:rsid w:val="009A320B"/>
    <w:rsid w:val="009A3C47"/>
    <w:rsid w:val="009D291D"/>
    <w:rsid w:val="009D2D03"/>
    <w:rsid w:val="00A17D33"/>
    <w:rsid w:val="00A232C5"/>
    <w:rsid w:val="00A25507"/>
    <w:rsid w:val="00A275D3"/>
    <w:rsid w:val="00A44547"/>
    <w:rsid w:val="00A4456B"/>
    <w:rsid w:val="00A51985"/>
    <w:rsid w:val="00A62DF0"/>
    <w:rsid w:val="00A644D7"/>
    <w:rsid w:val="00A66EBF"/>
    <w:rsid w:val="00A6771D"/>
    <w:rsid w:val="00A70C46"/>
    <w:rsid w:val="00AB43E1"/>
    <w:rsid w:val="00AC05EA"/>
    <w:rsid w:val="00AC4020"/>
    <w:rsid w:val="00AC7ABC"/>
    <w:rsid w:val="00AF537C"/>
    <w:rsid w:val="00B14ECC"/>
    <w:rsid w:val="00B42727"/>
    <w:rsid w:val="00B64485"/>
    <w:rsid w:val="00B830F3"/>
    <w:rsid w:val="00B91BE8"/>
    <w:rsid w:val="00BA25AB"/>
    <w:rsid w:val="00BA7FE9"/>
    <w:rsid w:val="00BC0306"/>
    <w:rsid w:val="00BC0FDA"/>
    <w:rsid w:val="00BD27C6"/>
    <w:rsid w:val="00BE4E3D"/>
    <w:rsid w:val="00C00054"/>
    <w:rsid w:val="00C022C2"/>
    <w:rsid w:val="00C20A88"/>
    <w:rsid w:val="00C45191"/>
    <w:rsid w:val="00C62247"/>
    <w:rsid w:val="00C8230B"/>
    <w:rsid w:val="00C95F19"/>
    <w:rsid w:val="00CC3BAC"/>
    <w:rsid w:val="00CD380C"/>
    <w:rsid w:val="00CE3CFF"/>
    <w:rsid w:val="00CE4745"/>
    <w:rsid w:val="00CF3635"/>
    <w:rsid w:val="00D00639"/>
    <w:rsid w:val="00D30390"/>
    <w:rsid w:val="00D520CB"/>
    <w:rsid w:val="00D847C3"/>
    <w:rsid w:val="00DB013E"/>
    <w:rsid w:val="00DD560B"/>
    <w:rsid w:val="00DF37FC"/>
    <w:rsid w:val="00DF5F77"/>
    <w:rsid w:val="00DF7F98"/>
    <w:rsid w:val="00E237EB"/>
    <w:rsid w:val="00E26FC6"/>
    <w:rsid w:val="00E4158A"/>
    <w:rsid w:val="00EA04C0"/>
    <w:rsid w:val="00EA3C3E"/>
    <w:rsid w:val="00EA3D5C"/>
    <w:rsid w:val="00EA5CD9"/>
    <w:rsid w:val="00EB426A"/>
    <w:rsid w:val="00EB4EEA"/>
    <w:rsid w:val="00ED2DE5"/>
    <w:rsid w:val="00EF18B8"/>
    <w:rsid w:val="00EF1C6D"/>
    <w:rsid w:val="00EF6593"/>
    <w:rsid w:val="00F053BE"/>
    <w:rsid w:val="00F05A27"/>
    <w:rsid w:val="00F141CA"/>
    <w:rsid w:val="00F14CB4"/>
    <w:rsid w:val="00F4725B"/>
    <w:rsid w:val="00F603C9"/>
    <w:rsid w:val="00F63947"/>
    <w:rsid w:val="00F76C33"/>
    <w:rsid w:val="00F94D2C"/>
    <w:rsid w:val="00FA3B02"/>
    <w:rsid w:val="00FA64E9"/>
    <w:rsid w:val="00FC4F2C"/>
    <w:rsid w:val="00FC73B0"/>
    <w:rsid w:val="00FD02D3"/>
    <w:rsid w:val="00FD07E0"/>
    <w:rsid w:val="00FD578B"/>
    <w:rsid w:val="00FD6408"/>
    <w:rsid w:val="00FE103A"/>
    <w:rsid w:val="00FE26CA"/>
    <w:rsid w:val="00FE28FC"/>
  </w:rsids>
  <m:mathPr>
    <m:mathFont m:val="Cambria Math"/>
  </m:mathPr>
  <w:themeFontLang w:val="nl-NL"/>
  <w:clrSchemeMapping w:bg1="light1" w:t1="dark1" w:bg2="light2" w:t2="dark2" w:accent1="accent1" w:accent2="accent2" w:accent3="accent3" w:accent4="accent4" w:accent5="accent5" w:accent6="accent6" w:hyperlink="hyperlink" w:followedHyperlink="followedHyperlink"/>
  <w14:docId w14:val="1CD1A1BA"/>
  <w15:docId w15:val="{AC2C0F52-CC44-47BE-87A3-DD22B6D34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40" w:lineRule="atLeast"/>
    </w:pPr>
    <w:rPr>
      <w:rFonts w:ascii="Verdana" w:hAnsi="Verdana"/>
      <w:color w:val="000000"/>
      <w:sz w:val="18"/>
      <w:szCs w:val="18"/>
    </w:rPr>
  </w:style>
  <w:style w:type="paragraph" w:styleId="Heading1">
    <w:name w:val="heading 1"/>
    <w:basedOn w:val="Normal"/>
    <w:next w:val="Normal"/>
    <w:uiPriority w:val="1"/>
    <w:qFormat/>
    <w:pPr>
      <w:tabs>
        <w:tab w:val="left" w:pos="0"/>
      </w:tabs>
      <w:spacing w:before="240"/>
      <w:outlineLvl w:val="0"/>
    </w:pPr>
    <w:rPr>
      <w:b/>
    </w:rPr>
  </w:style>
  <w:style w:type="paragraph" w:styleId="Heading2">
    <w:name w:val="heading 2"/>
    <w:basedOn w:val="Normal"/>
    <w:next w:val="Normal"/>
    <w:uiPriority w:val="2"/>
    <w:qFormat/>
    <w:pPr>
      <w:tabs>
        <w:tab w:val="left" w:pos="0"/>
      </w:tabs>
      <w:spacing w:before="240" w:line="240" w:lineRule="exact"/>
      <w:outlineLvl w:val="1"/>
    </w:pPr>
    <w:rPr>
      <w:i/>
    </w:rPr>
  </w:style>
  <w:style w:type="paragraph" w:styleId="Heading3">
    <w:name w:val="heading 3"/>
    <w:basedOn w:val="Normal"/>
    <w:next w:val="Normal"/>
    <w:pPr>
      <w:tabs>
        <w:tab w:val="left" w:pos="0"/>
      </w:tabs>
      <w:spacing w:before="240" w:line="240" w:lineRule="exact"/>
      <w:ind w:left="-112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B78"/>
    <w:rPr>
      <w:color w:val="467886" w:themeColor="hyperlink"/>
      <w:u w:val="single"/>
    </w:rPr>
  </w:style>
  <w:style w:type="paragraph" w:customStyle="1" w:styleId="Artikelstreepje">
    <w:name w:val="Artikel streepje"/>
    <w:basedOn w:val="Normal"/>
    <w:next w:val="Normal"/>
    <w:pPr>
      <w:numPr>
        <w:ilvl w:val="3"/>
        <w:numId w:val="1"/>
      </w:numPr>
    </w:pPr>
  </w:style>
  <w:style w:type="paragraph" w:customStyle="1" w:styleId="Artikelstreepjeinspringen">
    <w:name w:val="Artikel streepje inspringen"/>
    <w:basedOn w:val="Normal"/>
    <w:next w:val="Normal"/>
    <w:pPr>
      <w:numPr>
        <w:ilvl w:val="4"/>
        <w:numId w:val="1"/>
      </w:numPr>
    </w:pPr>
  </w:style>
  <w:style w:type="paragraph" w:customStyle="1" w:styleId="Artikelnummer">
    <w:name w:val="Artikelnummer"/>
    <w:basedOn w:val="Normal"/>
    <w:pPr>
      <w:numPr>
        <w:numId w:val="1"/>
      </w:numPr>
      <w:spacing w:before="360"/>
    </w:pPr>
    <w:rPr>
      <w:b/>
    </w:rPr>
  </w:style>
  <w:style w:type="paragraph" w:customStyle="1" w:styleId="Comparitienummer">
    <w:name w:val="Comparitienummer"/>
    <w:basedOn w:val="Normal"/>
    <w:next w:val="Normal"/>
    <w:pPr>
      <w:numPr>
        <w:numId w:val="2"/>
      </w:numPr>
    </w:pPr>
  </w:style>
  <w:style w:type="numbering" w:customStyle="1" w:styleId="Genummerdelijst">
    <w:name w:val="Genummerde lijst"/>
    <w:pPr>
      <w:numPr>
        <w:numId w:val="3"/>
      </w:numPr>
    </w:pPr>
  </w:style>
  <w:style w:type="paragraph" w:styleId="TOC1">
    <w:name w:val="toc 1"/>
    <w:basedOn w:val="Normal"/>
    <w:next w:val="Normal"/>
  </w:style>
  <w:style w:type="paragraph" w:styleId="TOC2">
    <w:name w:val="toc 2"/>
    <w:basedOn w:val="TOC1"/>
    <w:next w:val="Normal"/>
    <w:pPr>
      <w:spacing w:line="240" w:lineRule="exact"/>
    </w:pPr>
  </w:style>
  <w:style w:type="paragraph" w:styleId="TOC3">
    <w:name w:val="toc 3"/>
    <w:basedOn w:val="TOC2"/>
    <w:next w:val="Normal"/>
  </w:style>
  <w:style w:type="paragraph" w:styleId="TOC4">
    <w:name w:val="toc 4"/>
    <w:basedOn w:val="TOC3"/>
    <w:next w:val="Normal"/>
  </w:style>
  <w:style w:type="paragraph" w:styleId="TOC5">
    <w:name w:val="toc 5"/>
    <w:basedOn w:val="TOC4"/>
    <w:next w:val="Normal"/>
  </w:style>
  <w:style w:type="paragraph" w:styleId="TOC6">
    <w:name w:val="toc 6"/>
    <w:basedOn w:val="TOC5"/>
    <w:next w:val="Normal"/>
  </w:style>
  <w:style w:type="paragraph" w:styleId="TOC7">
    <w:name w:val="toc 7"/>
    <w:basedOn w:val="TOC6"/>
    <w:next w:val="Normal"/>
  </w:style>
  <w:style w:type="paragraph" w:styleId="TOC8">
    <w:name w:val="toc 8"/>
    <w:basedOn w:val="TOC7"/>
    <w:next w:val="Normal"/>
  </w:style>
  <w:style w:type="paragraph" w:styleId="TOC9">
    <w:name w:val="toc 9"/>
    <w:basedOn w:val="TOC8"/>
    <w:next w:val="Normal"/>
  </w:style>
  <w:style w:type="paragraph" w:customStyle="1" w:styleId="KixBarcode">
    <w:name w:val="Kix Barcode"/>
    <w:basedOn w:val="Normal"/>
    <w:next w:val="Normal"/>
    <w:pPr>
      <w:spacing w:before="120"/>
    </w:pPr>
    <w:rPr>
      <w:rFonts w:ascii="KIX Barcode" w:hAnsi="KIX Barcode"/>
      <w:sz w:val="20"/>
      <w:szCs w:val="20"/>
    </w:rPr>
  </w:style>
  <w:style w:type="paragraph" w:customStyle="1" w:styleId="Lidnummer">
    <w:name w:val="Lidnummer"/>
    <w:basedOn w:val="Normal"/>
    <w:pPr>
      <w:numPr>
        <w:ilvl w:val="1"/>
        <w:numId w:val="1"/>
      </w:numPr>
      <w:tabs>
        <w:tab w:val="left" w:pos="419"/>
      </w:tabs>
    </w:pPr>
  </w:style>
  <w:style w:type="paragraph" w:customStyle="1" w:styleId="Lidnummerabc">
    <w:name w:val="Lidnummer abc"/>
    <w:basedOn w:val="Normal"/>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Normal"/>
    <w:uiPriority w:val="3"/>
    <w:qFormat/>
    <w:pPr>
      <w:numPr>
        <w:numId w:val="3"/>
      </w:numPr>
    </w:pPr>
  </w:style>
  <w:style w:type="paragraph" w:styleId="Subtitle">
    <w:name w:val="Subtitle"/>
    <w:basedOn w:val="Normal"/>
    <w:next w:val="Normal"/>
    <w:pPr>
      <w:spacing w:line="320" w:lineRule="atLeast"/>
    </w:pPr>
    <w:rPr>
      <w:sz w:val="24"/>
      <w:szCs w:val="24"/>
    </w:rPr>
  </w:style>
  <w:style w:type="paragraph" w:customStyle="1" w:styleId="Opsomming">
    <w:name w:val="Opsomming"/>
    <w:basedOn w:val="Normal"/>
    <w:uiPriority w:val="3"/>
    <w:qFormat/>
    <w:pPr>
      <w:numPr>
        <w:numId w:val="4"/>
      </w:numPr>
    </w:pPr>
  </w:style>
  <w:style w:type="paragraph" w:customStyle="1" w:styleId="Pagina-eindeKop1">
    <w:name w:val="Pagina-einde Kop 1"/>
    <w:basedOn w:val="Normal"/>
    <w:next w:val="Normal"/>
    <w:pPr>
      <w:pageBreakBefore/>
      <w:spacing w:line="240" w:lineRule="exact"/>
      <w:outlineLvl w:val="0"/>
    </w:pPr>
    <w:rPr>
      <w:b/>
    </w:rPr>
  </w:style>
  <w:style w:type="paragraph" w:customStyle="1" w:styleId="Referentiegegevens">
    <w:name w:val="Referentiegegevens"/>
    <w:basedOn w:val="Normal"/>
    <w:next w:val="Normal"/>
    <w:pPr>
      <w:spacing w:line="180" w:lineRule="exact"/>
      <w:outlineLvl w:val="4"/>
    </w:pPr>
    <w:rPr>
      <w:sz w:val="13"/>
      <w:szCs w:val="13"/>
    </w:rPr>
  </w:style>
  <w:style w:type="paragraph" w:customStyle="1" w:styleId="Referentiegegevensbold">
    <w:name w:val="Referentiegegevens bold"/>
    <w:basedOn w:val="Normal"/>
    <w:next w:val="Normal"/>
    <w:pPr>
      <w:spacing w:line="180" w:lineRule="exact"/>
      <w:outlineLvl w:val="4"/>
    </w:pPr>
    <w:rPr>
      <w:b/>
      <w:sz w:val="13"/>
      <w:szCs w:val="13"/>
    </w:rPr>
  </w:style>
  <w:style w:type="paragraph" w:customStyle="1" w:styleId="Referentiegegevenscursief">
    <w:name w:val="Referentiegegevens cursief"/>
    <w:basedOn w:val="Normal"/>
    <w:next w:val="Normal"/>
    <w:pPr>
      <w:spacing w:line="180" w:lineRule="exact"/>
      <w:outlineLvl w:val="4"/>
    </w:pPr>
    <w:rPr>
      <w:i/>
      <w:sz w:val="13"/>
      <w:szCs w:val="13"/>
    </w:rPr>
  </w:style>
  <w:style w:type="paragraph" w:customStyle="1" w:styleId="Referentiegegevensrechtsuitgelijnd">
    <w:name w:val="Referentiegegevens rechts uitgelijnd"/>
    <w:basedOn w:val="Normal"/>
    <w:next w:val="Normal"/>
    <w:pPr>
      <w:spacing w:line="180" w:lineRule="exact"/>
      <w:jc w:val="right"/>
      <w:outlineLvl w:val="4"/>
    </w:pPr>
    <w:rPr>
      <w:sz w:val="13"/>
      <w:szCs w:val="13"/>
    </w:rPr>
  </w:style>
  <w:style w:type="paragraph" w:customStyle="1" w:styleId="Rubricering">
    <w:name w:val="Rubricering"/>
    <w:basedOn w:val="Normal"/>
    <w:next w:val="Normal"/>
    <w:pPr>
      <w:spacing w:line="180" w:lineRule="exact"/>
    </w:pPr>
    <w:rPr>
      <w:b/>
      <w:caps/>
      <w:sz w:val="13"/>
      <w:szCs w:val="13"/>
    </w:rPr>
  </w:style>
  <w:style w:type="paragraph" w:customStyle="1" w:styleId="Standaardcursief">
    <w:name w:val="Standaard cursief"/>
    <w:basedOn w:val="Normal"/>
    <w:next w:val="Normal"/>
    <w:qFormat/>
    <w:pPr>
      <w:spacing w:line="240" w:lineRule="exact"/>
    </w:pPr>
    <w:rPr>
      <w:i/>
    </w:rPr>
  </w:style>
  <w:style w:type="paragraph" w:customStyle="1" w:styleId="StandaarddeDE">
    <w:name w:val="Standaard de_DE"/>
    <w:basedOn w:val="Normal"/>
    <w:next w:val="Normal"/>
    <w:rPr>
      <w:lang w:val="de-DE"/>
    </w:rPr>
  </w:style>
  <w:style w:type="paragraph" w:customStyle="1" w:styleId="StandaardenGB">
    <w:name w:val="Standaard en_GB"/>
    <w:basedOn w:val="Normal"/>
    <w:next w:val="Normal"/>
    <w:rPr>
      <w:lang w:val="en-GB"/>
    </w:rPr>
  </w:style>
  <w:style w:type="paragraph" w:customStyle="1" w:styleId="StandaardesES">
    <w:name w:val="Standaard es_ES"/>
    <w:basedOn w:val="Normal"/>
    <w:next w:val="Normal"/>
    <w:rPr>
      <w:lang w:val="es-ES"/>
    </w:rPr>
  </w:style>
  <w:style w:type="paragraph" w:customStyle="1" w:styleId="StandaardfrFR">
    <w:name w:val="Standaard fr_FR"/>
    <w:basedOn w:val="Normal"/>
    <w:next w:val="Normal"/>
    <w:rPr>
      <w:lang w:val="fr-FR"/>
    </w:rPr>
  </w:style>
  <w:style w:type="paragraph" w:customStyle="1" w:styleId="Standaardvet">
    <w:name w:val="Standaard vet"/>
    <w:basedOn w:val="Normal"/>
    <w:next w:val="Normal"/>
    <w:qFormat/>
    <w:pPr>
      <w:spacing w:line="240" w:lineRule="exact"/>
    </w:pPr>
    <w:rPr>
      <w:b/>
    </w:r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24"/>
      <w:szCs w:val="24"/>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leGrid">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le">
    <w:name w:val="Title"/>
    <w:basedOn w:val="Normal"/>
    <w:next w:val="Normal"/>
    <w:pPr>
      <w:spacing w:line="320" w:lineRule="atLeast"/>
    </w:pPr>
    <w:rPr>
      <w:b/>
      <w:sz w:val="24"/>
      <w:szCs w:val="24"/>
    </w:rPr>
  </w:style>
  <w:style w:type="character" w:customStyle="1" w:styleId="Voetnootreferentie">
    <w:name w:val="Voetnootreferentie"/>
    <w:rPr>
      <w:rFonts w:ascii="Verdana" w:hAnsi="Verdana"/>
      <w:sz w:val="13"/>
      <w:szCs w:val="13"/>
      <w:vertAlign w:val="baseline"/>
      <w:lang w:val="nl-NL"/>
    </w:rPr>
  </w:style>
  <w:style w:type="paragraph" w:styleId="FootnoteText">
    <w:name w:val="footnote text"/>
    <w:aliases w:val="Voetnoottekst Char2 Char,Voetnoottekst Char Char1 Char,Voetnoottekst Char1 Char Char Char,Voetnoottekst Char Char Char Char Char,Voetnoottekst Char2 Char Char Char Char Char,Voetnoottekst Char2,Voetnoottekst Char Char1"/>
    <w:link w:val="VoetnoottekstChar"/>
    <w:uiPriority w:val="99"/>
    <w:pPr>
      <w:spacing w:line="180" w:lineRule="exact"/>
    </w:pPr>
    <w:rPr>
      <w:rFonts w:ascii="Verdana" w:hAnsi="Verdana"/>
      <w:sz w:val="13"/>
      <w:szCs w:val="13"/>
    </w:rPr>
  </w:style>
  <w:style w:type="character" w:customStyle="1" w:styleId="Voetnoottekstverwijzing">
    <w:name w:val="Voetnoottekstverwijzing"/>
    <w:rPr>
      <w:rFonts w:ascii="Verdana" w:hAnsi="Verdana"/>
      <w:sz w:val="24"/>
      <w:szCs w:val="24"/>
      <w:vertAlign w:val="superscript"/>
      <w:lang w:val="nl-NL"/>
    </w:rPr>
  </w:style>
  <w:style w:type="paragraph" w:customStyle="1" w:styleId="WitregelW1">
    <w:name w:val="Witregel W1"/>
    <w:basedOn w:val="Normal"/>
    <w:next w:val="Normal"/>
    <w:pPr>
      <w:spacing w:line="90" w:lineRule="exact"/>
    </w:pPr>
    <w:rPr>
      <w:sz w:val="9"/>
      <w:szCs w:val="9"/>
    </w:rPr>
  </w:style>
  <w:style w:type="paragraph" w:customStyle="1" w:styleId="WitregelW1bodytekst">
    <w:name w:val="Witregel W1 (bodytekst)"/>
    <w:basedOn w:val="Normal"/>
    <w:next w:val="Normal"/>
    <w:pPr>
      <w:spacing w:line="240" w:lineRule="exact"/>
    </w:pPr>
  </w:style>
  <w:style w:type="paragraph" w:customStyle="1" w:styleId="WitregelW2">
    <w:name w:val="Witregel W2"/>
    <w:basedOn w:val="Normal"/>
    <w:next w:val="Normal"/>
    <w:pPr>
      <w:spacing w:line="270" w:lineRule="exact"/>
    </w:pPr>
    <w:rPr>
      <w:sz w:val="27"/>
      <w:szCs w:val="27"/>
    </w:rPr>
  </w:style>
  <w:style w:type="paragraph" w:styleId="Header">
    <w:name w:val="header"/>
    <w:basedOn w:val="Normal"/>
    <w:link w:val="KoptekstChar"/>
    <w:uiPriority w:val="99"/>
    <w:unhideWhenUsed/>
    <w:rsid w:val="00C00054"/>
    <w:pPr>
      <w:tabs>
        <w:tab w:val="center" w:pos="4536"/>
        <w:tab w:val="right" w:pos="9072"/>
      </w:tabs>
      <w:spacing w:line="240" w:lineRule="auto"/>
    </w:pPr>
  </w:style>
  <w:style w:type="character" w:customStyle="1" w:styleId="KoptekstChar">
    <w:name w:val="Koptekst Char"/>
    <w:basedOn w:val="DefaultParagraphFont"/>
    <w:link w:val="Header"/>
    <w:uiPriority w:val="99"/>
    <w:rsid w:val="00C00054"/>
    <w:rPr>
      <w:rFonts w:ascii="Verdana" w:hAnsi="Verdana"/>
      <w:color w:val="000000"/>
      <w:sz w:val="18"/>
      <w:szCs w:val="18"/>
    </w:rPr>
  </w:style>
  <w:style w:type="paragraph" w:styleId="Footer">
    <w:name w:val="footer"/>
    <w:basedOn w:val="Normal"/>
    <w:link w:val="VoettekstChar"/>
    <w:uiPriority w:val="99"/>
    <w:unhideWhenUsed/>
    <w:rsid w:val="00C00054"/>
    <w:pPr>
      <w:tabs>
        <w:tab w:val="center" w:pos="4536"/>
        <w:tab w:val="right" w:pos="9072"/>
      </w:tabs>
      <w:spacing w:line="240" w:lineRule="auto"/>
    </w:pPr>
  </w:style>
  <w:style w:type="character" w:customStyle="1" w:styleId="VoettekstChar">
    <w:name w:val="Voettekst Char"/>
    <w:basedOn w:val="DefaultParagraphFont"/>
    <w:link w:val="Footer"/>
    <w:uiPriority w:val="99"/>
    <w:rsid w:val="00C00054"/>
    <w:rPr>
      <w:rFonts w:ascii="Verdana" w:hAnsi="Verdana"/>
      <w:color w:val="000000"/>
      <w:sz w:val="18"/>
      <w:szCs w:val="18"/>
    </w:rPr>
  </w:style>
  <w:style w:type="paragraph" w:styleId="ListParagraph">
    <w:name w:val="List Paragraph"/>
    <w:aliases w:val="standaard,Dot pt,F5 List Paragraph,List Paragraph1,No Spacing1,List Paragraph Char Char Char,Indicator Text,Numbered Para 1,Bullet 1,Bullet Points,Párrafo de lista,MAIN CONTENT,Recommendation,List Paragraph2,Normal numbere,Bullet alinea,000"/>
    <w:basedOn w:val="Normal"/>
    <w:link w:val="LijstalineaChar"/>
    <w:uiPriority w:val="34"/>
    <w:qFormat/>
    <w:rsid w:val="00C00054"/>
    <w:pPr>
      <w:autoSpaceDN/>
      <w:spacing w:after="160" w:line="259" w:lineRule="auto"/>
      <w:ind w:left="720"/>
      <w:contextualSpacing/>
      <w:textAlignment w:val="auto"/>
    </w:pPr>
    <w:rPr>
      <w:rFonts w:eastAsiaTheme="minorHAnsi" w:cstheme="minorBidi"/>
      <w:color w:val="auto"/>
      <w:kern w:val="2"/>
      <w:szCs w:val="22"/>
      <w:lang w:eastAsia="en-US"/>
      <w14:ligatures w14:val="standardContextual"/>
    </w:rPr>
  </w:style>
  <w:style w:type="character" w:customStyle="1" w:styleId="VoetnoottekstChar">
    <w:name w:val="Voetnoottekst Char"/>
    <w:aliases w:val="Voetnoottekst Char2 Char Char,Voetnoottekst Char Char1 Char Char,Voetnoottekst Char1 Char Char Char Char,Voetnoottekst Char Char Char Char Char Char,Voetnoottekst Char2 Char Char Char Char Char Char,Voetnoottekst Char2 Char1"/>
    <w:basedOn w:val="DefaultParagraphFont"/>
    <w:link w:val="FootnoteText"/>
    <w:uiPriority w:val="99"/>
    <w:rsid w:val="00C00054"/>
    <w:rPr>
      <w:rFonts w:ascii="Verdana" w:hAnsi="Verdana"/>
      <w:sz w:val="13"/>
      <w:szCs w:val="13"/>
    </w:rPr>
  </w:style>
  <w:style w:type="character" w:styleId="FootnoteReference">
    <w:name w:val="footnote reference"/>
    <w:aliases w:val="Voetnootmarkering boek STT,Footnotemark,Footnotemark1,FR,Footnotemark2,FR1,Footnotemark3,FR2,Footnotemark4,FR3,Footnotemark5,FR4,Footnotemark6,Footnotemark7,Footnotemark8,FR5,Footnotemark11,Footnotemark21,FR11,Footnotemark31,FR21,FR31"/>
    <w:basedOn w:val="DefaultParagraphFont"/>
    <w:uiPriority w:val="99"/>
    <w:semiHidden/>
    <w:unhideWhenUsed/>
    <w:qFormat/>
    <w:rsid w:val="00C00054"/>
    <w:rPr>
      <w:vertAlign w:val="superscript"/>
    </w:rPr>
  </w:style>
  <w:style w:type="character" w:customStyle="1" w:styleId="LijstalineaChar">
    <w:name w:val="Lijstalinea Char"/>
    <w:aliases w:val="standaard Char,Dot pt Char,F5 List Paragraph Char,List Paragraph1 Char,No Spacing1 Char,List Paragraph Char Char Char Char,Indicator Text Char,Numbered Para 1 Char,Bullet 1 Char,Bullet Points Char,Párrafo de lista Char,MAIN CONTENT Char"/>
    <w:basedOn w:val="DefaultParagraphFont"/>
    <w:link w:val="ListParagraph"/>
    <w:uiPriority w:val="34"/>
    <w:qFormat/>
    <w:locked/>
    <w:rsid w:val="00C00054"/>
    <w:rPr>
      <w:rFonts w:ascii="Verdana" w:hAnsi="Verdana" w:eastAsiaTheme="minorHAnsi" w:cstheme="minorBidi"/>
      <w:kern w:val="2"/>
      <w:sz w:val="18"/>
      <w:szCs w:val="22"/>
      <w:lang w:eastAsia="en-US"/>
      <w14:ligatures w14:val="standardContextual"/>
    </w:rPr>
  </w:style>
  <w:style w:type="character" w:styleId="Emphasis">
    <w:name w:val="Emphasis"/>
    <w:basedOn w:val="DefaultParagraphFont"/>
    <w:uiPriority w:val="20"/>
    <w:qFormat/>
    <w:rsid w:val="00C00054"/>
    <w:rPr>
      <w:i/>
      <w:iCs/>
    </w:rPr>
  </w:style>
  <w:style w:type="character" w:customStyle="1" w:styleId="bumpedfont17">
    <w:name w:val="bumpedfont17"/>
    <w:basedOn w:val="DefaultParagraphFont"/>
    <w:rsid w:val="00C00054"/>
  </w:style>
  <w:style w:type="paragraph" w:customStyle="1" w:styleId="Default">
    <w:name w:val="Default"/>
    <w:rsid w:val="00C00054"/>
    <w:pPr>
      <w:autoSpaceDE w:val="0"/>
      <w:adjustRightInd w:val="0"/>
      <w:textAlignment w:val="auto"/>
    </w:pPr>
    <w:rPr>
      <w:rFonts w:ascii="Verdana" w:hAnsi="Verdana" w:eastAsiaTheme="minorHAnsi" w:cs="Verdana"/>
      <w:color w:val="000000"/>
      <w:sz w:val="24"/>
      <w:szCs w:val="24"/>
      <w:lang w:eastAsia="en-US"/>
      <w14:ligatures w14:val="standardContextual"/>
    </w:rPr>
  </w:style>
  <w:style w:type="character" w:customStyle="1" w:styleId="cf01">
    <w:name w:val="cf01"/>
    <w:basedOn w:val="DefaultParagraphFont"/>
    <w:rsid w:val="00C00054"/>
    <w:rPr>
      <w:rFonts w:ascii="Segoe UI" w:hAnsi="Segoe UI" w:cs="Segoe UI" w:hint="default"/>
      <w:sz w:val="18"/>
      <w:szCs w:val="18"/>
    </w:rPr>
  </w:style>
  <w:style w:type="paragraph" w:styleId="Revision">
    <w:name w:val="Revision"/>
    <w:hidden/>
    <w:uiPriority w:val="99"/>
    <w:semiHidden/>
    <w:rsid w:val="00A25507"/>
    <w:pPr>
      <w:autoSpaceDN/>
      <w:textAlignment w:val="auto"/>
    </w:pPr>
    <w:rPr>
      <w:rFonts w:ascii="Verdana" w:hAnsi="Verdana"/>
      <w:color w:val="000000"/>
      <w:sz w:val="18"/>
      <w:szCs w:val="18"/>
    </w:rPr>
  </w:style>
  <w:style w:type="character" w:styleId="CommentReference">
    <w:name w:val="annotation reference"/>
    <w:basedOn w:val="DefaultParagraphFont"/>
    <w:uiPriority w:val="99"/>
    <w:semiHidden/>
    <w:unhideWhenUsed/>
    <w:rsid w:val="00D00639"/>
    <w:rPr>
      <w:sz w:val="16"/>
      <w:szCs w:val="16"/>
    </w:rPr>
  </w:style>
  <w:style w:type="paragraph" w:styleId="CommentText">
    <w:name w:val="annotation text"/>
    <w:basedOn w:val="Normal"/>
    <w:link w:val="TekstopmerkingChar"/>
    <w:uiPriority w:val="99"/>
    <w:unhideWhenUsed/>
    <w:rsid w:val="00D00639"/>
    <w:pPr>
      <w:spacing w:line="240" w:lineRule="auto"/>
    </w:pPr>
    <w:rPr>
      <w:sz w:val="20"/>
      <w:szCs w:val="20"/>
    </w:rPr>
  </w:style>
  <w:style w:type="character" w:customStyle="1" w:styleId="TekstopmerkingChar">
    <w:name w:val="Tekst opmerking Char"/>
    <w:basedOn w:val="DefaultParagraphFont"/>
    <w:link w:val="CommentText"/>
    <w:uiPriority w:val="99"/>
    <w:rsid w:val="00D00639"/>
    <w:rPr>
      <w:rFonts w:ascii="Verdana" w:hAnsi="Verdana"/>
      <w:color w:val="000000"/>
    </w:rPr>
  </w:style>
  <w:style w:type="paragraph" w:styleId="CommentSubject">
    <w:name w:val="annotation subject"/>
    <w:basedOn w:val="CommentText"/>
    <w:next w:val="CommentText"/>
    <w:link w:val="OnderwerpvanopmerkingChar"/>
    <w:uiPriority w:val="99"/>
    <w:semiHidden/>
    <w:unhideWhenUsed/>
    <w:rsid w:val="00D00639"/>
    <w:rPr>
      <w:b/>
      <w:bCs/>
    </w:rPr>
  </w:style>
  <w:style w:type="character" w:customStyle="1" w:styleId="OnderwerpvanopmerkingChar">
    <w:name w:val="Onderwerp van opmerking Char"/>
    <w:basedOn w:val="TekstopmerkingChar"/>
    <w:link w:val="CommentSubject"/>
    <w:uiPriority w:val="99"/>
    <w:semiHidden/>
    <w:rsid w:val="00D00639"/>
    <w:rPr>
      <w:rFonts w:ascii="Verdana" w:hAnsi="Verdana"/>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1" /><Relationship Type="http://schemas.openxmlformats.org/officeDocument/2006/relationships/footer" Target="footer2.xml" Id="rId10" /><Relationship Type="http://schemas.openxmlformats.org/officeDocument/2006/relationships/header" Target="header3.xml" Id="rId11" /><Relationship Type="http://schemas.openxmlformats.org/officeDocument/2006/relationships/footer" Target="footer3.xml" Id="rId12" /><Relationship Type="http://schemas.openxmlformats.org/officeDocument/2006/relationships/theme" Target="theme/theme1.xml" Id="rId13" /><Relationship Type="http://schemas.openxmlformats.org/officeDocument/2006/relationships/numbering" Target="numbering.xml" Id="rId14" /><Relationship Type="http://schemas.openxmlformats.org/officeDocument/2006/relationships/styles" Target="styles.xml" Id="rId15" /><Relationship Type="http://schemas.openxmlformats.org/officeDocument/2006/relationships/settings" Target="settings.xml" Id="rId2" /><Relationship Type="http://schemas.openxmlformats.org/officeDocument/2006/relationships/webSettings" Target="webSettings.xml" Id="rId3" /><Relationship Type="http://schemas.openxmlformats.org/officeDocument/2006/relationships/fontTable" Target="fontTable.xml" Id="rId4" /><Relationship Type="http://schemas.openxmlformats.org/officeDocument/2006/relationships/header" Target="header1.xml" Id="rId7" /><Relationship Type="http://schemas.openxmlformats.org/officeDocument/2006/relationships/header" Target="header2.xml" Id="rId8" /><Relationship Type="http://schemas.openxmlformats.org/officeDocument/2006/relationships/footer" Target="footer1.xml" Id="rId9" /></Relationships>
</file>

<file path=word/_rels/footnotes.xml.rels><?xml version="1.0" encoding="utf-8" standalone="yes"?><Relationships xmlns="http://schemas.openxmlformats.org/package/2006/relationships"><Relationship Id="rId1" Type="http://schemas.openxmlformats.org/officeDocument/2006/relationships/hyperlink" Target="https://orr.nl/wp-content/uploads/2025/11/Rapport-resultaten-DUO-actie-Het-is-niet-jouw-studieschuld-2.pdf" TargetMode="External"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6</ap:Pages>
  <ap:Words>2418</ap:Words>
  <ap:Characters>13304</ap:Characters>
  <ap:DocSecurity>0</ap:DocSecurity>
  <ap:Lines>110</ap:Lines>
  <ap:Paragraphs>31</ap:Paragraphs>
  <ap:ScaleCrop>false</ap:ScaleCrop>
  <ap:HeadingPairs>
    <vt:vector baseType="variant" size="2">
      <vt:variant>
        <vt:lpstr>Titel</vt:lpstr>
      </vt:variant>
      <vt:variant>
        <vt:i4>1</vt:i4>
      </vt:variant>
    </vt:vector>
  </ap:HeadingPairs>
  <ap:TitlesOfParts>
    <vt:vector baseType="lpstr" size="1">
      <vt:lpstr>Brief - Stand van zaken wetsvoorstel Wet versterking waarborgfunctie Awb</vt:lpstr>
    </vt:vector>
  </ap:TitlesOfParts>
  <ap:LinksUpToDate>false</ap:LinksUpToDate>
  <ap:CharactersWithSpaces>15691</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revision/>
  <lastPrinted>2026-08-27T12:42:00.0000000Z</lastPrinted>
  <dcterms:created xsi:type="dcterms:W3CDTF">2026-09-11T12:58:00.0000000Z</dcterms:created>
  <dcterms:modified xsi:type="dcterms:W3CDTF">2026-09-11T12:58:00.0000000Z</dcterms:modified>
  <dc:creator/>
  <lastModifiedBy/>
  <dc:description>------------------------</dc:description>
  <dc:subject/>
  <keywords/>
  <version/>
  <category/>
</coreProperties>
</file>