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777E7" w:rsidR="001777E7" w:rsidP="001777E7" w:rsidRDefault="001777E7" w14:paraId="4C4BD58D" w14:textId="77777777">
      <w:pPr>
        <w:rPr>
          <w:rFonts w:ascii="Verdana" w:hAnsi="Verdana"/>
          <w:b/>
          <w:bCs/>
          <w:sz w:val="18"/>
          <w:szCs w:val="18"/>
        </w:rPr>
      </w:pPr>
      <w:r w:rsidRPr="001777E7">
        <w:rPr>
          <w:rFonts w:ascii="Verdana" w:hAnsi="Verdana"/>
          <w:b/>
          <w:bCs/>
          <w:sz w:val="18"/>
          <w:szCs w:val="18"/>
        </w:rPr>
        <w:t>Bijlage 3: Toekomstbeeld wettelijke versnelling hoogspanningsprojecten</w:t>
      </w:r>
    </w:p>
    <w:p w:rsidRPr="001777E7" w:rsidR="001777E7" w:rsidP="001777E7" w:rsidRDefault="001777E7" w14:paraId="144C5339" w14:textId="77777777">
      <w:pPr>
        <w:rPr>
          <w:rFonts w:ascii="Verdana" w:hAnsi="Verdana"/>
          <w:sz w:val="18"/>
          <w:szCs w:val="18"/>
        </w:rPr>
      </w:pPr>
      <w:r w:rsidRPr="001777E7">
        <w:rPr>
          <w:rFonts w:ascii="Verdana" w:hAnsi="Verdana"/>
          <w:b/>
          <w:bCs/>
          <w:sz w:val="18"/>
          <w:szCs w:val="18"/>
        </w:rPr>
        <w:t>Inleiding</w:t>
      </w:r>
      <w:r w:rsidRPr="001777E7">
        <w:rPr>
          <w:rFonts w:ascii="Verdana" w:hAnsi="Verdana"/>
          <w:sz w:val="18"/>
          <w:szCs w:val="18"/>
        </w:rPr>
        <w:br/>
        <w:t>Het doel van het wetgevingsprogramma is om de doorlooptijden van hoogspanningsprojecten met jaren te verkorten en nieuwe vertragingen te voorkomen. De uiteindelijke versnelling is afhankelijk van het type project, de context en de onderliggende knelpunten. Ter illustratie van het versnellingspotentieel van het wetgevingsprogramma worden hieronder twee fictieve casussen gepresenteerd.</w:t>
      </w:r>
    </w:p>
    <w:p w:rsidRPr="001777E7" w:rsidR="001777E7" w:rsidP="001777E7" w:rsidRDefault="001777E7" w14:paraId="4F217E35" w14:textId="77777777">
      <w:pPr>
        <w:rPr>
          <w:rFonts w:ascii="Verdana" w:hAnsi="Verdana"/>
          <w:sz w:val="18"/>
          <w:szCs w:val="18"/>
        </w:rPr>
      </w:pPr>
      <w:r w:rsidRPr="001777E7">
        <w:rPr>
          <w:rFonts w:ascii="Verdana" w:hAnsi="Verdana"/>
          <w:sz w:val="18"/>
          <w:szCs w:val="18"/>
        </w:rPr>
        <w:t>In de illustratie ligt de focus op de toepasbare wettelijke maatregelen en de versnelling in de betreffende fases. Beleidsmaatregelen en TenneT versnellingsmogelijkheden, die ook onderdeel zijn van het versnellingspakket, zijn hierin niet meegenomen. Het pakket aan maatregelen is op alle fases van een project gericht (inclusief de haalbaarheids- en realisatiefase). De casussen illustreren daarmee een selectie van de (wettelijke) maatregelen, projectfases en projecttypen.</w:t>
      </w:r>
    </w:p>
    <w:p w:rsidRPr="001777E7" w:rsidR="001777E7" w:rsidP="001777E7" w:rsidRDefault="001777E7" w14:paraId="52F3A28D" w14:textId="77777777">
      <w:pPr>
        <w:rPr>
          <w:rFonts w:ascii="Verdana" w:hAnsi="Verdana"/>
          <w:sz w:val="18"/>
          <w:szCs w:val="18"/>
        </w:rPr>
      </w:pPr>
      <w:r w:rsidRPr="001777E7">
        <w:rPr>
          <w:rFonts w:ascii="Verdana" w:hAnsi="Verdana"/>
          <w:b/>
          <w:bCs/>
          <w:sz w:val="18"/>
          <w:szCs w:val="18"/>
        </w:rPr>
        <w:t>Casus 1: capaciteitsuitbreiding van een bestaand station met extra velden</w:t>
      </w:r>
      <w:r w:rsidRPr="001777E7">
        <w:rPr>
          <w:rFonts w:ascii="Verdana" w:hAnsi="Verdana"/>
          <w:b/>
          <w:bCs/>
          <w:sz w:val="18"/>
          <w:szCs w:val="18"/>
        </w:rPr>
        <w:br/>
      </w:r>
      <w:r w:rsidRPr="001777E7">
        <w:rPr>
          <w:rFonts w:ascii="Verdana" w:hAnsi="Verdana"/>
          <w:sz w:val="18"/>
          <w:szCs w:val="18"/>
        </w:rPr>
        <w:t xml:space="preserve">Met de plannen in de regio voor woningbouw en bedrijventerreinen is er op korte termijn meer vraag naar netcapaciteit dan beschikbaar is. De landelijke netbeheerder TenneT voorziet in het investeringsplan een uitbreiding van een bestaand 220/110 kV hoogspanningsstation. Voor het operationeel houden van het station zijn tijdelijke installaties nodig. Dit station is gelegen in landelijk gebied en op het bestaande terrein is ruimte om drie velden bij te bouwen. </w:t>
      </w:r>
    </w:p>
    <w:p w:rsidRPr="001777E7" w:rsidR="001777E7" w:rsidP="001777E7" w:rsidRDefault="001777E7" w14:paraId="67AFD941" w14:textId="77777777">
      <w:pPr>
        <w:rPr>
          <w:rFonts w:ascii="Verdana" w:hAnsi="Verdana"/>
          <w:sz w:val="18"/>
          <w:szCs w:val="18"/>
        </w:rPr>
      </w:pPr>
      <w:r w:rsidRPr="001777E7">
        <w:rPr>
          <w:rFonts w:ascii="Verdana" w:hAnsi="Verdana"/>
          <w:sz w:val="18"/>
          <w:szCs w:val="18"/>
        </w:rPr>
        <w:t xml:space="preserve">Het </w:t>
      </w:r>
      <w:proofErr w:type="spellStart"/>
      <w:r w:rsidRPr="001777E7">
        <w:rPr>
          <w:rFonts w:ascii="Verdana" w:hAnsi="Verdana"/>
          <w:sz w:val="18"/>
          <w:szCs w:val="18"/>
        </w:rPr>
        <w:t>stationsterrein</w:t>
      </w:r>
      <w:proofErr w:type="spellEnd"/>
      <w:r w:rsidRPr="001777E7">
        <w:rPr>
          <w:rFonts w:ascii="Verdana" w:hAnsi="Verdana"/>
          <w:sz w:val="18"/>
          <w:szCs w:val="18"/>
        </w:rPr>
        <w:t xml:space="preserve"> is al bestemd als hoogspanningsstation, maar bevat enkele beperkende regels waardoor een nieuw omgevingsplan moet worden opgesteld (denk aan beperking bouwhoogte voor een bliksempiek of de bebouwde footprint voor installaties en gebouwen). </w:t>
      </w:r>
    </w:p>
    <w:p w:rsidRPr="001777E7" w:rsidR="001777E7" w:rsidP="001777E7" w:rsidRDefault="001777E7" w14:paraId="602E913E" w14:textId="77777777">
      <w:pPr>
        <w:rPr>
          <w:rFonts w:ascii="Verdana" w:hAnsi="Verdana"/>
          <w:sz w:val="18"/>
          <w:szCs w:val="18"/>
        </w:rPr>
      </w:pPr>
      <w:r w:rsidRPr="001777E7">
        <w:rPr>
          <w:rFonts w:ascii="Verdana" w:hAnsi="Verdana"/>
          <w:sz w:val="18"/>
          <w:szCs w:val="18"/>
        </w:rPr>
        <w:t xml:space="preserve">De verwachte doorlooptijd van het project is 7,5 jaar. Met de wettelijke versnellingsmaatregelen is in onderstaand voorbeeld </w:t>
      </w:r>
      <w:r w:rsidRPr="001777E7">
        <w:rPr>
          <w:rFonts w:ascii="Verdana" w:hAnsi="Verdana"/>
          <w:b/>
          <w:bCs/>
          <w:sz w:val="18"/>
          <w:szCs w:val="18"/>
        </w:rPr>
        <w:t>het maximale versnellingspotentieel 3,5 jaar</w:t>
      </w:r>
      <w:r w:rsidRPr="001777E7">
        <w:rPr>
          <w:rFonts w:ascii="Verdana" w:hAnsi="Verdana"/>
          <w:sz w:val="18"/>
          <w:szCs w:val="18"/>
        </w:rPr>
        <w:t>. De nieuwe doorlooptijd van het project is 4 jaar.</w:t>
      </w:r>
    </w:p>
    <w:p w:rsidRPr="001777E7" w:rsidR="001777E7" w:rsidP="001777E7" w:rsidRDefault="001777E7" w14:paraId="7586D04F" w14:textId="77777777">
      <w:pPr>
        <w:rPr>
          <w:rFonts w:ascii="Verdana" w:hAnsi="Verdana"/>
          <w:i/>
          <w:iCs/>
          <w:sz w:val="18"/>
          <w:szCs w:val="18"/>
        </w:rPr>
      </w:pPr>
      <w:r w:rsidRPr="001777E7">
        <w:rPr>
          <w:rFonts w:ascii="Verdana" w:hAnsi="Verdana"/>
          <w:i/>
          <w:iCs/>
          <w:sz w:val="18"/>
          <w:szCs w:val="18"/>
        </w:rPr>
        <w:t xml:space="preserve">Tabel 1: Fictieve casus met doorlooptijd van </w:t>
      </w:r>
      <w:proofErr w:type="spellStart"/>
      <w:r w:rsidRPr="001777E7">
        <w:rPr>
          <w:rFonts w:ascii="Verdana" w:hAnsi="Verdana"/>
          <w:i/>
          <w:iCs/>
          <w:sz w:val="18"/>
          <w:szCs w:val="18"/>
        </w:rPr>
        <w:t>stationsuitbreiding</w:t>
      </w:r>
      <w:proofErr w:type="spellEnd"/>
      <w:r w:rsidRPr="001777E7">
        <w:rPr>
          <w:rFonts w:ascii="Verdana" w:hAnsi="Verdana"/>
          <w:i/>
          <w:iCs/>
          <w:sz w:val="18"/>
          <w:szCs w:val="18"/>
        </w:rPr>
        <w:t xml:space="preserve"> met en zonder wettelijke maatregelen (gebaseerd op </w:t>
      </w:r>
      <w:hyperlink r:id="rId8">
        <w:r w:rsidRPr="001777E7">
          <w:rPr>
            <w:rStyle w:val="Hyperlink"/>
            <w:rFonts w:ascii="Verdana" w:hAnsi="Verdana"/>
            <w:i/>
            <w:iCs/>
            <w:sz w:val="18"/>
            <w:szCs w:val="18"/>
          </w:rPr>
          <w:t xml:space="preserve">Maatregelen voor de versnelling van </w:t>
        </w:r>
        <w:proofErr w:type="spellStart"/>
        <w:r w:rsidRPr="001777E7">
          <w:rPr>
            <w:rStyle w:val="Hyperlink"/>
            <w:rFonts w:ascii="Verdana" w:hAnsi="Verdana"/>
            <w:i/>
            <w:iCs/>
            <w:sz w:val="18"/>
            <w:szCs w:val="18"/>
          </w:rPr>
          <w:t>congestieverlichtende</w:t>
        </w:r>
        <w:proofErr w:type="spellEnd"/>
        <w:r w:rsidRPr="001777E7">
          <w:rPr>
            <w:rStyle w:val="Hyperlink"/>
            <w:rFonts w:ascii="Verdana" w:hAnsi="Verdana"/>
            <w:i/>
            <w:iCs/>
            <w:sz w:val="18"/>
            <w:szCs w:val="18"/>
          </w:rPr>
          <w:t xml:space="preserve"> bouwprojecten</w:t>
        </w:r>
      </w:hyperlink>
      <w:r w:rsidRPr="001777E7">
        <w:rPr>
          <w:rFonts w:ascii="Verdana" w:hAnsi="Verdana"/>
          <w:i/>
          <w:iCs/>
          <w:sz w:val="18"/>
          <w:szCs w:val="18"/>
        </w:rPr>
        <w:t xml:space="preserve"> (</w:t>
      </w:r>
      <w:proofErr w:type="spellStart"/>
      <w:r w:rsidRPr="001777E7">
        <w:rPr>
          <w:rFonts w:ascii="Verdana" w:hAnsi="Verdana"/>
          <w:i/>
          <w:iCs/>
          <w:sz w:val="18"/>
          <w:szCs w:val="18"/>
        </w:rPr>
        <w:t>TenneT</w:t>
      </w:r>
      <w:proofErr w:type="spellEnd"/>
      <w:r w:rsidRPr="001777E7">
        <w:rPr>
          <w:rFonts w:ascii="Verdana" w:hAnsi="Verdana"/>
          <w:i/>
          <w:iCs/>
          <w:sz w:val="18"/>
          <w:szCs w:val="18"/>
        </w:rPr>
        <w:t>, 2025)</w:t>
      </w:r>
    </w:p>
    <w:tbl>
      <w:tblPr>
        <w:tblW w:w="8642"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6A0" w:firstRow="1" w:lastRow="0" w:firstColumn="1" w:lastColumn="0" w:noHBand="1" w:noVBand="1"/>
      </w:tblPr>
      <w:tblGrid>
        <w:gridCol w:w="2546"/>
        <w:gridCol w:w="1455"/>
        <w:gridCol w:w="3029"/>
        <w:gridCol w:w="1612"/>
      </w:tblGrid>
      <w:tr w:rsidRPr="001777E7" w:rsidR="001777E7" w:rsidTr="00976A9B" w14:paraId="113F981D" w14:textId="77777777">
        <w:trPr>
          <w:trHeight w:val="300"/>
        </w:trPr>
        <w:tc>
          <w:tcPr>
            <w:tcW w:w="2550" w:type="dxa"/>
          </w:tcPr>
          <w:p w:rsidRPr="001777E7" w:rsidR="001777E7" w:rsidP="001777E7" w:rsidRDefault="001777E7" w14:paraId="4FF27044" w14:textId="77777777">
            <w:pPr>
              <w:rPr>
                <w:rFonts w:ascii="Verdana" w:hAnsi="Verdana"/>
                <w:b/>
                <w:bCs/>
                <w:sz w:val="18"/>
                <w:szCs w:val="18"/>
              </w:rPr>
            </w:pPr>
            <w:r w:rsidRPr="001777E7">
              <w:rPr>
                <w:rFonts w:ascii="Verdana" w:hAnsi="Verdana"/>
                <w:b/>
                <w:bCs/>
                <w:sz w:val="18"/>
                <w:szCs w:val="18"/>
              </w:rPr>
              <w:t>Knelpunt</w:t>
            </w:r>
          </w:p>
        </w:tc>
        <w:tc>
          <w:tcPr>
            <w:tcW w:w="1376" w:type="dxa"/>
          </w:tcPr>
          <w:p w:rsidRPr="001777E7" w:rsidR="001777E7" w:rsidP="001777E7" w:rsidRDefault="001777E7" w14:paraId="22C9CD6D" w14:textId="77777777">
            <w:pPr>
              <w:rPr>
                <w:rFonts w:ascii="Verdana" w:hAnsi="Verdana"/>
                <w:sz w:val="18"/>
                <w:szCs w:val="18"/>
              </w:rPr>
            </w:pPr>
            <w:r w:rsidRPr="001777E7">
              <w:rPr>
                <w:rFonts w:ascii="Verdana" w:hAnsi="Verdana"/>
                <w:b/>
                <w:bCs/>
                <w:sz w:val="18"/>
                <w:szCs w:val="18"/>
              </w:rPr>
              <w:t>Huidige</w:t>
            </w:r>
          </w:p>
          <w:p w:rsidRPr="001777E7" w:rsidR="001777E7" w:rsidP="001777E7" w:rsidRDefault="001777E7" w14:paraId="32DA9794" w14:textId="77777777">
            <w:pPr>
              <w:rPr>
                <w:rFonts w:ascii="Verdana" w:hAnsi="Verdana"/>
                <w:b/>
                <w:bCs/>
                <w:sz w:val="18"/>
                <w:szCs w:val="18"/>
              </w:rPr>
            </w:pPr>
            <w:r w:rsidRPr="001777E7">
              <w:rPr>
                <w:rFonts w:ascii="Verdana" w:hAnsi="Verdana"/>
                <w:b/>
                <w:bCs/>
                <w:sz w:val="18"/>
                <w:szCs w:val="18"/>
              </w:rPr>
              <w:t xml:space="preserve">doorlooptijd </w:t>
            </w:r>
          </w:p>
        </w:tc>
        <w:tc>
          <w:tcPr>
            <w:tcW w:w="3087" w:type="dxa"/>
          </w:tcPr>
          <w:p w:rsidRPr="001777E7" w:rsidR="001777E7" w:rsidP="001777E7" w:rsidRDefault="001777E7" w14:paraId="06F5DF76" w14:textId="77777777">
            <w:pPr>
              <w:rPr>
                <w:rFonts w:ascii="Verdana" w:hAnsi="Verdana"/>
                <w:b/>
                <w:bCs/>
                <w:sz w:val="18"/>
                <w:szCs w:val="18"/>
              </w:rPr>
            </w:pPr>
            <w:r w:rsidRPr="001777E7">
              <w:rPr>
                <w:rFonts w:ascii="Verdana" w:hAnsi="Verdana"/>
                <w:b/>
                <w:bCs/>
                <w:sz w:val="18"/>
                <w:szCs w:val="18"/>
              </w:rPr>
              <w:t>Versnellingseffect (Wettelijke maatregel #)</w:t>
            </w:r>
          </w:p>
        </w:tc>
        <w:tc>
          <w:tcPr>
            <w:tcW w:w="1629" w:type="dxa"/>
          </w:tcPr>
          <w:p w:rsidRPr="001777E7" w:rsidR="001777E7" w:rsidP="001777E7" w:rsidRDefault="001777E7" w14:paraId="218A6B6A" w14:textId="77777777">
            <w:pPr>
              <w:rPr>
                <w:rFonts w:ascii="Verdana" w:hAnsi="Verdana"/>
                <w:sz w:val="18"/>
                <w:szCs w:val="18"/>
              </w:rPr>
            </w:pPr>
            <w:r w:rsidRPr="001777E7">
              <w:rPr>
                <w:rFonts w:ascii="Verdana" w:hAnsi="Verdana"/>
                <w:b/>
                <w:bCs/>
                <w:sz w:val="18"/>
                <w:szCs w:val="18"/>
              </w:rPr>
              <w:t>Nieuwe</w:t>
            </w:r>
          </w:p>
          <w:p w:rsidRPr="001777E7" w:rsidR="001777E7" w:rsidP="001777E7" w:rsidRDefault="001777E7" w14:paraId="5647882A" w14:textId="77777777">
            <w:pPr>
              <w:rPr>
                <w:rFonts w:ascii="Verdana" w:hAnsi="Verdana"/>
                <w:sz w:val="18"/>
                <w:szCs w:val="18"/>
              </w:rPr>
            </w:pPr>
            <w:r w:rsidRPr="001777E7">
              <w:rPr>
                <w:rFonts w:ascii="Verdana" w:hAnsi="Verdana"/>
                <w:b/>
                <w:bCs/>
                <w:sz w:val="18"/>
                <w:szCs w:val="18"/>
              </w:rPr>
              <w:t>doorlooptijd</w:t>
            </w:r>
          </w:p>
        </w:tc>
      </w:tr>
      <w:tr w:rsidRPr="001777E7" w:rsidR="001777E7" w:rsidTr="00976A9B" w14:paraId="6AF70111" w14:textId="77777777">
        <w:trPr>
          <w:trHeight w:val="1090"/>
        </w:trPr>
        <w:tc>
          <w:tcPr>
            <w:tcW w:w="2550" w:type="dxa"/>
          </w:tcPr>
          <w:p w:rsidRPr="001777E7" w:rsidR="001777E7" w:rsidP="001777E7" w:rsidRDefault="001777E7" w14:paraId="4FBB56BE" w14:textId="77777777">
            <w:pPr>
              <w:rPr>
                <w:rFonts w:ascii="Verdana" w:hAnsi="Verdana"/>
                <w:sz w:val="18"/>
                <w:szCs w:val="18"/>
              </w:rPr>
            </w:pPr>
            <w:r w:rsidRPr="001777E7">
              <w:rPr>
                <w:rFonts w:ascii="Verdana" w:hAnsi="Verdana"/>
                <w:b/>
                <w:bCs/>
                <w:sz w:val="18"/>
                <w:szCs w:val="18"/>
              </w:rPr>
              <w:t>Planologische procedure</w:t>
            </w:r>
            <w:r w:rsidRPr="001777E7">
              <w:rPr>
                <w:rFonts w:ascii="Verdana" w:hAnsi="Verdana"/>
                <w:sz w:val="18"/>
                <w:szCs w:val="18"/>
              </w:rPr>
              <w:t xml:space="preserve"> – relatief zware procedure, met bevoegd gezag in eerste instantie bij het Rijk, voor het aanpassen van het omgevingsplan (indien geen sprake is van een </w:t>
            </w:r>
            <w:proofErr w:type="spellStart"/>
            <w:r w:rsidRPr="001777E7">
              <w:rPr>
                <w:rFonts w:ascii="Verdana" w:hAnsi="Verdana"/>
                <w:sz w:val="18"/>
                <w:szCs w:val="18"/>
              </w:rPr>
              <w:t>buitenplanse</w:t>
            </w:r>
            <w:proofErr w:type="spellEnd"/>
            <w:r w:rsidRPr="001777E7">
              <w:rPr>
                <w:rFonts w:ascii="Verdana" w:hAnsi="Verdana"/>
                <w:sz w:val="18"/>
                <w:szCs w:val="18"/>
              </w:rPr>
              <w:t xml:space="preserve"> omgevingsplanactiviteit). </w:t>
            </w:r>
          </w:p>
        </w:tc>
        <w:tc>
          <w:tcPr>
            <w:tcW w:w="1376" w:type="dxa"/>
            <w:tcBorders>
              <w:bottom w:val="single" w:color="auto" w:sz="4" w:space="0"/>
            </w:tcBorders>
          </w:tcPr>
          <w:p w:rsidRPr="001777E7" w:rsidR="001777E7" w:rsidP="001777E7" w:rsidRDefault="001777E7" w14:paraId="60FB986E" w14:textId="77777777">
            <w:pPr>
              <w:rPr>
                <w:rFonts w:ascii="Verdana" w:hAnsi="Verdana"/>
                <w:sz w:val="18"/>
                <w:szCs w:val="18"/>
              </w:rPr>
            </w:pPr>
            <w:r w:rsidRPr="001777E7">
              <w:rPr>
                <w:rFonts w:ascii="Verdana" w:hAnsi="Verdana"/>
                <w:sz w:val="18"/>
                <w:szCs w:val="18"/>
              </w:rPr>
              <w:t>1 tot 1,5 jaar</w:t>
            </w:r>
          </w:p>
        </w:tc>
        <w:tc>
          <w:tcPr>
            <w:tcW w:w="3087" w:type="dxa"/>
            <w:tcBorders>
              <w:bottom w:val="single" w:color="auto" w:sz="4" w:space="0"/>
            </w:tcBorders>
          </w:tcPr>
          <w:p w:rsidRPr="001777E7" w:rsidR="001777E7" w:rsidP="001777E7" w:rsidRDefault="001777E7" w14:paraId="2F1392E5" w14:textId="77777777">
            <w:pPr>
              <w:rPr>
                <w:rFonts w:ascii="Verdana" w:hAnsi="Verdana"/>
                <w:sz w:val="18"/>
                <w:szCs w:val="18"/>
              </w:rPr>
            </w:pPr>
            <w:r w:rsidRPr="001777E7">
              <w:rPr>
                <w:rFonts w:ascii="Verdana" w:hAnsi="Verdana"/>
                <w:sz w:val="18"/>
                <w:szCs w:val="18"/>
              </w:rPr>
              <w:t>Kan worden overgeslagen vanwege vergunningsvrij afwijken van de bepalingen binnen het omgevingsplan voor de functie hoogspanning (M5).</w:t>
            </w:r>
          </w:p>
          <w:p w:rsidRPr="001777E7" w:rsidR="001777E7" w:rsidP="001777E7" w:rsidRDefault="001777E7" w14:paraId="1CF73A5A" w14:textId="77777777">
            <w:pPr>
              <w:rPr>
                <w:rFonts w:ascii="Verdana" w:hAnsi="Verdana"/>
                <w:sz w:val="18"/>
                <w:szCs w:val="18"/>
              </w:rPr>
            </w:pPr>
          </w:p>
          <w:p w:rsidRPr="001777E7" w:rsidR="001777E7" w:rsidP="001777E7" w:rsidRDefault="001777E7" w14:paraId="53865C65" w14:textId="77777777">
            <w:pPr>
              <w:rPr>
                <w:rFonts w:ascii="Verdana" w:hAnsi="Verdana"/>
                <w:sz w:val="18"/>
                <w:szCs w:val="18"/>
              </w:rPr>
            </w:pPr>
            <w:r w:rsidRPr="001777E7">
              <w:rPr>
                <w:rFonts w:ascii="Verdana" w:hAnsi="Verdana"/>
                <w:sz w:val="18"/>
                <w:szCs w:val="18"/>
              </w:rPr>
              <w:t>Omdat er geen planologische procedure gevolgd hoeft te worden, is er geen verschuiving van het bevoegd gezag van rijk naar gemeente om dit relatief kleine project in te passen. (M5)</w:t>
            </w:r>
          </w:p>
          <w:p w:rsidRPr="001777E7" w:rsidR="001777E7" w:rsidP="001777E7" w:rsidRDefault="001777E7" w14:paraId="64937664" w14:textId="77777777">
            <w:pPr>
              <w:rPr>
                <w:rFonts w:ascii="Verdana" w:hAnsi="Verdana"/>
                <w:sz w:val="18"/>
                <w:szCs w:val="18"/>
              </w:rPr>
            </w:pPr>
          </w:p>
          <w:p w:rsidRPr="001777E7" w:rsidR="001777E7" w:rsidP="001777E7" w:rsidRDefault="001777E7" w14:paraId="0831C328" w14:textId="77777777">
            <w:pPr>
              <w:rPr>
                <w:rFonts w:ascii="Verdana" w:hAnsi="Verdana"/>
                <w:sz w:val="18"/>
                <w:szCs w:val="18"/>
              </w:rPr>
            </w:pPr>
            <w:r w:rsidRPr="001777E7">
              <w:rPr>
                <w:rFonts w:ascii="Verdana" w:hAnsi="Verdana"/>
                <w:sz w:val="18"/>
                <w:szCs w:val="18"/>
              </w:rPr>
              <w:lastRenderedPageBreak/>
              <w:t>Uitzondering op de stikstofbeoordeling (M3).</w:t>
            </w:r>
          </w:p>
          <w:p w:rsidRPr="001777E7" w:rsidR="001777E7" w:rsidP="001777E7" w:rsidRDefault="001777E7" w14:paraId="78188D6D" w14:textId="77777777">
            <w:pPr>
              <w:rPr>
                <w:rFonts w:ascii="Verdana" w:hAnsi="Verdana"/>
                <w:sz w:val="18"/>
                <w:szCs w:val="18"/>
              </w:rPr>
            </w:pPr>
            <w:r w:rsidRPr="001777E7">
              <w:rPr>
                <w:rFonts w:ascii="Verdana" w:hAnsi="Verdana"/>
                <w:sz w:val="18"/>
                <w:szCs w:val="18"/>
              </w:rPr>
              <w:t xml:space="preserve"> </w:t>
            </w:r>
          </w:p>
        </w:tc>
        <w:tc>
          <w:tcPr>
            <w:tcW w:w="1629" w:type="dxa"/>
            <w:tcBorders>
              <w:bottom w:val="single" w:color="auto" w:sz="4" w:space="0"/>
            </w:tcBorders>
          </w:tcPr>
          <w:p w:rsidRPr="001777E7" w:rsidR="001777E7" w:rsidP="001777E7" w:rsidRDefault="001777E7" w14:paraId="60F67BC4" w14:textId="77777777">
            <w:pPr>
              <w:rPr>
                <w:rFonts w:ascii="Verdana" w:hAnsi="Verdana"/>
                <w:sz w:val="18"/>
                <w:szCs w:val="18"/>
              </w:rPr>
            </w:pPr>
            <w:r w:rsidRPr="001777E7">
              <w:rPr>
                <w:rFonts w:ascii="Verdana" w:hAnsi="Verdana"/>
                <w:sz w:val="18"/>
                <w:szCs w:val="18"/>
              </w:rPr>
              <w:lastRenderedPageBreak/>
              <w:t>0 maanden</w:t>
            </w:r>
          </w:p>
        </w:tc>
      </w:tr>
      <w:tr w:rsidRPr="001777E7" w:rsidR="001777E7" w:rsidTr="00976A9B" w14:paraId="2E3E25F1" w14:textId="77777777">
        <w:trPr>
          <w:trHeight w:val="300"/>
        </w:trPr>
        <w:tc>
          <w:tcPr>
            <w:tcW w:w="2550" w:type="dxa"/>
          </w:tcPr>
          <w:p w:rsidRPr="001777E7" w:rsidR="001777E7" w:rsidP="001777E7" w:rsidRDefault="001777E7" w14:paraId="20F0D47A" w14:textId="77777777">
            <w:pPr>
              <w:rPr>
                <w:rFonts w:ascii="Verdana" w:hAnsi="Verdana"/>
                <w:sz w:val="18"/>
                <w:szCs w:val="18"/>
              </w:rPr>
            </w:pPr>
            <w:r w:rsidRPr="001777E7">
              <w:rPr>
                <w:rFonts w:ascii="Verdana" w:hAnsi="Verdana"/>
                <w:b/>
                <w:bCs/>
                <w:sz w:val="18"/>
                <w:szCs w:val="18"/>
              </w:rPr>
              <w:t>Vergunningverlening</w:t>
            </w:r>
            <w:r w:rsidRPr="001777E7">
              <w:rPr>
                <w:rFonts w:ascii="Verdana" w:hAnsi="Verdana"/>
                <w:sz w:val="18"/>
                <w:szCs w:val="18"/>
              </w:rPr>
              <w:t xml:space="preserve"> – extra doorlooptijd door het voorbereiden en beoordelen van de vergunningen voor de tijdelijke installaties en de (definitieve) uitbreiding.</w:t>
            </w:r>
          </w:p>
        </w:tc>
        <w:tc>
          <w:tcPr>
            <w:tcW w:w="1376" w:type="dxa"/>
          </w:tcPr>
          <w:p w:rsidRPr="001777E7" w:rsidR="001777E7" w:rsidP="001777E7" w:rsidRDefault="001777E7" w14:paraId="521403FE" w14:textId="77777777">
            <w:pPr>
              <w:rPr>
                <w:rFonts w:ascii="Verdana" w:hAnsi="Verdana"/>
                <w:sz w:val="18"/>
                <w:szCs w:val="18"/>
              </w:rPr>
            </w:pPr>
            <w:r w:rsidRPr="001777E7">
              <w:rPr>
                <w:rFonts w:ascii="Verdana" w:hAnsi="Verdana"/>
                <w:sz w:val="18"/>
                <w:szCs w:val="18"/>
              </w:rPr>
              <w:t>3 maanden tot 1 jaar</w:t>
            </w:r>
          </w:p>
        </w:tc>
        <w:tc>
          <w:tcPr>
            <w:tcW w:w="3087" w:type="dxa"/>
          </w:tcPr>
          <w:p w:rsidRPr="001777E7" w:rsidR="001777E7" w:rsidP="001777E7" w:rsidRDefault="001777E7" w14:paraId="64E9FF89" w14:textId="77777777">
            <w:pPr>
              <w:rPr>
                <w:rFonts w:ascii="Verdana" w:hAnsi="Verdana"/>
                <w:sz w:val="18"/>
                <w:szCs w:val="18"/>
              </w:rPr>
            </w:pPr>
            <w:r w:rsidRPr="001777E7">
              <w:rPr>
                <w:rFonts w:ascii="Verdana" w:hAnsi="Verdana"/>
                <w:sz w:val="18"/>
                <w:szCs w:val="18"/>
              </w:rPr>
              <w:t xml:space="preserve">Enkele maanden tot 1 jaar door technische en ruimtelijke vergunningsvrijstellingen (M5). </w:t>
            </w:r>
          </w:p>
        </w:tc>
        <w:tc>
          <w:tcPr>
            <w:tcW w:w="1629" w:type="dxa"/>
          </w:tcPr>
          <w:p w:rsidRPr="001777E7" w:rsidR="001777E7" w:rsidP="001777E7" w:rsidRDefault="001777E7" w14:paraId="7FFD29EB" w14:textId="77777777">
            <w:pPr>
              <w:rPr>
                <w:rFonts w:ascii="Verdana" w:hAnsi="Verdana"/>
                <w:sz w:val="18"/>
                <w:szCs w:val="18"/>
              </w:rPr>
            </w:pPr>
            <w:r w:rsidRPr="001777E7">
              <w:rPr>
                <w:rFonts w:ascii="Verdana" w:hAnsi="Verdana"/>
                <w:sz w:val="18"/>
                <w:szCs w:val="18"/>
              </w:rPr>
              <w:t>0 maanden</w:t>
            </w:r>
          </w:p>
        </w:tc>
      </w:tr>
      <w:tr w:rsidRPr="001777E7" w:rsidR="001777E7" w:rsidTr="00976A9B" w14:paraId="62B10866" w14:textId="77777777">
        <w:trPr>
          <w:trHeight w:val="300"/>
        </w:trPr>
        <w:tc>
          <w:tcPr>
            <w:tcW w:w="2550" w:type="dxa"/>
            <w:tcBorders>
              <w:bottom w:val="single" w:color="auto" w:sz="4" w:space="0"/>
            </w:tcBorders>
          </w:tcPr>
          <w:p w:rsidRPr="001777E7" w:rsidR="001777E7" w:rsidP="001777E7" w:rsidRDefault="001777E7" w14:paraId="214254E9" w14:textId="77777777">
            <w:pPr>
              <w:rPr>
                <w:rFonts w:ascii="Verdana" w:hAnsi="Verdana"/>
                <w:sz w:val="18"/>
                <w:szCs w:val="18"/>
              </w:rPr>
            </w:pPr>
            <w:r w:rsidRPr="001777E7">
              <w:rPr>
                <w:rFonts w:ascii="Verdana" w:hAnsi="Verdana"/>
                <w:sz w:val="18"/>
                <w:szCs w:val="18"/>
              </w:rPr>
              <w:t xml:space="preserve">Bezwaar &amp; beroep – kans op bezwaar, beroep en hoger beroep tegen het project </w:t>
            </w:r>
          </w:p>
        </w:tc>
        <w:tc>
          <w:tcPr>
            <w:tcW w:w="1376" w:type="dxa"/>
            <w:tcBorders>
              <w:bottom w:val="single" w:color="auto" w:sz="4" w:space="0"/>
            </w:tcBorders>
          </w:tcPr>
          <w:p w:rsidRPr="001777E7" w:rsidR="001777E7" w:rsidP="001777E7" w:rsidRDefault="001777E7" w14:paraId="08C037A1" w14:textId="77777777">
            <w:pPr>
              <w:rPr>
                <w:rFonts w:ascii="Verdana" w:hAnsi="Verdana"/>
                <w:sz w:val="18"/>
                <w:szCs w:val="18"/>
              </w:rPr>
            </w:pPr>
            <w:r w:rsidRPr="001777E7">
              <w:rPr>
                <w:rFonts w:ascii="Verdana" w:hAnsi="Verdana"/>
                <w:sz w:val="18"/>
                <w:szCs w:val="18"/>
              </w:rPr>
              <w:t>6 maanden tot 1,5 jaar</w:t>
            </w:r>
          </w:p>
        </w:tc>
        <w:tc>
          <w:tcPr>
            <w:tcW w:w="3087" w:type="dxa"/>
            <w:tcBorders>
              <w:bottom w:val="single" w:color="auto" w:sz="4" w:space="0"/>
            </w:tcBorders>
          </w:tcPr>
          <w:p w:rsidRPr="001777E7" w:rsidR="001777E7" w:rsidP="001777E7" w:rsidRDefault="001777E7" w14:paraId="5122CBD1" w14:textId="77777777">
            <w:pPr>
              <w:rPr>
                <w:rFonts w:ascii="Verdana" w:hAnsi="Verdana"/>
                <w:sz w:val="18"/>
                <w:szCs w:val="18"/>
              </w:rPr>
            </w:pPr>
            <w:r w:rsidRPr="001777E7">
              <w:rPr>
                <w:rFonts w:ascii="Verdana" w:hAnsi="Verdana"/>
                <w:sz w:val="18"/>
                <w:szCs w:val="18"/>
              </w:rPr>
              <w:t xml:space="preserve">Enkele maanden tot 1 jaar door procedurele versnellingen (M6); beperkt risico op verdere vertraging. </w:t>
            </w:r>
          </w:p>
        </w:tc>
        <w:tc>
          <w:tcPr>
            <w:tcW w:w="1629" w:type="dxa"/>
            <w:tcBorders>
              <w:bottom w:val="single" w:color="auto" w:sz="4" w:space="0"/>
            </w:tcBorders>
          </w:tcPr>
          <w:p w:rsidRPr="001777E7" w:rsidR="001777E7" w:rsidP="001777E7" w:rsidRDefault="001777E7" w14:paraId="3EF1F0D6" w14:textId="77777777">
            <w:pPr>
              <w:rPr>
                <w:rFonts w:ascii="Verdana" w:hAnsi="Verdana"/>
                <w:sz w:val="18"/>
                <w:szCs w:val="18"/>
              </w:rPr>
            </w:pPr>
            <w:r w:rsidRPr="001777E7">
              <w:rPr>
                <w:rFonts w:ascii="Verdana" w:hAnsi="Verdana"/>
                <w:sz w:val="18"/>
                <w:szCs w:val="18"/>
              </w:rPr>
              <w:t xml:space="preserve">6 maanden </w:t>
            </w:r>
          </w:p>
        </w:tc>
      </w:tr>
    </w:tbl>
    <w:p w:rsidRPr="001777E7" w:rsidR="001777E7" w:rsidP="001777E7" w:rsidRDefault="001777E7" w14:paraId="3C9C15E9" w14:textId="77777777">
      <w:pPr>
        <w:rPr>
          <w:rFonts w:ascii="Verdana" w:hAnsi="Verdana"/>
          <w:i/>
          <w:iCs/>
          <w:sz w:val="18"/>
          <w:szCs w:val="18"/>
        </w:rPr>
      </w:pPr>
      <w:r w:rsidRPr="001777E7">
        <w:rPr>
          <w:rFonts w:ascii="Verdana" w:hAnsi="Verdana"/>
          <w:b/>
          <w:bCs/>
          <w:i/>
          <w:iCs/>
          <w:sz w:val="18"/>
          <w:szCs w:val="18"/>
        </w:rPr>
        <w:t>*</w:t>
      </w:r>
      <w:r w:rsidRPr="001777E7">
        <w:rPr>
          <w:rFonts w:ascii="Verdana" w:hAnsi="Verdana"/>
          <w:i/>
          <w:iCs/>
          <w:sz w:val="18"/>
          <w:szCs w:val="18"/>
        </w:rPr>
        <w:t>De huidige én nieuwe doorlooptijd is sterk project afhankelijk en is niet te vertalen naar een generieke versnelling van alle projecten. De casus illustreert een potentiële versnelling dan wel een beperking van de potentiële vertraging. In de praktijk wordt de oorspronkelijke én de nieuwe doorlooptijd o.a. bepaald door het al dan niet optreden van risico’s, welke maatregelen daadwerkelijk ingezet kunnen worden (vanwege projectkenmerken) en of aangepakte knelpunten op het kritieke pad van het project liggen.</w:t>
      </w:r>
    </w:p>
    <w:p w:rsidRPr="001777E7" w:rsidR="001777E7" w:rsidP="001777E7" w:rsidRDefault="001777E7" w14:paraId="4B0151DA" w14:textId="77777777">
      <w:pPr>
        <w:rPr>
          <w:rFonts w:ascii="Verdana" w:hAnsi="Verdana"/>
          <w:sz w:val="18"/>
          <w:szCs w:val="18"/>
        </w:rPr>
      </w:pPr>
      <w:r w:rsidRPr="001777E7">
        <w:rPr>
          <w:rFonts w:ascii="Verdana" w:hAnsi="Verdana"/>
          <w:b/>
          <w:bCs/>
          <w:sz w:val="18"/>
          <w:szCs w:val="18"/>
        </w:rPr>
        <w:t>Casus 2: vergroting van transportcapaciteit met nieuwe kabelverbinding</w:t>
      </w:r>
      <w:r w:rsidRPr="001777E7">
        <w:rPr>
          <w:rFonts w:ascii="Verdana" w:hAnsi="Verdana"/>
          <w:sz w:val="18"/>
          <w:szCs w:val="18"/>
        </w:rPr>
        <w:br/>
        <w:t>Met de plannen in de regio voor woningbouw en bedrijventerreinen is er op korte termijn meer vraag naar netcapaciteit dan beschikbaar is. De landelijke netbeheerder TenneT voorziet in het investeringsplan een uitbreiding van de transportcapaciteit door een nieuwe 110kV (ondergrondse) kabelverbinding aan te leggen over het grondgebied van drie gemeenten.</w:t>
      </w:r>
    </w:p>
    <w:p w:rsidRPr="001777E7" w:rsidR="001777E7" w:rsidP="001777E7" w:rsidRDefault="001777E7" w14:paraId="0CADF99B" w14:textId="77777777">
      <w:pPr>
        <w:rPr>
          <w:rFonts w:ascii="Verdana" w:hAnsi="Verdana"/>
          <w:sz w:val="18"/>
          <w:szCs w:val="18"/>
        </w:rPr>
      </w:pPr>
      <w:r w:rsidRPr="001777E7">
        <w:rPr>
          <w:rFonts w:ascii="Verdana" w:hAnsi="Verdana"/>
          <w:sz w:val="18"/>
          <w:szCs w:val="18"/>
        </w:rPr>
        <w:t xml:space="preserve">De verwachte doorlooptijd van het project is 10 jaar. Met de wettelijke versnellingsmaatregelen is in onderstaand voorbeeld </w:t>
      </w:r>
      <w:r w:rsidRPr="001777E7">
        <w:rPr>
          <w:rFonts w:ascii="Verdana" w:hAnsi="Verdana"/>
          <w:b/>
          <w:bCs/>
          <w:sz w:val="18"/>
          <w:szCs w:val="18"/>
        </w:rPr>
        <w:t>het maximale versnellingspotentieel 4 jaar</w:t>
      </w:r>
      <w:r w:rsidRPr="001777E7">
        <w:rPr>
          <w:rFonts w:ascii="Verdana" w:hAnsi="Verdana"/>
          <w:sz w:val="18"/>
          <w:szCs w:val="18"/>
        </w:rPr>
        <w:t>. De nieuwe doorlooptijd van het project in dit voorbeeld is 6 jaar.</w:t>
      </w:r>
    </w:p>
    <w:p w:rsidRPr="001777E7" w:rsidR="001777E7" w:rsidP="001777E7" w:rsidRDefault="001777E7" w14:paraId="094D67E2" w14:textId="77777777">
      <w:pPr>
        <w:rPr>
          <w:rFonts w:ascii="Verdana" w:hAnsi="Verdana"/>
          <w:i/>
          <w:iCs/>
          <w:sz w:val="18"/>
          <w:szCs w:val="18"/>
        </w:rPr>
      </w:pPr>
      <w:r w:rsidRPr="001777E7">
        <w:rPr>
          <w:rFonts w:ascii="Verdana" w:hAnsi="Verdana"/>
          <w:i/>
          <w:iCs/>
          <w:sz w:val="18"/>
          <w:szCs w:val="18"/>
        </w:rPr>
        <w:t xml:space="preserve">Tabel 2: Fictieve casus met doorlooptijd van een 110kV kabeltracé met en zonder wettelijke maatregelen (gebaseerd op </w:t>
      </w:r>
      <w:hyperlink r:id="rId9">
        <w:r w:rsidRPr="001777E7">
          <w:rPr>
            <w:rStyle w:val="Hyperlink"/>
            <w:rFonts w:ascii="Verdana" w:hAnsi="Verdana"/>
            <w:i/>
            <w:iCs/>
            <w:sz w:val="18"/>
            <w:szCs w:val="18"/>
          </w:rPr>
          <w:t xml:space="preserve">Maatregelen voor de versnelling van </w:t>
        </w:r>
        <w:proofErr w:type="spellStart"/>
        <w:r w:rsidRPr="001777E7">
          <w:rPr>
            <w:rStyle w:val="Hyperlink"/>
            <w:rFonts w:ascii="Verdana" w:hAnsi="Verdana"/>
            <w:i/>
            <w:iCs/>
            <w:sz w:val="18"/>
            <w:szCs w:val="18"/>
          </w:rPr>
          <w:t>congestieverlichtende</w:t>
        </w:r>
        <w:proofErr w:type="spellEnd"/>
        <w:r w:rsidRPr="001777E7">
          <w:rPr>
            <w:rStyle w:val="Hyperlink"/>
            <w:rFonts w:ascii="Verdana" w:hAnsi="Verdana"/>
            <w:i/>
            <w:iCs/>
            <w:sz w:val="18"/>
            <w:szCs w:val="18"/>
          </w:rPr>
          <w:t xml:space="preserve"> bouwprojecten</w:t>
        </w:r>
      </w:hyperlink>
      <w:r w:rsidRPr="001777E7">
        <w:rPr>
          <w:rFonts w:ascii="Verdana" w:hAnsi="Verdana"/>
          <w:i/>
          <w:iCs/>
          <w:sz w:val="18"/>
          <w:szCs w:val="18"/>
        </w:rPr>
        <w:t xml:space="preserve"> (</w:t>
      </w:r>
      <w:proofErr w:type="spellStart"/>
      <w:r w:rsidRPr="001777E7">
        <w:rPr>
          <w:rFonts w:ascii="Verdana" w:hAnsi="Verdana"/>
          <w:i/>
          <w:iCs/>
          <w:sz w:val="18"/>
          <w:szCs w:val="18"/>
        </w:rPr>
        <w:t>TenneT</w:t>
      </w:r>
      <w:proofErr w:type="spellEnd"/>
      <w:r w:rsidRPr="001777E7">
        <w:rPr>
          <w:rFonts w:ascii="Verdana" w:hAnsi="Verdana"/>
          <w:i/>
          <w:iCs/>
          <w:sz w:val="18"/>
          <w:szCs w:val="18"/>
        </w:rPr>
        <w:t>, 2025)</w:t>
      </w:r>
    </w:p>
    <w:tbl>
      <w:tblPr>
        <w:tblW w:w="892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6A0" w:firstRow="1" w:lastRow="0" w:firstColumn="1" w:lastColumn="0" w:noHBand="1" w:noVBand="1"/>
      </w:tblPr>
      <w:tblGrid>
        <w:gridCol w:w="2770"/>
        <w:gridCol w:w="1364"/>
        <w:gridCol w:w="3270"/>
        <w:gridCol w:w="1522"/>
      </w:tblGrid>
      <w:tr w:rsidRPr="001777E7" w:rsidR="001777E7" w:rsidTr="00976A9B" w14:paraId="0303C9FF" w14:textId="77777777">
        <w:trPr>
          <w:trHeight w:val="300"/>
        </w:trPr>
        <w:tc>
          <w:tcPr>
            <w:tcW w:w="2770" w:type="dxa"/>
          </w:tcPr>
          <w:p w:rsidRPr="001777E7" w:rsidR="001777E7" w:rsidP="001777E7" w:rsidRDefault="001777E7" w14:paraId="799701E5" w14:textId="77777777">
            <w:pPr>
              <w:rPr>
                <w:rFonts w:ascii="Verdana" w:hAnsi="Verdana"/>
                <w:b/>
                <w:bCs/>
                <w:sz w:val="18"/>
                <w:szCs w:val="18"/>
              </w:rPr>
            </w:pPr>
            <w:r w:rsidRPr="001777E7">
              <w:rPr>
                <w:rFonts w:ascii="Verdana" w:hAnsi="Verdana"/>
                <w:b/>
                <w:bCs/>
                <w:sz w:val="18"/>
                <w:szCs w:val="18"/>
              </w:rPr>
              <w:t>Knelpunt</w:t>
            </w:r>
          </w:p>
        </w:tc>
        <w:tc>
          <w:tcPr>
            <w:tcW w:w="1364" w:type="dxa"/>
          </w:tcPr>
          <w:p w:rsidRPr="001777E7" w:rsidR="001777E7" w:rsidP="001777E7" w:rsidRDefault="001777E7" w14:paraId="3130A242" w14:textId="77777777">
            <w:pPr>
              <w:rPr>
                <w:rFonts w:ascii="Verdana" w:hAnsi="Verdana"/>
                <w:b/>
                <w:bCs/>
                <w:sz w:val="18"/>
                <w:szCs w:val="18"/>
              </w:rPr>
            </w:pPr>
            <w:r w:rsidRPr="001777E7">
              <w:rPr>
                <w:rFonts w:ascii="Verdana" w:hAnsi="Verdana"/>
                <w:b/>
                <w:bCs/>
                <w:sz w:val="18"/>
                <w:szCs w:val="18"/>
              </w:rPr>
              <w:t>Huidige</w:t>
            </w:r>
          </w:p>
          <w:p w:rsidRPr="001777E7" w:rsidR="001777E7" w:rsidP="001777E7" w:rsidRDefault="001777E7" w14:paraId="31CD7F64" w14:textId="77777777">
            <w:pPr>
              <w:rPr>
                <w:rFonts w:ascii="Verdana" w:hAnsi="Verdana"/>
                <w:b/>
                <w:bCs/>
                <w:sz w:val="18"/>
                <w:szCs w:val="18"/>
              </w:rPr>
            </w:pPr>
            <w:r w:rsidRPr="001777E7">
              <w:rPr>
                <w:rFonts w:ascii="Verdana" w:hAnsi="Verdana"/>
                <w:b/>
                <w:bCs/>
                <w:sz w:val="18"/>
                <w:szCs w:val="18"/>
              </w:rPr>
              <w:t xml:space="preserve">doorloop- </w:t>
            </w:r>
          </w:p>
          <w:p w:rsidRPr="001777E7" w:rsidR="001777E7" w:rsidP="001777E7" w:rsidRDefault="001777E7" w14:paraId="339CE8C2" w14:textId="77777777">
            <w:pPr>
              <w:rPr>
                <w:rFonts w:ascii="Verdana" w:hAnsi="Verdana"/>
                <w:b/>
                <w:bCs/>
                <w:sz w:val="18"/>
                <w:szCs w:val="18"/>
              </w:rPr>
            </w:pPr>
            <w:r w:rsidRPr="001777E7">
              <w:rPr>
                <w:rFonts w:ascii="Verdana" w:hAnsi="Verdana"/>
                <w:b/>
                <w:bCs/>
                <w:sz w:val="18"/>
                <w:szCs w:val="18"/>
              </w:rPr>
              <w:t xml:space="preserve">tijd </w:t>
            </w:r>
          </w:p>
        </w:tc>
        <w:tc>
          <w:tcPr>
            <w:tcW w:w="3270" w:type="dxa"/>
          </w:tcPr>
          <w:p w:rsidRPr="001777E7" w:rsidR="001777E7" w:rsidP="001777E7" w:rsidRDefault="001777E7" w14:paraId="259A349E" w14:textId="77777777">
            <w:pPr>
              <w:rPr>
                <w:rFonts w:ascii="Verdana" w:hAnsi="Verdana"/>
                <w:b/>
                <w:bCs/>
                <w:sz w:val="18"/>
                <w:szCs w:val="18"/>
              </w:rPr>
            </w:pPr>
            <w:r w:rsidRPr="001777E7">
              <w:rPr>
                <w:rFonts w:ascii="Verdana" w:hAnsi="Verdana"/>
                <w:b/>
                <w:bCs/>
                <w:sz w:val="18"/>
                <w:szCs w:val="18"/>
              </w:rPr>
              <w:t>Versnellingseffect (Wettelijke maatregel #)</w:t>
            </w:r>
          </w:p>
        </w:tc>
        <w:tc>
          <w:tcPr>
            <w:tcW w:w="1522" w:type="dxa"/>
          </w:tcPr>
          <w:p w:rsidRPr="001777E7" w:rsidR="001777E7" w:rsidP="001777E7" w:rsidRDefault="001777E7" w14:paraId="27E15895" w14:textId="77777777">
            <w:pPr>
              <w:rPr>
                <w:rFonts w:ascii="Verdana" w:hAnsi="Verdana"/>
                <w:b/>
                <w:bCs/>
                <w:sz w:val="18"/>
                <w:szCs w:val="18"/>
              </w:rPr>
            </w:pPr>
            <w:r w:rsidRPr="001777E7">
              <w:rPr>
                <w:rFonts w:ascii="Verdana" w:hAnsi="Verdana"/>
                <w:b/>
                <w:bCs/>
                <w:sz w:val="18"/>
                <w:szCs w:val="18"/>
              </w:rPr>
              <w:t>Nieuwe</w:t>
            </w:r>
          </w:p>
          <w:p w:rsidRPr="001777E7" w:rsidR="001777E7" w:rsidP="001777E7" w:rsidRDefault="001777E7" w14:paraId="0B10150A" w14:textId="77777777">
            <w:pPr>
              <w:rPr>
                <w:rFonts w:ascii="Verdana" w:hAnsi="Verdana"/>
                <w:b/>
                <w:bCs/>
                <w:sz w:val="18"/>
                <w:szCs w:val="18"/>
              </w:rPr>
            </w:pPr>
            <w:r w:rsidRPr="001777E7">
              <w:rPr>
                <w:rFonts w:ascii="Verdana" w:hAnsi="Verdana"/>
                <w:b/>
                <w:bCs/>
                <w:sz w:val="18"/>
                <w:szCs w:val="18"/>
              </w:rPr>
              <w:t>doorloop- tijd</w:t>
            </w:r>
          </w:p>
        </w:tc>
      </w:tr>
      <w:tr w:rsidRPr="001777E7" w:rsidR="001777E7" w:rsidTr="00976A9B" w14:paraId="4F3796FD" w14:textId="77777777">
        <w:trPr>
          <w:trHeight w:val="1812"/>
        </w:trPr>
        <w:tc>
          <w:tcPr>
            <w:tcW w:w="2770" w:type="dxa"/>
          </w:tcPr>
          <w:p w:rsidRPr="001777E7" w:rsidR="001777E7" w:rsidP="001777E7" w:rsidRDefault="001777E7" w14:paraId="4368F94E" w14:textId="77777777">
            <w:pPr>
              <w:rPr>
                <w:rFonts w:ascii="Verdana" w:hAnsi="Verdana"/>
                <w:sz w:val="18"/>
                <w:szCs w:val="18"/>
              </w:rPr>
            </w:pPr>
            <w:r w:rsidRPr="001777E7">
              <w:rPr>
                <w:rFonts w:ascii="Verdana" w:hAnsi="Verdana"/>
                <w:sz w:val="18"/>
                <w:szCs w:val="18"/>
              </w:rPr>
              <w:t>Verkenning en locatiekeuze – bevoegd gezag bij groot c.q. complex regionaal project is lang onduidelijk</w:t>
            </w:r>
          </w:p>
        </w:tc>
        <w:tc>
          <w:tcPr>
            <w:tcW w:w="1364" w:type="dxa"/>
          </w:tcPr>
          <w:p w:rsidRPr="001777E7" w:rsidR="001777E7" w:rsidP="001777E7" w:rsidRDefault="001777E7" w14:paraId="2D30EB9F" w14:textId="77777777">
            <w:pPr>
              <w:rPr>
                <w:rFonts w:ascii="Verdana" w:hAnsi="Verdana"/>
                <w:sz w:val="18"/>
                <w:szCs w:val="18"/>
              </w:rPr>
            </w:pPr>
            <w:r w:rsidRPr="001777E7">
              <w:rPr>
                <w:rFonts w:ascii="Verdana" w:hAnsi="Verdana"/>
                <w:sz w:val="18"/>
                <w:szCs w:val="18"/>
              </w:rPr>
              <w:t>0,5 tot 2 jaar</w:t>
            </w:r>
          </w:p>
        </w:tc>
        <w:tc>
          <w:tcPr>
            <w:tcW w:w="3270" w:type="dxa"/>
          </w:tcPr>
          <w:p w:rsidRPr="001777E7" w:rsidR="001777E7" w:rsidP="001777E7" w:rsidRDefault="001777E7" w14:paraId="48CC0BC7" w14:textId="77777777">
            <w:pPr>
              <w:rPr>
                <w:rFonts w:ascii="Verdana" w:hAnsi="Verdana"/>
                <w:sz w:val="18"/>
                <w:szCs w:val="18"/>
              </w:rPr>
            </w:pPr>
            <w:r w:rsidRPr="001777E7">
              <w:rPr>
                <w:rFonts w:ascii="Verdana" w:hAnsi="Verdana"/>
                <w:sz w:val="18"/>
                <w:szCs w:val="18"/>
              </w:rPr>
              <w:t>Enkele maanden tot 2 jaar door het bevoegd gezag automatisch bij de provincie neer te leggen; effect groter bij nieuwe stations en verbindingen (M1)</w:t>
            </w:r>
          </w:p>
        </w:tc>
        <w:tc>
          <w:tcPr>
            <w:tcW w:w="1522" w:type="dxa"/>
          </w:tcPr>
          <w:p w:rsidRPr="001777E7" w:rsidR="001777E7" w:rsidP="001777E7" w:rsidRDefault="001777E7" w14:paraId="56ECA30A" w14:textId="77777777">
            <w:pPr>
              <w:rPr>
                <w:rFonts w:ascii="Verdana" w:hAnsi="Verdana"/>
                <w:sz w:val="18"/>
                <w:szCs w:val="18"/>
              </w:rPr>
            </w:pPr>
            <w:r w:rsidRPr="001777E7">
              <w:rPr>
                <w:rFonts w:ascii="Verdana" w:hAnsi="Verdana"/>
                <w:sz w:val="18"/>
                <w:szCs w:val="18"/>
              </w:rPr>
              <w:t>0 jaar</w:t>
            </w:r>
          </w:p>
        </w:tc>
      </w:tr>
      <w:tr w:rsidRPr="001777E7" w:rsidR="001777E7" w:rsidTr="00976A9B" w14:paraId="07E44DE3" w14:textId="77777777">
        <w:trPr>
          <w:trHeight w:val="300"/>
        </w:trPr>
        <w:tc>
          <w:tcPr>
            <w:tcW w:w="2770" w:type="dxa"/>
          </w:tcPr>
          <w:p w:rsidRPr="001777E7" w:rsidR="001777E7" w:rsidP="001777E7" w:rsidRDefault="001777E7" w14:paraId="22A85861" w14:textId="77777777">
            <w:pPr>
              <w:rPr>
                <w:rFonts w:ascii="Verdana" w:hAnsi="Verdana"/>
                <w:sz w:val="18"/>
                <w:szCs w:val="18"/>
              </w:rPr>
            </w:pPr>
            <w:r w:rsidRPr="001777E7">
              <w:rPr>
                <w:rFonts w:ascii="Verdana" w:hAnsi="Verdana"/>
                <w:sz w:val="18"/>
                <w:szCs w:val="18"/>
              </w:rPr>
              <w:t xml:space="preserve">Onderzoeken en voorbereiding – mer-beoordelingen en stikstofbeoordelingen zorgen voor extra </w:t>
            </w:r>
            <w:proofErr w:type="spellStart"/>
            <w:r w:rsidRPr="001777E7">
              <w:rPr>
                <w:rFonts w:ascii="Verdana" w:hAnsi="Verdana"/>
                <w:sz w:val="18"/>
                <w:szCs w:val="18"/>
              </w:rPr>
              <w:lastRenderedPageBreak/>
              <w:t>onderzoekslast</w:t>
            </w:r>
            <w:proofErr w:type="spellEnd"/>
            <w:r w:rsidRPr="001777E7">
              <w:rPr>
                <w:rFonts w:ascii="Verdana" w:hAnsi="Verdana"/>
                <w:sz w:val="18"/>
                <w:szCs w:val="18"/>
              </w:rPr>
              <w:t xml:space="preserve"> en doorlooptijd; grondeigenaar geeft geen toestemming voor uitvoering grondonderzoek</w:t>
            </w:r>
          </w:p>
        </w:tc>
        <w:tc>
          <w:tcPr>
            <w:tcW w:w="1364" w:type="dxa"/>
          </w:tcPr>
          <w:p w:rsidRPr="001777E7" w:rsidR="001777E7" w:rsidP="001777E7" w:rsidRDefault="001777E7" w14:paraId="2F534D5E" w14:textId="77777777">
            <w:pPr>
              <w:rPr>
                <w:rFonts w:ascii="Verdana" w:hAnsi="Verdana"/>
                <w:sz w:val="18"/>
                <w:szCs w:val="18"/>
              </w:rPr>
            </w:pPr>
            <w:r w:rsidRPr="001777E7">
              <w:rPr>
                <w:rFonts w:ascii="Verdana" w:hAnsi="Verdana"/>
                <w:sz w:val="18"/>
                <w:szCs w:val="18"/>
              </w:rPr>
              <w:lastRenderedPageBreak/>
              <w:t>1,5 jaar</w:t>
            </w:r>
          </w:p>
        </w:tc>
        <w:tc>
          <w:tcPr>
            <w:tcW w:w="3270" w:type="dxa"/>
          </w:tcPr>
          <w:p w:rsidRPr="001777E7" w:rsidR="001777E7" w:rsidP="001777E7" w:rsidRDefault="001777E7" w14:paraId="29CBD79B" w14:textId="77777777">
            <w:pPr>
              <w:rPr>
                <w:rFonts w:ascii="Verdana" w:hAnsi="Verdana"/>
                <w:sz w:val="18"/>
                <w:szCs w:val="18"/>
              </w:rPr>
            </w:pPr>
            <w:r w:rsidRPr="001777E7">
              <w:rPr>
                <w:rFonts w:ascii="Verdana" w:hAnsi="Verdana"/>
                <w:sz w:val="18"/>
                <w:szCs w:val="18"/>
              </w:rPr>
              <w:t xml:space="preserve">Enkele weken tot 1 jaar door het beperken van onderzoeklast voor ondergrondse kabels en uitzondering op stikstofbeoordeling (M2 en M3); </w:t>
            </w:r>
            <w:r w:rsidRPr="001777E7">
              <w:rPr>
                <w:rFonts w:ascii="Verdana" w:hAnsi="Verdana"/>
                <w:sz w:val="18"/>
                <w:szCs w:val="18"/>
              </w:rPr>
              <w:lastRenderedPageBreak/>
              <w:t>afzonderlijke versnelling is groter maar loopt vaak parallel. Sneller toegang tot gronden voor onderzoek (M4).</w:t>
            </w:r>
          </w:p>
        </w:tc>
        <w:tc>
          <w:tcPr>
            <w:tcW w:w="1522" w:type="dxa"/>
          </w:tcPr>
          <w:p w:rsidRPr="001777E7" w:rsidR="001777E7" w:rsidP="001777E7" w:rsidRDefault="001777E7" w14:paraId="0C1B2197" w14:textId="77777777">
            <w:pPr>
              <w:rPr>
                <w:rFonts w:ascii="Verdana" w:hAnsi="Verdana"/>
                <w:sz w:val="18"/>
                <w:szCs w:val="18"/>
              </w:rPr>
            </w:pPr>
            <w:r w:rsidRPr="001777E7">
              <w:rPr>
                <w:rFonts w:ascii="Verdana" w:hAnsi="Verdana"/>
                <w:sz w:val="18"/>
                <w:szCs w:val="18"/>
              </w:rPr>
              <w:lastRenderedPageBreak/>
              <w:t>6 maanden</w:t>
            </w:r>
          </w:p>
        </w:tc>
      </w:tr>
      <w:tr w:rsidRPr="001777E7" w:rsidR="001777E7" w:rsidTr="00976A9B" w14:paraId="31DBA700" w14:textId="77777777">
        <w:trPr>
          <w:trHeight w:val="300"/>
        </w:trPr>
        <w:tc>
          <w:tcPr>
            <w:tcW w:w="2770" w:type="dxa"/>
          </w:tcPr>
          <w:p w:rsidRPr="001777E7" w:rsidR="001777E7" w:rsidP="001777E7" w:rsidRDefault="001777E7" w14:paraId="5C8CC180" w14:textId="77777777">
            <w:pPr>
              <w:rPr>
                <w:rFonts w:ascii="Verdana" w:hAnsi="Verdana"/>
                <w:sz w:val="18"/>
                <w:szCs w:val="18"/>
              </w:rPr>
            </w:pPr>
            <w:r w:rsidRPr="001777E7">
              <w:rPr>
                <w:rFonts w:ascii="Verdana" w:hAnsi="Verdana"/>
                <w:sz w:val="18"/>
                <w:szCs w:val="18"/>
              </w:rPr>
              <w:t>Bezwaar &amp; beroep – kans op bezwaar, beroep en hoger beroep.</w:t>
            </w:r>
          </w:p>
        </w:tc>
        <w:tc>
          <w:tcPr>
            <w:tcW w:w="1364" w:type="dxa"/>
          </w:tcPr>
          <w:p w:rsidRPr="001777E7" w:rsidR="001777E7" w:rsidP="001777E7" w:rsidRDefault="001777E7" w14:paraId="1EE822A5" w14:textId="77777777">
            <w:pPr>
              <w:rPr>
                <w:rFonts w:ascii="Verdana" w:hAnsi="Verdana"/>
                <w:sz w:val="18"/>
                <w:szCs w:val="18"/>
              </w:rPr>
            </w:pPr>
            <w:r w:rsidRPr="001777E7">
              <w:rPr>
                <w:rFonts w:ascii="Verdana" w:hAnsi="Verdana"/>
                <w:sz w:val="18"/>
                <w:szCs w:val="18"/>
              </w:rPr>
              <w:t>6 maanden tot 1,5 jaar</w:t>
            </w:r>
          </w:p>
        </w:tc>
        <w:tc>
          <w:tcPr>
            <w:tcW w:w="3270" w:type="dxa"/>
          </w:tcPr>
          <w:p w:rsidRPr="001777E7" w:rsidR="001777E7" w:rsidP="001777E7" w:rsidRDefault="001777E7" w14:paraId="4A85D0EF" w14:textId="77777777">
            <w:pPr>
              <w:rPr>
                <w:rFonts w:ascii="Verdana" w:hAnsi="Verdana"/>
                <w:sz w:val="18"/>
                <w:szCs w:val="18"/>
              </w:rPr>
            </w:pPr>
            <w:r w:rsidRPr="001777E7">
              <w:rPr>
                <w:rFonts w:ascii="Verdana" w:hAnsi="Verdana"/>
                <w:sz w:val="18"/>
                <w:szCs w:val="18"/>
              </w:rPr>
              <w:t xml:space="preserve">Enkele maanden tot 1 jaar door procedurele versnellingen (M1, M6); beperkt risico op verdere vertraging. </w:t>
            </w:r>
          </w:p>
        </w:tc>
        <w:tc>
          <w:tcPr>
            <w:tcW w:w="1522" w:type="dxa"/>
          </w:tcPr>
          <w:p w:rsidRPr="001777E7" w:rsidR="001777E7" w:rsidP="001777E7" w:rsidRDefault="001777E7" w14:paraId="0AAD351F" w14:textId="77777777">
            <w:pPr>
              <w:rPr>
                <w:rFonts w:ascii="Verdana" w:hAnsi="Verdana"/>
                <w:sz w:val="18"/>
                <w:szCs w:val="18"/>
              </w:rPr>
            </w:pPr>
            <w:r w:rsidRPr="001777E7">
              <w:rPr>
                <w:rFonts w:ascii="Verdana" w:hAnsi="Verdana"/>
                <w:sz w:val="18"/>
                <w:szCs w:val="18"/>
              </w:rPr>
              <w:t>6 maanden</w:t>
            </w:r>
          </w:p>
        </w:tc>
      </w:tr>
    </w:tbl>
    <w:p w:rsidRPr="001777E7" w:rsidR="001777E7" w:rsidP="001777E7" w:rsidRDefault="001777E7" w14:paraId="52A28271" w14:textId="77777777">
      <w:pPr>
        <w:rPr>
          <w:rFonts w:ascii="Verdana" w:hAnsi="Verdana"/>
          <w:i/>
          <w:iCs/>
          <w:sz w:val="18"/>
          <w:szCs w:val="18"/>
        </w:rPr>
      </w:pPr>
      <w:r w:rsidRPr="001777E7">
        <w:rPr>
          <w:rFonts w:ascii="Verdana" w:hAnsi="Verdana"/>
          <w:b/>
          <w:bCs/>
          <w:i/>
          <w:iCs/>
          <w:sz w:val="18"/>
          <w:szCs w:val="18"/>
        </w:rPr>
        <w:t xml:space="preserve">* </w:t>
      </w:r>
      <w:r w:rsidRPr="001777E7">
        <w:rPr>
          <w:rFonts w:ascii="Verdana" w:hAnsi="Verdana"/>
          <w:i/>
          <w:iCs/>
          <w:sz w:val="18"/>
          <w:szCs w:val="18"/>
        </w:rPr>
        <w:t>De oorspronkelijke én nieuwe doorlooptijd is sterk project afhankelijk en is niet te vertalen naar een generieke versnelling van alle projecten; de casus illustreert een potentiële versnelling dan wel minder optredende vertraging. In de praktijk wordt de oorspronkelijke én de nieuwe doorlooptijd o.a. bepaald door het al dan niet optreden van risico’s , door welke maatregelen daadwerkelijk ingezet kunnen worden (vanwege projectkenmerken) en of aangepakte knelpunten op het kritieke pad liggen.</w:t>
      </w:r>
    </w:p>
    <w:p w:rsidRPr="001777E7" w:rsidR="001777E7" w:rsidP="001777E7" w:rsidRDefault="001777E7" w14:paraId="3F7301EB" w14:textId="77777777">
      <w:pPr>
        <w:rPr>
          <w:rFonts w:ascii="Verdana" w:hAnsi="Verdana"/>
          <w:sz w:val="18"/>
          <w:szCs w:val="18"/>
        </w:rPr>
      </w:pPr>
      <w:r w:rsidRPr="001777E7">
        <w:rPr>
          <w:rFonts w:ascii="Verdana" w:hAnsi="Verdana"/>
          <w:b/>
          <w:bCs/>
          <w:sz w:val="18"/>
          <w:szCs w:val="18"/>
        </w:rPr>
        <w:t xml:space="preserve">Toelichting op de maatregelen </w:t>
      </w:r>
      <w:r w:rsidRPr="001777E7">
        <w:rPr>
          <w:rFonts w:ascii="Verdana" w:hAnsi="Verdana"/>
          <w:sz w:val="18"/>
          <w:szCs w:val="18"/>
        </w:rPr>
        <w:br/>
        <w:t>In de tabel zijn alleen de wettelijke maatregelen opgenomen die relevant zijn voor het betreffende project. Ook is dit exclusief de beleidsmatige maatregelen die bijdragen aan het sneller doorlopen van procedures en de TenneT interne maatregelen voor een snellere realisatie.</w:t>
      </w:r>
    </w:p>
    <w:p w:rsidRPr="001777E7" w:rsidR="001777E7" w:rsidP="001777E7" w:rsidRDefault="001777E7" w14:paraId="3A1D582F" w14:textId="77777777">
      <w:pPr>
        <w:rPr>
          <w:rFonts w:ascii="Verdana" w:hAnsi="Verdana"/>
          <w:sz w:val="18"/>
          <w:szCs w:val="18"/>
        </w:rPr>
      </w:pPr>
      <w:r w:rsidRPr="001777E7">
        <w:rPr>
          <w:rFonts w:ascii="Verdana" w:hAnsi="Verdana"/>
          <w:i/>
          <w:iCs/>
          <w:sz w:val="18"/>
          <w:szCs w:val="18"/>
        </w:rPr>
        <w:t>Maatregel 1: Bevoegd gezag 110/150kV naar de provincie</w:t>
      </w:r>
      <w:r w:rsidRPr="001777E7">
        <w:rPr>
          <w:rFonts w:ascii="Verdana" w:hAnsi="Verdana"/>
          <w:sz w:val="18"/>
          <w:szCs w:val="18"/>
        </w:rPr>
        <w:br/>
        <w:t>Voor projecten met spanningsniveau van 110/150kV (met een regionaal belang) wordt de provincie automatisch aangewezen als bevoegd gezag. Hierdoor worden gesprekken over wie de inpassingprocedure moet trekken (het bevoegd gezag) vermeden. Deze kunnen enkele maanden tot wel twee jaar duren, zeker bij projecten voor nieuwe stations en verbindingen.</w:t>
      </w:r>
    </w:p>
    <w:p w:rsidRPr="001777E7" w:rsidR="001777E7" w:rsidP="001777E7" w:rsidRDefault="001777E7" w14:paraId="12CCC550" w14:textId="77777777">
      <w:pPr>
        <w:rPr>
          <w:rFonts w:ascii="Verdana" w:hAnsi="Verdana"/>
          <w:sz w:val="18"/>
          <w:szCs w:val="18"/>
        </w:rPr>
      </w:pPr>
      <w:r w:rsidRPr="001777E7">
        <w:rPr>
          <w:rFonts w:ascii="Verdana" w:hAnsi="Verdana"/>
          <w:i/>
          <w:iCs/>
          <w:sz w:val="18"/>
          <w:szCs w:val="18"/>
        </w:rPr>
        <w:t>Maatregel 2: Vrijstelling mer-beoordelingsplicht ondergrondse hoogspanning</w:t>
      </w:r>
      <w:r w:rsidRPr="001777E7">
        <w:rPr>
          <w:rFonts w:ascii="Verdana" w:hAnsi="Verdana"/>
          <w:sz w:val="18"/>
          <w:szCs w:val="18"/>
        </w:rPr>
        <w:br/>
        <w:t>In lijn met de mer-richtlijn hoeft voor de werkzaamheden voor de ondergrondse kabels geen mer-beoordeling uitgevoerd te worden. Dit voorkomt onderzoeklast.</w:t>
      </w:r>
    </w:p>
    <w:p w:rsidRPr="001777E7" w:rsidR="001777E7" w:rsidP="001777E7" w:rsidRDefault="001777E7" w14:paraId="54BA576B" w14:textId="77777777">
      <w:pPr>
        <w:rPr>
          <w:rFonts w:ascii="Verdana" w:hAnsi="Verdana"/>
          <w:sz w:val="18"/>
          <w:szCs w:val="18"/>
        </w:rPr>
      </w:pPr>
      <w:r w:rsidRPr="001777E7">
        <w:rPr>
          <w:rFonts w:ascii="Verdana" w:hAnsi="Verdana"/>
          <w:i/>
          <w:iCs/>
          <w:sz w:val="18"/>
          <w:szCs w:val="18"/>
        </w:rPr>
        <w:t>Maatregel 3: Uitzondering van de stikstofbeoordeling</w:t>
      </w:r>
      <w:r w:rsidRPr="001777E7">
        <w:rPr>
          <w:rFonts w:ascii="Verdana" w:hAnsi="Verdana"/>
          <w:sz w:val="18"/>
          <w:szCs w:val="18"/>
        </w:rPr>
        <w:br/>
        <w:t xml:space="preserve">Voor de realisatie van het elektriciteitsproject is er een uitzondering op de stikstofbeoordeling. </w:t>
      </w:r>
    </w:p>
    <w:p w:rsidRPr="001777E7" w:rsidR="001777E7" w:rsidP="001777E7" w:rsidRDefault="001777E7" w14:paraId="0BB8770C" w14:textId="77777777">
      <w:pPr>
        <w:rPr>
          <w:rFonts w:ascii="Verdana" w:hAnsi="Verdana"/>
          <w:sz w:val="18"/>
          <w:szCs w:val="18"/>
        </w:rPr>
      </w:pPr>
      <w:r w:rsidRPr="001777E7">
        <w:rPr>
          <w:rFonts w:ascii="Verdana" w:hAnsi="Verdana"/>
          <w:i/>
          <w:iCs/>
          <w:sz w:val="18"/>
          <w:szCs w:val="18"/>
        </w:rPr>
        <w:t>Maatregel 4: Gedoogplicht van rechtswege in de ontwerpfase</w:t>
      </w:r>
      <w:r w:rsidRPr="001777E7">
        <w:rPr>
          <w:rFonts w:ascii="Verdana" w:hAnsi="Verdana"/>
          <w:sz w:val="18"/>
          <w:szCs w:val="18"/>
        </w:rPr>
        <w:br/>
        <w:t>Voor de grondeigenaren die onderzoekwerkzaamheden op hun gronden langdurig tegenhouden hoeft sinds 1 januari 2026 geen gedoogplichtbeschikking meer te worden aangevraagd.</w:t>
      </w:r>
    </w:p>
    <w:p w:rsidRPr="001777E7" w:rsidR="001777E7" w:rsidP="001777E7" w:rsidRDefault="001777E7" w14:paraId="3EBBAC4D" w14:textId="77777777">
      <w:pPr>
        <w:rPr>
          <w:rFonts w:ascii="Verdana" w:hAnsi="Verdana"/>
          <w:sz w:val="18"/>
          <w:szCs w:val="18"/>
        </w:rPr>
      </w:pPr>
      <w:r w:rsidRPr="001777E7">
        <w:rPr>
          <w:rFonts w:ascii="Verdana" w:hAnsi="Verdana"/>
          <w:i/>
          <w:iCs/>
          <w:sz w:val="18"/>
          <w:szCs w:val="18"/>
        </w:rPr>
        <w:t>Maatregel 5: Vergunningvrije uitbreiding van hoogspanningsstations</w:t>
      </w:r>
      <w:r w:rsidRPr="001777E7">
        <w:rPr>
          <w:rFonts w:ascii="Verdana" w:hAnsi="Verdana"/>
          <w:sz w:val="18"/>
          <w:szCs w:val="18"/>
        </w:rPr>
        <w:br/>
        <w:t xml:space="preserve">Er hoeft geen procedure voor de omgevingsplanwijziging- of </w:t>
      </w:r>
      <w:proofErr w:type="spellStart"/>
      <w:r w:rsidRPr="001777E7">
        <w:rPr>
          <w:rFonts w:ascii="Verdana" w:hAnsi="Verdana"/>
          <w:sz w:val="18"/>
          <w:szCs w:val="18"/>
        </w:rPr>
        <w:t>buitenplanse</w:t>
      </w:r>
      <w:proofErr w:type="spellEnd"/>
      <w:r w:rsidRPr="001777E7">
        <w:rPr>
          <w:rFonts w:ascii="Verdana" w:hAnsi="Verdana"/>
          <w:sz w:val="18"/>
          <w:szCs w:val="18"/>
        </w:rPr>
        <w:t xml:space="preserve"> omgevingsplanactiviteit te worden doorlopen, om de omgevingsplanregels binnen de functie te wijzigen. Ook is de </w:t>
      </w:r>
      <w:proofErr w:type="spellStart"/>
      <w:r w:rsidRPr="001777E7">
        <w:rPr>
          <w:rFonts w:ascii="Verdana" w:hAnsi="Verdana"/>
          <w:sz w:val="18"/>
          <w:szCs w:val="18"/>
        </w:rPr>
        <w:t>stationsuitbreiding</w:t>
      </w:r>
      <w:proofErr w:type="spellEnd"/>
      <w:r w:rsidRPr="001777E7">
        <w:rPr>
          <w:rFonts w:ascii="Verdana" w:hAnsi="Verdana"/>
          <w:sz w:val="18"/>
          <w:szCs w:val="18"/>
        </w:rPr>
        <w:t xml:space="preserve"> vrijgesteld van de vergunning voor de technische bouwactiviteit en de omgevingsplanactiviteit bouwen. Onder deze vrijstelling vallen ook de tijdelijke installaties die bijgeplaatst moeten worden tijdens de werkzaamheden. </w:t>
      </w:r>
    </w:p>
    <w:p w:rsidRPr="001777E7" w:rsidR="001777E7" w:rsidP="001777E7" w:rsidRDefault="001777E7" w14:paraId="40CDCE81" w14:textId="77777777">
      <w:pPr>
        <w:rPr>
          <w:rFonts w:ascii="Verdana" w:hAnsi="Verdana"/>
          <w:sz w:val="18"/>
          <w:szCs w:val="18"/>
        </w:rPr>
      </w:pPr>
      <w:r w:rsidRPr="001777E7">
        <w:rPr>
          <w:rFonts w:ascii="Verdana" w:hAnsi="Verdana"/>
          <w:i/>
          <w:iCs/>
          <w:sz w:val="18"/>
          <w:szCs w:val="18"/>
        </w:rPr>
        <w:t>Maatregel 6: Procedurele versnellingen elektriciteitsprojecten</w:t>
      </w:r>
      <w:r w:rsidRPr="001777E7">
        <w:rPr>
          <w:rFonts w:ascii="Verdana" w:hAnsi="Verdana"/>
          <w:sz w:val="18"/>
          <w:szCs w:val="18"/>
        </w:rPr>
        <w:t xml:space="preserve"> </w:t>
      </w:r>
      <w:r w:rsidRPr="001777E7">
        <w:rPr>
          <w:rFonts w:ascii="Verdana" w:hAnsi="Verdana"/>
          <w:sz w:val="18"/>
          <w:szCs w:val="18"/>
        </w:rPr>
        <w:br/>
        <w:t>Indien het bevoegd gezag wordt teruggelegd bij de gemeente geldt met het Besluit procedurele versnelling elektriciteitsprojecten beroep in eerste en enige aanleg bij de Raad van State.</w:t>
      </w:r>
    </w:p>
    <w:p w:rsidRPr="001777E7" w:rsidR="001777E7" w:rsidP="001777E7" w:rsidRDefault="001777E7" w14:paraId="3277FE1C" w14:textId="77777777">
      <w:pPr>
        <w:rPr>
          <w:rFonts w:ascii="Verdana" w:hAnsi="Verdana"/>
          <w:sz w:val="18"/>
          <w:szCs w:val="18"/>
        </w:rPr>
      </w:pPr>
    </w:p>
    <w:p w:rsidRPr="001777E7" w:rsidR="6C3BDFD5" w:rsidP="001777E7" w:rsidRDefault="6C3BDFD5" w14:paraId="27A7FB55" w14:textId="6A262293">
      <w:pPr>
        <w:rPr>
          <w:rFonts w:ascii="Verdana" w:hAnsi="Verdana"/>
          <w:sz w:val="18"/>
          <w:szCs w:val="18"/>
        </w:rPr>
      </w:pPr>
    </w:p>
    <w:sectPr w:rsidRPr="001777E7" w:rsidR="6C3BDFD5">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37E84" w14:textId="77777777" w:rsidR="00F57F59" w:rsidRDefault="00F57F59" w:rsidP="00FF0027">
      <w:pPr>
        <w:spacing w:after="0" w:line="240" w:lineRule="auto"/>
      </w:pPr>
      <w:r>
        <w:separator/>
      </w:r>
    </w:p>
  </w:endnote>
  <w:endnote w:type="continuationSeparator" w:id="0">
    <w:p w14:paraId="067F4D26" w14:textId="77777777" w:rsidR="00F57F59" w:rsidRDefault="00F57F59" w:rsidP="00FF0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A23CE" w14:textId="77777777" w:rsidR="00F57F59" w:rsidRDefault="00F57F59" w:rsidP="00FF0027">
      <w:pPr>
        <w:spacing w:after="0" w:line="240" w:lineRule="auto"/>
      </w:pPr>
      <w:r>
        <w:separator/>
      </w:r>
    </w:p>
  </w:footnote>
  <w:footnote w:type="continuationSeparator" w:id="0">
    <w:p w14:paraId="26711DF0" w14:textId="77777777" w:rsidR="00F57F59" w:rsidRDefault="00F57F59" w:rsidP="00FF00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06C5C"/>
    <w:multiLevelType w:val="hybridMultilevel"/>
    <w:tmpl w:val="42E4B81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2BBB96"/>
    <w:multiLevelType w:val="hybridMultilevel"/>
    <w:tmpl w:val="FFFFFFFF"/>
    <w:lvl w:ilvl="0" w:tplc="A4BAF3BA">
      <w:start w:val="1"/>
      <w:numFmt w:val="decimal"/>
      <w:lvlText w:val="%1."/>
      <w:lvlJc w:val="left"/>
      <w:pPr>
        <w:ind w:left="720" w:hanging="360"/>
      </w:pPr>
    </w:lvl>
    <w:lvl w:ilvl="1" w:tplc="DBD6306A">
      <w:start w:val="1"/>
      <w:numFmt w:val="lowerLetter"/>
      <w:lvlText w:val="%2."/>
      <w:lvlJc w:val="left"/>
      <w:pPr>
        <w:ind w:left="1440" w:hanging="360"/>
      </w:pPr>
    </w:lvl>
    <w:lvl w:ilvl="2" w:tplc="C7B299C0">
      <w:start w:val="1"/>
      <w:numFmt w:val="lowerRoman"/>
      <w:lvlText w:val="%3."/>
      <w:lvlJc w:val="right"/>
      <w:pPr>
        <w:ind w:left="2160" w:hanging="180"/>
      </w:pPr>
    </w:lvl>
    <w:lvl w:ilvl="3" w:tplc="DF369ECC">
      <w:start w:val="1"/>
      <w:numFmt w:val="decimal"/>
      <w:lvlText w:val="%4."/>
      <w:lvlJc w:val="left"/>
      <w:pPr>
        <w:ind w:left="2880" w:hanging="360"/>
      </w:pPr>
    </w:lvl>
    <w:lvl w:ilvl="4" w:tplc="84645C54">
      <w:start w:val="1"/>
      <w:numFmt w:val="lowerLetter"/>
      <w:lvlText w:val="%5."/>
      <w:lvlJc w:val="left"/>
      <w:pPr>
        <w:ind w:left="3600" w:hanging="360"/>
      </w:pPr>
    </w:lvl>
    <w:lvl w:ilvl="5" w:tplc="5AD412E2">
      <w:start w:val="1"/>
      <w:numFmt w:val="lowerRoman"/>
      <w:lvlText w:val="%6."/>
      <w:lvlJc w:val="right"/>
      <w:pPr>
        <w:ind w:left="4320" w:hanging="180"/>
      </w:pPr>
    </w:lvl>
    <w:lvl w:ilvl="6" w:tplc="BFF6BC8A">
      <w:start w:val="1"/>
      <w:numFmt w:val="decimal"/>
      <w:lvlText w:val="%7."/>
      <w:lvlJc w:val="left"/>
      <w:pPr>
        <w:ind w:left="5040" w:hanging="360"/>
      </w:pPr>
    </w:lvl>
    <w:lvl w:ilvl="7" w:tplc="7DC69AEE">
      <w:start w:val="1"/>
      <w:numFmt w:val="lowerLetter"/>
      <w:lvlText w:val="%8."/>
      <w:lvlJc w:val="left"/>
      <w:pPr>
        <w:ind w:left="5760" w:hanging="360"/>
      </w:pPr>
    </w:lvl>
    <w:lvl w:ilvl="8" w:tplc="24089BC6">
      <w:start w:val="1"/>
      <w:numFmt w:val="lowerRoman"/>
      <w:lvlText w:val="%9."/>
      <w:lvlJc w:val="right"/>
      <w:pPr>
        <w:ind w:left="6480" w:hanging="180"/>
      </w:pPr>
    </w:lvl>
  </w:abstractNum>
  <w:abstractNum w:abstractNumId="2" w15:restartNumberingAfterBreak="0">
    <w:nsid w:val="4D556C66"/>
    <w:multiLevelType w:val="hybridMultilevel"/>
    <w:tmpl w:val="FFFFFFFF"/>
    <w:lvl w:ilvl="0" w:tplc="CCE29FFA">
      <w:start w:val="1"/>
      <w:numFmt w:val="decimal"/>
      <w:lvlText w:val="%1."/>
      <w:lvlJc w:val="left"/>
      <w:pPr>
        <w:ind w:left="720" w:hanging="360"/>
      </w:pPr>
    </w:lvl>
    <w:lvl w:ilvl="1" w:tplc="B5506FD0">
      <w:start w:val="1"/>
      <w:numFmt w:val="lowerLetter"/>
      <w:lvlText w:val="%2."/>
      <w:lvlJc w:val="left"/>
      <w:pPr>
        <w:ind w:left="1440" w:hanging="360"/>
      </w:pPr>
    </w:lvl>
    <w:lvl w:ilvl="2" w:tplc="0484A120">
      <w:start w:val="1"/>
      <w:numFmt w:val="lowerRoman"/>
      <w:lvlText w:val="%3."/>
      <w:lvlJc w:val="right"/>
      <w:pPr>
        <w:ind w:left="2160" w:hanging="180"/>
      </w:pPr>
    </w:lvl>
    <w:lvl w:ilvl="3" w:tplc="EA926142">
      <w:start w:val="1"/>
      <w:numFmt w:val="decimal"/>
      <w:lvlText w:val="%4."/>
      <w:lvlJc w:val="left"/>
      <w:pPr>
        <w:ind w:left="2880" w:hanging="360"/>
      </w:pPr>
    </w:lvl>
    <w:lvl w:ilvl="4" w:tplc="78E800CE">
      <w:start w:val="1"/>
      <w:numFmt w:val="lowerLetter"/>
      <w:lvlText w:val="%5."/>
      <w:lvlJc w:val="left"/>
      <w:pPr>
        <w:ind w:left="3600" w:hanging="360"/>
      </w:pPr>
    </w:lvl>
    <w:lvl w:ilvl="5" w:tplc="2D6CCF26">
      <w:start w:val="1"/>
      <w:numFmt w:val="lowerRoman"/>
      <w:lvlText w:val="%6."/>
      <w:lvlJc w:val="right"/>
      <w:pPr>
        <w:ind w:left="4320" w:hanging="180"/>
      </w:pPr>
    </w:lvl>
    <w:lvl w:ilvl="6" w:tplc="8B50F8FE">
      <w:start w:val="1"/>
      <w:numFmt w:val="decimal"/>
      <w:lvlText w:val="%7."/>
      <w:lvlJc w:val="left"/>
      <w:pPr>
        <w:ind w:left="5040" w:hanging="360"/>
      </w:pPr>
    </w:lvl>
    <w:lvl w:ilvl="7" w:tplc="F2728E60">
      <w:start w:val="1"/>
      <w:numFmt w:val="lowerLetter"/>
      <w:lvlText w:val="%8."/>
      <w:lvlJc w:val="left"/>
      <w:pPr>
        <w:ind w:left="5760" w:hanging="360"/>
      </w:pPr>
    </w:lvl>
    <w:lvl w:ilvl="8" w:tplc="8B022DB8">
      <w:start w:val="1"/>
      <w:numFmt w:val="lowerRoman"/>
      <w:lvlText w:val="%9."/>
      <w:lvlJc w:val="right"/>
      <w:pPr>
        <w:ind w:left="6480" w:hanging="180"/>
      </w:pPr>
    </w:lvl>
  </w:abstractNum>
  <w:abstractNum w:abstractNumId="3" w15:restartNumberingAfterBreak="0">
    <w:nsid w:val="55344180"/>
    <w:multiLevelType w:val="hybridMultilevel"/>
    <w:tmpl w:val="FFFFFFFF"/>
    <w:lvl w:ilvl="0" w:tplc="07362358">
      <w:start w:val="1"/>
      <w:numFmt w:val="decimal"/>
      <w:lvlText w:val="%1."/>
      <w:lvlJc w:val="left"/>
      <w:pPr>
        <w:ind w:left="720" w:hanging="360"/>
      </w:pPr>
    </w:lvl>
    <w:lvl w:ilvl="1" w:tplc="63DA16B0">
      <w:start w:val="1"/>
      <w:numFmt w:val="lowerLetter"/>
      <w:lvlText w:val="%2."/>
      <w:lvlJc w:val="left"/>
      <w:pPr>
        <w:ind w:left="1440" w:hanging="360"/>
      </w:pPr>
    </w:lvl>
    <w:lvl w:ilvl="2" w:tplc="D2B05EFE">
      <w:start w:val="1"/>
      <w:numFmt w:val="lowerRoman"/>
      <w:lvlText w:val="%3."/>
      <w:lvlJc w:val="right"/>
      <w:pPr>
        <w:ind w:left="2160" w:hanging="180"/>
      </w:pPr>
    </w:lvl>
    <w:lvl w:ilvl="3" w:tplc="AF88AB40">
      <w:start w:val="1"/>
      <w:numFmt w:val="decimal"/>
      <w:lvlText w:val="%4."/>
      <w:lvlJc w:val="left"/>
      <w:pPr>
        <w:ind w:left="2880" w:hanging="360"/>
      </w:pPr>
    </w:lvl>
    <w:lvl w:ilvl="4" w:tplc="20FA7372">
      <w:start w:val="1"/>
      <w:numFmt w:val="lowerLetter"/>
      <w:lvlText w:val="%5."/>
      <w:lvlJc w:val="left"/>
      <w:pPr>
        <w:ind w:left="3600" w:hanging="360"/>
      </w:pPr>
    </w:lvl>
    <w:lvl w:ilvl="5" w:tplc="512C7A06">
      <w:start w:val="1"/>
      <w:numFmt w:val="lowerRoman"/>
      <w:lvlText w:val="%6."/>
      <w:lvlJc w:val="right"/>
      <w:pPr>
        <w:ind w:left="4320" w:hanging="180"/>
      </w:pPr>
    </w:lvl>
    <w:lvl w:ilvl="6" w:tplc="AEB00914">
      <w:start w:val="1"/>
      <w:numFmt w:val="decimal"/>
      <w:lvlText w:val="%7."/>
      <w:lvlJc w:val="left"/>
      <w:pPr>
        <w:ind w:left="5040" w:hanging="360"/>
      </w:pPr>
    </w:lvl>
    <w:lvl w:ilvl="7" w:tplc="C7CA4694">
      <w:start w:val="1"/>
      <w:numFmt w:val="lowerLetter"/>
      <w:lvlText w:val="%8."/>
      <w:lvlJc w:val="left"/>
      <w:pPr>
        <w:ind w:left="5760" w:hanging="360"/>
      </w:pPr>
    </w:lvl>
    <w:lvl w:ilvl="8" w:tplc="0AD86958">
      <w:start w:val="1"/>
      <w:numFmt w:val="lowerRoman"/>
      <w:lvlText w:val="%9."/>
      <w:lvlJc w:val="right"/>
      <w:pPr>
        <w:ind w:left="6480" w:hanging="180"/>
      </w:pPr>
    </w:lvl>
  </w:abstractNum>
  <w:abstractNum w:abstractNumId="4" w15:restartNumberingAfterBreak="0">
    <w:nsid w:val="57EFF66B"/>
    <w:multiLevelType w:val="hybridMultilevel"/>
    <w:tmpl w:val="FFFFFFFF"/>
    <w:lvl w:ilvl="0" w:tplc="F1DAD48C">
      <w:start w:val="1"/>
      <w:numFmt w:val="decimal"/>
      <w:lvlText w:val="%1."/>
      <w:lvlJc w:val="left"/>
      <w:pPr>
        <w:ind w:left="720" w:hanging="360"/>
      </w:pPr>
    </w:lvl>
    <w:lvl w:ilvl="1" w:tplc="8E8ADBC2">
      <w:start w:val="1"/>
      <w:numFmt w:val="lowerLetter"/>
      <w:lvlText w:val="%2."/>
      <w:lvlJc w:val="left"/>
      <w:pPr>
        <w:ind w:left="1440" w:hanging="360"/>
      </w:pPr>
    </w:lvl>
    <w:lvl w:ilvl="2" w:tplc="3050D46C">
      <w:start w:val="1"/>
      <w:numFmt w:val="lowerRoman"/>
      <w:lvlText w:val="%3."/>
      <w:lvlJc w:val="right"/>
      <w:pPr>
        <w:ind w:left="2160" w:hanging="180"/>
      </w:pPr>
    </w:lvl>
    <w:lvl w:ilvl="3" w:tplc="D4C05018">
      <w:start w:val="1"/>
      <w:numFmt w:val="decimal"/>
      <w:lvlText w:val="%4."/>
      <w:lvlJc w:val="left"/>
      <w:pPr>
        <w:ind w:left="2880" w:hanging="360"/>
      </w:pPr>
    </w:lvl>
    <w:lvl w:ilvl="4" w:tplc="297A757C">
      <w:start w:val="1"/>
      <w:numFmt w:val="lowerLetter"/>
      <w:lvlText w:val="%5."/>
      <w:lvlJc w:val="left"/>
      <w:pPr>
        <w:ind w:left="3600" w:hanging="360"/>
      </w:pPr>
    </w:lvl>
    <w:lvl w:ilvl="5" w:tplc="A9C2E78E">
      <w:start w:val="1"/>
      <w:numFmt w:val="lowerRoman"/>
      <w:lvlText w:val="%6."/>
      <w:lvlJc w:val="right"/>
      <w:pPr>
        <w:ind w:left="4320" w:hanging="180"/>
      </w:pPr>
    </w:lvl>
    <w:lvl w:ilvl="6" w:tplc="F35CB08C">
      <w:start w:val="1"/>
      <w:numFmt w:val="decimal"/>
      <w:lvlText w:val="%7."/>
      <w:lvlJc w:val="left"/>
      <w:pPr>
        <w:ind w:left="5040" w:hanging="360"/>
      </w:pPr>
    </w:lvl>
    <w:lvl w:ilvl="7" w:tplc="68CE0468">
      <w:start w:val="1"/>
      <w:numFmt w:val="lowerLetter"/>
      <w:lvlText w:val="%8."/>
      <w:lvlJc w:val="left"/>
      <w:pPr>
        <w:ind w:left="5760" w:hanging="360"/>
      </w:pPr>
    </w:lvl>
    <w:lvl w:ilvl="8" w:tplc="8A72D3B4">
      <w:start w:val="1"/>
      <w:numFmt w:val="lowerRoman"/>
      <w:lvlText w:val="%9."/>
      <w:lvlJc w:val="right"/>
      <w:pPr>
        <w:ind w:left="6480" w:hanging="180"/>
      </w:pPr>
    </w:lvl>
  </w:abstractNum>
  <w:num w:numId="1" w16cid:durableId="1041320194">
    <w:abstractNumId w:val="0"/>
  </w:num>
  <w:num w:numId="2" w16cid:durableId="1280064922">
    <w:abstractNumId w:val="4"/>
  </w:num>
  <w:num w:numId="3" w16cid:durableId="1806922366">
    <w:abstractNumId w:val="1"/>
  </w:num>
  <w:num w:numId="4" w16cid:durableId="1837727739">
    <w:abstractNumId w:val="2"/>
  </w:num>
  <w:num w:numId="5" w16cid:durableId="3978245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AE8254"/>
    <w:rsid w:val="00001FAB"/>
    <w:rsid w:val="00003772"/>
    <w:rsid w:val="0000429C"/>
    <w:rsid w:val="000044A2"/>
    <w:rsid w:val="000159B9"/>
    <w:rsid w:val="00016515"/>
    <w:rsid w:val="00021152"/>
    <w:rsid w:val="00022672"/>
    <w:rsid w:val="000258F8"/>
    <w:rsid w:val="00030AC4"/>
    <w:rsid w:val="0003199D"/>
    <w:rsid w:val="000517C5"/>
    <w:rsid w:val="0005191B"/>
    <w:rsid w:val="00056143"/>
    <w:rsid w:val="00057638"/>
    <w:rsid w:val="00057D1F"/>
    <w:rsid w:val="00062184"/>
    <w:rsid w:val="00067D4B"/>
    <w:rsid w:val="000761BA"/>
    <w:rsid w:val="000804F9"/>
    <w:rsid w:val="00081D4E"/>
    <w:rsid w:val="0008450E"/>
    <w:rsid w:val="00084C2F"/>
    <w:rsid w:val="0009084B"/>
    <w:rsid w:val="00091443"/>
    <w:rsid w:val="000924EC"/>
    <w:rsid w:val="0009259C"/>
    <w:rsid w:val="000943B0"/>
    <w:rsid w:val="000B02CE"/>
    <w:rsid w:val="000B38A0"/>
    <w:rsid w:val="000B56DD"/>
    <w:rsid w:val="000B7616"/>
    <w:rsid w:val="000C042B"/>
    <w:rsid w:val="000C26D4"/>
    <w:rsid w:val="000C3F26"/>
    <w:rsid w:val="000D2E5F"/>
    <w:rsid w:val="000D404B"/>
    <w:rsid w:val="000D4896"/>
    <w:rsid w:val="000E33D1"/>
    <w:rsid w:val="000E4E17"/>
    <w:rsid w:val="000E4E70"/>
    <w:rsid w:val="000F3F2A"/>
    <w:rsid w:val="000F743C"/>
    <w:rsid w:val="001152DE"/>
    <w:rsid w:val="0011552E"/>
    <w:rsid w:val="00116CD0"/>
    <w:rsid w:val="00116D71"/>
    <w:rsid w:val="00123BB7"/>
    <w:rsid w:val="00134FF7"/>
    <w:rsid w:val="00142F69"/>
    <w:rsid w:val="001459A1"/>
    <w:rsid w:val="00145A57"/>
    <w:rsid w:val="00145A67"/>
    <w:rsid w:val="00156EE7"/>
    <w:rsid w:val="00160B21"/>
    <w:rsid w:val="00167809"/>
    <w:rsid w:val="001777E7"/>
    <w:rsid w:val="00181A7A"/>
    <w:rsid w:val="00186658"/>
    <w:rsid w:val="00187D17"/>
    <w:rsid w:val="00195954"/>
    <w:rsid w:val="00197D7B"/>
    <w:rsid w:val="001A2558"/>
    <w:rsid w:val="001A2AB6"/>
    <w:rsid w:val="001A59A5"/>
    <w:rsid w:val="001A6C41"/>
    <w:rsid w:val="001B4884"/>
    <w:rsid w:val="001C6238"/>
    <w:rsid w:val="001C680D"/>
    <w:rsid w:val="001C6D4C"/>
    <w:rsid w:val="001D1A7B"/>
    <w:rsid w:val="001D42A3"/>
    <w:rsid w:val="001D46ED"/>
    <w:rsid w:val="001D5B49"/>
    <w:rsid w:val="001D5E44"/>
    <w:rsid w:val="001D764F"/>
    <w:rsid w:val="001E3507"/>
    <w:rsid w:val="001E42AC"/>
    <w:rsid w:val="001E49AB"/>
    <w:rsid w:val="001E54B1"/>
    <w:rsid w:val="001E6B2F"/>
    <w:rsid w:val="001F1842"/>
    <w:rsid w:val="001F7832"/>
    <w:rsid w:val="001F7E37"/>
    <w:rsid w:val="002047A9"/>
    <w:rsid w:val="002072D2"/>
    <w:rsid w:val="00210246"/>
    <w:rsid w:val="002200DD"/>
    <w:rsid w:val="00226526"/>
    <w:rsid w:val="002313B1"/>
    <w:rsid w:val="00231773"/>
    <w:rsid w:val="00231FA3"/>
    <w:rsid w:val="00235122"/>
    <w:rsid w:val="00235DB8"/>
    <w:rsid w:val="00235ED2"/>
    <w:rsid w:val="0023610E"/>
    <w:rsid w:val="00240717"/>
    <w:rsid w:val="002422A7"/>
    <w:rsid w:val="002524AE"/>
    <w:rsid w:val="00253041"/>
    <w:rsid w:val="002539AA"/>
    <w:rsid w:val="002550E1"/>
    <w:rsid w:val="00256251"/>
    <w:rsid w:val="00270D5C"/>
    <w:rsid w:val="002732EE"/>
    <w:rsid w:val="00276B28"/>
    <w:rsid w:val="002840D7"/>
    <w:rsid w:val="002858B0"/>
    <w:rsid w:val="00286415"/>
    <w:rsid w:val="0029058B"/>
    <w:rsid w:val="0029175A"/>
    <w:rsid w:val="00296268"/>
    <w:rsid w:val="002A7697"/>
    <w:rsid w:val="002B5940"/>
    <w:rsid w:val="002C23EC"/>
    <w:rsid w:val="002C4484"/>
    <w:rsid w:val="002D04AF"/>
    <w:rsid w:val="002D2A98"/>
    <w:rsid w:val="002D7614"/>
    <w:rsid w:val="002E11E5"/>
    <w:rsid w:val="002E5CC3"/>
    <w:rsid w:val="002F0281"/>
    <w:rsid w:val="002F26B4"/>
    <w:rsid w:val="003004C1"/>
    <w:rsid w:val="00306063"/>
    <w:rsid w:val="00311CF0"/>
    <w:rsid w:val="003128C6"/>
    <w:rsid w:val="00312BAC"/>
    <w:rsid w:val="00316DCB"/>
    <w:rsid w:val="00317703"/>
    <w:rsid w:val="003229FB"/>
    <w:rsid w:val="003325BD"/>
    <w:rsid w:val="00332D74"/>
    <w:rsid w:val="00336528"/>
    <w:rsid w:val="00336DEA"/>
    <w:rsid w:val="00342D51"/>
    <w:rsid w:val="00346AA3"/>
    <w:rsid w:val="003504CB"/>
    <w:rsid w:val="00361071"/>
    <w:rsid w:val="0036727F"/>
    <w:rsid w:val="00367CF6"/>
    <w:rsid w:val="003720AD"/>
    <w:rsid w:val="00373638"/>
    <w:rsid w:val="00380EA3"/>
    <w:rsid w:val="003815F5"/>
    <w:rsid w:val="00383421"/>
    <w:rsid w:val="00387551"/>
    <w:rsid w:val="003926E6"/>
    <w:rsid w:val="003B0853"/>
    <w:rsid w:val="003B7AC0"/>
    <w:rsid w:val="003C673D"/>
    <w:rsid w:val="003C71EB"/>
    <w:rsid w:val="003D0F55"/>
    <w:rsid w:val="003D345B"/>
    <w:rsid w:val="003D711A"/>
    <w:rsid w:val="003F0656"/>
    <w:rsid w:val="003F534A"/>
    <w:rsid w:val="003F5B14"/>
    <w:rsid w:val="003F7F14"/>
    <w:rsid w:val="004040BA"/>
    <w:rsid w:val="00404D86"/>
    <w:rsid w:val="00405098"/>
    <w:rsid w:val="00407241"/>
    <w:rsid w:val="00414B80"/>
    <w:rsid w:val="0041780B"/>
    <w:rsid w:val="0042191A"/>
    <w:rsid w:val="004240B5"/>
    <w:rsid w:val="00432547"/>
    <w:rsid w:val="00443B52"/>
    <w:rsid w:val="004440D0"/>
    <w:rsid w:val="0044698A"/>
    <w:rsid w:val="00446CF9"/>
    <w:rsid w:val="00454051"/>
    <w:rsid w:val="00457F83"/>
    <w:rsid w:val="004702BF"/>
    <w:rsid w:val="00472881"/>
    <w:rsid w:val="004730B2"/>
    <w:rsid w:val="004768D3"/>
    <w:rsid w:val="0048283D"/>
    <w:rsid w:val="004841B9"/>
    <w:rsid w:val="00484628"/>
    <w:rsid w:val="004925DC"/>
    <w:rsid w:val="004A3053"/>
    <w:rsid w:val="004A45FB"/>
    <w:rsid w:val="004A4C45"/>
    <w:rsid w:val="004A54AC"/>
    <w:rsid w:val="004B0361"/>
    <w:rsid w:val="004B133A"/>
    <w:rsid w:val="004B187D"/>
    <w:rsid w:val="004B2FEF"/>
    <w:rsid w:val="004B4E9C"/>
    <w:rsid w:val="004B72EF"/>
    <w:rsid w:val="004C4783"/>
    <w:rsid w:val="004C6A68"/>
    <w:rsid w:val="004C6CB1"/>
    <w:rsid w:val="004D27C8"/>
    <w:rsid w:val="004D5AB4"/>
    <w:rsid w:val="004D6B6E"/>
    <w:rsid w:val="004E4CEF"/>
    <w:rsid w:val="004E752F"/>
    <w:rsid w:val="004E7D65"/>
    <w:rsid w:val="004F322D"/>
    <w:rsid w:val="004F6E57"/>
    <w:rsid w:val="004F761A"/>
    <w:rsid w:val="0050160C"/>
    <w:rsid w:val="0050376F"/>
    <w:rsid w:val="00503822"/>
    <w:rsid w:val="00505473"/>
    <w:rsid w:val="005107F2"/>
    <w:rsid w:val="00510829"/>
    <w:rsid w:val="0051198E"/>
    <w:rsid w:val="00514CB6"/>
    <w:rsid w:val="00515A4E"/>
    <w:rsid w:val="005165D0"/>
    <w:rsid w:val="00516E2F"/>
    <w:rsid w:val="00520C73"/>
    <w:rsid w:val="00521774"/>
    <w:rsid w:val="00536E31"/>
    <w:rsid w:val="0054374C"/>
    <w:rsid w:val="00550F0E"/>
    <w:rsid w:val="00552E81"/>
    <w:rsid w:val="00555F8E"/>
    <w:rsid w:val="00557C67"/>
    <w:rsid w:val="00563B25"/>
    <w:rsid w:val="00565598"/>
    <w:rsid w:val="005672DC"/>
    <w:rsid w:val="00573841"/>
    <w:rsid w:val="00574423"/>
    <w:rsid w:val="00574539"/>
    <w:rsid w:val="005777E4"/>
    <w:rsid w:val="00580210"/>
    <w:rsid w:val="0058542E"/>
    <w:rsid w:val="0059695D"/>
    <w:rsid w:val="005A0727"/>
    <w:rsid w:val="005A5B15"/>
    <w:rsid w:val="005B5472"/>
    <w:rsid w:val="005C3D22"/>
    <w:rsid w:val="005C40FA"/>
    <w:rsid w:val="005D6EF6"/>
    <w:rsid w:val="005D7201"/>
    <w:rsid w:val="005E0587"/>
    <w:rsid w:val="005E12DB"/>
    <w:rsid w:val="005E34B1"/>
    <w:rsid w:val="005E400C"/>
    <w:rsid w:val="005E6DA9"/>
    <w:rsid w:val="005F16BF"/>
    <w:rsid w:val="005F20A7"/>
    <w:rsid w:val="005F48D9"/>
    <w:rsid w:val="00601C33"/>
    <w:rsid w:val="00603852"/>
    <w:rsid w:val="00603E06"/>
    <w:rsid w:val="00606264"/>
    <w:rsid w:val="006114D2"/>
    <w:rsid w:val="006114F6"/>
    <w:rsid w:val="00613D9C"/>
    <w:rsid w:val="006145C2"/>
    <w:rsid w:val="00614CA9"/>
    <w:rsid w:val="006219CA"/>
    <w:rsid w:val="006234D3"/>
    <w:rsid w:val="00625BB7"/>
    <w:rsid w:val="0062694B"/>
    <w:rsid w:val="00631576"/>
    <w:rsid w:val="006377F5"/>
    <w:rsid w:val="00645048"/>
    <w:rsid w:val="006652CA"/>
    <w:rsid w:val="00665B92"/>
    <w:rsid w:val="00667FF1"/>
    <w:rsid w:val="00671D32"/>
    <w:rsid w:val="00691FF1"/>
    <w:rsid w:val="00692A5A"/>
    <w:rsid w:val="00696B2F"/>
    <w:rsid w:val="00696B31"/>
    <w:rsid w:val="006A4C90"/>
    <w:rsid w:val="006B07E6"/>
    <w:rsid w:val="006B1486"/>
    <w:rsid w:val="006B28A3"/>
    <w:rsid w:val="006B42D8"/>
    <w:rsid w:val="006B6645"/>
    <w:rsid w:val="006C3C25"/>
    <w:rsid w:val="006C57BA"/>
    <w:rsid w:val="006D0F9A"/>
    <w:rsid w:val="006D3283"/>
    <w:rsid w:val="006D4B84"/>
    <w:rsid w:val="006E0037"/>
    <w:rsid w:val="006E1606"/>
    <w:rsid w:val="006E5DB4"/>
    <w:rsid w:val="006F1315"/>
    <w:rsid w:val="006F222B"/>
    <w:rsid w:val="006F3F4E"/>
    <w:rsid w:val="00703725"/>
    <w:rsid w:val="00704B32"/>
    <w:rsid w:val="0071506F"/>
    <w:rsid w:val="00727960"/>
    <w:rsid w:val="00733F4A"/>
    <w:rsid w:val="00746B2E"/>
    <w:rsid w:val="00753577"/>
    <w:rsid w:val="00763C07"/>
    <w:rsid w:val="007670F6"/>
    <w:rsid w:val="0077381C"/>
    <w:rsid w:val="00783364"/>
    <w:rsid w:val="00787F9B"/>
    <w:rsid w:val="00792E1D"/>
    <w:rsid w:val="00797F92"/>
    <w:rsid w:val="007A5851"/>
    <w:rsid w:val="007B6356"/>
    <w:rsid w:val="007C207D"/>
    <w:rsid w:val="007C4DC6"/>
    <w:rsid w:val="007D3D5E"/>
    <w:rsid w:val="007D6D90"/>
    <w:rsid w:val="007D7F5B"/>
    <w:rsid w:val="007E13CD"/>
    <w:rsid w:val="007F3037"/>
    <w:rsid w:val="007F32D2"/>
    <w:rsid w:val="007F56B0"/>
    <w:rsid w:val="0080078C"/>
    <w:rsid w:val="00800C23"/>
    <w:rsid w:val="00800FE8"/>
    <w:rsid w:val="008151BB"/>
    <w:rsid w:val="00821B2B"/>
    <w:rsid w:val="0082247D"/>
    <w:rsid w:val="008229CC"/>
    <w:rsid w:val="008277B6"/>
    <w:rsid w:val="00831A17"/>
    <w:rsid w:val="00844F85"/>
    <w:rsid w:val="00851DF5"/>
    <w:rsid w:val="00852DF7"/>
    <w:rsid w:val="00854C95"/>
    <w:rsid w:val="008607A9"/>
    <w:rsid w:val="00862515"/>
    <w:rsid w:val="008632BC"/>
    <w:rsid w:val="008646EA"/>
    <w:rsid w:val="008646F6"/>
    <w:rsid w:val="00864A36"/>
    <w:rsid w:val="00866519"/>
    <w:rsid w:val="00872A28"/>
    <w:rsid w:val="00876BD6"/>
    <w:rsid w:val="008828B9"/>
    <w:rsid w:val="008831A6"/>
    <w:rsid w:val="00884B84"/>
    <w:rsid w:val="00890759"/>
    <w:rsid w:val="0089271C"/>
    <w:rsid w:val="008A28CE"/>
    <w:rsid w:val="008A4FEE"/>
    <w:rsid w:val="008A7066"/>
    <w:rsid w:val="008A76E0"/>
    <w:rsid w:val="008B7076"/>
    <w:rsid w:val="008B795F"/>
    <w:rsid w:val="008C2A3D"/>
    <w:rsid w:val="008D301D"/>
    <w:rsid w:val="008D783B"/>
    <w:rsid w:val="008E0D00"/>
    <w:rsid w:val="008E2E6C"/>
    <w:rsid w:val="008F5E24"/>
    <w:rsid w:val="008F7FB9"/>
    <w:rsid w:val="009154F4"/>
    <w:rsid w:val="00915ED1"/>
    <w:rsid w:val="00926675"/>
    <w:rsid w:val="00927383"/>
    <w:rsid w:val="00932B3A"/>
    <w:rsid w:val="00937F82"/>
    <w:rsid w:val="0094013A"/>
    <w:rsid w:val="009457C1"/>
    <w:rsid w:val="00945EF2"/>
    <w:rsid w:val="0095080D"/>
    <w:rsid w:val="00950D0B"/>
    <w:rsid w:val="00951AEA"/>
    <w:rsid w:val="00955F06"/>
    <w:rsid w:val="00957703"/>
    <w:rsid w:val="00966513"/>
    <w:rsid w:val="009668BA"/>
    <w:rsid w:val="0097082A"/>
    <w:rsid w:val="00971178"/>
    <w:rsid w:val="00976BA0"/>
    <w:rsid w:val="0098336B"/>
    <w:rsid w:val="0098475C"/>
    <w:rsid w:val="00984BFB"/>
    <w:rsid w:val="009A653C"/>
    <w:rsid w:val="009B3DB3"/>
    <w:rsid w:val="009B51C0"/>
    <w:rsid w:val="009B764D"/>
    <w:rsid w:val="009C3D66"/>
    <w:rsid w:val="009C4D24"/>
    <w:rsid w:val="009D46FA"/>
    <w:rsid w:val="009D64B3"/>
    <w:rsid w:val="009D7D61"/>
    <w:rsid w:val="009E3700"/>
    <w:rsid w:val="009E72E2"/>
    <w:rsid w:val="009F5020"/>
    <w:rsid w:val="00A0749A"/>
    <w:rsid w:val="00A12A4B"/>
    <w:rsid w:val="00A16139"/>
    <w:rsid w:val="00A248A3"/>
    <w:rsid w:val="00A35AA7"/>
    <w:rsid w:val="00A375FD"/>
    <w:rsid w:val="00A445F2"/>
    <w:rsid w:val="00A47EC2"/>
    <w:rsid w:val="00A51717"/>
    <w:rsid w:val="00A52BD1"/>
    <w:rsid w:val="00A52E1F"/>
    <w:rsid w:val="00A57B81"/>
    <w:rsid w:val="00A57E29"/>
    <w:rsid w:val="00A75CB3"/>
    <w:rsid w:val="00A87F6B"/>
    <w:rsid w:val="00A952C2"/>
    <w:rsid w:val="00A96D95"/>
    <w:rsid w:val="00A9771E"/>
    <w:rsid w:val="00AA2DA7"/>
    <w:rsid w:val="00AA2FF6"/>
    <w:rsid w:val="00AA7CFF"/>
    <w:rsid w:val="00AB1623"/>
    <w:rsid w:val="00AB550B"/>
    <w:rsid w:val="00AD0375"/>
    <w:rsid w:val="00AF1A87"/>
    <w:rsid w:val="00AF2091"/>
    <w:rsid w:val="00AF3104"/>
    <w:rsid w:val="00AF43F1"/>
    <w:rsid w:val="00AF5E82"/>
    <w:rsid w:val="00B02793"/>
    <w:rsid w:val="00B0643E"/>
    <w:rsid w:val="00B0742D"/>
    <w:rsid w:val="00B11410"/>
    <w:rsid w:val="00B16A3E"/>
    <w:rsid w:val="00B24F06"/>
    <w:rsid w:val="00B25D00"/>
    <w:rsid w:val="00B262AA"/>
    <w:rsid w:val="00B36A45"/>
    <w:rsid w:val="00B3737C"/>
    <w:rsid w:val="00B37D31"/>
    <w:rsid w:val="00B40E29"/>
    <w:rsid w:val="00B4225A"/>
    <w:rsid w:val="00B5225C"/>
    <w:rsid w:val="00B54080"/>
    <w:rsid w:val="00B604E4"/>
    <w:rsid w:val="00B6142D"/>
    <w:rsid w:val="00B66F47"/>
    <w:rsid w:val="00B7586C"/>
    <w:rsid w:val="00B87533"/>
    <w:rsid w:val="00B91815"/>
    <w:rsid w:val="00B9512F"/>
    <w:rsid w:val="00B958CC"/>
    <w:rsid w:val="00BB07BD"/>
    <w:rsid w:val="00BB4BB5"/>
    <w:rsid w:val="00BB4D2D"/>
    <w:rsid w:val="00BB7EC4"/>
    <w:rsid w:val="00BC1729"/>
    <w:rsid w:val="00BC2ABE"/>
    <w:rsid w:val="00BC47BD"/>
    <w:rsid w:val="00BD10AA"/>
    <w:rsid w:val="00BD10C0"/>
    <w:rsid w:val="00BE13B2"/>
    <w:rsid w:val="00BF0E97"/>
    <w:rsid w:val="00BF10E1"/>
    <w:rsid w:val="00BF3223"/>
    <w:rsid w:val="00C05223"/>
    <w:rsid w:val="00C12FF1"/>
    <w:rsid w:val="00C136A2"/>
    <w:rsid w:val="00C13D28"/>
    <w:rsid w:val="00C15A1E"/>
    <w:rsid w:val="00C20C10"/>
    <w:rsid w:val="00C226AE"/>
    <w:rsid w:val="00C244D6"/>
    <w:rsid w:val="00C2615C"/>
    <w:rsid w:val="00C3069F"/>
    <w:rsid w:val="00C3656B"/>
    <w:rsid w:val="00C44196"/>
    <w:rsid w:val="00C45198"/>
    <w:rsid w:val="00C45F65"/>
    <w:rsid w:val="00C52990"/>
    <w:rsid w:val="00C55637"/>
    <w:rsid w:val="00C5583B"/>
    <w:rsid w:val="00C56EFE"/>
    <w:rsid w:val="00C63BA9"/>
    <w:rsid w:val="00C63CE6"/>
    <w:rsid w:val="00C663D7"/>
    <w:rsid w:val="00C742EE"/>
    <w:rsid w:val="00C837B9"/>
    <w:rsid w:val="00C913D7"/>
    <w:rsid w:val="00C924D2"/>
    <w:rsid w:val="00C95304"/>
    <w:rsid w:val="00CA2571"/>
    <w:rsid w:val="00CA3548"/>
    <w:rsid w:val="00CA4887"/>
    <w:rsid w:val="00CA4BA2"/>
    <w:rsid w:val="00CA6CC1"/>
    <w:rsid w:val="00CB01B7"/>
    <w:rsid w:val="00CB46ED"/>
    <w:rsid w:val="00CB60C3"/>
    <w:rsid w:val="00CB685D"/>
    <w:rsid w:val="00CC0824"/>
    <w:rsid w:val="00CC2A96"/>
    <w:rsid w:val="00CC2A9C"/>
    <w:rsid w:val="00CC721C"/>
    <w:rsid w:val="00CD0BBF"/>
    <w:rsid w:val="00CD2382"/>
    <w:rsid w:val="00CD4C8B"/>
    <w:rsid w:val="00CD65D4"/>
    <w:rsid w:val="00CD7275"/>
    <w:rsid w:val="00CE3045"/>
    <w:rsid w:val="00CE6EA3"/>
    <w:rsid w:val="00CE7490"/>
    <w:rsid w:val="00CF05AF"/>
    <w:rsid w:val="00CF0835"/>
    <w:rsid w:val="00CF67F8"/>
    <w:rsid w:val="00CF6C07"/>
    <w:rsid w:val="00CF71BE"/>
    <w:rsid w:val="00CF730D"/>
    <w:rsid w:val="00D01624"/>
    <w:rsid w:val="00D045B3"/>
    <w:rsid w:val="00D058E5"/>
    <w:rsid w:val="00D07313"/>
    <w:rsid w:val="00D1404F"/>
    <w:rsid w:val="00D26FF7"/>
    <w:rsid w:val="00D6010E"/>
    <w:rsid w:val="00D617B8"/>
    <w:rsid w:val="00D63D4C"/>
    <w:rsid w:val="00D71983"/>
    <w:rsid w:val="00D774A8"/>
    <w:rsid w:val="00D8112F"/>
    <w:rsid w:val="00D81821"/>
    <w:rsid w:val="00D8376B"/>
    <w:rsid w:val="00D928DE"/>
    <w:rsid w:val="00D930E6"/>
    <w:rsid w:val="00D946F1"/>
    <w:rsid w:val="00D96393"/>
    <w:rsid w:val="00DA20CF"/>
    <w:rsid w:val="00DA7E8B"/>
    <w:rsid w:val="00DC19F9"/>
    <w:rsid w:val="00DC3577"/>
    <w:rsid w:val="00DC37FE"/>
    <w:rsid w:val="00DD6494"/>
    <w:rsid w:val="00DE28DC"/>
    <w:rsid w:val="00DF38CE"/>
    <w:rsid w:val="00DF6717"/>
    <w:rsid w:val="00E02F11"/>
    <w:rsid w:val="00E0417C"/>
    <w:rsid w:val="00E041DF"/>
    <w:rsid w:val="00E07192"/>
    <w:rsid w:val="00E104F7"/>
    <w:rsid w:val="00E11809"/>
    <w:rsid w:val="00E11CA4"/>
    <w:rsid w:val="00E13A24"/>
    <w:rsid w:val="00E14E12"/>
    <w:rsid w:val="00E27583"/>
    <w:rsid w:val="00E31693"/>
    <w:rsid w:val="00E31F45"/>
    <w:rsid w:val="00E42B8C"/>
    <w:rsid w:val="00E577C5"/>
    <w:rsid w:val="00E67DE0"/>
    <w:rsid w:val="00E75A56"/>
    <w:rsid w:val="00E80D5F"/>
    <w:rsid w:val="00E849B0"/>
    <w:rsid w:val="00E853A7"/>
    <w:rsid w:val="00E865A1"/>
    <w:rsid w:val="00E90E5F"/>
    <w:rsid w:val="00EA0424"/>
    <w:rsid w:val="00EA0DE4"/>
    <w:rsid w:val="00EA279F"/>
    <w:rsid w:val="00EB1245"/>
    <w:rsid w:val="00EC090D"/>
    <w:rsid w:val="00ED03E8"/>
    <w:rsid w:val="00ED361E"/>
    <w:rsid w:val="00ED5CC7"/>
    <w:rsid w:val="00EE3387"/>
    <w:rsid w:val="00EE492E"/>
    <w:rsid w:val="00EE5F41"/>
    <w:rsid w:val="00EF345F"/>
    <w:rsid w:val="00EF44BD"/>
    <w:rsid w:val="00F01068"/>
    <w:rsid w:val="00F057C5"/>
    <w:rsid w:val="00F07A81"/>
    <w:rsid w:val="00F13D57"/>
    <w:rsid w:val="00F24F0F"/>
    <w:rsid w:val="00F2611B"/>
    <w:rsid w:val="00F3335D"/>
    <w:rsid w:val="00F4466D"/>
    <w:rsid w:val="00F4484D"/>
    <w:rsid w:val="00F54523"/>
    <w:rsid w:val="00F54908"/>
    <w:rsid w:val="00F556CA"/>
    <w:rsid w:val="00F56A02"/>
    <w:rsid w:val="00F57F59"/>
    <w:rsid w:val="00F618A8"/>
    <w:rsid w:val="00F67A04"/>
    <w:rsid w:val="00F71AFB"/>
    <w:rsid w:val="00F72AD8"/>
    <w:rsid w:val="00F7495E"/>
    <w:rsid w:val="00F81B84"/>
    <w:rsid w:val="00F8313A"/>
    <w:rsid w:val="00F834F2"/>
    <w:rsid w:val="00F94ECE"/>
    <w:rsid w:val="00F961DF"/>
    <w:rsid w:val="00FA1EDC"/>
    <w:rsid w:val="00FB18C3"/>
    <w:rsid w:val="00FB3D4C"/>
    <w:rsid w:val="00FB4FE3"/>
    <w:rsid w:val="00FC655F"/>
    <w:rsid w:val="00FD054A"/>
    <w:rsid w:val="00FD4961"/>
    <w:rsid w:val="00FD7752"/>
    <w:rsid w:val="00FF0027"/>
    <w:rsid w:val="00FF07B3"/>
    <w:rsid w:val="00FF6022"/>
    <w:rsid w:val="010687BD"/>
    <w:rsid w:val="0165ACAC"/>
    <w:rsid w:val="0170CDE4"/>
    <w:rsid w:val="01DD05C5"/>
    <w:rsid w:val="02A795D8"/>
    <w:rsid w:val="02B480EA"/>
    <w:rsid w:val="031CC8E2"/>
    <w:rsid w:val="0363BD64"/>
    <w:rsid w:val="039C1352"/>
    <w:rsid w:val="04356B07"/>
    <w:rsid w:val="043ED0D6"/>
    <w:rsid w:val="049ED3B6"/>
    <w:rsid w:val="04F24AA6"/>
    <w:rsid w:val="054895B1"/>
    <w:rsid w:val="05596A49"/>
    <w:rsid w:val="05640045"/>
    <w:rsid w:val="056C16F7"/>
    <w:rsid w:val="05DAB0A8"/>
    <w:rsid w:val="05F3AA60"/>
    <w:rsid w:val="064E85D6"/>
    <w:rsid w:val="067AFD1F"/>
    <w:rsid w:val="06D6A4D9"/>
    <w:rsid w:val="06E1E7F2"/>
    <w:rsid w:val="0706ADD8"/>
    <w:rsid w:val="076C965F"/>
    <w:rsid w:val="07E95113"/>
    <w:rsid w:val="080717A4"/>
    <w:rsid w:val="0928626A"/>
    <w:rsid w:val="09971DD3"/>
    <w:rsid w:val="09AEE31C"/>
    <w:rsid w:val="09CBA1AE"/>
    <w:rsid w:val="09D0CA66"/>
    <w:rsid w:val="0A714D06"/>
    <w:rsid w:val="0B34E687"/>
    <w:rsid w:val="0B407E32"/>
    <w:rsid w:val="0B8D303D"/>
    <w:rsid w:val="0B8DDE9C"/>
    <w:rsid w:val="0C1CB849"/>
    <w:rsid w:val="0C41E1C6"/>
    <w:rsid w:val="0C6BD384"/>
    <w:rsid w:val="0CC93A37"/>
    <w:rsid w:val="0D02742D"/>
    <w:rsid w:val="0D0FF61D"/>
    <w:rsid w:val="0D24FDB3"/>
    <w:rsid w:val="0D2DC183"/>
    <w:rsid w:val="0D3BF64B"/>
    <w:rsid w:val="0D6C5201"/>
    <w:rsid w:val="0DA30F80"/>
    <w:rsid w:val="0DBEFD80"/>
    <w:rsid w:val="0E748E05"/>
    <w:rsid w:val="0E7EC805"/>
    <w:rsid w:val="0E88F5F0"/>
    <w:rsid w:val="0EAECF70"/>
    <w:rsid w:val="0EE94274"/>
    <w:rsid w:val="0EFC7916"/>
    <w:rsid w:val="0F0636F0"/>
    <w:rsid w:val="0F08F502"/>
    <w:rsid w:val="0F2FDEEB"/>
    <w:rsid w:val="0F5901B4"/>
    <w:rsid w:val="0F716CF5"/>
    <w:rsid w:val="0F96BB8C"/>
    <w:rsid w:val="0FD35529"/>
    <w:rsid w:val="10611079"/>
    <w:rsid w:val="107EA59D"/>
    <w:rsid w:val="10D6DC06"/>
    <w:rsid w:val="11D6B5CC"/>
    <w:rsid w:val="130E6107"/>
    <w:rsid w:val="13659AE6"/>
    <w:rsid w:val="13918929"/>
    <w:rsid w:val="140A0D7D"/>
    <w:rsid w:val="1411AD27"/>
    <w:rsid w:val="145A75AF"/>
    <w:rsid w:val="14C15460"/>
    <w:rsid w:val="14FD7F9E"/>
    <w:rsid w:val="1531C43E"/>
    <w:rsid w:val="153D542A"/>
    <w:rsid w:val="15AF989B"/>
    <w:rsid w:val="15F32475"/>
    <w:rsid w:val="16121457"/>
    <w:rsid w:val="18001A52"/>
    <w:rsid w:val="1810CFBD"/>
    <w:rsid w:val="1895022E"/>
    <w:rsid w:val="18CCCBB0"/>
    <w:rsid w:val="19CEBAB5"/>
    <w:rsid w:val="1A0EE491"/>
    <w:rsid w:val="1B16D0CA"/>
    <w:rsid w:val="1B18E593"/>
    <w:rsid w:val="1BA071B4"/>
    <w:rsid w:val="1BA5ADCC"/>
    <w:rsid w:val="1C1F9654"/>
    <w:rsid w:val="1C39612A"/>
    <w:rsid w:val="1C4B3ED4"/>
    <w:rsid w:val="1C4D1672"/>
    <w:rsid w:val="1C5C6DEE"/>
    <w:rsid w:val="1C903EFE"/>
    <w:rsid w:val="1C94D7DA"/>
    <w:rsid w:val="1CD00F8E"/>
    <w:rsid w:val="1D01C22D"/>
    <w:rsid w:val="1D72787E"/>
    <w:rsid w:val="1DAB12D0"/>
    <w:rsid w:val="1DB32FAE"/>
    <w:rsid w:val="1DBEC270"/>
    <w:rsid w:val="1EA60E86"/>
    <w:rsid w:val="1F087ABF"/>
    <w:rsid w:val="1F1402C1"/>
    <w:rsid w:val="1F2C18B8"/>
    <w:rsid w:val="1FB63EE7"/>
    <w:rsid w:val="1FDCCA89"/>
    <w:rsid w:val="1FEEBDE8"/>
    <w:rsid w:val="20BA8839"/>
    <w:rsid w:val="212A66CE"/>
    <w:rsid w:val="21701D01"/>
    <w:rsid w:val="2173F096"/>
    <w:rsid w:val="21796EF1"/>
    <w:rsid w:val="21C5F4AD"/>
    <w:rsid w:val="21FC9238"/>
    <w:rsid w:val="2255443D"/>
    <w:rsid w:val="22575C6F"/>
    <w:rsid w:val="227287DF"/>
    <w:rsid w:val="22ACD549"/>
    <w:rsid w:val="22C53200"/>
    <w:rsid w:val="22DC56F9"/>
    <w:rsid w:val="2329F691"/>
    <w:rsid w:val="2347F50E"/>
    <w:rsid w:val="23693A7B"/>
    <w:rsid w:val="237CA95E"/>
    <w:rsid w:val="2448ABC1"/>
    <w:rsid w:val="248364B8"/>
    <w:rsid w:val="24B24D40"/>
    <w:rsid w:val="252A3D5F"/>
    <w:rsid w:val="254F03A4"/>
    <w:rsid w:val="25B8E813"/>
    <w:rsid w:val="25D2AC2F"/>
    <w:rsid w:val="26256F49"/>
    <w:rsid w:val="263453AA"/>
    <w:rsid w:val="265EA270"/>
    <w:rsid w:val="266336D7"/>
    <w:rsid w:val="2725342A"/>
    <w:rsid w:val="27806219"/>
    <w:rsid w:val="27973BED"/>
    <w:rsid w:val="27AE8254"/>
    <w:rsid w:val="27D1C32E"/>
    <w:rsid w:val="27EBCFF3"/>
    <w:rsid w:val="27F51E54"/>
    <w:rsid w:val="28212B9D"/>
    <w:rsid w:val="2822BEFD"/>
    <w:rsid w:val="28764CEE"/>
    <w:rsid w:val="28807733"/>
    <w:rsid w:val="28E0D485"/>
    <w:rsid w:val="294DEA01"/>
    <w:rsid w:val="29519990"/>
    <w:rsid w:val="295F60D8"/>
    <w:rsid w:val="29838FAB"/>
    <w:rsid w:val="29C4FBD1"/>
    <w:rsid w:val="2A2A35AD"/>
    <w:rsid w:val="2A7B70E8"/>
    <w:rsid w:val="2B891055"/>
    <w:rsid w:val="2BC3D29F"/>
    <w:rsid w:val="2BCEBCA2"/>
    <w:rsid w:val="2BD2639C"/>
    <w:rsid w:val="2C19F7B4"/>
    <w:rsid w:val="2C1FF9B2"/>
    <w:rsid w:val="2C46ACD3"/>
    <w:rsid w:val="2C74B9B9"/>
    <w:rsid w:val="2C809161"/>
    <w:rsid w:val="2CBB3CEA"/>
    <w:rsid w:val="2CF5CAC9"/>
    <w:rsid w:val="2D693326"/>
    <w:rsid w:val="2E4A30F5"/>
    <w:rsid w:val="2E767097"/>
    <w:rsid w:val="2E785350"/>
    <w:rsid w:val="2E82AB8E"/>
    <w:rsid w:val="2E8A29C3"/>
    <w:rsid w:val="2EA3BD2F"/>
    <w:rsid w:val="2EAC6456"/>
    <w:rsid w:val="2EC86866"/>
    <w:rsid w:val="2ED69A83"/>
    <w:rsid w:val="2EE4DD90"/>
    <w:rsid w:val="2FAA5F1A"/>
    <w:rsid w:val="2FE25824"/>
    <w:rsid w:val="302BD5BB"/>
    <w:rsid w:val="3044D611"/>
    <w:rsid w:val="30A55389"/>
    <w:rsid w:val="31063695"/>
    <w:rsid w:val="31DDD33F"/>
    <w:rsid w:val="321E66CA"/>
    <w:rsid w:val="3227BADA"/>
    <w:rsid w:val="322B7424"/>
    <w:rsid w:val="326A4FD3"/>
    <w:rsid w:val="32E2D497"/>
    <w:rsid w:val="338303E6"/>
    <w:rsid w:val="33A2964B"/>
    <w:rsid w:val="33C3C76A"/>
    <w:rsid w:val="33CAE75D"/>
    <w:rsid w:val="34887152"/>
    <w:rsid w:val="349A770F"/>
    <w:rsid w:val="34F3388E"/>
    <w:rsid w:val="352DA7A1"/>
    <w:rsid w:val="35AB771A"/>
    <w:rsid w:val="35BCAF63"/>
    <w:rsid w:val="35BD2033"/>
    <w:rsid w:val="35D331C9"/>
    <w:rsid w:val="3641A55D"/>
    <w:rsid w:val="364ADF71"/>
    <w:rsid w:val="3777A0B3"/>
    <w:rsid w:val="37BD1699"/>
    <w:rsid w:val="38600BAA"/>
    <w:rsid w:val="3877A392"/>
    <w:rsid w:val="38A97902"/>
    <w:rsid w:val="38DEA28B"/>
    <w:rsid w:val="39514683"/>
    <w:rsid w:val="395D0E67"/>
    <w:rsid w:val="39A02A66"/>
    <w:rsid w:val="39E07B93"/>
    <w:rsid w:val="39EDA39C"/>
    <w:rsid w:val="3A7E599C"/>
    <w:rsid w:val="3B310318"/>
    <w:rsid w:val="3B83A61A"/>
    <w:rsid w:val="3BA0F85E"/>
    <w:rsid w:val="3BD2734B"/>
    <w:rsid w:val="3C1D8124"/>
    <w:rsid w:val="3C64829F"/>
    <w:rsid w:val="3C6B9046"/>
    <w:rsid w:val="3C88D735"/>
    <w:rsid w:val="3CB77EE9"/>
    <w:rsid w:val="3CCDA52D"/>
    <w:rsid w:val="3D3B68C2"/>
    <w:rsid w:val="3D429A0B"/>
    <w:rsid w:val="3DAF5FE6"/>
    <w:rsid w:val="3DBA0233"/>
    <w:rsid w:val="3E9AF839"/>
    <w:rsid w:val="3EA21756"/>
    <w:rsid w:val="3F17E569"/>
    <w:rsid w:val="3F4E8808"/>
    <w:rsid w:val="3F5E067E"/>
    <w:rsid w:val="40134035"/>
    <w:rsid w:val="40422A1A"/>
    <w:rsid w:val="405D0618"/>
    <w:rsid w:val="40BC1AF1"/>
    <w:rsid w:val="40CE93C2"/>
    <w:rsid w:val="40CF9E22"/>
    <w:rsid w:val="40DC035D"/>
    <w:rsid w:val="40DFDD63"/>
    <w:rsid w:val="40E40157"/>
    <w:rsid w:val="4169E53B"/>
    <w:rsid w:val="417BF39C"/>
    <w:rsid w:val="420D554B"/>
    <w:rsid w:val="42A9C2D5"/>
    <w:rsid w:val="432FDF3D"/>
    <w:rsid w:val="43766E6F"/>
    <w:rsid w:val="4386D004"/>
    <w:rsid w:val="439908A9"/>
    <w:rsid w:val="43DDA731"/>
    <w:rsid w:val="43EF130D"/>
    <w:rsid w:val="4413CA90"/>
    <w:rsid w:val="4465F5BF"/>
    <w:rsid w:val="44EF3589"/>
    <w:rsid w:val="452612B1"/>
    <w:rsid w:val="456F9FFE"/>
    <w:rsid w:val="45A35099"/>
    <w:rsid w:val="45A65AE5"/>
    <w:rsid w:val="45F90608"/>
    <w:rsid w:val="46B6AC7F"/>
    <w:rsid w:val="46C66F1D"/>
    <w:rsid w:val="4774A0AB"/>
    <w:rsid w:val="48013ECB"/>
    <w:rsid w:val="4862D74C"/>
    <w:rsid w:val="487505DE"/>
    <w:rsid w:val="49104EAF"/>
    <w:rsid w:val="492111E6"/>
    <w:rsid w:val="494D14D2"/>
    <w:rsid w:val="498591E6"/>
    <w:rsid w:val="4994626C"/>
    <w:rsid w:val="49A3B6D1"/>
    <w:rsid w:val="49F1C6D1"/>
    <w:rsid w:val="49FCBD46"/>
    <w:rsid w:val="4A205B1B"/>
    <w:rsid w:val="4A419A3B"/>
    <w:rsid w:val="4B147CBB"/>
    <w:rsid w:val="4C054A1D"/>
    <w:rsid w:val="4C708CB1"/>
    <w:rsid w:val="4C77360F"/>
    <w:rsid w:val="4C8650D8"/>
    <w:rsid w:val="4C87E0AF"/>
    <w:rsid w:val="4C896A04"/>
    <w:rsid w:val="4CCCA26E"/>
    <w:rsid w:val="4CE7A935"/>
    <w:rsid w:val="4DA3F383"/>
    <w:rsid w:val="4DF9FCE8"/>
    <w:rsid w:val="4DFD2979"/>
    <w:rsid w:val="4EE74FE3"/>
    <w:rsid w:val="4EF0A546"/>
    <w:rsid w:val="4F0846C4"/>
    <w:rsid w:val="4F3719ED"/>
    <w:rsid w:val="4FA5537F"/>
    <w:rsid w:val="4FD56A6B"/>
    <w:rsid w:val="511D3BA7"/>
    <w:rsid w:val="514BC42C"/>
    <w:rsid w:val="51F38CC1"/>
    <w:rsid w:val="5258B627"/>
    <w:rsid w:val="526C08D3"/>
    <w:rsid w:val="528FFAE7"/>
    <w:rsid w:val="52AB836C"/>
    <w:rsid w:val="535FBF3E"/>
    <w:rsid w:val="53AAB55C"/>
    <w:rsid w:val="53F2750B"/>
    <w:rsid w:val="545BA15A"/>
    <w:rsid w:val="5472BEAD"/>
    <w:rsid w:val="54D87F2B"/>
    <w:rsid w:val="552F7DC4"/>
    <w:rsid w:val="559F9E1A"/>
    <w:rsid w:val="567EB5CE"/>
    <w:rsid w:val="56D9166C"/>
    <w:rsid w:val="57259641"/>
    <w:rsid w:val="57F41F84"/>
    <w:rsid w:val="5854621D"/>
    <w:rsid w:val="5993E471"/>
    <w:rsid w:val="5A9317F3"/>
    <w:rsid w:val="5B09CF46"/>
    <w:rsid w:val="5B15783F"/>
    <w:rsid w:val="5B27ED38"/>
    <w:rsid w:val="5B290CD8"/>
    <w:rsid w:val="5B676D45"/>
    <w:rsid w:val="5BDEAFA2"/>
    <w:rsid w:val="5C0F13E2"/>
    <w:rsid w:val="5C21007D"/>
    <w:rsid w:val="5C948170"/>
    <w:rsid w:val="5C9ADCFB"/>
    <w:rsid w:val="5D53B9C5"/>
    <w:rsid w:val="5D68A91D"/>
    <w:rsid w:val="5D9254DE"/>
    <w:rsid w:val="5E207ED8"/>
    <w:rsid w:val="5E395A1D"/>
    <w:rsid w:val="5E5B4A97"/>
    <w:rsid w:val="5E6343BD"/>
    <w:rsid w:val="5EB0BD54"/>
    <w:rsid w:val="5F0A27A4"/>
    <w:rsid w:val="5F14DC01"/>
    <w:rsid w:val="5F2C21BA"/>
    <w:rsid w:val="5F7595DF"/>
    <w:rsid w:val="5F7FE43D"/>
    <w:rsid w:val="5F9A2282"/>
    <w:rsid w:val="600BFDBB"/>
    <w:rsid w:val="601BC74B"/>
    <w:rsid w:val="604CBB73"/>
    <w:rsid w:val="606D44A0"/>
    <w:rsid w:val="60AA8B7F"/>
    <w:rsid w:val="60C76739"/>
    <w:rsid w:val="60E35302"/>
    <w:rsid w:val="61850EDB"/>
    <w:rsid w:val="61DEC6BE"/>
    <w:rsid w:val="626BAA04"/>
    <w:rsid w:val="62A0B0B7"/>
    <w:rsid w:val="62E9B611"/>
    <w:rsid w:val="633E8FF3"/>
    <w:rsid w:val="6367ECDA"/>
    <w:rsid w:val="638CF8B4"/>
    <w:rsid w:val="63A8A644"/>
    <w:rsid w:val="647EB2D0"/>
    <w:rsid w:val="65DAE16D"/>
    <w:rsid w:val="6616D0AC"/>
    <w:rsid w:val="6625D031"/>
    <w:rsid w:val="66C4EBB8"/>
    <w:rsid w:val="673083D8"/>
    <w:rsid w:val="675A8CBF"/>
    <w:rsid w:val="679BBDE6"/>
    <w:rsid w:val="679FB5C1"/>
    <w:rsid w:val="67D8DE46"/>
    <w:rsid w:val="686BDB16"/>
    <w:rsid w:val="689BD611"/>
    <w:rsid w:val="68AA2C5A"/>
    <w:rsid w:val="68C55436"/>
    <w:rsid w:val="6919D4FC"/>
    <w:rsid w:val="691E0506"/>
    <w:rsid w:val="69362750"/>
    <w:rsid w:val="69E8EEF4"/>
    <w:rsid w:val="69EE64F7"/>
    <w:rsid w:val="6A896AF1"/>
    <w:rsid w:val="6B1F1F5C"/>
    <w:rsid w:val="6BBFAA76"/>
    <w:rsid w:val="6C3BDFD5"/>
    <w:rsid w:val="6C43DACD"/>
    <w:rsid w:val="6C855757"/>
    <w:rsid w:val="6D24B0BD"/>
    <w:rsid w:val="6D50B493"/>
    <w:rsid w:val="6D7E8EE5"/>
    <w:rsid w:val="6E922A3C"/>
    <w:rsid w:val="6ECB3E93"/>
    <w:rsid w:val="6EE41125"/>
    <w:rsid w:val="6F14D809"/>
    <w:rsid w:val="6F8B2F1C"/>
    <w:rsid w:val="6FE127E0"/>
    <w:rsid w:val="7037ED68"/>
    <w:rsid w:val="703C05F8"/>
    <w:rsid w:val="7076CD64"/>
    <w:rsid w:val="7099160C"/>
    <w:rsid w:val="70BF6686"/>
    <w:rsid w:val="70C77FF0"/>
    <w:rsid w:val="70D4EDCB"/>
    <w:rsid w:val="70FC2D58"/>
    <w:rsid w:val="7180EC03"/>
    <w:rsid w:val="71AEB6A9"/>
    <w:rsid w:val="71ECCBB6"/>
    <w:rsid w:val="7215CA18"/>
    <w:rsid w:val="728C0191"/>
    <w:rsid w:val="73715A66"/>
    <w:rsid w:val="73A4DF5D"/>
    <w:rsid w:val="73CCFFE8"/>
    <w:rsid w:val="73D23F36"/>
    <w:rsid w:val="73D337B5"/>
    <w:rsid w:val="740817BA"/>
    <w:rsid w:val="74385359"/>
    <w:rsid w:val="748956D0"/>
    <w:rsid w:val="749DC709"/>
    <w:rsid w:val="74F291B0"/>
    <w:rsid w:val="7521E56A"/>
    <w:rsid w:val="75357513"/>
    <w:rsid w:val="75501A17"/>
    <w:rsid w:val="75F779BB"/>
    <w:rsid w:val="76051C53"/>
    <w:rsid w:val="7608CCAF"/>
    <w:rsid w:val="7638BE83"/>
    <w:rsid w:val="76397465"/>
    <w:rsid w:val="769B8EE2"/>
    <w:rsid w:val="76B7FD58"/>
    <w:rsid w:val="770ACA59"/>
    <w:rsid w:val="77119064"/>
    <w:rsid w:val="776C3AA8"/>
    <w:rsid w:val="78823321"/>
    <w:rsid w:val="78C11F4F"/>
    <w:rsid w:val="7980285B"/>
    <w:rsid w:val="79AA2076"/>
    <w:rsid w:val="7AB884D1"/>
    <w:rsid w:val="7B1004DD"/>
    <w:rsid w:val="7B727C7D"/>
    <w:rsid w:val="7BB6A775"/>
    <w:rsid w:val="7C08DA23"/>
    <w:rsid w:val="7C31DEB2"/>
    <w:rsid w:val="7C43C13D"/>
    <w:rsid w:val="7CE68AAB"/>
    <w:rsid w:val="7D5F4194"/>
    <w:rsid w:val="7D7EBCB1"/>
    <w:rsid w:val="7DE18C6C"/>
    <w:rsid w:val="7E9388CB"/>
    <w:rsid w:val="7EE70B25"/>
    <w:rsid w:val="7F0CE55A"/>
    <w:rsid w:val="7F0CF48C"/>
    <w:rsid w:val="7F93902C"/>
    <w:rsid w:val="7FC78A42"/>
    <w:rsid w:val="7FEE1F1D"/>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54B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6E160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Revisie">
    <w:name w:val="Revision"/>
    <w:hidden/>
    <w:uiPriority w:val="99"/>
    <w:semiHidden/>
    <w:rsid w:val="00503822"/>
    <w:pPr>
      <w:spacing w:after="0" w:line="240" w:lineRule="auto"/>
    </w:pPr>
  </w:style>
  <w:style w:type="paragraph" w:styleId="Voettekst">
    <w:name w:val="footer"/>
    <w:basedOn w:val="Standaard"/>
    <w:link w:val="VoettekstChar1"/>
    <w:uiPriority w:val="99"/>
    <w:semiHidden/>
    <w:unhideWhenUsed/>
    <w:rsid w:val="0044698A"/>
    <w:pPr>
      <w:tabs>
        <w:tab w:val="center" w:pos="4536"/>
        <w:tab w:val="right" w:pos="9072"/>
      </w:tabs>
      <w:spacing w:after="0" w:line="240" w:lineRule="auto"/>
    </w:pPr>
  </w:style>
  <w:style w:type="paragraph" w:styleId="Lijstalinea">
    <w:name w:val="List Paragraph"/>
    <w:basedOn w:val="Standaard"/>
    <w:uiPriority w:val="34"/>
    <w:qFormat/>
    <w:rsid w:val="6C3BDFD5"/>
    <w:pPr>
      <w:ind w:left="720"/>
      <w:contextualSpacing/>
    </w:pPr>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Koptekst">
    <w:name w:val="header"/>
    <w:basedOn w:val="Standaard"/>
    <w:link w:val="KoptekstChar"/>
    <w:uiPriority w:val="99"/>
    <w:unhideWhenUsed/>
    <w:rsid w:val="0095770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7703"/>
  </w:style>
  <w:style w:type="character" w:customStyle="1" w:styleId="VoettekstChar">
    <w:name w:val="Voettekst Char"/>
    <w:basedOn w:val="Standaardalinea-lettertype"/>
    <w:uiPriority w:val="99"/>
    <w:rsid w:val="00957703"/>
  </w:style>
  <w:style w:type="character" w:customStyle="1" w:styleId="VoettekstChar1">
    <w:name w:val="Voettekst Char1"/>
    <w:basedOn w:val="Standaardalinea-lettertype"/>
    <w:link w:val="Voettekst"/>
    <w:uiPriority w:val="99"/>
    <w:semiHidden/>
    <w:rsid w:val="0044698A"/>
  </w:style>
  <w:style w:type="character" w:styleId="Verwijzingopmerking">
    <w:name w:val="annotation reference"/>
    <w:basedOn w:val="Standaardalinea-lettertype"/>
    <w:uiPriority w:val="99"/>
    <w:semiHidden/>
    <w:unhideWhenUsed/>
    <w:rsid w:val="00084C2F"/>
    <w:rPr>
      <w:sz w:val="16"/>
      <w:szCs w:val="16"/>
    </w:rPr>
  </w:style>
  <w:style w:type="paragraph" w:styleId="Tekstopmerking">
    <w:name w:val="annotation text"/>
    <w:basedOn w:val="Standaard"/>
    <w:link w:val="TekstopmerkingChar"/>
    <w:uiPriority w:val="99"/>
    <w:unhideWhenUsed/>
    <w:rsid w:val="00084C2F"/>
    <w:pPr>
      <w:spacing w:line="240" w:lineRule="auto"/>
    </w:pPr>
    <w:rPr>
      <w:sz w:val="20"/>
      <w:szCs w:val="20"/>
    </w:rPr>
  </w:style>
  <w:style w:type="character" w:customStyle="1" w:styleId="TekstopmerkingChar">
    <w:name w:val="Tekst opmerking Char"/>
    <w:basedOn w:val="Standaardalinea-lettertype"/>
    <w:link w:val="Tekstopmerking"/>
    <w:uiPriority w:val="99"/>
    <w:rsid w:val="00084C2F"/>
    <w:rPr>
      <w:sz w:val="20"/>
      <w:szCs w:val="20"/>
    </w:rPr>
  </w:style>
  <w:style w:type="paragraph" w:styleId="Onderwerpvanopmerking">
    <w:name w:val="annotation subject"/>
    <w:basedOn w:val="Tekstopmerking"/>
    <w:next w:val="Tekstopmerking"/>
    <w:link w:val="OnderwerpvanopmerkingChar"/>
    <w:uiPriority w:val="99"/>
    <w:semiHidden/>
    <w:unhideWhenUsed/>
    <w:rsid w:val="00084C2F"/>
    <w:rPr>
      <w:b/>
      <w:bCs/>
    </w:rPr>
  </w:style>
  <w:style w:type="character" w:customStyle="1" w:styleId="OnderwerpvanopmerkingChar">
    <w:name w:val="Onderwerp van opmerking Char"/>
    <w:basedOn w:val="TekstopmerkingChar"/>
    <w:link w:val="Onderwerpvanopmerking"/>
    <w:uiPriority w:val="99"/>
    <w:semiHidden/>
    <w:rsid w:val="00084C2F"/>
    <w:rPr>
      <w:b/>
      <w:bCs/>
      <w:sz w:val="20"/>
      <w:szCs w:val="20"/>
    </w:rPr>
  </w:style>
  <w:style w:type="paragraph" w:styleId="Voetnoottekst">
    <w:name w:val="footnote text"/>
    <w:basedOn w:val="Standaard"/>
    <w:link w:val="VoetnoottekstChar"/>
    <w:uiPriority w:val="99"/>
    <w:semiHidden/>
    <w:unhideWhenUsed/>
    <w:rsid w:val="00D01624"/>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D01624"/>
    <w:rPr>
      <w:sz w:val="20"/>
      <w:szCs w:val="20"/>
    </w:rPr>
  </w:style>
  <w:style w:type="character" w:styleId="Voetnootmarkering">
    <w:name w:val="footnote reference"/>
    <w:basedOn w:val="Standaardalinea-lettertype"/>
    <w:uiPriority w:val="99"/>
    <w:semiHidden/>
    <w:unhideWhenUsed/>
    <w:rsid w:val="00D01624"/>
    <w:rPr>
      <w:vertAlign w:val="superscript"/>
    </w:rPr>
  </w:style>
  <w:style w:type="character" w:styleId="Hyperlink">
    <w:name w:val="Hyperlink"/>
    <w:basedOn w:val="Standaardalinea-lettertype"/>
    <w:uiPriority w:val="99"/>
    <w:unhideWhenUsed/>
    <w:rsid w:val="00443B52"/>
    <w:rPr>
      <w:color w:val="467886" w:themeColor="hyperlink"/>
      <w:u w:val="single"/>
    </w:rPr>
  </w:style>
  <w:style w:type="character" w:styleId="Onopgelostemelding">
    <w:name w:val="Unresolved Mention"/>
    <w:basedOn w:val="Standaardalinea-lettertype"/>
    <w:uiPriority w:val="99"/>
    <w:semiHidden/>
    <w:unhideWhenUsed/>
    <w:rsid w:val="00443B52"/>
    <w:rPr>
      <w:color w:val="605E5C"/>
      <w:shd w:val="clear" w:color="auto" w:fill="E1DFDD"/>
    </w:rPr>
  </w:style>
  <w:style w:type="character" w:styleId="GevolgdeHyperlink">
    <w:name w:val="FollowedHyperlink"/>
    <w:basedOn w:val="Standaardalinea-lettertype"/>
    <w:uiPriority w:val="99"/>
    <w:semiHidden/>
    <w:unhideWhenUsed/>
    <w:rsid w:val="00C558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ennet.eu/nl/de-elektriciteitsmarkt/congestiemanagement/versnellingspakket-voor-ruimte-op-het-hoogspanningsnet"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tennet.eu/nl/de-elektriciteitsmarkt/congestiemanagement/versnellingspakket-voor-ruimte-op-het-hoogspanningsnet"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ap:Properties xmlns:vt="http://schemas.openxmlformats.org/officeDocument/2006/docPropsVTypes" xmlns:ap="http://schemas.openxmlformats.org/officeDocument/2006/extended-properties">
  <ap:Pages>3</ap:Pages>
  <ap:Words>1328</ap:Words>
  <ap:Characters>7307</ap:Characters>
  <ap:DocSecurity>0</ap:DocSecurity>
  <ap:Lines>60</ap:Lines>
  <ap:Paragraphs>17</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8618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2026-09-11T11:26:00.0000000Z</dcterms:created>
  <dcterms:modified xsi:type="dcterms:W3CDTF">2026-09-11T11:27:00.0000000Z</dcterms:modified>
  <version/>
  <category/>
</coreProperties>
</file>