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300C9" w:rsidP="34529BBB" w:rsidRDefault="00546764" w14:paraId="1BE5BD2B" w14:textId="705D741B">
      <w:pPr>
        <w:rPr>
          <w:rFonts w:ascii="Verdana" w:hAnsi="Verdana" w:eastAsia="Verdana" w:cs="Verdana"/>
          <w:color w:val="000000" w:themeColor="text1"/>
        </w:rPr>
      </w:pPr>
      <w:r w:rsidRPr="34A0A50F">
        <w:rPr>
          <w:rFonts w:ascii="Verdana" w:hAnsi="Verdana" w:eastAsia="Verdana" w:cs="Verdana"/>
          <w:color w:val="000000" w:themeColor="text1"/>
        </w:rPr>
        <w:t>Bij</w:t>
      </w:r>
      <w:r w:rsidRPr="34A0A50F" w:rsidR="00731572">
        <w:rPr>
          <w:rFonts w:ascii="Verdana" w:hAnsi="Verdana" w:eastAsia="Verdana" w:cs="Verdana"/>
          <w:color w:val="000000" w:themeColor="text1"/>
        </w:rPr>
        <w:t xml:space="preserve">lage </w:t>
      </w:r>
      <w:r w:rsidRPr="34A0A50F" w:rsidR="008E0164">
        <w:rPr>
          <w:rFonts w:ascii="Verdana" w:hAnsi="Verdana" w:eastAsia="Verdana" w:cs="Verdana"/>
          <w:color w:val="000000" w:themeColor="text1"/>
        </w:rPr>
        <w:t>2 appre</w:t>
      </w:r>
      <w:r w:rsidRPr="34A0A50F" w:rsidR="00E86C36">
        <w:rPr>
          <w:rFonts w:ascii="Verdana" w:hAnsi="Verdana" w:eastAsia="Verdana" w:cs="Verdana"/>
          <w:color w:val="000000" w:themeColor="text1"/>
        </w:rPr>
        <w:t>ci</w:t>
      </w:r>
      <w:r w:rsidRPr="34A0A50F" w:rsidR="00EE0AAA">
        <w:rPr>
          <w:rFonts w:ascii="Verdana" w:hAnsi="Verdana" w:eastAsia="Verdana" w:cs="Verdana"/>
          <w:color w:val="000000" w:themeColor="text1"/>
        </w:rPr>
        <w:t>atie</w:t>
      </w:r>
      <w:r w:rsidRPr="34A0A50F" w:rsidR="00300FC7">
        <w:rPr>
          <w:rFonts w:ascii="Verdana" w:hAnsi="Verdana" w:eastAsia="Verdana" w:cs="Verdana"/>
          <w:color w:val="000000" w:themeColor="text1"/>
        </w:rPr>
        <w:t xml:space="preserve"> NV</w:t>
      </w:r>
      <w:r w:rsidRPr="34A0A50F" w:rsidR="00E8751F">
        <w:rPr>
          <w:rFonts w:ascii="Verdana" w:hAnsi="Verdana" w:eastAsia="Verdana" w:cs="Verdana"/>
          <w:color w:val="000000" w:themeColor="text1"/>
        </w:rPr>
        <w:t>DE</w:t>
      </w:r>
      <w:r w:rsidRPr="34A0A50F" w:rsidR="006B105C">
        <w:rPr>
          <w:rFonts w:ascii="Verdana" w:hAnsi="Verdana" w:eastAsia="Verdana" w:cs="Verdana"/>
          <w:color w:val="000000" w:themeColor="text1"/>
        </w:rPr>
        <w:t xml:space="preserve"> van Door</w:t>
      </w:r>
      <w:r w:rsidRPr="34A0A50F" w:rsidR="00EB2E87">
        <w:rPr>
          <w:rFonts w:ascii="Verdana" w:hAnsi="Verdana" w:eastAsia="Verdana" w:cs="Verdana"/>
          <w:color w:val="000000" w:themeColor="text1"/>
        </w:rPr>
        <w:t>ne rapport</w:t>
      </w:r>
      <w:r w:rsidRPr="34A0A50F">
        <w:rPr>
          <w:rStyle w:val="Voetnootmarkering"/>
          <w:rFonts w:ascii="Verdana" w:hAnsi="Verdana" w:eastAsia="Verdana" w:cs="Verdana"/>
          <w:color w:val="000000" w:themeColor="text1"/>
        </w:rPr>
        <w:footnoteReference w:id="1"/>
      </w:r>
    </w:p>
    <w:tbl>
      <w:tblPr>
        <w:tblStyle w:val="Tabelraster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ook w:val="04A0" w:firstRow="1" w:lastRow="0" w:firstColumn="1" w:lastColumn="0" w:noHBand="0" w:noVBand="1"/>
      </w:tblPr>
      <w:tblGrid>
        <w:gridCol w:w="4161"/>
        <w:gridCol w:w="4849"/>
      </w:tblGrid>
      <w:tr w:rsidR="34529BBB" w:rsidTr="206FD9CC" w14:paraId="4FA51640" w14:textId="77777777">
        <w:trPr>
          <w:trHeight w:val="300"/>
        </w:trPr>
        <w:tc>
          <w:tcPr>
            <w:tcW w:w="4260" w:type="dxa"/>
            <w:tcBorders>
              <w:top w:val="single" w:color="auto" w:sz="6" w:space="0"/>
              <w:lef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5BCDBD5F" w14:textId="23E8B964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b/>
                <w:bCs/>
                <w:color w:val="000000" w:themeColor="text1"/>
                <w:sz w:val="18"/>
                <w:szCs w:val="18"/>
              </w:rPr>
              <w:t xml:space="preserve">Aanbeveling uit NVDE/van Doorne rapport </w:t>
            </w:r>
          </w:p>
          <w:p w:rsidR="34529BBB" w:rsidP="431B0F78" w:rsidRDefault="34529BBB" w14:paraId="31CF5E2E" w14:textId="19F42FCC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4965" w:type="dxa"/>
            <w:tcBorders>
              <w:top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661CBEC2" w14:textId="48CF2FE3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b/>
                <w:bCs/>
                <w:color w:val="000000" w:themeColor="text1"/>
                <w:sz w:val="18"/>
                <w:szCs w:val="18"/>
              </w:rPr>
              <w:t xml:space="preserve">Wat vindt of doet het kabinet?  </w:t>
            </w:r>
          </w:p>
        </w:tc>
      </w:tr>
      <w:tr w:rsidR="34529BBB" w:rsidTr="206FD9CC" w14:paraId="7B3E5A98" w14:textId="77777777">
        <w:trPr>
          <w:trHeight w:val="300"/>
        </w:trPr>
        <w:tc>
          <w:tcPr>
            <w:tcW w:w="4260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7F37B4F0" w14:textId="32182396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 xml:space="preserve">1. Pas de Lex </w:t>
            </w:r>
            <w:proofErr w:type="spellStart"/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Silencio</w:t>
            </w:r>
            <w:proofErr w:type="spellEnd"/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 xml:space="preserve"> Positivo toe op vergunningen voor congestieverzachters, zodat een fictief positief besluit ontstaat bij</w:t>
            </w:r>
          </w:p>
          <w:p w:rsidR="34529BBB" w:rsidP="431B0F78" w:rsidRDefault="34529BBB" w14:paraId="7AD2C103" w14:textId="50BA7E0F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overschrijding van de beslistermijn.</w:t>
            </w:r>
          </w:p>
        </w:tc>
        <w:tc>
          <w:tcPr>
            <w:tcW w:w="496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00A3C818" w14:textId="2DC9D530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Het kabinet gaat </w:t>
            </w:r>
            <w:r w:rsidRPr="431B0F78" w:rsidR="21B9E74E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momenteel </w:t>
            </w:r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niet verder met deze aanbeveling. Dit licht ik in deze brief toe. </w:t>
            </w:r>
          </w:p>
        </w:tc>
      </w:tr>
      <w:tr w:rsidR="34529BBB" w:rsidTr="206FD9CC" w14:paraId="0C25BEE1" w14:textId="77777777">
        <w:trPr>
          <w:trHeight w:val="840"/>
        </w:trPr>
        <w:tc>
          <w:tcPr>
            <w:tcW w:w="4260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138BDF9C" w14:textId="2A2E6C1A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 xml:space="preserve">2. </w:t>
            </w:r>
          </w:p>
          <w:p w:rsidR="34529BBB" w:rsidP="431B0F78" w:rsidRDefault="34529BBB" w14:paraId="4E77C11A" w14:textId="72E1B202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 xml:space="preserve">a) Breid verplichte Rijks- of provinciale projectbesluiten uit naar Congestieverzachters, </w:t>
            </w:r>
          </w:p>
          <w:p w:rsidR="34529BBB" w:rsidP="431B0F78" w:rsidRDefault="34529BBB" w14:paraId="473CEDA9" w14:textId="43231A7B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b) met een keuzemogelijkheid voor de</w:t>
            </w:r>
          </w:p>
          <w:p w:rsidR="34529BBB" w:rsidP="431B0F78" w:rsidRDefault="34529BBB" w14:paraId="15DE2788" w14:textId="05AAD6CC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initiatiefnemer om van de projectprocedure af te zien.</w:t>
            </w:r>
          </w:p>
        </w:tc>
        <w:tc>
          <w:tcPr>
            <w:tcW w:w="496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7BBE24C5" w14:textId="4986D76A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Het kabinet wil het provinciale projectbesluit uitbreiden naar de infrastructuur voor het 110/150kV</w:t>
            </w:r>
            <w:r w:rsidRPr="431B0F78" w:rsidR="77D5B981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-</w:t>
            </w:r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spanningsvlak, zoals te lezen in deze brief.</w:t>
            </w:r>
          </w:p>
        </w:tc>
      </w:tr>
      <w:tr w:rsidR="34529BBB" w:rsidTr="206FD9CC" w14:paraId="1D1670A2" w14:textId="77777777">
        <w:trPr>
          <w:trHeight w:val="300"/>
        </w:trPr>
        <w:tc>
          <w:tcPr>
            <w:tcW w:w="4260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327191C8" w14:textId="72E4C188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 xml:space="preserve">3. Vergroot de categorie </w:t>
            </w:r>
            <w:proofErr w:type="spellStart"/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vergunningvrije</w:t>
            </w:r>
            <w:proofErr w:type="spellEnd"/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 xml:space="preserve"> bouw- en omgevingsplanactiviteiten voor Congestieverzachters, waaronder</w:t>
            </w:r>
          </w:p>
          <w:p w:rsidR="34529BBB" w:rsidP="431B0F78" w:rsidRDefault="34529BBB" w14:paraId="3C42572C" w14:textId="1B9F94B7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transformatorstations en kabelverbindingen.</w:t>
            </w:r>
          </w:p>
          <w:p w:rsidR="34529BBB" w:rsidP="431B0F78" w:rsidRDefault="34529BBB" w14:paraId="37B02358" w14:textId="271142DA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496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206FD9CC" w:rsidRDefault="2D3528B7" w14:paraId="57B70C83" w14:textId="3212355E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206FD9CC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Het kabinet wil de </w:t>
            </w:r>
            <w:proofErr w:type="spellStart"/>
            <w:r w:rsidRPr="206FD9CC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vergunningvrije</w:t>
            </w:r>
            <w:proofErr w:type="spellEnd"/>
            <w:r w:rsidRPr="206FD9CC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 ruimte voor </w:t>
            </w:r>
            <w:proofErr w:type="spellStart"/>
            <w:r w:rsidRPr="206FD9CC" w:rsidR="7FECCABB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stationsuitbreidingen</w:t>
            </w:r>
            <w:proofErr w:type="spellEnd"/>
            <w:r w:rsidRPr="206FD9CC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 vergroten, zoals te lezen in deze brief. </w:t>
            </w:r>
          </w:p>
        </w:tc>
      </w:tr>
      <w:tr w:rsidR="34529BBB" w:rsidTr="206FD9CC" w14:paraId="214EB829" w14:textId="77777777">
        <w:trPr>
          <w:trHeight w:val="300"/>
        </w:trPr>
        <w:tc>
          <w:tcPr>
            <w:tcW w:w="4260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438AF55E" w14:textId="0065B069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4. Wijs Congestieverzachters aan voor een versnelde beroepsprocedure, inclusief beroep in één instantie, uitsluiting van pro forma</w:t>
            </w:r>
          </w:p>
          <w:p w:rsidR="34529BBB" w:rsidP="431B0F78" w:rsidRDefault="34529BBB" w14:paraId="47738CD2" w14:textId="7D45997D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beroep en een uitspraakverplichting binnen zes maanden.</w:t>
            </w:r>
          </w:p>
          <w:p w:rsidR="34529BBB" w:rsidP="431B0F78" w:rsidRDefault="34529BBB" w14:paraId="14E6DE33" w14:textId="535B15C3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496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206FD9CC" w:rsidRDefault="51A87D6E" w14:paraId="55514F2C" w14:textId="293A23E9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206FD9CC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Het kabinet heeft dit geregeld</w:t>
            </w:r>
            <w:r w:rsidRPr="206FD9CC" w:rsidR="2D3528B7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 in het besluit ‘procedurele versnellingen elektriciteitsprojecten’ dat op 1 oktober in werking treedt. Dit is ook te lezen in deze brief.  </w:t>
            </w:r>
          </w:p>
        </w:tc>
      </w:tr>
      <w:tr w:rsidR="34529BBB" w:rsidTr="206FD9CC" w14:paraId="75F30A7B" w14:textId="77777777">
        <w:trPr>
          <w:trHeight w:val="300"/>
        </w:trPr>
        <w:tc>
          <w:tcPr>
            <w:tcW w:w="4260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2ACEE536" w14:textId="54C5C29A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 xml:space="preserve">5. Creëer een bevoegdheid voor verkorte uitspraken bij beroepsprocedures over Congestieverzachters. </w:t>
            </w:r>
          </w:p>
          <w:p w:rsidR="34529BBB" w:rsidP="431B0F78" w:rsidRDefault="34529BBB" w14:paraId="69AB7E74" w14:textId="73DE0E9A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496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191AD6CA" w14:textId="6B9F4F0D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Het kabinet werkt aan ruimere mogelijkheden voor de bestuursrechter </w:t>
            </w:r>
            <w:r w:rsidRPr="431B0F78" w:rsidR="742E1EE3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zoals</w:t>
            </w:r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 het verkort motiveren van uitspraken. Dit licht ik in deze brief toe.</w:t>
            </w:r>
          </w:p>
        </w:tc>
      </w:tr>
      <w:tr w:rsidR="34529BBB" w:rsidTr="206FD9CC" w14:paraId="60C906CD" w14:textId="77777777">
        <w:trPr>
          <w:trHeight w:val="300"/>
        </w:trPr>
        <w:tc>
          <w:tcPr>
            <w:tcW w:w="4260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40EEF1AA" w14:textId="38A5B498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6. Geef de vergunninghouder de keuze voor rechtstreeks beroep, zonder instemming van het bestuursorgaan.</w:t>
            </w:r>
          </w:p>
        </w:tc>
        <w:tc>
          <w:tcPr>
            <w:tcW w:w="496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</w:tcPr>
          <w:p w:rsidR="34529BBB" w:rsidP="431B0F78" w:rsidRDefault="34529BBB" w14:paraId="7266114F" w14:textId="7038EB19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Het kabinet onderschrijft dat de bezwaarprocedure veel tijd vergt en onderzoekt mogelijkheden deze te versnellen. </w:t>
            </w:r>
          </w:p>
          <w:p w:rsidR="34529BBB" w:rsidP="431B0F78" w:rsidRDefault="34529BBB" w14:paraId="74E3339F" w14:textId="0CB23C1B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</w:p>
        </w:tc>
      </w:tr>
      <w:tr w:rsidR="34529BBB" w:rsidTr="00134413" w14:paraId="2EC0FB22" w14:textId="77777777">
        <w:trPr>
          <w:trHeight w:val="300"/>
        </w:trPr>
        <w:tc>
          <w:tcPr>
            <w:tcW w:w="4260" w:type="dxa"/>
            <w:tcBorders>
              <w:left w:val="single" w:color="auto" w:sz="6" w:space="0"/>
            </w:tcBorders>
            <w:shd w:val="clear" w:color="auto" w:fill="FFFFFF" w:themeFill="background1"/>
            <w:tcMar>
              <w:left w:w="90" w:type="dxa"/>
              <w:right w:w="90" w:type="dxa"/>
            </w:tcMar>
          </w:tcPr>
          <w:p w:rsidR="34529BBB" w:rsidP="431B0F78" w:rsidRDefault="34529BBB" w14:paraId="07B6D411" w14:textId="36A7035C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 xml:space="preserve">7. Richt een onafhankelijk nationaal monitoringssysteem in voor de voortgang van vergunningprocedures voor Congestieverzachters. </w:t>
            </w:r>
          </w:p>
          <w:p w:rsidR="34529BBB" w:rsidP="431B0F78" w:rsidRDefault="34529BBB" w14:paraId="0CDC2456" w14:textId="2E0400E2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4965" w:type="dxa"/>
            <w:tcBorders>
              <w:right w:val="single" w:color="auto" w:sz="6" w:space="0"/>
            </w:tcBorders>
            <w:shd w:val="clear" w:color="auto" w:fill="FFFFFF" w:themeFill="background1"/>
            <w:tcMar>
              <w:left w:w="90" w:type="dxa"/>
              <w:right w:w="90" w:type="dxa"/>
            </w:tcMar>
          </w:tcPr>
          <w:p w:rsidR="34529BBB" w:rsidP="431B0F78" w:rsidRDefault="34529BBB" w14:paraId="36E5C45B" w14:textId="59EE4406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Het kabinet erkent dat centraal en structureel zicht op de voortgang van vergunningsprocedures op decentraal niveau ontbreekt. Dit geldt ook voor energie-infrastructuurprojecten. Het inrichten van een dergelijk monitoringssysteem is moeilijk uitvoerbaar, gezien de versnippering van informatie over verschillende partijen en systemen.</w:t>
            </w:r>
          </w:p>
        </w:tc>
      </w:tr>
      <w:tr w:rsidR="34529BBB" w:rsidTr="00134413" w14:paraId="04BEEB3E" w14:textId="77777777">
        <w:trPr>
          <w:trHeight w:val="300"/>
        </w:trPr>
        <w:tc>
          <w:tcPr>
            <w:tcW w:w="4260" w:type="dxa"/>
            <w:tcBorders>
              <w:left w:val="single" w:color="auto" w:sz="6" w:space="0"/>
            </w:tcBorders>
            <w:shd w:val="clear" w:color="auto" w:fill="FFFFFF" w:themeFill="background1"/>
            <w:tcMar>
              <w:left w:w="90" w:type="dxa"/>
              <w:right w:w="90" w:type="dxa"/>
            </w:tcMar>
          </w:tcPr>
          <w:p w:rsidR="34529BBB" w:rsidP="431B0F78" w:rsidRDefault="34529BBB" w14:paraId="1BE8F912" w14:textId="5311B2CF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 xml:space="preserve">8. Zet Europese versnellingsinstrumenten proactief in en richt een nationaal digitaal vergunningsportaal tijdig in. </w:t>
            </w:r>
          </w:p>
          <w:p w:rsidR="34529BBB" w:rsidP="431B0F78" w:rsidRDefault="34529BBB" w14:paraId="45C25FEC" w14:textId="1E780076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4965" w:type="dxa"/>
            <w:tcBorders>
              <w:right w:val="single" w:color="auto" w:sz="6" w:space="0"/>
            </w:tcBorders>
            <w:shd w:val="clear" w:color="auto" w:fill="FFFFFF" w:themeFill="background1"/>
            <w:tcMar>
              <w:left w:w="90" w:type="dxa"/>
              <w:right w:w="90" w:type="dxa"/>
            </w:tcMar>
          </w:tcPr>
          <w:p w:rsidR="34529BBB" w:rsidP="206FD9CC" w:rsidRDefault="2D3528B7" w14:paraId="483FA076" w14:textId="110CBE96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206FD9CC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De stikstofuitzondering voor elektriciteits- en waterstofinfrastructuur </w:t>
            </w:r>
            <w:r w:rsidRPr="206FD9CC" w:rsidR="38C60080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uit het </w:t>
            </w:r>
            <w:proofErr w:type="spellStart"/>
            <w:r w:rsidRPr="206FD9CC" w:rsidR="38C60080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Grids</w:t>
            </w:r>
            <w:proofErr w:type="spellEnd"/>
            <w:r w:rsidRPr="206FD9CC" w:rsidR="38C60080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 Package implementeert het kabinet versneld</w:t>
            </w:r>
            <w:r w:rsidRPr="206FD9CC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. De instrumenten uit REDIII bieden weinig versnelling voor de Nederlandse context (</w:t>
            </w:r>
            <w:hyperlink r:id="rId6">
              <w:r w:rsidRPr="206FD9CC">
                <w:rPr>
                  <w:rStyle w:val="Hyperlink"/>
                  <w:rFonts w:ascii="Verdana" w:hAnsi="Verdana" w:eastAsia="Verdana" w:cs="Verdana"/>
                  <w:sz w:val="18"/>
                  <w:szCs w:val="18"/>
                </w:rPr>
                <w:t>Kamerbrief</w:t>
              </w:r>
            </w:hyperlink>
            <w:r w:rsidRPr="206FD9CC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 okt’ 2025). </w:t>
            </w:r>
          </w:p>
        </w:tc>
      </w:tr>
      <w:tr w:rsidR="34529BBB" w:rsidTr="00134413" w14:paraId="2CE58288" w14:textId="77777777">
        <w:trPr>
          <w:trHeight w:val="300"/>
        </w:trPr>
        <w:tc>
          <w:tcPr>
            <w:tcW w:w="4260" w:type="dxa"/>
            <w:tcBorders>
              <w:left w:val="single" w:color="auto" w:sz="6" w:space="0"/>
              <w:bottom w:val="single" w:color="auto" w:sz="6" w:space="0"/>
            </w:tcBorders>
            <w:shd w:val="clear" w:color="auto" w:fill="FFFFFF" w:themeFill="background1"/>
            <w:tcMar>
              <w:left w:w="90" w:type="dxa"/>
              <w:right w:w="90" w:type="dxa"/>
            </w:tcMar>
          </w:tcPr>
          <w:p w:rsidR="34529BBB" w:rsidP="431B0F78" w:rsidRDefault="34529BBB" w14:paraId="43462B6C" w14:textId="6D4BBA4F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9. Neem stimuleringsmaatregelen op voor bouwen ná vergunningverlening tijdens lopende procedures, en overweeg een regeling voor</w:t>
            </w:r>
            <w:r w:rsidRPr="431B0F78" w:rsidR="431A63BC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431B0F78">
              <w:rPr>
                <w:rFonts w:ascii="Verdana" w:hAnsi="Verdana" w:eastAsia="Verdana" w:cs="Verdana"/>
                <w:i/>
                <w:iCs/>
                <w:color w:val="000000" w:themeColor="text1"/>
                <w:sz w:val="18"/>
                <w:szCs w:val="18"/>
              </w:rPr>
              <w:t>bouwen vóór vergunningverlening voor specifieke energieprojecten (met adequate waarborgen).</w:t>
            </w:r>
          </w:p>
        </w:tc>
        <w:tc>
          <w:tcPr>
            <w:tcW w:w="4965" w:type="dxa"/>
            <w:tcBorders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>
              <w:left w:w="90" w:type="dxa"/>
              <w:right w:w="90" w:type="dxa"/>
            </w:tcMar>
          </w:tcPr>
          <w:p w:rsidR="34529BBB" w:rsidP="431B0F78" w:rsidRDefault="34529BBB" w14:paraId="350E0941" w14:textId="556A2CD2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Bouwen als vergunningen afgegeven zijn maar nog niet onherroepelijk zijn, is al mogelijk in Nederland. Dit brengt het risico mee van een </w:t>
            </w:r>
            <w:proofErr w:type="spellStart"/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ongedaanmakingsverplichting</w:t>
            </w:r>
            <w:proofErr w:type="spellEnd"/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>; er bestaan inmiddels verzekeringen die dit risico afdekken. Het kabinet onderzoekt wat een regeling voor</w:t>
            </w:r>
          </w:p>
          <w:p w:rsidR="34529BBB" w:rsidP="00E91208" w:rsidRDefault="34529BBB" w14:paraId="3B1CA017" w14:textId="24D8DFFE">
            <w:pPr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</w:pPr>
            <w:r w:rsidRPr="431B0F78">
              <w:rPr>
                <w:rFonts w:ascii="Verdana" w:hAnsi="Verdana" w:eastAsia="Verdana" w:cs="Verdana"/>
                <w:color w:val="000000" w:themeColor="text1"/>
                <w:sz w:val="18"/>
                <w:szCs w:val="18"/>
              </w:rPr>
              <w:t xml:space="preserve">bouwen vóór vergunningverlening zou kunnen inhouden. </w:t>
            </w:r>
          </w:p>
        </w:tc>
      </w:tr>
    </w:tbl>
    <w:p w:rsidR="004300C9" w:rsidRDefault="004300C9" w14:paraId="7B5CAEB5" w14:textId="32CC1116"/>
    <w:sectPr w:rsidR="004300C9">
      <w:pgSz w:w="11906" w:h="16838"/>
      <w:pgMar w:top="1440" w:right="1440" w:bottom="1440" w:left="1440" w:header="708" w:footer="708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C4527" w14:textId="77777777" w:rsidR="001C2218" w:rsidRDefault="001C2218" w:rsidP="006E23D9">
      <w:pPr>
        <w:spacing w:after="0" w:line="240" w:lineRule="auto"/>
      </w:pPr>
      <w:r>
        <w:separator/>
      </w:r>
    </w:p>
  </w:endnote>
  <w:endnote w:type="continuationSeparator" w:id="0">
    <w:p w14:paraId="7137ADD7" w14:textId="77777777" w:rsidR="001C2218" w:rsidRDefault="001C2218" w:rsidP="006E2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AD992" w14:textId="77777777" w:rsidR="001C2218" w:rsidRDefault="001C2218" w:rsidP="006E23D9">
      <w:pPr>
        <w:spacing w:after="0" w:line="240" w:lineRule="auto"/>
      </w:pPr>
      <w:r>
        <w:separator/>
      </w:r>
    </w:p>
  </w:footnote>
  <w:footnote w:type="continuationSeparator" w:id="0">
    <w:p w14:paraId="3DB4C3DB" w14:textId="77777777" w:rsidR="001C2218" w:rsidRDefault="001C2218" w:rsidP="006E23D9">
      <w:pPr>
        <w:spacing w:after="0" w:line="240" w:lineRule="auto"/>
      </w:pPr>
      <w:r>
        <w:continuationSeparator/>
      </w:r>
    </w:p>
  </w:footnote>
  <w:footnote w:id="1">
    <w:p w14:paraId="7276FF02" w14:textId="081C9B07" w:rsidR="34A0A50F" w:rsidRDefault="34A0A50F" w:rsidP="34A0A50F">
      <w:pPr>
        <w:pStyle w:val="Voetnoottekst"/>
      </w:pPr>
      <w:r w:rsidRPr="34A0A50F">
        <w:rPr>
          <w:rStyle w:val="Voetnootmarkering"/>
        </w:rPr>
        <w:footnoteRef/>
      </w:r>
      <w:r>
        <w:t xml:space="preserve"> </w:t>
      </w:r>
      <w:hyperlink r:id="rId1">
        <w:r w:rsidRPr="34A0A50F">
          <w:rPr>
            <w:rStyle w:val="Hyperlink"/>
          </w:rPr>
          <w:t>'Wie zwijgt, stemt toe': simpele wetswijziging kan netcongestie jaren sneller doorbreken - NVDE - Nederlandse Vereniging Duurzame Energie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A209D3"/>
    <w:rsid w:val="000723C5"/>
    <w:rsid w:val="00134413"/>
    <w:rsid w:val="001C2218"/>
    <w:rsid w:val="0024243E"/>
    <w:rsid w:val="002C492E"/>
    <w:rsid w:val="00300FC7"/>
    <w:rsid w:val="003950EE"/>
    <w:rsid w:val="003C3F14"/>
    <w:rsid w:val="004300C9"/>
    <w:rsid w:val="0049726D"/>
    <w:rsid w:val="004B28B7"/>
    <w:rsid w:val="004B543F"/>
    <w:rsid w:val="00546764"/>
    <w:rsid w:val="005B3257"/>
    <w:rsid w:val="006B105C"/>
    <w:rsid w:val="006E23D9"/>
    <w:rsid w:val="0071594D"/>
    <w:rsid w:val="00731572"/>
    <w:rsid w:val="0076492B"/>
    <w:rsid w:val="00886D57"/>
    <w:rsid w:val="008E0164"/>
    <w:rsid w:val="0093470C"/>
    <w:rsid w:val="00963988"/>
    <w:rsid w:val="00A32245"/>
    <w:rsid w:val="00AE7EF5"/>
    <w:rsid w:val="00B811EF"/>
    <w:rsid w:val="00C206D6"/>
    <w:rsid w:val="00CA23C6"/>
    <w:rsid w:val="00CC1661"/>
    <w:rsid w:val="00E23571"/>
    <w:rsid w:val="00E86C36"/>
    <w:rsid w:val="00E8751F"/>
    <w:rsid w:val="00E91208"/>
    <w:rsid w:val="00EB2E87"/>
    <w:rsid w:val="00ED15A5"/>
    <w:rsid w:val="00EE0AAA"/>
    <w:rsid w:val="00F72332"/>
    <w:rsid w:val="094E8E41"/>
    <w:rsid w:val="0A9A0D02"/>
    <w:rsid w:val="206FD9CC"/>
    <w:rsid w:val="21B9E74E"/>
    <w:rsid w:val="2971A8CA"/>
    <w:rsid w:val="2D3528B7"/>
    <w:rsid w:val="34529BBB"/>
    <w:rsid w:val="34A0A50F"/>
    <w:rsid w:val="35DCEB97"/>
    <w:rsid w:val="38C60080"/>
    <w:rsid w:val="3D455C4E"/>
    <w:rsid w:val="431A63BC"/>
    <w:rsid w:val="431B0F78"/>
    <w:rsid w:val="51A87D6E"/>
    <w:rsid w:val="67C0C4D6"/>
    <w:rsid w:val="71A209D3"/>
    <w:rsid w:val="742E1EE3"/>
    <w:rsid w:val="77D5B981"/>
    <w:rsid w:val="7FECC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43DB0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link w:val="VoettekstChar"/>
    <w:uiPriority w:val="99"/>
    <w:unhideWhenUsed/>
    <w:rsid w:val="006E2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E23D9"/>
  </w:style>
  <w:style w:type="character" w:styleId="Hyperlink">
    <w:name w:val="Hyperlink"/>
    <w:basedOn w:val="Standaardalinea-lettertype"/>
    <w:uiPriority w:val="99"/>
    <w:unhideWhenUsed/>
    <w:rsid w:val="34529BBB"/>
    <w:rPr>
      <w:color w:val="467886"/>
      <w:u w:val="single"/>
    </w:rPr>
  </w:style>
  <w:style w:type="table" w:styleId="Tabelraster">
    <w:name w:val="Table Grid"/>
    <w:basedOn w:val="Standaardtabe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Voetnoottekst">
    <w:name w:val="footnote text"/>
    <w:basedOn w:val="Standaard"/>
    <w:uiPriority w:val="99"/>
    <w:semiHidden/>
    <w:unhideWhenUsed/>
    <w:rsid w:val="34A0A50F"/>
    <w:pPr>
      <w:spacing w:after="0" w:line="240" w:lineRule="auto"/>
    </w:pPr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34A0A50F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2424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424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pen.overheid.nl/documenten/d0db9c28-af52-4ca9-92ee-20b2ceed9ffe/fil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nvde.nl/wie-zwijgt-stemt-toe-simpele-wetswijziging-kan-netcongestie-jaren-sneller-doorbrek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bde8109-f994-4a60-a1d3-5c95e2ff3620}" enabled="1" method="Privileged" siteId="{1321633e-f6b9-44e2-a44f-59b9d264ecb7}" contentBits="0" removed="0"/>
</clbl:labelList>
</file>

<file path=docProps/app.xml><?xml version="1.0" encoding="utf-8"?>
<ap:Properties xmlns:vt="http://schemas.openxmlformats.org/officeDocument/2006/docPropsVTypes" xmlns:ap="http://schemas.openxmlformats.org/officeDocument/2006/extended-properties">
  <ap:Pages>2</ap:Pages>
  <ap:Words>504</ap:Words>
  <ap:Characters>2777</ap:Characters>
  <ap:DocSecurity>0</ap:DocSecurity>
  <ap:Lines>23</ap:Lines>
  <ap:Paragraphs>6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/>
    </vt:vector>
  </ap:TitlesOfParts>
  <ap:LinksUpToDate>false</ap:LinksUpToDate>
  <ap:CharactersWithSpaces>3275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dcterms:created xsi:type="dcterms:W3CDTF">2026-09-11T11:24:00.0000000Z</dcterms:created>
  <dcterms:modified xsi:type="dcterms:W3CDTF">2026-09-11T11:25:00.0000000Z</dcterms:modified>
  <version/>
  <category/>
</coreProperties>
</file>