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2026Z18645</w:t>
        <w:br/>
      </w:r>
      <w:proofErr w:type="spellEnd"/>
    </w:p>
    <w:p>
      <w:pPr>
        <w:pStyle w:val="Normal"/>
        <w:rPr>
          <w:b w:val="1"/>
          <w:bCs w:val="1"/>
        </w:rPr>
      </w:pPr>
      <w:r w:rsidR="250AE766">
        <w:rPr>
          <w:b w:val="0"/>
          <w:bCs w:val="0"/>
        </w:rPr>
        <w:t>(ingezonden 11 september 2026)</w:t>
        <w:br/>
      </w:r>
    </w:p>
    <w:p>
      <w:r>
        <w:t xml:space="preserve">Vragen van de leden Van der Plas en Wiersma (beiden BBB) aan de minister van Landbouw, Visserij, Voedselzekerheid en Natuur en de staatssecretaris van Infrastructuur en Waterstaat over de onderbouwing van beekdalmaatregelen bij de Tungelroyse Beek</w:t>
      </w:r>
      <w:r>
        <w:br/>
      </w:r>
    </w:p>
    <w:p>
      <w:r>
        <w:t xml:space="preserve"> </w:t>
      </w:r>
      <w:r>
        <w:br/>
      </w:r>
    </w:p>
    <w:p>
      <w:pPr>
        <w:pStyle w:val="ListParagraph"/>
        <w:numPr>
          <w:ilvl w:val="0"/>
          <w:numId w:val="100518670"/>
        </w:numPr>
        <w:ind w:left="360"/>
      </w:pPr>
      <w:r>
        <w:t xml:space="preserve">Bent u bekend met de meetgegevens van Waterschap Limburg voor de Tungelroyse Beek en de Raam en de discrepantie daarmee met het Deltares-rapport Doorrekening van de effecten van maatregelen in brede bufferzones langs beekdalen voor Kader Richtlijn Water (KRW)-doelbereik nutriënten?</w:t>
      </w:r>
      <w:r>
        <w:br/>
      </w:r>
      <w:r>
        <w:t xml:space="preserve"> </w:t>
      </w:r>
      <w:r>
        <w:br/>
      </w:r>
    </w:p>
    <w:p>
      <w:pPr>
        <w:pStyle w:val="ListParagraph"/>
        <w:numPr>
          <w:ilvl w:val="0"/>
          <w:numId w:val="100518670"/>
        </w:numPr>
        <w:ind w:left="360"/>
      </w:pPr>
      <w:r>
        <w:t xml:space="preserve">Klopt het dat de Tungelroyse Beek behoort tot de 17 beken waarvoor in de verdiepingsbijlage bij de Kamerbrief een bufferzone van 250 meter wordt voorzien, op basis van het Deltares-scenario ‘250m extensief nat’, waarin voor deze waterlichamen een verbetering van de KRW-oordeelklasse voor stikstof wordt berekend (Kamerstuk 36800-XIV, nr. 87, verdiepingsbijlage Hoofdlijn 3)? Kunt u inzichtelijk maken welke meetgegevens, brongegevens en modelaannames specifiek voor de Tungelroyse Beek aan deze conclusie ten grondslag liggen?</w:t>
      </w:r>
      <w:r>
        <w:br/>
      </w:r>
      <w:r>
        <w:t xml:space="preserve"> </w:t>
      </w:r>
      <w:r>
        <w:br/>
      </w:r>
    </w:p>
    <w:p>
      <w:pPr>
        <w:pStyle w:val="ListParagraph"/>
        <w:numPr>
          <w:ilvl w:val="0"/>
          <w:numId w:val="100518670"/>
        </w:numPr>
        <w:ind w:left="360"/>
      </w:pPr>
      <w:r>
        <w:t xml:space="preserve">Klopt het dat waterlichamen waarvan meer dan 50 procent van de nutriëntenbelasting afkomstig is uit het buitenland, door Deltares juist buiten deze selectie zijn gehouden, omdat beekdalmaatregelen daar volgens het onderzoek minder dan 1 procent reductie van de nutriëntenconcentratie opleveren?</w:t>
      </w:r>
      <w:r>
        <w:br/>
      </w:r>
      <w:r>
        <w:t xml:space="preserve"> </w:t>
      </w:r>
      <w:r>
        <w:br/>
      </w:r>
    </w:p>
    <w:p>
      <w:pPr>
        <w:pStyle w:val="ListParagraph"/>
        <w:numPr>
          <w:ilvl w:val="0"/>
          <w:numId w:val="100518670"/>
        </w:numPr>
        <w:ind w:left="360"/>
      </w:pPr>
      <w:r>
        <w:t xml:space="preserve">Hoe verklaart u in dat licht dat uit de openbare meetgegevens van Waterschap Limburg blijkt dat de stikstofconcentratie in de Tungelroyse Beek vóór de samenkomst met de Raam zeer laag is, terwijl in de Raam bij de Belgische grens een aanzienlijk hogere concentratie wordt gemeten en de concentratie in de Tungelroyse Beek na de samenkomst sterk hoger ligt? Kunt u onderbouwen dat de buitenlandse bijdrage aan de nutriëntenbelasting van de Tungelroyse Beek daadwerkelijk minder dan 50 procent bedraagt?</w:t>
      </w:r>
      <w:r>
        <w:br/>
      </w:r>
      <w:r>
        <w:t xml:space="preserve"> </w:t>
      </w:r>
      <w:r>
        <w:br/>
      </w:r>
    </w:p>
    <w:p>
      <w:pPr>
        <w:pStyle w:val="ListParagraph"/>
        <w:numPr>
          <w:ilvl w:val="0"/>
          <w:numId w:val="100518670"/>
        </w:numPr>
        <w:ind w:left="360"/>
      </w:pPr>
      <w:r>
        <w:t xml:space="preserve">Kunt u de volledige onderliggende meetgegevens, bronverdeling en berekeningen per KRW-waterlichaam openbaar maken waarmee is bepaald welke waterlichamen voor meer dan 50 procent door buitenlandse aanvoer worden beïnvloed en welke waterlichamen tot de selectie voor beekdalmaatregelen behoren? Zo nee, waarom niet?</w:t>
      </w:r>
      <w:r>
        <w:br/>
      </w:r>
      <w:r>
        <w:t xml:space="preserve"> </w:t>
      </w:r>
      <w:r>
        <w:br/>
      </w:r>
    </w:p>
    <w:p>
      <w:pPr>
        <w:pStyle w:val="ListParagraph"/>
        <w:numPr>
          <w:ilvl w:val="0"/>
          <w:numId w:val="100518670"/>
        </w:numPr>
        <w:ind w:left="360"/>
      </w:pPr>
      <w:r>
        <w:t xml:space="preserve">Hoe is bij deze berekeningen rekening gehouden met buitenlandse nutriënten die via een bovenstrooms Nederlands KRW-waterlichaam, zoals de Raam, vervolgens een ander Nederlands KRW-waterlichaam instromen? Blijft deze belasting in de gebruikte bronnenanalyse ook stroomafwaarts als buitenlandse belasting herkenbaar?</w:t>
      </w:r>
      <w:r>
        <w:br/>
      </w:r>
      <w:r>
        <w:t xml:space="preserve"> </w:t>
      </w:r>
      <w:r>
        <w:br/>
      </w:r>
    </w:p>
    <w:p>
      <w:pPr>
        <w:pStyle w:val="ListParagraph"/>
        <w:numPr>
          <w:ilvl w:val="0"/>
          <w:numId w:val="100518670"/>
        </w:numPr>
        <w:ind w:left="360"/>
      </w:pPr>
      <w:r>
        <w:t xml:space="preserve">Indien uit een nadere analyse van de Tungelroyse Beek blijkt dat de buitenlandse bijdrage is onderschat of onjuist is toegerekend, welke gevolgen heeft dat dan voor de voorgenomen beekdalmaatregelen rond deze beek?</w:t>
      </w:r>
      <w:r>
        <w:br/>
      </w:r>
      <w:r>
        <w:t xml:space="preserve"> </w:t>
      </w:r>
      <w:r>
        <w:br/>
      </w:r>
    </w:p>
    <w:p>
      <w:pPr>
        <w:pStyle w:val="ListParagraph"/>
        <w:numPr>
          <w:ilvl w:val="0"/>
          <w:numId w:val="100518670"/>
        </w:numPr>
        <w:ind w:left="360"/>
      </w:pPr>
      <w:r>
        <w:t xml:space="preserve">Hoe kan worden uitgesloten dat een eventuele onjuiste bronverdeling bij de Tungelroyse Beek ook bij andere waterlichamen is opgetreden? Bent u bereid de bronverdeling en selectie van alle 111 betrokken waterlichamen te laten verifiëren voordat op basis van deze modelberekeningen ruimtelijke beperkingen aan agrarische bedrijven worden opgelegd?</w:t>
      </w:r>
      <w:r>
        <w:br/>
      </w:r>
      <w:r>
        <w:t xml:space="preserve"> </w:t>
      </w:r>
      <w:r>
        <w:br/>
      </w:r>
    </w:p>
    <w:p>
      <w:pPr>
        <w:pStyle w:val="ListParagraph"/>
        <w:numPr>
          <w:ilvl w:val="0"/>
          <w:numId w:val="100518670"/>
        </w:numPr>
        <w:ind w:left="360"/>
      </w:pPr>
      <w:r>
        <w:t xml:space="preserve">Kunt u daarbij ook verifiëren of de bijdrage van rioolwaterzuiveringsinstallaties aan de nutriëntenbelasting van de betrokken waterlichamen correct en volledig is toegerekend? Hoe kan worden uitgesloten dat ook bij de berekening van deze belasting fouten of onjuiste toerekeningen zijn gemaakt, waardoor de bijdrage vanuit de landbouw te hoog is ingeschat?</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