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document.xml" ContentType="application/vnd.openxmlformats-officedocument.wordprocessingml.document.main+xml"/>
  <Override PartName="/word/fontTable.xml" ContentType="application/vnd.openxmlformats-officedocument.wordprocessingml.fontTable+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rPr>
          <w:b w:val="1"/>
          <w:bCs w:val="1"/>
        </w:rPr>
      </w:pPr>
      <w:bookmarkStart w:name="_GoBack" w:id="0"/>
      <w:bookmarkEnd w:id="0"/>
      <w:proofErr w:type="spellStart"/>
      <w:r w:rsidRPr="250AE766" w:rsidR="250AE766">
        <w:rPr>
          <w:b w:val="1"/>
          <w:bCs w:val="1"/>
        </w:rPr>
        <w:t>2026Z18644</w:t>
        <w:br/>
      </w:r>
      <w:proofErr w:type="spellEnd"/>
    </w:p>
    <w:p>
      <w:pPr>
        <w:pStyle w:val="Normal"/>
        <w:rPr>
          <w:b w:val="1"/>
          <w:bCs w:val="1"/>
        </w:rPr>
      </w:pPr>
      <w:r w:rsidR="250AE766">
        <w:rPr>
          <w:b w:val="0"/>
          <w:bCs w:val="0"/>
        </w:rPr>
        <w:t>(ingezonden 11 september 2026)</w:t>
        <w:br/>
      </w:r>
    </w:p>
    <w:p>
      <w:r>
        <w:t xml:space="preserve">Vragen van het lid Van Brenk (50PLUS) aan de minister van Sociale Zaken en Werkgelegenheid over de brief aan de Tweede Kamer m.b.t. analyses van additionele koopkrachtinstrumenten (Kamerstuk 32043, nr. 710)</w:t>
      </w:r>
      <w:r>
        <w:br/>
      </w:r>
    </w:p>
    <w:p>
      <w:r>
        <w:t xml:space="preserve"> </w:t>
      </w:r>
      <w:r>
        <w:br/>
      </w:r>
    </w:p>
    <w:p>
      <w:r>
        <w:t xml:space="preserve"> </w:t>
      </w:r>
      <w:r>
        <w:br/>
      </w:r>
    </w:p>
    <w:p>
      <w:pPr>
        <w:pStyle w:val="ListParagraph"/>
        <w:numPr>
          <w:ilvl w:val="0"/>
          <w:numId w:val="100518660"/>
        </w:numPr>
        <w:ind w:left="360"/>
      </w:pPr>
      <w:r>
        <w:t xml:space="preserve">Kunt u aangeven hoe de eerste twee doelstellingen die worden genoemd in het begin van de brief(1), de laatste doelstelling kunnen versterken en welke afruilen er tussen de eerste twee doelstellingen en de laatste kunnen plaatsvinden?</w:t>
      </w:r>
      <w:r>
        <w:br/>
      </w:r>
    </w:p>
    <w:p>
      <w:pPr>
        <w:pStyle w:val="ListParagraph"/>
        <w:numPr>
          <w:ilvl w:val="0"/>
          <w:numId w:val="100518660"/>
        </w:numPr>
        <w:ind w:left="360"/>
      </w:pPr>
      <w:r>
        <w:t xml:space="preserve">Kunt u bevestigen dat het feit dat ‘de varianten in overleg met experts zijn vastgesteld’ ook betekent dat deze experts de uitgangspunten en de conclusies hebben geaccordeerd?</w:t>
      </w:r>
      <w:r>
        <w:br/>
      </w:r>
    </w:p>
    <w:p>
      <w:pPr>
        <w:pStyle w:val="ListParagraph"/>
        <w:numPr>
          <w:ilvl w:val="0"/>
          <w:numId w:val="100518660"/>
        </w:numPr>
        <w:ind w:left="360"/>
      </w:pPr>
      <w:r>
        <w:t xml:space="preserve">Klopt het dat op pagina twee wordt geschreven over zeven randvoorwaarden, waarbij de vierde randvoorwaarde de koopkracht van de deelnemers betreft? Wordt met de deelnemers hier (ook) gepensioneerden bedoeld? Is de vierde randvoorwaarde niet de primaire doelstelling van het onderzoek, in plaats van één van de randvoorwaarden?</w:t>
      </w:r>
      <w:r>
        <w:br/>
      </w:r>
    </w:p>
    <w:p>
      <w:pPr>
        <w:pStyle w:val="ListParagraph"/>
        <w:numPr>
          <w:ilvl w:val="0"/>
          <w:numId w:val="100518660"/>
        </w:numPr>
        <w:ind w:left="360"/>
      </w:pPr>
      <w:r>
        <w:t xml:space="preserve">Het klopt toch dat in de resultatenanalyse op pagina twee staat dat de basisvariant reeds meer perspectief biedt op een koopkrachtig pensioen dan het oude stelsel? Is deze conclusie ook onderbouwd? Indien ja, hoe?</w:t>
      </w:r>
      <w:r>
        <w:br/>
      </w:r>
    </w:p>
    <w:p>
      <w:pPr>
        <w:pStyle w:val="ListParagraph"/>
        <w:numPr>
          <w:ilvl w:val="0"/>
          <w:numId w:val="100518660"/>
        </w:numPr>
        <w:ind w:left="360"/>
      </w:pPr>
      <w:r>
        <w:t xml:space="preserve">Wat is volgens u precies het verschil tussen ‘meer perspectief’ en ‘eerder perspectief’, zoals in het pensioenakkoord en de memorie van toelichting op de Wet toekomst pensioenen (Wtp) gehanteerd wordt? En waarom wordt dit resultaat überhaupt vermeld, want het doel van het onderzoek was toch het verbeteren van de koopkracht in het nieuwe stelsel (meer perspectief), niet per se eerder ten opzichte van het oude stelsel (eerder perspectief)?</w:t>
      </w:r>
      <w:r>
        <w:br/>
      </w:r>
    </w:p>
    <w:p>
      <w:pPr>
        <w:pStyle w:val="ListParagraph"/>
        <w:numPr>
          <w:ilvl w:val="0"/>
          <w:numId w:val="100518660"/>
        </w:numPr>
        <w:ind w:left="360"/>
      </w:pPr>
      <w:r>
        <w:t xml:space="preserve">Op grond van welke criteria is geconcludeerd dat er geen eenduidige voorkeur kan worden uitgesproken voor één van de vier varianten?</w:t>
      </w:r>
      <w:r>
        <w:br/>
      </w:r>
    </w:p>
    <w:p>
      <w:pPr>
        <w:pStyle w:val="ListParagraph"/>
        <w:numPr>
          <w:ilvl w:val="0"/>
          <w:numId w:val="100518660"/>
        </w:numPr>
        <w:ind w:left="360"/>
      </w:pPr>
      <w:r>
        <w:t xml:space="preserve">Aangezien er wordt geschreven dat ‘een grotere ex ante herverdeling met andere generaties het risico heeft van hernieuwde generatie discussies’, kan dus geconcludeerd worden dat u de mate van ex ante herverdeling bij de basisvariant maximaal passend vindt?</w:t>
      </w:r>
      <w:r>
        <w:br/>
      </w:r>
    </w:p>
    <w:p>
      <w:pPr>
        <w:pStyle w:val="ListParagraph"/>
        <w:numPr>
          <w:ilvl w:val="0"/>
          <w:numId w:val="100518660"/>
        </w:numPr>
        <w:ind w:left="360"/>
      </w:pPr>
      <w:r>
        <w:t xml:space="preserve">Kan meer ex ante herverdeling ook wenselijk zijn, als daar iets anders tegenover staat? Bijvoorbeeld het afstaan van rendement voor meer reële zekerheid?</w:t>
      </w:r>
      <w:r>
        <w:br/>
      </w:r>
    </w:p>
    <w:p>
      <w:pPr>
        <w:pStyle w:val="ListParagraph"/>
        <w:numPr>
          <w:ilvl w:val="0"/>
          <w:numId w:val="100518660"/>
        </w:numPr>
        <w:ind w:left="360"/>
      </w:pPr>
      <w:r>
        <w:t xml:space="preserve">Het klopt toch dat in een van de varianten het spreiden van resultaten via een spreidingsreserve niet meer nodig is en zelfs ongewenst is? Ziet u het kunnen laten vervallen van de spreidingsreserve ook als een voordeel voor de uitlegbaarheid en uitvoerbaarheid?</w:t>
      </w:r>
      <w:r>
        <w:br/>
      </w:r>
    </w:p>
    <w:p>
      <w:pPr>
        <w:pStyle w:val="ListParagraph"/>
        <w:numPr>
          <w:ilvl w:val="0"/>
          <w:numId w:val="100518660"/>
        </w:numPr>
        <w:ind w:left="360"/>
      </w:pPr>
      <w:r>
        <w:t xml:space="preserve">Het klopt toch dat uw voorganger in het debat van 21 november 2024 heeft gezegd dat hij met het nieuwe stelsel de koopkracht van ouderen op langere termijn daadwerkelijk wil veiligstellen en dat we iets bedacht hebben wat mensen koopkracht en zekerheid moet bieden voor de toekomst? Het klopt toch ook dat op pagina drie van de Kamerbrief staat dat het voor de hand ligt dat de pensioensector het initiatief neemt? Is het dan niet vreemd dat u, die stelselverantwoordelijk is, de regie en het initiatief uit handen geeft en niet zelf de verantwoordelijkheid neemt voor de verdere uitwerking? En geldt dat niet des te meer als die andere partij de komende jaren geen tijd heeft voor extra werkzaamheden en bovendien geen plan van aanpak, stappenplan en tijdslijn met u heeft afgestemd?</w:t>
      </w:r>
      <w:r>
        <w:br/>
      </w:r>
    </w:p>
    <w:p>
      <w:pPr>
        <w:pStyle w:val="ListParagraph"/>
        <w:numPr>
          <w:ilvl w:val="0"/>
          <w:numId w:val="100518660"/>
        </w:numPr>
        <w:ind w:left="360"/>
      </w:pPr>
      <w:r>
        <w:t xml:space="preserve">Het klopt toch ook dat vervolgens wordt gesteld dat ‘de Pensioenfederatie hierbij het initiatief neemt’? Waarom is hierbij gekozen voor de Pensioenfederatie? De Pensioenfederatie is toch immers geen uitvoerder?</w:t>
      </w:r>
      <w:r>
        <w:br/>
      </w:r>
    </w:p>
    <w:p>
      <w:pPr>
        <w:pStyle w:val="ListParagraph"/>
        <w:numPr>
          <w:ilvl w:val="0"/>
          <w:numId w:val="100518660"/>
        </w:numPr>
        <w:ind w:left="360"/>
      </w:pPr>
      <w:r>
        <w:t xml:space="preserve">In de Kamerbrief staat toch correct dat de uiteindelijke resultaten en aanbevelingen worden meegenomen in de evaluatie van de Wtp? Wordt dan de evaluatie bedoeld, die gepland staat voor 2032? Betekent dit dat een eerste voorstel voor wetswijzigingen waarschijnlijk tot 2034 op zich zal laten wachten? Kunt u concreet aangeven welke planning u in gedachten heeft?</w:t>
      </w:r>
      <w:r>
        <w:br/>
      </w:r>
    </w:p>
    <w:p>
      <w:pPr>
        <w:pStyle w:val="ListParagraph"/>
        <w:numPr>
          <w:ilvl w:val="0"/>
          <w:numId w:val="100518660"/>
        </w:numPr>
        <w:ind w:left="360"/>
      </w:pPr>
      <w:r>
        <w:t xml:space="preserve">Bent u bereid om de belangrijkste koopkrachtvarianten nu samen met de groep van experts en betrokken partijen (o.a. Pensioenfederatie, Verbond van Verzekeraars en SZW), verder te analyseren en in de vorm van concrete voorstellen uit te werken in wetswijzigingen, zodat direct nadat het laatste fonds is ingevaren in 2028, er voldoende wettelijke mogelijkheden liggen om koopkrachtbehoud te realiseren? Deelt u onze visie, dat dit zorgt voor tijdige duidelijkheid voor sociale partners en dat het verdere vertraging voorkomt?</w:t>
      </w:r>
      <w:r>
        <w:br/>
      </w:r>
    </w:p>
    <w:p>
      <w:pPr>
        <w:pStyle w:val="ListParagraph"/>
        <w:numPr>
          <w:ilvl w:val="0"/>
          <w:numId w:val="100518660"/>
        </w:numPr>
        <w:ind w:left="360"/>
      </w:pPr>
      <w:r>
        <w:t xml:space="preserve">Het klopt toch dat in de brief wordt gesteld dat het nog een open vraag is hoe de communicatie kan plaatsvinden aan actieve deelnemers zonder de indruk te wekken dat er sprake is van een reële doelstelling? Bedoelt u hier een reële doelstelling of een reële garantie?</w:t>
      </w:r>
      <w:r>
        <w:br/>
      </w:r>
    </w:p>
    <w:p>
      <w:pPr>
        <w:pStyle w:val="ListParagraph"/>
        <w:numPr>
          <w:ilvl w:val="0"/>
          <w:numId w:val="100518660"/>
        </w:numPr>
        <w:ind w:left="360"/>
      </w:pPr>
      <w:r>
        <w:t xml:space="preserve">Het pensioenakkoord en de Wtp hadden toch een reële doelstelling, te weten eerder perspectief op een koopkrachtig pensioen? Kunt u aangeven wat er mis is met een reële doelstelling in de uitkeringsfase voor pensioenfondsen?</w:t>
      </w:r>
      <w:r>
        <w:br/>
      </w:r>
    </w:p>
    <w:p>
      <w:pPr>
        <w:pStyle w:val="ListParagraph"/>
        <w:numPr>
          <w:ilvl w:val="0"/>
          <w:numId w:val="100518660"/>
        </w:numPr>
        <w:ind w:left="360"/>
      </w:pPr>
      <w:r>
        <w:t xml:space="preserve">Is de huidige pensioendoelstelling voor actieven (de vervangingsratio) niet ook een reële doelstelling?</w:t>
      </w:r>
      <w:r>
        <w:br/>
      </w:r>
    </w:p>
    <w:p>
      <w:pPr>
        <w:pStyle w:val="ListParagraph"/>
        <w:numPr>
          <w:ilvl w:val="0"/>
          <w:numId w:val="100518660"/>
        </w:numPr>
        <w:ind w:left="360"/>
      </w:pPr>
      <w:r>
        <w:t xml:space="preserve">Ziet u ook het belang van koopkrachtbehoud voor andere pensioenonderwerpen? En dan specifiek voor: De verdeling van de bestuurszetels en het afleggen van verantwoording over het behaalde resultaat door het bestuur aan deelnemers en gepensioneerden?</w:t>
      </w:r>
      <w:r>
        <w:br/>
      </w:r>
    </w:p>
    <w:p>
      <w:pPr>
        <w:pStyle w:val="ListParagraph"/>
        <w:numPr>
          <w:ilvl w:val="0"/>
          <w:numId w:val="100518660"/>
        </w:numPr>
        <w:ind w:left="360"/>
      </w:pPr>
      <w:r>
        <w:t xml:space="preserve">Het klopt toch dat in hoofdstuk twee van de bijlage 'Analyses effecten koopkrachtvarianten' (2) staat: </w:t>
      </w:r>
      <w:r>
        <w:rPr>
          <w:i w:val="1"/>
          <w:iCs w:val="1"/>
        </w:rPr>
        <w:t xml:space="preserve">“Zo wordt van de afslag op het projectierendement weinig gebruik gemaakt omdat dit gepaard gaat met een lagere startuitkering.”?</w:t>
      </w:r>
      <w:r>
        <w:rPr/>
        <w:t xml:space="preserve"> Als dit niet of nauwelijks gebruikt wordt, waarom wordt dit koopkrachtinstrument dan wel gebruikt als uniek verschil voor de tweede basisvariant?</w:t>
      </w:r>
      <w:r>
        <w:br/>
      </w:r>
    </w:p>
    <w:p>
      <w:pPr>
        <w:pStyle w:val="ListParagraph"/>
        <w:numPr>
          <w:ilvl w:val="0"/>
          <w:numId w:val="100518660"/>
        </w:numPr>
        <w:ind w:left="360"/>
      </w:pPr>
      <w:r>
        <w:t xml:space="preserve">Het is toch juist dat de meeste transitieplannen op het moment van schrijven al bekend waren en in al deze plannen een bescherming van de nominale uitkering is opgenomen? Hoe moeten wij dat beschouwen in relatie tot de opmerking dat: </w:t>
      </w:r>
      <w:r>
        <w:rPr>
          <w:i w:val="1"/>
          <w:iCs w:val="1"/>
        </w:rPr>
        <w:t xml:space="preserve">“De mogelijkheden binnen het huidige wettelijk kader zal in de praktijk door pensioenfondsen nader worden ingevuld, elk op hun eigen manier. Hoe deze invulling zal zijn zal duidelijk worden na de transitieperiode. Dit betekent dat in een vervolgstap nader zou moeten worden gekeken naar de invulling van het wettelijk kader zoals deze in de praktijk plaatsvindt. Zo is in de basisvarianten nu geen bescherming voor de nominale uitkering meegenomen”. </w:t>
      </w:r>
      <w:r>
        <w:rPr/>
        <w:t xml:space="preserve">Waarom is hiervoor gekozen?</w:t>
      </w:r>
      <w:r>
        <w:br/>
      </w:r>
    </w:p>
    <w:p>
      <w:pPr>
        <w:pStyle w:val="ListParagraph"/>
        <w:numPr>
          <w:ilvl w:val="0"/>
          <w:numId w:val="100518660"/>
        </w:numPr>
        <w:ind w:left="360"/>
      </w:pPr>
      <w:r>
        <w:t xml:space="preserve">Het klopt toch dat in hoofdstuk drie van de bijlage staat dat</w:t>
      </w:r>
      <w:r>
        <w:rPr>
          <w:i w:val="1"/>
          <w:iCs w:val="1"/>
        </w:rPr>
        <w:t xml:space="preserve"> “De eerste jaren is dit effect nog niet zo stabiel wegens de transitie en dat het model zich nog niet in een evenwichtstoestand bevindt.”?</w:t>
      </w:r>
      <w:r>
        <w:rPr/>
        <w:t xml:space="preserve"> Het klopt toch eveneens dat in het rapport van DNB  op pagina vijf staat “dat het koopkrachtverlies bepaald wordt in het 20ste jaar, omdat de simulaties van de vermogensverdeling dan enigszins gestabiliseerd zijn”? Is dit een modelmatig probleem of kunnen we dit in de praktijk ook verwachten? Klopt het dat dit probleem vooral wordt veroorzaakt door de spreidingsreserve? Betekent dit dat dit rapport niet geschikt is om de varianten die gebruik maken van spreiding te beoordelen voor de eerstkomende twintig jaar? Graag een toelichting op dit punt.</w:t>
      </w:r>
      <w:r>
        <w:br/>
      </w:r>
    </w:p>
    <w:p>
      <w:pPr>
        <w:pStyle w:val="ListParagraph"/>
        <w:numPr>
          <w:ilvl w:val="0"/>
          <w:numId w:val="100518660"/>
        </w:numPr>
        <w:ind w:left="360"/>
      </w:pPr>
      <w:r>
        <w:t xml:space="preserve">Op welke manier komt het volgende punt uit hoofdstuk vier van de bijlage 'Analyses effecten koopkrachtvarianten', terug in de verdere beoordeling? “Herverdeling hoeft niet per definitie slecht te zijn en is afhankelijk van de redenen voor herverdeling en de uitlegbaarheid hiervan vooraf.”</w:t>
      </w:r>
      <w:r>
        <w:br/>
      </w:r>
    </w:p>
    <w:p>
      <w:pPr>
        <w:pStyle w:val="ListParagraph"/>
        <w:numPr>
          <w:ilvl w:val="0"/>
          <w:numId w:val="100518660"/>
        </w:numPr>
        <w:ind w:left="360"/>
      </w:pPr>
      <w:r>
        <w:t xml:space="preserve">In de beschrijving van de basisvariant van hoofdstuk drie staat toch dat: “In de collectieve uitkeringsfase schokken dakpansgewijs binnen vijf jaar worden verwerkt.”? Waarom is hier niet conform de praktijk gekozen voor asymptotische spreiding?</w:t>
      </w:r>
      <w:r>
        <w:br/>
      </w:r>
    </w:p>
    <w:p>
      <w:pPr>
        <w:pStyle w:val="ListParagraph"/>
        <w:numPr>
          <w:ilvl w:val="0"/>
          <w:numId w:val="100518660"/>
        </w:numPr>
        <w:ind w:left="360"/>
      </w:pPr>
      <w:r>
        <w:t xml:space="preserve">In de beschrijving van de basisvariant met vaste afslag in hoofdstuk drie staat toch dat: “In de praktijk lijkt de vaste afslag nog weinig gebruikt te worden omdat in de afweging tussen lage startuitkering en koopkracht veel deelnemers een hogere startuitkering meer waarderen.”? Is er bewijs voor deze stelling? Of ligt de oorzaak misschien meer in het feit dat bij een afslag van 2% om dezelfde pensioendoelstelling (vervangingsratio) te halen de premie met ongeveer 40% omhoog moet?</w:t>
      </w:r>
      <w:r>
        <w:br/>
      </w:r>
    </w:p>
    <w:p>
      <w:pPr>
        <w:pStyle w:val="ListParagraph"/>
        <w:numPr>
          <w:ilvl w:val="0"/>
          <w:numId w:val="100518660"/>
        </w:numPr>
        <w:ind w:left="360"/>
      </w:pPr>
      <w:r>
        <w:t xml:space="preserve">In hoofdstuk 3.1 staat bij uitvoerbaarheid toch geschreven dat:</w:t>
      </w:r>
      <w:r>
        <w:rPr>
          <w:i w:val="1"/>
          <w:iCs w:val="1"/>
        </w:rPr>
        <w:t xml:space="preserve"> “Aanspraken worden niet gewijzigd, maar uitkeringen wel omdat deze voor gepensioneerden afhankelijk worden van de reële rentetermijnstructuur"?</w:t>
      </w:r>
      <w:r>
        <w:rPr/>
        <w:t xml:space="preserve"> Wordt hier met ‘aanspraken’ de ‘pensioenvermogens’ bedoeld? Betekent dit dat invoering van dit systeem na de transitie leidt tot verlaging van de pensioenuitkeringen met percentages oplopend tot ongeveer 40%?</w:t>
      </w:r>
      <w:r>
        <w:br/>
      </w:r>
    </w:p>
    <w:p>
      <w:pPr>
        <w:pStyle w:val="ListParagraph"/>
        <w:numPr>
          <w:ilvl w:val="0"/>
          <w:numId w:val="100518660"/>
        </w:numPr>
        <w:ind w:left="360"/>
      </w:pPr>
      <w:r>
        <w:t xml:space="preserve">Bij variant vijf staat toch in de omschrijving: “In deze variant wordt het beleggingsrisico zo gekozen dat in een mediaan scenario het beleggingsrisico gelijk is aan de verwachte inflatie”? Moet dat niet zijn: “In deze variant wordt de beleggingsmix zo gekozen dat in een mediaan scenario het verwachte overrendement iets groter is dan de verwachte inflatie”?</w:t>
      </w:r>
      <w:r>
        <w:br/>
      </w:r>
    </w:p>
    <w:p>
      <w:pPr>
        <w:pStyle w:val="ListParagraph"/>
        <w:numPr>
          <w:ilvl w:val="0"/>
          <w:numId w:val="100518660"/>
        </w:numPr>
        <w:ind w:left="360"/>
      </w:pPr>
      <w:r>
        <w:t xml:space="preserve">Kan aangegeven worden wat de grens is tussen “fors” en “niet fors” bij de analyse van variant vijf “Dit gaat gepaard met een forse ex-ante herverdeling van gepensioneerden naar actieven in vergelijking tot de basisvariant.”? Deze herverdeling van oud naar jong is de beloning die oud geeft voor de reële stabiliteit die ze krijgt. Het betreft dus een onderbouwde herverdeling. Waarom neemt u dit punt helemaal niet mee in uw analyse?</w:t>
      </w:r>
      <w:r>
        <w:br/>
      </w:r>
    </w:p>
    <w:p>
      <w:pPr>
        <w:pStyle w:val="ListParagraph"/>
        <w:numPr>
          <w:ilvl w:val="0"/>
          <w:numId w:val="100518660"/>
        </w:numPr>
        <w:ind w:left="360"/>
      </w:pPr>
      <w:r>
        <w:t xml:space="preserve">Bij variant vijf staat toch dat </w:t>
      </w:r>
      <w:r>
        <w:rPr>
          <w:i w:val="1"/>
          <w:iCs w:val="1"/>
        </w:rPr>
        <w:t xml:space="preserve">“Deze ex-ante herverdeling wordt verklaard door zowel de initiële vulling van de solidariteitsreserve (waar gepensioneerden in deze variant fors aan bijdragen) en dat de vulregels voor de solidariteitsreserve door gepensioneerden niet opwegen tegen de geboden inflatiebescherming”?</w:t>
      </w:r>
      <w:r>
        <w:rPr/>
        <w:t xml:space="preserve"> De initiële vulling van de solidariteitsreserve is echter toch gelijk aan die van de basisvariant? Dit stuk van de conclusie zou toch moeten worden aangepast?</w:t>
      </w:r>
      <w:r>
        <w:br/>
      </w:r>
    </w:p>
    <w:p>
      <w:pPr>
        <w:pStyle w:val="ListParagraph"/>
        <w:numPr>
          <w:ilvl w:val="0"/>
          <w:numId w:val="100518660"/>
        </w:numPr>
        <w:ind w:left="360"/>
      </w:pPr>
      <w:r>
        <w:t xml:space="preserve">Het klopt toch dat wordt geconcludeerd dat de vulregels voor de solidariteitsreserve door gepensioneerden niet opwegen tegen de geboden inflatiebescherming? Dit is toch een vreemde conclusie? De gepensioneerden geven toch immers een vergoeding voor een aanzienlijk betere inflatiebescherming? Deze conclusie zou toch alleen getrokken kunnen worden indien aangetoond wordt dat deze vergoeding méér dan marktconform is? Dat wordt toch nergens onderzocht of aangetoond? Kunt u deze conclusie aanpassen?</w:t>
      </w:r>
      <w:r>
        <w:br/>
      </w:r>
    </w:p>
    <w:p>
      <w:pPr>
        <w:pStyle w:val="ListParagraph"/>
        <w:numPr>
          <w:ilvl w:val="0"/>
          <w:numId w:val="100518660"/>
        </w:numPr>
        <w:ind w:left="360"/>
      </w:pPr>
      <w:r>
        <w:t xml:space="preserve">Het klopt toch dat de volatiliteit van variant vijf het grootste is, maar dat gaat wel samen met een beter resultaat in het pessimistisch scenario en een aanzienlijk veel beter resultaat in het mediane scenario?</w:t>
      </w:r>
      <w:r>
        <w:br/>
      </w:r>
    </w:p>
    <w:p>
      <w:pPr>
        <w:pStyle w:val="ListParagraph"/>
        <w:numPr>
          <w:ilvl w:val="0"/>
          <w:numId w:val="100518660"/>
        </w:numPr>
        <w:ind w:left="360"/>
      </w:pPr>
      <w:r>
        <w:t xml:space="preserve">Deelt u de conclusie dat er niet veel koopkracht winst is te behalen in een pessimistisch scenario zonder ongewenste herverdeling? Deelt u de conclusie dat dit in de mediaan wel mogelijk en ook noodzakelijk is? Bent u het er mee eens dat de grotere volatiliteit hier geen nadeel is, maar een groot voordeel in lijn met de doelstelling van het onderzoek? Indien nee, waarom niet?</w:t>
      </w:r>
      <w:r>
        <w:br/>
      </w:r>
    </w:p>
    <w:p>
      <w:pPr>
        <w:pStyle w:val="ListParagraph"/>
        <w:numPr>
          <w:ilvl w:val="0"/>
          <w:numId w:val="100518660"/>
        </w:numPr>
        <w:ind w:left="360"/>
      </w:pPr>
      <w:r>
        <w:t xml:space="preserve">Bij variant vijf krijgen jongere deelnemers toch een beloning die naar verwachting groter is dan hun nadeel en ze profiteren later, net als gepensioneerden, ook van een koopkrachtiger en stabieler pensioen? Waarom zou deze variant dan niet eenvoudig uitlegbaar zijn aan jongeren?</w:t>
      </w:r>
      <w:r>
        <w:br/>
      </w:r>
    </w:p>
    <w:p>
      <w:pPr>
        <w:pStyle w:val="ListParagraph"/>
        <w:numPr>
          <w:ilvl w:val="0"/>
          <w:numId w:val="100518660"/>
        </w:numPr>
        <w:ind w:left="360"/>
      </w:pPr>
      <w:r>
        <w:t xml:space="preserve">40-jarige deelnemers krijgen toch volgens de tabel op pagina 31 van het rapport van DNB, zowel in de mediaan als in het pessimistisch scenario een hoger pensioen? Waarom zou dit lastig uitlegbaar zijn?</w:t>
      </w:r>
      <w:r>
        <w:br/>
      </w:r>
    </w:p>
    <w:p>
      <w:pPr>
        <w:pStyle w:val="ListParagraph"/>
        <w:numPr>
          <w:ilvl w:val="0"/>
          <w:numId w:val="100518660"/>
        </w:numPr>
        <w:ind w:left="360"/>
      </w:pPr>
      <w:r>
        <w:t xml:space="preserve">Het klopt toch dat bij de rechtvaardiging staat dat:</w:t>
      </w:r>
      <w:r>
        <w:rPr>
          <w:i w:val="1"/>
          <w:iCs w:val="1"/>
        </w:rPr>
        <w:t xml:space="preserve"> “Deze variant is complex met veel geldstromen van en naar de reserve”?</w:t>
      </w:r>
      <w:r>
        <w:rPr/>
        <w:t xml:space="preserve"> Maar er zijn toch helemaal niet meer of minder geldstromen naar de solidariteitsreserve en er zijn geen geldstromen naar de spreidingsreserve? Dan zijn er toch per saldo minder geldstromen en deze variant is daarom toch ook minder complex? Kunt u uw conclusie op dit punt aanpassen?</w:t>
      </w:r>
      <w:r>
        <w:br/>
      </w:r>
    </w:p>
    <w:p>
      <w:pPr>
        <w:pStyle w:val="ListParagraph"/>
        <w:numPr>
          <w:ilvl w:val="0"/>
          <w:numId w:val="100518660"/>
        </w:numPr>
        <w:ind w:left="360"/>
      </w:pPr>
      <w:r>
        <w:t xml:space="preserve">Het klopt toch dat bij de rechtvaardiging van variant vijf staat: </w:t>
      </w:r>
      <w:r>
        <w:rPr>
          <w:i w:val="1"/>
          <w:iCs w:val="1"/>
        </w:rPr>
        <w:t xml:space="preserve">“Daarmee moet nader worden bekeken of de variant nog in lijn is met lifecycle beleggen. Bij lifecycle beleggen wordt het beleggingsrisico over het algemeen voor oudere deelnemers verkleind”?</w:t>
      </w:r>
      <w:r>
        <w:rPr/>
        <w:t xml:space="preserve"> Voor lifecycles wordt normaal gesproken gekeken naar enerzijds de uitkomst in de mediaan en anderzijds naar de uitkomst in het pessimistisch scenario, dus als beide uitkomsten beter zijn, wat is dan de aanleiding om te veronderstellen dat de lifecycles niet passend zouden zijn? Kunt u uw conclusie op dit punt aanpassen?</w:t>
      </w:r>
      <w:r>
        <w:br/>
      </w:r>
    </w:p>
    <w:p>
      <w:pPr>
        <w:pStyle w:val="ListParagraph"/>
        <w:numPr>
          <w:ilvl w:val="0"/>
          <w:numId w:val="100518660"/>
        </w:numPr>
        <w:ind w:left="360"/>
      </w:pPr>
      <w:r>
        <w:t xml:space="preserve">Bij de rechtvaardiging van variant vijf staat toch dat:</w:t>
      </w:r>
      <w:r>
        <w:rPr>
          <w:i w:val="1"/>
          <w:iCs w:val="1"/>
        </w:rPr>
        <w:t xml:space="preserve"> “Het pensioencontract kan moeilijker uitlegbaar zijn bij een life-event zoals bij uitdiensttreding.”? </w:t>
      </w:r>
      <w:r>
        <w:rPr/>
        <w:t xml:space="preserve">Kunt u aangeven of dit ook speelt als de deelnemer kan kiezen voor waardeoverdracht?</w:t>
      </w:r>
      <w:r>
        <w:br/>
      </w:r>
    </w:p>
    <w:p>
      <w:pPr>
        <w:pStyle w:val="ListParagraph"/>
        <w:numPr>
          <w:ilvl w:val="0"/>
          <w:numId w:val="100518660"/>
        </w:numPr>
        <w:ind w:left="360"/>
      </w:pPr>
      <w:r>
        <w:t xml:space="preserve">Bij de uitvoerbaarheid van variant vijf staat toch dat: </w:t>
      </w:r>
      <w:r>
        <w:rPr>
          <w:i w:val="1"/>
          <w:iCs w:val="1"/>
        </w:rPr>
        <w:t xml:space="preserve">“Deze variant kan relatief ten opzichte van de basisvariant tot grotere herverdelingseffecten leiden”? </w:t>
      </w:r>
      <w:r>
        <w:rPr/>
        <w:t xml:space="preserve">In het rapport staat toch ook dat</w:t>
      </w:r>
      <w:r>
        <w:rPr>
          <w:i w:val="1"/>
          <w:iCs w:val="1"/>
        </w:rPr>
        <w:t xml:space="preserve"> </w:t>
      </w:r>
      <w:r>
        <w:rPr/>
        <w:t xml:space="preserve">herverdelingseffecten gerechtvaardigd kunnen zijn? Kunt u aangeven welk deel van deze grotere herverdelingseffecten u gerechtvaardigd vindt en welk deel niet?</w:t>
      </w:r>
      <w:r>
        <w:br/>
      </w:r>
    </w:p>
    <w:p>
      <w:pPr>
        <w:pStyle w:val="ListParagraph"/>
        <w:numPr>
          <w:ilvl w:val="0"/>
          <w:numId w:val="100518660"/>
        </w:numPr>
        <w:ind w:left="360"/>
      </w:pPr>
      <w:r>
        <w:t xml:space="preserve">In het rapport staat toch ook dat “Bij de operationele uitvoerbaarheid staat niet vermeld dat deze variant eenvoudiger te administreren en communiceren is, omdat de spreidingsreserve en de daarbij behorende complexiteit komt te vervallen. Waarom wordt dit voordeel niet expliciet genoemd?</w:t>
      </w:r>
      <w:r>
        <w:br/>
      </w:r>
    </w:p>
    <w:p>
      <w:pPr>
        <w:pStyle w:val="ListParagraph"/>
        <w:numPr>
          <w:ilvl w:val="0"/>
          <w:numId w:val="100518660"/>
        </w:numPr>
        <w:ind w:left="360"/>
      </w:pPr>
      <w:r>
        <w:t xml:space="preserve">Het klopt toch dat bij de operationele uitvoerbaarheid niet vermeld wordt dat variant vijf eenvoudiger te administreren en communiceren is, omdat de spreidingsreserve en de daarbij behorende complexiteit komen te vervallen? Waarom wordt dit voordeel niet expliciet genoemd?</w:t>
      </w:r>
      <w:r>
        <w:br/>
      </w:r>
    </w:p>
    <w:p>
      <w:pPr>
        <w:pStyle w:val="ListParagraph"/>
        <w:numPr>
          <w:ilvl w:val="0"/>
          <w:numId w:val="100518660"/>
        </w:numPr>
        <w:ind w:left="360"/>
      </w:pPr>
      <w:r>
        <w:t xml:space="preserve">Kunt u, na op pagina één van de Kamerbrief 'Additionele instrumenten koopkracht en koopkrachtambitie' te hebben aangegeven welke instrumenten er zijn om de inflatie beter te volgen, ook aangeven bij hoeveel pensioenfondsen de inzet van de solidariteits- of risicodelingsreserve, een vaste afslag van het projectierendement en het directe beschermingsrendement met inflatie-gerelateerde beleggingsproducten ook daadwerkelijk gebruikt worden? Graag in aantallen per instrument.</w:t>
      </w:r>
      <w:r>
        <w:br/>
      </w:r>
    </w:p>
    <w:p>
      <w:pPr>
        <w:pStyle w:val="ListParagraph"/>
        <w:numPr>
          <w:ilvl w:val="0"/>
          <w:numId w:val="100518660"/>
        </w:numPr>
        <w:ind w:left="360"/>
      </w:pPr>
      <w:r>
        <w:t xml:space="preserve">Mochten bepaalde instrumenten niet of nauwelijks gebruikt worden, dan komt dat toch doordat de theoretische opzet van de Wtp niet voldoet aan de praktijk of doordat de eerste doelstelling van de Wtp niet gedeeld wordt door de sociale partners? Graag een uitgebreide toelichting op dit punt.  </w:t>
      </w:r>
      <w:r>
        <w:br/>
      </w:r>
    </w:p>
    <w:p>
      <w:r>
        <w:t xml:space="preserve"> </w:t>
      </w:r>
      <w:r>
        <w:br/>
      </w:r>
    </w:p>
    <w:p>
      <w:r>
        <w:t xml:space="preserve">1) Kamerstuk 32 043, nr. 710</w:t>
      </w:r>
      <w:r>
        <w:br/>
      </w:r>
    </w:p>
    <w:p>
      <w:r>
        <w:t xml:space="preserve">2) Kamerstuk 32 043, nr. 710</w:t>
      </w:r>
      <w:r>
        <w:br/>
      </w:r>
    </w:p>
    <w:p>
      <w:r>
        <w:t xml:space="preserve"> </w:t>
      </w:r>
      <w:r>
        <w:br/>
      </w:r>
    </w:p>
    <w:sectPr>
      <w:pgSz w:w="12240" w:h="15840" w:orient="portrait"/>
      <w:pgMar w:top="1440" w:right="1440" w:bottom="1440" w:left="1440" w:header="720" w:footer="720" w:gutter="0"/>
      <w:cols w:space="720"/>
      <w:docGrid w:linePitch="360"/>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0">
    <w:abstractNumId w:val="0"/>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1A6"/>
    <w:rsid w:val="002978F3"/>
    <w:rsid w:val="008C01A6"/>
    <w:rsid w:val="00CA4F27"/>
    <w:rsid w:val="00EA2C71"/>
    <w:rsid w:val="00F30DBE"/>
    <w:rsid w:val="5DD0DE64"/>
    <w:rsid w:val="5E5C2D0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A8C4E4F-3FD0-4B96-94C8-10EEF4EECB84}"/>
  <w14:docId w14:val="0279D9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nl-NL" w:eastAsia="ja-JP"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rPr>
      <w:sz w:val="24"/>
      <w:szCs w:val="24"/>
      <w:lang w:val="nl-NL" w:eastAsia="nl-NL"/>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pPr>
      <w:spacing w:before="100" w:beforeAutospacing="1" w:after="100" w:afterAutospacing="1"/>
    </w:pPr>
  </w:style>
  <w:style w:type="character" w:styleId="Emphasis">
    <w:name w:val="Emphasis"/>
    <w:uiPriority w:val="20"/>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us-ascii"/>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DocSecurity>0</ap:DocSecurity>
  <ap:ScaleCrop>false</ap:ScaleCrop>
  <ap:SharedDoc>false</ap:SharedDoc>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
  <dc:description>------------------------</dc:description>
  <version/>
  <category/>
  <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ies>
</file>