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2026Z18562</w:t>
        <w:br/>
      </w:r>
      <w:proofErr w:type="spellEnd"/>
    </w:p>
    <w:p>
      <w:pPr>
        <w:pStyle w:val="Normal"/>
        <w:rPr>
          <w:b w:val="1"/>
          <w:bCs w:val="1"/>
        </w:rPr>
      </w:pPr>
      <w:r w:rsidR="250AE766">
        <w:rPr>
          <w:b w:val="0"/>
          <w:bCs w:val="0"/>
        </w:rPr>
        <w:t>(ingezonden 10 september 2026)</w:t>
        <w:br/>
      </w:r>
    </w:p>
    <w:p>
      <w:r>
        <w:t xml:space="preserve">Vragen van het lid Kostić (PvdD) aan de minister van Volksgezondheid, Welzijn en Sport en de staatssecretaris van Landbouw, Visserij, Voedselzekerheid en Natuur over het gezondheidsrisico van onduidelijkheid over spuitzones en onzorgvuldige toekenning van pesticiden</w:t>
      </w:r>
      <w:r>
        <w:br/>
      </w:r>
    </w:p>
    <w:p>
      <w:r>
        <w:t xml:space="preserve"> </w:t>
      </w:r>
      <w:r>
        <w:br/>
      </w:r>
    </w:p>
    <w:p>
      <w:pPr>
        <w:pStyle w:val="ListParagraph"/>
        <w:numPr>
          <w:ilvl w:val="0"/>
          <w:numId w:val="100518630"/>
        </w:numPr>
        <w:ind w:left="360"/>
      </w:pPr>
      <w:r>
        <w:t xml:space="preserve">Herinnert u zich dat de staatssecretaris van LVVN heeft besloten om geen opdracht te geven voor de ontwikkeling van een rekenmethode voor spuitzonering, ondanks dat het RIVM en de WUR in hun rapport hierover concluderen dat dit haalbaar is, ondanks dat daartoe is opgeroepen door middel van de motie Vedder c.s. (Kamerstuk 27858-659), ondanks dat gemeenten vragen om duidelijkheid, en ondanks dat de gezondheid van mensen, dieren en natuur op dit moment ernstig bedreigd worden door het gebruik van landbouwgif? Hoe rijmt u dit met een beleid dat de volksgezondheid op één wil zetten? Vindt u bedrijfsbelangen dan toch belangrijker? 1) 2) 3)</w:t>
      </w:r>
      <w:r>
        <w:br/>
      </w:r>
    </w:p>
    <w:p>
      <w:pPr>
        <w:pStyle w:val="ListParagraph"/>
        <w:numPr>
          <w:ilvl w:val="0"/>
          <w:numId w:val="100518630"/>
        </w:numPr>
        <w:ind w:left="360"/>
      </w:pPr>
      <w:r>
        <w:t xml:space="preserve">Bent u het eens dat een wetenschappelijk onderbouwde rekenmethode veel kan betekenen voor het draagvlak onder bedrijven en de bevolking en veel duidelijkheid kan scheppen bij gemeenten voor spuitzonering? Zo nee, waarom niet?</w:t>
      </w:r>
      <w:r>
        <w:br/>
      </w:r>
    </w:p>
    <w:p>
      <w:pPr>
        <w:pStyle w:val="ListParagraph"/>
        <w:numPr>
          <w:ilvl w:val="0"/>
          <w:numId w:val="100518630"/>
        </w:numPr>
        <w:ind w:left="360"/>
      </w:pPr>
      <w:r>
        <w:t xml:space="preserve">Welke zwaarwegende argumenten voor bescherming van volksgezondheid heeft u om het advies van het belangrijkste instituut voor volksgezondheid, het RIVM, niet op te volgen?</w:t>
      </w:r>
      <w:r>
        <w:br/>
      </w:r>
    </w:p>
    <w:p>
      <w:pPr>
        <w:pStyle w:val="ListParagraph"/>
        <w:numPr>
          <w:ilvl w:val="0"/>
          <w:numId w:val="100518630"/>
        </w:numPr>
        <w:ind w:left="360"/>
      </w:pPr>
      <w:r>
        <w:t xml:space="preserve">Als u niet verder gaat met het ontwikkelen van een rekenmethode, hoe verwacht u dan tegemoet te komen aan de zorg, die u zelf aanhaalt in uw brief, dat “uit jurisprudentie blijkt dat bestaande onderbouwingen voor maatwerk in lokale situaties regelmatig onvoldoende worden geacht”? Verwacht u dat de bestuurlijke afspraken in het Convenant “Gewasbeschermingsmiddelen” voldoende gaan zijn om stand te houden bij de rechter? Zo ja, waar baseert u zich dan precies op? Is dat een voorwaarde die u stelt aan de bestuurlijke afspraken?</w:t>
      </w:r>
      <w:r>
        <w:br/>
      </w:r>
    </w:p>
    <w:p>
      <w:pPr>
        <w:pStyle w:val="ListParagraph"/>
        <w:numPr>
          <w:ilvl w:val="0"/>
          <w:numId w:val="100518630"/>
        </w:numPr>
        <w:ind w:left="360"/>
      </w:pPr>
      <w:r>
        <w:t xml:space="preserve">Hoe bent u nu concreet van plan om de volksgezondheid te gaan waarborgen en gemeenten wetenschappelijke onderbouwde duidelijkheid te geven over spuitzonering?</w:t>
      </w:r>
      <w:r>
        <w:br/>
      </w:r>
    </w:p>
    <w:p>
      <w:pPr>
        <w:pStyle w:val="ListParagraph"/>
        <w:numPr>
          <w:ilvl w:val="0"/>
          <w:numId w:val="100518630"/>
        </w:numPr>
        <w:ind w:left="360"/>
      </w:pPr>
      <w:r>
        <w:t xml:space="preserve">Aangezien uit onderzoek bekend is dat landbouwgif zich kilometers kan verspreiden, bent u bereid om in lijn met het voorzorgsbeginsel, zo lang als er onduidelijkheid bestaat, en zolang u niet kunt onderbouwen dat een kleinere spuitzonering kan bestaan zonder aantasting van gezondheid van mens, dier en milieu, een spuitzonering van minstens 500 meter verplicht te stellen? Of op zijn minst 50 meter verplicht te stellen, in lijn met huidige jurisprudentie? Zo nee, waarom niet, en op welke recente wetenschappelijke inzichten baseert u zich?</w:t>
      </w:r>
      <w:r>
        <w:br/>
      </w:r>
    </w:p>
    <w:p>
      <w:pPr>
        <w:pStyle w:val="ListParagraph"/>
        <w:numPr>
          <w:ilvl w:val="0"/>
          <w:numId w:val="100518630"/>
        </w:numPr>
        <w:ind w:left="360"/>
      </w:pPr>
      <w:r>
        <w:t xml:space="preserve">Bent u bekend met de oproep van meer dan huisartsen om te stoppen met landbouwgif in de sierteelt? 4)</w:t>
      </w:r>
      <w:r>
        <w:br/>
      </w:r>
    </w:p>
    <w:p>
      <w:pPr>
        <w:pStyle w:val="ListParagraph"/>
        <w:numPr>
          <w:ilvl w:val="0"/>
          <w:numId w:val="100518630"/>
        </w:numPr>
        <w:ind w:left="360"/>
      </w:pPr>
      <w:r>
        <w:t xml:space="preserve">Wat vindt u ervan dat zoveel zorgprofessionals zich genoodzaakt voelden om een noodsignaal uit te zenden, bijvoorbeeld omdat er “overtuigende aanwijzingen voor verbanden met ernstige aandoeningen zoals Parkinson, ALS en leukemie bij kinderen” zijn? Wat is uw reactie op hun zorgen en oproep? 5)</w:t>
      </w:r>
      <w:r>
        <w:br/>
      </w:r>
    </w:p>
    <w:p>
      <w:pPr>
        <w:pStyle w:val="ListParagraph"/>
        <w:numPr>
          <w:ilvl w:val="0"/>
          <w:numId w:val="100518630"/>
        </w:numPr>
        <w:ind w:left="360"/>
      </w:pPr>
      <w:r>
        <w:t xml:space="preserve">Hoe gaat u de zorgen van de vele zorgprofessionals nu wegnemen, terwijl u doorwerkt aan een convenant waar maatschappelijke organisaties die opkomen voor de gezondheid hun handtekening niet onder willen zetten? Op welke manier vindt u zo’n convenant dan geloofwaardig voor de zorgprofessionals?</w:t>
      </w:r>
      <w:r>
        <w:br/>
      </w:r>
    </w:p>
    <w:p>
      <w:pPr>
        <w:pStyle w:val="ListParagraph"/>
        <w:numPr>
          <w:ilvl w:val="0"/>
          <w:numId w:val="100518630"/>
        </w:numPr>
        <w:ind w:left="360"/>
      </w:pPr>
      <w:r>
        <w:t xml:space="preserve">Bent u bekend met het feit dat het UMCG recent heeft besloten opnieuw onderzoek te gaan doen tussen het verband van pesticiden en de ziekte van Parkinson, omdat bij de hoogste mate van blootstelling aan een combinatie van verschillende middelen het risico op Parkinson met zo'n 50 procent stijgt? 6)</w:t>
      </w:r>
      <w:r>
        <w:br/>
      </w:r>
    </w:p>
    <w:p>
      <w:pPr>
        <w:pStyle w:val="ListParagraph"/>
        <w:numPr>
          <w:ilvl w:val="0"/>
          <w:numId w:val="100518630"/>
        </w:numPr>
        <w:ind w:left="360"/>
      </w:pPr>
      <w:r>
        <w:t xml:space="preserve">Wat vindt u van de zorg die onderzoekers en zorgprofessionals hebben dat bij beoordeling en maatregelen geen rekening wordt gehouden met het “cocktaileffect” van middelen? Vindt u dat deze zorg relevant is voor de gezondheid van Nederlanders? Zo nee, op welk wetenschappelijk onderzoek baseert u zich? Hoe gaat u deze zorg wegenemen en welke concrete maatregelen (met tijdlijn) horen daarbij?</w:t>
      </w:r>
      <w:r>
        <w:br/>
      </w:r>
    </w:p>
    <w:p>
      <w:pPr>
        <w:pStyle w:val="ListParagraph"/>
        <w:numPr>
          <w:ilvl w:val="0"/>
          <w:numId w:val="100518630"/>
        </w:numPr>
        <w:ind w:left="360"/>
      </w:pPr>
      <w:r>
        <w:t xml:space="preserve">Als er nog zoveel onduidelijk is, en er zulke grote risico’s zijn, waarom loopt u dan weg voor uw verantwoordelijkheid om een duidelijke lijn uit te zetten wat betreft spuitzones? Waarom is het beschermen van de gezondheid van mens, dier en milieu niet uw hoogste prioriteit?</w:t>
      </w:r>
      <w:r>
        <w:br/>
      </w:r>
    </w:p>
    <w:p>
      <w:pPr>
        <w:pStyle w:val="ListParagraph"/>
        <w:numPr>
          <w:ilvl w:val="0"/>
          <w:numId w:val="100518630"/>
        </w:numPr>
        <w:ind w:left="360"/>
      </w:pPr>
      <w:r>
        <w:t xml:space="preserve">Bent u ermee bekend dat uit onderzoek van Pointer bleek dat de pesticidenlobby mee heeft kunnen schrijven bij amendementen op EU-wetgeving, en wel 101 toegangspassen had tot het Europees Parlement? 7)</w:t>
      </w:r>
      <w:r>
        <w:br/>
      </w:r>
    </w:p>
    <w:p>
      <w:pPr>
        <w:pStyle w:val="ListParagraph"/>
        <w:numPr>
          <w:ilvl w:val="0"/>
          <w:numId w:val="100518630"/>
        </w:numPr>
        <w:ind w:left="360"/>
      </w:pPr>
      <w:r>
        <w:t xml:space="preserve">Kunt u (in het kader van artikel 68 van de Grondwet) aangeven op welke wijze en hoe vaak agrobedrijven, pesticidenbedrijven en hun lobbyisten in het afgelopen jaar contact met u hebben gezocht? Kunt u een overzicht geven met welke agrobedrijven en pesticidenproducenten u heeft gesproken in het afgelopen jaar en hoe vaak precies, mede gelet op artikel 68 van de Grondwet?</w:t>
      </w:r>
      <w:r>
        <w:br/>
      </w:r>
    </w:p>
    <w:p>
      <w:pPr>
        <w:pStyle w:val="ListParagraph"/>
        <w:numPr>
          <w:ilvl w:val="0"/>
          <w:numId w:val="100518630"/>
        </w:numPr>
        <w:ind w:left="360"/>
      </w:pPr>
      <w:r>
        <w:t xml:space="preserve">Bent u bereid een lobbyverbod in te stellen voor pesticidenproducenten? Zo nee, waarom niet?</w:t>
      </w:r>
      <w:r>
        <w:br/>
      </w:r>
    </w:p>
    <w:p>
      <w:pPr>
        <w:pStyle w:val="ListParagraph"/>
        <w:numPr>
          <w:ilvl w:val="0"/>
          <w:numId w:val="100518630"/>
        </w:numPr>
        <w:ind w:left="360"/>
      </w:pPr>
      <w:r>
        <w:t xml:space="preserve">Bent u bekend met de rechterlijke uitspraak van het College van Beroep voor het bedrijfsleven waarin is besloten dat het pesticide-middel Pitcher zo snel mogelijk uit de handel genomen moet worden, omdat in Pitcher een werkzame stof (fludioxonil) zit die hormoonontregelende eigenschappen heeft? En bent u bekend met het nieuwsbericht van de Volkskrant hierover ‘PAN Nederland haalt het gif uit de markt, Achmea krijgt de volle laag van het noodweer’? 8) 9)</w:t>
      </w:r>
      <w:r>
        <w:br/>
      </w:r>
    </w:p>
    <w:p>
      <w:pPr>
        <w:pStyle w:val="ListParagraph"/>
        <w:numPr>
          <w:ilvl w:val="0"/>
          <w:numId w:val="100518630"/>
        </w:numPr>
        <w:ind w:left="360"/>
      </w:pPr>
      <w:r>
        <w:t xml:space="preserve">Bent u ermee bekend dat het College voor de toelating van gewasbeschermingsmiddelen en biociden (Ctgb) wel een toelating heeft gegeven voor Pitcher ondanks de vaststelling dat er fludioxonil in zit? Hoe verklaart u dat dit kon gebeuren? Acht u dit wenselijk?</w:t>
      </w:r>
      <w:r>
        <w:br/>
      </w:r>
    </w:p>
    <w:p>
      <w:pPr>
        <w:pStyle w:val="ListParagraph"/>
        <w:numPr>
          <w:ilvl w:val="0"/>
          <w:numId w:val="100518630"/>
        </w:numPr>
        <w:ind w:left="360"/>
      </w:pPr>
      <w:r>
        <w:t xml:space="preserve">Wat vindt u ervan dat het Ctgb ondanks een eerdere soortgelijke uitspraak wederom volgens de rechter onterecht toelating heeft verleend aan een middel met een werkzame stof waarvan de Europese voedselautoriteit EFSA heeft vastgesteld dat deze hormoonverstorend is voor mens en dier, en waarvan Ctgb wist dat deze niet leidde tot verwaarloosbare blootstelling omdat de toepassing niet in een gesloten systeem plaatsvindt of in andere omstandigheden die contact met mens of dier uitsluiten? 10)</w:t>
      </w:r>
      <w:r>
        <w:br/>
      </w:r>
    </w:p>
    <w:p>
      <w:pPr>
        <w:pStyle w:val="ListParagraph"/>
        <w:numPr>
          <w:ilvl w:val="0"/>
          <w:numId w:val="100518630"/>
        </w:numPr>
        <w:ind w:left="360"/>
      </w:pPr>
      <w:r>
        <w:t xml:space="preserve">Hoe beoordeelt u het feit dat de huidige lijn die wordt gevolgd bij het Ctgb niet standhoudt bij de rechter en schadelijk blijkt te zijn voor de volksgezondheid? Vindt u dat het beleid strenger moet om de volksgezondheid wel te waarborgen? Zo nee, waarom vindt u volksgezondheid niet het belangrijkste wat er is?</w:t>
      </w:r>
      <w:r>
        <w:br/>
      </w:r>
    </w:p>
    <w:p>
      <w:pPr>
        <w:pStyle w:val="ListParagraph"/>
        <w:numPr>
          <w:ilvl w:val="0"/>
          <w:numId w:val="100518630"/>
        </w:numPr>
        <w:ind w:left="360"/>
      </w:pPr>
      <w:r>
        <w:t xml:space="preserve">Hoe gaat het Ctgb haar toelatingsbeleid aanpassen om te voldoen aan de uitspraak van het College van Beroep voor het bedrijfsleven?</w:t>
      </w:r>
      <w:r>
        <w:br/>
      </w:r>
    </w:p>
    <w:p>
      <w:pPr>
        <w:pStyle w:val="ListParagraph"/>
        <w:numPr>
          <w:ilvl w:val="0"/>
          <w:numId w:val="100518630"/>
        </w:numPr>
        <w:ind w:left="360"/>
      </w:pPr>
      <w:r>
        <w:t xml:space="preserve">Welke andere toepassingen van bestrijdingsmiddelen met de werkzame stof fludioxonil hebben een toelating bij het Ctgb en vinden niet plaats in een gesloten systeem of in andere omstandigheden die contact met mensen en dieren uitsluit? Kunt u daar een overzicht van geven? Bent u het eens dat deze middelen ook zo snel mogelijk uit de markt genomen moeten worden? Zo nee, waarom niet?</w:t>
      </w:r>
      <w:r>
        <w:br/>
      </w:r>
    </w:p>
    <w:p>
      <w:pPr>
        <w:pStyle w:val="ListParagraph"/>
        <w:numPr>
          <w:ilvl w:val="0"/>
          <w:numId w:val="100518630"/>
        </w:numPr>
        <w:ind w:left="360"/>
      </w:pPr>
      <w:r>
        <w:t xml:space="preserve">Welke andere bestrijdingsmiddelen met werkzame stoffen die door EFSA beoordeeld zijn als hormoonverstorend voor mens of niet doelwit-organismen (dieren) hebben een toelating bij het Ctgb en vinden niet plaats in een gesloten systeem of in andere omstandigheden die contact met mens of dier uitsluit, zoals cyprodinil? Vindt u dat deze ook uit de markt genomen moeten worden omwille van de volksgezondheid? Zo nee, wat is uw wetenschappelijke onderbouwing daarvoor? Kunt u onderbouwd uitsluiten dat u daarmee mensen en dieren opzadelt met een hogere kans op gezondheidsschade? 11) 12)</w:t>
      </w:r>
      <w:r>
        <w:br/>
      </w:r>
    </w:p>
    <w:p>
      <w:pPr>
        <w:pStyle w:val="ListParagraph"/>
        <w:numPr>
          <w:ilvl w:val="0"/>
          <w:numId w:val="100518630"/>
        </w:numPr>
        <w:ind w:left="360"/>
      </w:pPr>
      <w:r>
        <w:t xml:space="preserve">Welke van de in de vorige vraag betreffende bestrijdingsmiddelen hebben een toelating van het Ctgb waarvan het toelatingsbesluit dateert van nadat de EFSA de stof had beoordeeld als hormoonverstorend? Kunt u hier een overzicht van geven?</w:t>
      </w:r>
      <w:r>
        <w:br/>
      </w:r>
    </w:p>
    <w:p>
      <w:pPr>
        <w:pStyle w:val="ListParagraph"/>
        <w:numPr>
          <w:ilvl w:val="0"/>
          <w:numId w:val="100518630"/>
        </w:numPr>
        <w:ind w:left="360"/>
      </w:pPr>
      <w:r>
        <w:t xml:space="preserve">Bent u zich bewust van het feit dat hormoonverstorende stoffen al in hele lage concentraties schadelijk kunnen zijn voor met name jonge kinderen en de wet dan ook niet voor niets stelt dat deze pesticiden niet gebruikt mogen worden in situaties waar contact met de mens niet is uitgesloten? Hoe ziet u in dit licht het gebruik van hormoonverstorende pesticiden?</w:t>
      </w:r>
      <w:r>
        <w:br/>
      </w:r>
    </w:p>
    <w:p>
      <w:pPr>
        <w:pStyle w:val="ListParagraph"/>
        <w:numPr>
          <w:ilvl w:val="0"/>
          <w:numId w:val="100518630"/>
        </w:numPr>
        <w:ind w:left="360"/>
      </w:pPr>
      <w:r>
        <w:t xml:space="preserve">Hoeveel van deze werkzame stoffen hebben hun meest recente goedkeuring te danken aan een automatische verlenging van de Europese Commissie zonder inhoudelijke beoordeling van de risico’s voor mens of milieu?</w:t>
      </w:r>
      <w:r>
        <w:br/>
      </w:r>
    </w:p>
    <w:p>
      <w:pPr>
        <w:pStyle w:val="ListParagraph"/>
        <w:numPr>
          <w:ilvl w:val="0"/>
          <w:numId w:val="100518630"/>
        </w:numPr>
        <w:ind w:left="360"/>
      </w:pPr>
      <w:r>
        <w:t xml:space="preserve">Klopt het dat automatische verlengingen worden toegepast bij stoffen waarvan de EFSA een risico heeft vastgesteld, bijvoorbeeld dat deze hormoonverstorend is?  Zo ja, klopt het dat dit gebeurt wegens economische belangen en dat deze voorrang krijgen boven gezondheidsbelangen? Klopt het dat het Food &amp; Feed Omnibus voorstel van de Europese Commissie deze zorg niet wegneemt? Zo nee, op welke wetenschappelijke conclusies baseert u zich dan? Vindt u dat het compromisvoorstel van de lidstaten deze zorg wel zou moeten wegnemen? Zo nee, waarom niet?</w:t>
      </w:r>
      <w:r>
        <w:br/>
      </w:r>
    </w:p>
    <w:p>
      <w:pPr>
        <w:pStyle w:val="ListParagraph"/>
        <w:numPr>
          <w:ilvl w:val="0"/>
          <w:numId w:val="100518630"/>
        </w:numPr>
        <w:ind w:left="360"/>
      </w:pPr>
      <w:r>
        <w:t xml:space="preserve">Hoe vaak worden door de Nederlandse Voedsel- en Warenautoriteit (NVWA) op levensmiddelen restanten fludioxonil aangetroffen die liggen boven de gangbare maximale residu limiet (MRL) van 0,01 mg/kg die als veiligheidsgrens geldt voor in Europa verboden pesticiden, bijvoorbeeld omdat zij als hormoonverstorend zijn geclassificeerd? Welke range van gehaltes betreft dit en welke producten betreft dit?</w:t>
      </w:r>
      <w:r>
        <w:br/>
      </w:r>
    </w:p>
    <w:p>
      <w:pPr>
        <w:pStyle w:val="ListParagraph"/>
        <w:numPr>
          <w:ilvl w:val="0"/>
          <w:numId w:val="100518630"/>
        </w:numPr>
        <w:ind w:left="360"/>
      </w:pPr>
      <w:r>
        <w:t xml:space="preserve">Hoeveel fludioxonil wordt gebruikt en afgezet in Nederland sinds 2010? Indien sprake is van een toename in gebruik van deze zorgwekkende stof, wat zijn de verklaringen hiervoor?</w:t>
      </w:r>
      <w:r>
        <w:br/>
      </w:r>
    </w:p>
    <w:p>
      <w:pPr>
        <w:pStyle w:val="ListParagraph"/>
        <w:numPr>
          <w:ilvl w:val="0"/>
          <w:numId w:val="100518630"/>
        </w:numPr>
        <w:ind w:left="360"/>
      </w:pPr>
      <w:r>
        <w:t xml:space="preserve">Zijn werkenden in de landbouw en hun partners in uw ogen voldoende bekend met de grote risico’s van (hormoonverstorende) pesticiden, met name de risico’s voor mensen met een kinderwens, zwangeren en vrouwen die borstvoeding geven, zoals geschetst in het Informatieblad 'Werken met bestrijdingsmiddelen' van het RIVM? Zo ja, waar baseert u zich dan op? Zo niet, wat bent u bereid te doen om die situatie te verbeteren? 13)</w:t>
      </w:r>
      <w:r>
        <w:br/>
      </w:r>
    </w:p>
    <w:p>
      <w:pPr>
        <w:pStyle w:val="ListParagraph"/>
        <w:numPr>
          <w:ilvl w:val="0"/>
          <w:numId w:val="100518630"/>
        </w:numPr>
        <w:ind w:left="360"/>
      </w:pPr>
      <w:r>
        <w:t xml:space="preserve">Hoe gaat het Ctgb invulling geven aan de opdracht van de rechter om de respijttermijnen (aflevertermijn en opgebruiktermijn) voor verkoop en gebruik van bestrijdingsmiddelen met de werkzame stof fludioxonil zo kort mogelijk te maken aangezien Pitcher niet toegelaten had mogen worden?</w:t>
      </w:r>
      <w:r>
        <w:br/>
      </w:r>
    </w:p>
    <w:p>
      <w:pPr>
        <w:pStyle w:val="ListParagraph"/>
        <w:numPr>
          <w:ilvl w:val="0"/>
          <w:numId w:val="100518630"/>
        </w:numPr>
        <w:ind w:left="360"/>
      </w:pPr>
      <w:r>
        <w:t xml:space="preserve">Wat is het concrete doel van LVVN in het convenant "gewasbeschermingsmiddelen" met betrekking tot hormoonverstorende pesticiden? Wat is het doel van VWS? Welke maatregelen horen daarbij en welke tijdlijn? Bent u bereid om bij de afwegingen gezondheidsexperts te betrekken?</w:t>
      </w:r>
      <w:r>
        <w:br/>
      </w:r>
    </w:p>
    <w:p>
      <w:pPr>
        <w:pStyle w:val="ListParagraph"/>
        <w:numPr>
          <w:ilvl w:val="0"/>
          <w:numId w:val="100518630"/>
        </w:numPr>
        <w:ind w:left="360"/>
      </w:pPr>
      <w:r>
        <w:t xml:space="preserve">Kunt u deze vragen één voor één beantwoorden en op tijd?</w:t>
      </w:r>
      <w:r>
        <w:br/>
      </w:r>
    </w:p>
    <w:p>
      <w:r>
        <w:t xml:space="preserve"> </w:t>
      </w:r>
      <w:r>
        <w:br/>
      </w:r>
    </w:p>
    <w:p>
      <w:r>
        <w:t xml:space="preserve"> </w:t>
      </w:r>
      <w:r>
        <w:br/>
      </w:r>
    </w:p>
    <w:p>
      <w:r>
        <w:t xml:space="preserve"> </w:t>
      </w:r>
      <w:r>
        <w:br/>
      </w:r>
    </w:p>
    <w:p>
      <w:r>
        <w:t xml:space="preserve">1) Kamerstuk 27858, nr. 769</w:t>
      </w:r>
      <w:r>
        <w:br/>
      </w:r>
    </w:p>
    <w:p>
      <w:r>
        <w:t xml:space="preserve">2) Document 2026D35763</w:t>
      </w:r>
      <w:r>
        <w:br/>
      </w:r>
    </w:p>
    <w:p>
      <w:r>
        <w:t xml:space="preserve">3) VNG, 14 mei 2024, 'VNG vraagt duidelijkheid over spuitzonering' (https://vng.nl/nieuws/vng-vraagt-duidelijkheid-over-spuitzonering)</w:t>
      </w:r>
      <w:r>
        <w:br/>
      </w:r>
    </w:p>
    <w:p>
      <w:r>
        <w:t xml:space="preserve">4) Document 2025D30220</w:t>
      </w:r>
      <w:r>
        <w:br/>
      </w:r>
    </w:p>
    <w:p>
      <w:r>
        <w:t xml:space="preserve">5) Document 2025D22008</w:t>
      </w:r>
      <w:r>
        <w:br/>
      </w:r>
    </w:p>
    <w:p>
      <w:r>
        <w:t xml:space="preserve">6) RTV Drenthe, 21 augustus 2026, 'Nieuw onderzoek naar verband pesticiden en Parkinson: 'De wereld wordt namelijk niet pesticidevrij'' (https://www.rtvdrenthe.nl/nieuws/18715345/nieuw-onderzoek-naar-verband-pesticiden-en-parkinson-de-wereld-wordt-namelijk-niet-pesticidevrij)</w:t>
      </w:r>
      <w:r>
        <w:br/>
      </w:r>
    </w:p>
    <w:p>
      <w:r>
        <w:t xml:space="preserve">7) Pointer, 10 januari 2024, 'Hoe rechtse partijen en lobbyisten de wet om bestrijdingsmiddelen te halveren torpedeerden' (https://pointer.kro-ncrv.nl/hoe-rechtse-partijen-en-lobbyisten-de-pesticidenwet-sur-torpedeerden)</w:t>
      </w:r>
      <w:r>
        <w:br/>
      </w:r>
    </w:p>
    <w:p>
      <w:r>
        <w:t xml:space="preserve">8) De Rechtspraak, 11 augustus 2026, 'Gewasbeschermingsmiddel Pitcher moet uit de handel' (https://www.rechtspraak.nl/organisatie-en-contact/organisatie/college-van-beroep-voor-het-bedrijfsleven/nieuws/2026/08/gewasbeschermingsmiddel-pitcher-moet-uit-de-handel)</w:t>
      </w:r>
      <w:r>
        <w:br/>
      </w:r>
    </w:p>
    <w:p>
      <w:r>
        <w:t xml:space="preserve">9) De Volkskrant, 14 augustus 2026, 'PAN Nederland haalt het gif uit de markt, Achmea krijgt de volle laag van het noodweer' (https://www.volkskrant.nl/economie/pan-nederland-haalt-het-gif-uit-de-markt-achmea-krijgt-de-volle-laag-van-het-noodweer~b7c8b029/)</w:t>
      </w:r>
      <w:r>
        <w:br/>
      </w:r>
    </w:p>
    <w:p>
      <w:r>
        <w:t xml:space="preserve">10) De Rechtspraak, 25 februari 2025, 'Uitspraken' (https://uitspraken.rechtspraak.nl/details?id=ECLI:NL:CBB:2025:106)</w:t>
      </w:r>
      <w:r>
        <w:br/>
      </w:r>
    </w:p>
    <w:p>
      <w:r>
        <w:t xml:space="preserve">11) Endoctrine Disruptor Lists, april 2026, 'Substances under evaluation for endocrine disruption under an EU legislation' (https://edlists.org/the-ed-lists/list-ii-substances-under-eu-investigation-endocrine-disruption)</w:t>
      </w:r>
      <w:r>
        <w:br/>
      </w:r>
    </w:p>
    <w:p>
      <w:r>
        <w:t xml:space="preserve">12) EFSA et all., 6 februari 2025, 'Peer review of the pesticide risk assessment of the active substance cyprodinil' (https://efsa.onlinelibrary.wiley.com/doi/10.2903/j.efsa.2025.9209) en CTBG, 'Toalatingen' (https://toelatingen.ctgb.nl/nl/authorisations/4014)</w:t>
      </w:r>
      <w:r>
        <w:br/>
      </w:r>
    </w:p>
    <w:p>
      <w:r>
        <w:t xml:space="preserve">13) RIVM, 28 oktober 2024, 'Informatieblad 'Werken met bestrijdingsmiddelen'' (https://www.rivm.nl/documenten/informatieblad-bestrijdingsmiddelen)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