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2026Z18544</w:t>
        <w:br/>
      </w:r>
      <w:proofErr w:type="spellEnd"/>
    </w:p>
    <w:p>
      <w:pPr>
        <w:pStyle w:val="Normal"/>
        <w:rPr>
          <w:b w:val="1"/>
          <w:bCs w:val="1"/>
        </w:rPr>
      </w:pPr>
      <w:r w:rsidR="250AE766">
        <w:rPr>
          <w:b w:val="0"/>
          <w:bCs w:val="0"/>
        </w:rPr>
        <w:t>(ingezonden 10 september 2026)</w:t>
        <w:br/>
      </w:r>
    </w:p>
    <w:p>
      <w:r>
        <w:t xml:space="preserve">
          Vragen van het lid Westerveld (PRO) aan de minister van Langdurige Zorg, Jeugd en Sport over de spoeduithuisplaatsing van kinderen in een gezinshuis.
          <w:br/>
          <w:br/>
          Vraag 1)
          <w:br/>
          Hoe gaat het met de kinderen uit zowel het gezinshuis als het woonhuis die nu via een spoeduithuisplaatsing elders verblijven? Op welke manier zijn de kinderen zelf betrokken in de besluiten die over hen worden genomen? Wordt hun mening meegenomen? [1]
        </w:t>
      </w:r>
      <w:r>
        <w:br/>
      </w:r>
    </w:p>
    <w:p>
      <w:r>
        <w:t xml:space="preserve">
          Vraag 2)
          <w:br/>
          Is in de overwegingen die hebben geleid tot de spoeduithuisplaatsing ook met de kinderen afzonderlijk gesproken en zo ja, door wie? Is er in alle gevallen een machtiging uithuisplaatsing afgegeven? Zitten er tussen de kinderen ook broertjes en zusjes en zo ja, zijn zij samengeplaatst?
        </w:t>
      </w:r>
      <w:r>
        <w:br/>
      </w:r>
    </w:p>
    <w:p>
      <w:r>
        <w:t xml:space="preserve">
          Vraag 3)
          <w:br/>
          Kunt u schetsen wanneer en wie is ingelicht over het seksueel misbruik van de biologische dochter door de vader, toen dit in het najaar van 2025 naar buiten kwam? Welke instanties en/of overheden waren betrokken bij dit gezinshuis in het najaar van 2025 tot nu? En wat was hun rol en invulling daarvan? Hoe hebben zij hulp geleverd aan het gezin en de bewoners en personeel van het gezinshuis? Wanneer waren de Inspectie gezondheidszorg en Jeugd (IGJ) en de voogden van de gezinshuiskinderen op de hoogte en hoe hebben zij gehandeld?
        </w:t>
      </w:r>
      <w:r>
        <w:br/>
      </w:r>
    </w:p>
    <w:p>
      <w:r>
        <w:t xml:space="preserve">
          Vraag 4)
          <w:br/>
          Is er in het najaar van 2025 of de periode daarna hulp en ondersteuning geboden door een van deze instanties of gezamenlijk met het team van het gezinshuis en de kinderen een plan van aanpak gemaakt om de veiligheid en het welzijn en de continuïteit van hulp te borgen? Zo nee, waarom is dit niet gedaan en wat vindt u daarvan?
        </w:t>
      </w:r>
      <w:r>
        <w:br/>
      </w:r>
    </w:p>
    <w:p>
      <w:r>
        <w:t xml:space="preserve">
          Vraag 5)
          <w:br/>
          Hoe vaak is er in de maanden na de melding van seksueel misbruik contact opgenomen met de eigenaar en het personeel van het gezinshuis door toezichthoudende instanties om vinger aan de pols te houden over de kwaliteit van de geleverde zorg en het pedagogisch klimaat? En wat was de aard van dit contact?
        </w:t>
      </w:r>
      <w:r>
        <w:br/>
      </w:r>
    </w:p>
    <w:p>
      <w:r>
        <w:t xml:space="preserve">
          Vraag 6)
          <w:br/>
          Hebben de kinderen ook toegang gehad tot een onafhankelijke vertrouwenspersoon?  Hoe vaak en door wie is in deze periode door een gespecialiseerde gedragswetenschapper, een toezichthoudende instantie, de IGJ of andere specialist contact opgenomen met zowel de biologische kinderen als de gezinshuiskinderen, gezien het feit dat er een juridisch proces liep wat een behoorlijke impact moet hebben gehad op alle personen in en rondom het gezinshuis?
          <w:br/>
          <w:br/>
          Vraag 7)
          <w:br/>
          Kunt u aangeven wat de overwegingen waren om de kinderen aanvankelijk in het gezinshuis te laten wonen, ook toen bekend werd dat een van de (voormalig) eigenaren schuldig was bevonden aan seksueel misbruik? Wat is hierin veranderd, waardoor de Kinderrechter, maanden nadat het misbruik bekend was, tot een andere conclusie komt en tot een spoeduithuisplaatsing wordt besloten, iets dat alleen bij acute onveiligheid of ernstig gevaar mag worden ingezet en per definitie traumatiserend is voor kinderen?
          <w:br/>
          <w:br/>
          Vraag 8)
          <w:br/>
          Had volgens u in het voortraject ook anders gehandeld kunnen worden waardoor een spoeduithuisplaatsing niet nodig was?
        </w:t>
      </w:r>
      <w:r>
        <w:br/>
      </w:r>
    </w:p>
    <w:p>
      <w:r>
        <w:t xml:space="preserve"> </w:t>
      </w:r>
      <w:r>
        <w:br/>
      </w:r>
    </w:p>
    <w:p>
      <w:r>
        <w:t xml:space="preserve"> </w:t>
      </w:r>
      <w:r>
        <w:br/>
      </w:r>
    </w:p>
    <w:p>
      <w:r>
        <w:t xml:space="preserve"> </w:t>
      </w:r>
      <w:r>
        <w:br/>
      </w:r>
    </w:p>
    <w:p>
      <w:r>
        <w:t xml:space="preserve">[1] Gezinshuis Buitengewoon Feankleaster: misbruik en zorgen over jeugdzorg veiligheid | Leeuwarder Courant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