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ECA" w:rsidP="00C77815" w:rsidRDefault="00340ECA" w14:paraId="2555942D" w14:textId="77777777"/>
    <w:p w:rsidR="007731E0" w:rsidP="00C77815" w:rsidRDefault="007731E0" w14:paraId="0F0426FE" w14:textId="38ACBEF7">
      <w:pPr>
        <w:pStyle w:val="Geenafstand"/>
        <w:spacing w:line="240" w:lineRule="atLeast"/>
      </w:pPr>
      <w:r>
        <w:t xml:space="preserve">Geachte </w:t>
      </w:r>
      <w:r w:rsidR="000304E7">
        <w:t>V</w:t>
      </w:r>
      <w:r>
        <w:t>oorzitter,</w:t>
      </w:r>
    </w:p>
    <w:p w:rsidR="007731E0" w:rsidP="00C77815" w:rsidRDefault="007731E0" w14:paraId="2D589B6B" w14:textId="77777777">
      <w:pPr>
        <w:pStyle w:val="Geenafstand"/>
        <w:spacing w:line="240" w:lineRule="atLeast"/>
      </w:pPr>
    </w:p>
    <w:p w:rsidR="007731E0" w:rsidP="00C77815" w:rsidRDefault="007731E0" w14:paraId="63B51884" w14:textId="730F1ADA">
      <w:pPr>
        <w:pStyle w:val="Geenafstand"/>
        <w:spacing w:line="240" w:lineRule="atLeast"/>
      </w:pPr>
      <w:r>
        <w:t>Met deze brief informeer ik uw Kamer</w:t>
      </w:r>
      <w:r w:rsidR="004A519B">
        <w:t xml:space="preserve">, mede namens de staatssecretaris van Economische Zaken </w:t>
      </w:r>
      <w:r w:rsidR="000304E7">
        <w:t>en Klimaat</w:t>
      </w:r>
      <w:r w:rsidR="004A519B">
        <w:t>,</w:t>
      </w:r>
      <w:r>
        <w:t xml:space="preserve"> over de onderzoeksopzet over de uit te voeren periodieke rapportage op gebied van Goed functionerende economie en markten.</w:t>
      </w:r>
    </w:p>
    <w:p w:rsidR="007731E0" w:rsidP="00C77815" w:rsidRDefault="007731E0" w14:paraId="357A7E82" w14:textId="77777777">
      <w:pPr>
        <w:pStyle w:val="Geenafstand"/>
        <w:spacing w:line="240" w:lineRule="atLeast"/>
      </w:pPr>
    </w:p>
    <w:p w:rsidR="007731E0" w:rsidP="00C77815" w:rsidRDefault="007731E0" w14:paraId="3754130D" w14:textId="77777777">
      <w:pPr>
        <w:rPr>
          <w:szCs w:val="18"/>
        </w:rPr>
      </w:pPr>
      <w:r>
        <w:rPr>
          <w:szCs w:val="18"/>
        </w:rPr>
        <w:t>In de Strategisch Evaluatie Agenda (SEA) van het ministerie van Economische Zaken en Klimaat is de periodieke rapportage inzake het beleidsthema ‘Goed functionerende (digitale) economie en markten’ voor 2027 gepland. Dit beleidsthema komt overeen met artikel 1 van de EZK-begroting.</w:t>
      </w:r>
    </w:p>
    <w:p w:rsidRPr="0011467E" w:rsidR="007731E0" w:rsidP="00C77815" w:rsidRDefault="007731E0" w14:paraId="2F6B9AB0" w14:textId="77777777">
      <w:pPr>
        <w:rPr>
          <w:szCs w:val="18"/>
        </w:rPr>
      </w:pPr>
      <w:r>
        <w:rPr>
          <w:szCs w:val="18"/>
        </w:rPr>
        <w:t>Op basis van de Regeling periodiek evaluatieonderzoek 2022 (RPE) wordt een periodieke rapportage tussen vier en zeven jaar na de vorige periodieke rapportage (voorheen doorlichting) gepland. Het eindrapport van de voorgaande doorlichting van artikel 1 is eind 2021 opgeleverd en in 2022 aan de Tweede Kamer verzonden</w:t>
      </w:r>
      <w:r>
        <w:rPr>
          <w:rStyle w:val="Voetnootmarkering"/>
          <w:szCs w:val="18"/>
        </w:rPr>
        <w:footnoteReference w:id="1"/>
      </w:r>
      <w:r>
        <w:rPr>
          <w:szCs w:val="18"/>
        </w:rPr>
        <w:t xml:space="preserve"> </w:t>
      </w:r>
    </w:p>
    <w:p w:rsidR="000304E7" w:rsidP="00C77815" w:rsidRDefault="000304E7" w14:paraId="4C409C83" w14:textId="77777777">
      <w:pPr>
        <w:rPr>
          <w:szCs w:val="18"/>
        </w:rPr>
      </w:pPr>
    </w:p>
    <w:p w:rsidR="007731E0" w:rsidP="00C77815" w:rsidRDefault="007731E0" w14:paraId="4E1A17EC" w14:textId="2C86D907">
      <w:pPr>
        <w:rPr>
          <w:szCs w:val="18"/>
        </w:rPr>
      </w:pPr>
      <w:r>
        <w:rPr>
          <w:szCs w:val="18"/>
        </w:rPr>
        <w:t>Conform de planning van de EZK-begroting 202</w:t>
      </w:r>
      <w:r w:rsidRPr="6362B9D6">
        <w:rPr>
          <w:szCs w:val="18"/>
        </w:rPr>
        <w:t>6</w:t>
      </w:r>
      <w:r>
        <w:rPr>
          <w:szCs w:val="18"/>
        </w:rPr>
        <w:t xml:space="preserve"> zal deze periodieke rapportage over de periode 2021 tot en met 2026 in 2027 worden afgerond. </w:t>
      </w:r>
      <w:r w:rsidRPr="0082666D">
        <w:rPr>
          <w:szCs w:val="18"/>
        </w:rPr>
        <w:t xml:space="preserve">Voor wat betreft de eisen die aan een </w:t>
      </w:r>
      <w:r>
        <w:rPr>
          <w:szCs w:val="18"/>
        </w:rPr>
        <w:t>periodieke rapportage</w:t>
      </w:r>
      <w:r w:rsidRPr="0082666D">
        <w:rPr>
          <w:szCs w:val="18"/>
        </w:rPr>
        <w:t xml:space="preserve"> worden gesteld is de </w:t>
      </w:r>
      <w:r>
        <w:rPr>
          <w:szCs w:val="18"/>
        </w:rPr>
        <w:t>Regeling periodieke evaluatieonderzoek 2022</w:t>
      </w:r>
      <w:r>
        <w:rPr>
          <w:rStyle w:val="Voetnootmarkering"/>
          <w:szCs w:val="18"/>
        </w:rPr>
        <w:footnoteReference w:id="2"/>
      </w:r>
      <w:r w:rsidRPr="0082666D">
        <w:rPr>
          <w:szCs w:val="18"/>
        </w:rPr>
        <w:t xml:space="preserve"> van toepassing. </w:t>
      </w:r>
    </w:p>
    <w:p w:rsidR="007731E0" w:rsidP="00C77815" w:rsidRDefault="007731E0" w14:paraId="5A14853C" w14:textId="77777777">
      <w:pPr>
        <w:rPr>
          <w:b/>
          <w:bCs/>
          <w:szCs w:val="18"/>
        </w:rPr>
      </w:pPr>
    </w:p>
    <w:p w:rsidRPr="00B9666A" w:rsidR="007731E0" w:rsidP="00C77815" w:rsidRDefault="007731E0" w14:paraId="60483A18" w14:textId="77777777">
      <w:pPr>
        <w:rPr>
          <w:b/>
          <w:bCs/>
          <w:szCs w:val="18"/>
          <w:u w:val="single"/>
        </w:rPr>
      </w:pPr>
      <w:r w:rsidRPr="00B9666A">
        <w:rPr>
          <w:b/>
          <w:bCs/>
          <w:szCs w:val="18"/>
          <w:u w:val="single"/>
        </w:rPr>
        <w:t>Scope</w:t>
      </w:r>
      <w:r w:rsidRPr="00B9666A">
        <w:rPr>
          <w:szCs w:val="18"/>
          <w:u w:val="single"/>
        </w:rPr>
        <w:t xml:space="preserve"> </w:t>
      </w:r>
      <w:r w:rsidRPr="00B9666A">
        <w:rPr>
          <w:b/>
          <w:bCs/>
          <w:szCs w:val="18"/>
          <w:u w:val="single"/>
        </w:rPr>
        <w:t>en beleidsdoelen</w:t>
      </w:r>
    </w:p>
    <w:p w:rsidR="00522BF3" w:rsidP="00C77815" w:rsidRDefault="00522BF3" w14:paraId="3A13120A" w14:textId="0C8358CD">
      <w:pPr>
        <w:rPr>
          <w:szCs w:val="18"/>
        </w:rPr>
      </w:pPr>
      <w:r>
        <w:rPr>
          <w:szCs w:val="18"/>
        </w:rPr>
        <w:t>Het d</w:t>
      </w:r>
      <w:r w:rsidRPr="002A06A5">
        <w:rPr>
          <w:szCs w:val="18"/>
        </w:rPr>
        <w:t xml:space="preserve">oel van een periodieke rapportage is het verantwoorden van de doeltreffendheid en de doelmatigheid van het beleid. In deze rapportage zal worden onderzocht in hoeverre de maatregelen die zijn genomen ten behoeve van goed werkende (digitale) economie en markten doeltreffend en doelmatig zijn geweest. Tevens is het doel lering hieruit te trekken voor de vormgeving van toekomstig beleid. </w:t>
      </w:r>
    </w:p>
    <w:p w:rsidR="000304E7" w:rsidP="00C77815" w:rsidRDefault="000304E7" w14:paraId="1F37E141" w14:textId="77777777">
      <w:pPr>
        <w:rPr>
          <w:szCs w:val="18"/>
        </w:rPr>
      </w:pPr>
    </w:p>
    <w:p w:rsidR="00522BF3" w:rsidP="00C77815" w:rsidRDefault="00522BF3" w14:paraId="08A7EF50" w14:textId="414F6DE6">
      <w:pPr>
        <w:rPr>
          <w:szCs w:val="18"/>
        </w:rPr>
      </w:pPr>
      <w:r>
        <w:rPr>
          <w:szCs w:val="18"/>
        </w:rPr>
        <w:t xml:space="preserve">De periodieke rapportage ziet op het gehele artikel 1 van de begroting van het ministerie van Economische Zaken en Klimaat. De directeur-generaal Economie en </w:t>
      </w:r>
      <w:r>
        <w:rPr>
          <w:szCs w:val="18"/>
        </w:rPr>
        <w:lastRenderedPageBreak/>
        <w:t>Digitalisering (hierna: E&amp;D) is verantwoordelijk voor dit artikel. Artikel 1 kent drie beleidsdoelen:</w:t>
      </w:r>
    </w:p>
    <w:p w:rsidR="007731E0" w:rsidP="00C77815" w:rsidRDefault="007731E0" w14:paraId="4DE988C1" w14:textId="4BB0664B">
      <w:pPr>
        <w:rPr>
          <w:szCs w:val="18"/>
        </w:rPr>
      </w:pPr>
    </w:p>
    <w:p w:rsidRPr="00A12706" w:rsidR="007731E0" w:rsidP="00C77815" w:rsidRDefault="007731E0" w14:paraId="13302C62" w14:textId="77777777">
      <w:pPr>
        <w:numPr>
          <w:ilvl w:val="0"/>
          <w:numId w:val="16"/>
        </w:numPr>
        <w:rPr>
          <w:szCs w:val="18"/>
        </w:rPr>
      </w:pPr>
      <w:r w:rsidRPr="00A12706">
        <w:rPr>
          <w:szCs w:val="18"/>
        </w:rPr>
        <w:t>Het scheppen van voorwaarden voor goed functionerende markten;</w:t>
      </w:r>
    </w:p>
    <w:p w:rsidRPr="00A12706" w:rsidR="007731E0" w:rsidP="00C77815" w:rsidRDefault="007731E0" w14:paraId="3A235E07" w14:textId="10739433">
      <w:pPr>
        <w:numPr>
          <w:ilvl w:val="0"/>
          <w:numId w:val="16"/>
        </w:numPr>
        <w:rPr>
          <w:szCs w:val="18"/>
        </w:rPr>
      </w:pPr>
      <w:r w:rsidRPr="00A12706">
        <w:rPr>
          <w:szCs w:val="18"/>
        </w:rPr>
        <w:t xml:space="preserve">Het scheppen van voorwaarden voor een goed functionerende </w:t>
      </w:r>
      <w:r w:rsidR="00E01B56">
        <w:rPr>
          <w:szCs w:val="18"/>
        </w:rPr>
        <w:t>(</w:t>
      </w:r>
      <w:r w:rsidRPr="00A12706">
        <w:rPr>
          <w:szCs w:val="18"/>
        </w:rPr>
        <w:t>digitale</w:t>
      </w:r>
      <w:r w:rsidR="00E01B56">
        <w:rPr>
          <w:szCs w:val="18"/>
        </w:rPr>
        <w:t>)</w:t>
      </w:r>
      <w:r w:rsidRPr="00A12706">
        <w:rPr>
          <w:szCs w:val="18"/>
        </w:rPr>
        <w:t xml:space="preserve"> economie;</w:t>
      </w:r>
    </w:p>
    <w:p w:rsidR="007731E0" w:rsidP="00C77815" w:rsidRDefault="007731E0" w14:paraId="79DB15BF" w14:textId="77777777">
      <w:pPr>
        <w:numPr>
          <w:ilvl w:val="0"/>
          <w:numId w:val="16"/>
        </w:numPr>
        <w:rPr>
          <w:szCs w:val="18"/>
        </w:rPr>
      </w:pPr>
      <w:r w:rsidRPr="00A12706">
        <w:rPr>
          <w:szCs w:val="18"/>
        </w:rPr>
        <w:t>Het voorzien in maatschappelijke behoefte</w:t>
      </w:r>
      <w:r>
        <w:rPr>
          <w:szCs w:val="18"/>
        </w:rPr>
        <w:t>n</w:t>
      </w:r>
      <w:r w:rsidRPr="00A12706">
        <w:rPr>
          <w:szCs w:val="18"/>
        </w:rPr>
        <w:t xml:space="preserve"> aan statistieken.</w:t>
      </w:r>
    </w:p>
    <w:p w:rsidRPr="00A12706" w:rsidR="007731E0" w:rsidP="00C77815" w:rsidRDefault="007731E0" w14:paraId="64DE2D1B" w14:textId="77777777">
      <w:pPr>
        <w:ind w:left="720"/>
        <w:rPr>
          <w:szCs w:val="18"/>
        </w:rPr>
      </w:pPr>
    </w:p>
    <w:p w:rsidRPr="006224EA" w:rsidR="007731E0" w:rsidP="00C77815" w:rsidRDefault="007731E0" w14:paraId="3A75543A" w14:textId="77777777">
      <w:pPr>
        <w:pStyle w:val="Lijstalinea"/>
        <w:numPr>
          <w:ilvl w:val="0"/>
          <w:numId w:val="17"/>
        </w:numPr>
        <w:spacing w:after="0" w:line="240" w:lineRule="atLeast"/>
        <w:rPr>
          <w:rFonts w:ascii="Verdana" w:hAnsi="Verdana"/>
          <w:i/>
          <w:iCs/>
          <w:sz w:val="18"/>
          <w:szCs w:val="18"/>
        </w:rPr>
      </w:pPr>
      <w:r w:rsidRPr="006224EA">
        <w:rPr>
          <w:rFonts w:ascii="Verdana" w:hAnsi="Verdana"/>
          <w:i/>
          <w:iCs/>
          <w:sz w:val="18"/>
          <w:szCs w:val="18"/>
        </w:rPr>
        <w:t>Het scheppen van voorwaarden voor goed functionerende markten</w:t>
      </w:r>
    </w:p>
    <w:p w:rsidR="007731E0" w:rsidP="00C77815" w:rsidRDefault="007731E0" w14:paraId="422D12BB" w14:textId="77777777">
      <w:pPr>
        <w:pStyle w:val="Geenafstand"/>
        <w:spacing w:line="240" w:lineRule="atLeast"/>
      </w:pPr>
      <w:r w:rsidRPr="00696E25">
        <w:t xml:space="preserve">E&amp;D streeft naar goed functionerende markten die zo zijn ontworpen dat consumenten keuzevrijheid hebben, dat bedrijven op een gelijk speelveld opereren en de </w:t>
      </w:r>
      <w:r>
        <w:t xml:space="preserve">binnenlandse en interne </w:t>
      </w:r>
      <w:r w:rsidRPr="00696E25">
        <w:t>markt open en transparant is.</w:t>
      </w:r>
    </w:p>
    <w:p w:rsidR="007731E0" w:rsidP="00C77815" w:rsidRDefault="007731E0" w14:paraId="56346BB8" w14:textId="77777777">
      <w:pPr>
        <w:pStyle w:val="Geenafstand"/>
        <w:spacing w:line="240" w:lineRule="atLeast"/>
      </w:pPr>
    </w:p>
    <w:p w:rsidR="007731E0" w:rsidP="00C77815" w:rsidRDefault="007731E0" w14:paraId="34155F3D" w14:textId="77777777">
      <w:pPr>
        <w:pStyle w:val="Geenafstand"/>
        <w:spacing w:line="240" w:lineRule="atLeast"/>
      </w:pPr>
      <w:r>
        <w:t xml:space="preserve">E&amp;D zorgt op meerdere manieren dat markten goed functioneren. </w:t>
      </w:r>
    </w:p>
    <w:p w:rsidR="007731E0" w:rsidP="00C77815" w:rsidRDefault="007731E0" w14:paraId="32F3887E" w14:textId="77777777">
      <w:pPr>
        <w:pStyle w:val="Geenafstand"/>
        <w:spacing w:line="240" w:lineRule="atLeast"/>
      </w:pPr>
      <w:r>
        <w:t xml:space="preserve">Zo zorgt E&amp;D ervoor dat consumenten beschermd worden en kunnen vertrouwen op de kwaliteit van producten en (digitale) diensten. </w:t>
      </w:r>
    </w:p>
    <w:p w:rsidR="007731E0" w:rsidP="00C77815" w:rsidRDefault="007731E0" w14:paraId="43C821BD" w14:textId="77777777">
      <w:pPr>
        <w:pStyle w:val="Geenafstand"/>
        <w:spacing w:line="240" w:lineRule="atLeast"/>
      </w:pPr>
      <w:r>
        <w:t xml:space="preserve">Onvoldoende concurrentie, kartelvorming en misbruik van economische machtsposities leiden tot economische schade voor zowel consumenten als bedrijven. Daarom stuurt E&amp;D als verantwoordelijke voor de mededingingswetgeving op de juiste voorwaarden waarbinnen bedrijven met elkaar concurreren. </w:t>
      </w:r>
    </w:p>
    <w:p w:rsidR="000304E7" w:rsidP="00C77815" w:rsidRDefault="000304E7" w14:paraId="1A977FB3" w14:textId="77777777">
      <w:pPr>
        <w:pStyle w:val="Geenafstand"/>
        <w:spacing w:line="240" w:lineRule="atLeast"/>
      </w:pPr>
    </w:p>
    <w:p w:rsidR="007731E0" w:rsidP="00C77815" w:rsidRDefault="007731E0" w14:paraId="2E8614E1" w14:textId="4D679A4E">
      <w:pPr>
        <w:pStyle w:val="Geenafstand"/>
        <w:spacing w:line="240" w:lineRule="atLeast"/>
      </w:pPr>
      <w:r>
        <w:t>Overheden nemen ook deel aan het economisch verkeer. Zo koopt de overheid voor meer dan 110 miljard euro per jaar in. Overheidsaanbestedingen moeten eerlijk verlopen, zodat de beste oplossing in de markt wint, corruptie wordt voorkomen en overheidsmiddelen efficiënt besteed worden. Daarom reguleert E&amp;D via aanbestedingswetgeving de voorwaarden hoe overheden en andere aanbestedende diensten opdrachten in de markt zetten</w:t>
      </w:r>
      <w:r w:rsidR="005F71F7">
        <w:t xml:space="preserve">, </w:t>
      </w:r>
      <w:r w:rsidRPr="00D25A81">
        <w:t>keuzevrijheid</w:t>
      </w:r>
      <w:r>
        <w:t xml:space="preserve"> </w:t>
      </w:r>
      <w:r w:rsidRPr="00D25A81">
        <w:t>hebben, dat</w:t>
      </w:r>
      <w:r>
        <w:t xml:space="preserve"> </w:t>
      </w:r>
      <w:r w:rsidRPr="00D25A81">
        <w:t>bedrijven op een gelijk speelveld opereren en de markt open en</w:t>
      </w:r>
      <w:r>
        <w:t xml:space="preserve"> </w:t>
      </w:r>
      <w:r w:rsidRPr="00D25A81">
        <w:t>transparant is. Markten die niet</w:t>
      </w:r>
      <w:r>
        <w:t xml:space="preserve"> </w:t>
      </w:r>
      <w:r w:rsidRPr="00D25A81">
        <w:t>alleen de motor zijn achter economische</w:t>
      </w:r>
      <w:r>
        <w:t xml:space="preserve"> </w:t>
      </w:r>
      <w:r w:rsidRPr="00D25A81">
        <w:t>ontwikkeling, innovatie en brede welvaart in Nederland, maar die ook complexe</w:t>
      </w:r>
      <w:r>
        <w:t xml:space="preserve"> </w:t>
      </w:r>
      <w:r w:rsidRPr="00D25A81">
        <w:t>transities mogelijk maken waar bijvoorbeeld klimaat, energie en digitalisering om</w:t>
      </w:r>
      <w:r>
        <w:t xml:space="preserve"> </w:t>
      </w:r>
      <w:r w:rsidRPr="00D25A81">
        <w:t>vragen</w:t>
      </w:r>
      <w:r>
        <w:t xml:space="preserve">. </w:t>
      </w:r>
    </w:p>
    <w:p w:rsidR="007731E0" w:rsidP="00C77815" w:rsidRDefault="007731E0" w14:paraId="68DBC098" w14:textId="77777777">
      <w:pPr>
        <w:pStyle w:val="Geenafstand"/>
        <w:spacing w:line="240" w:lineRule="atLeast"/>
      </w:pPr>
    </w:p>
    <w:p w:rsidRPr="00D86074" w:rsidR="00D86074" w:rsidP="00C77815" w:rsidRDefault="007731E0" w14:paraId="2EEE3AB3" w14:textId="4446A439">
      <w:pPr>
        <w:pStyle w:val="Lijstalinea"/>
        <w:numPr>
          <w:ilvl w:val="0"/>
          <w:numId w:val="17"/>
        </w:numPr>
        <w:spacing w:after="0" w:line="240" w:lineRule="atLeast"/>
        <w:rPr>
          <w:rFonts w:ascii="Verdana" w:hAnsi="Verdana"/>
          <w:i/>
          <w:iCs/>
          <w:sz w:val="18"/>
          <w:szCs w:val="18"/>
        </w:rPr>
      </w:pPr>
      <w:r w:rsidRPr="0014054F">
        <w:rPr>
          <w:rFonts w:ascii="Verdana" w:hAnsi="Verdana"/>
          <w:i/>
          <w:iCs/>
          <w:sz w:val="18"/>
          <w:szCs w:val="18"/>
        </w:rPr>
        <w:t xml:space="preserve">Het scheppen van voorwaarden voor een goed functionerende </w:t>
      </w:r>
      <w:r w:rsidR="00E01B56">
        <w:rPr>
          <w:rFonts w:ascii="Verdana" w:hAnsi="Verdana"/>
          <w:i/>
          <w:iCs/>
          <w:sz w:val="18"/>
          <w:szCs w:val="18"/>
        </w:rPr>
        <w:t>(</w:t>
      </w:r>
      <w:r w:rsidRPr="0014054F">
        <w:rPr>
          <w:rFonts w:ascii="Verdana" w:hAnsi="Verdana"/>
          <w:i/>
          <w:iCs/>
          <w:sz w:val="18"/>
          <w:szCs w:val="18"/>
        </w:rPr>
        <w:t>digitale</w:t>
      </w:r>
      <w:r w:rsidR="00E01B56">
        <w:rPr>
          <w:rFonts w:ascii="Verdana" w:hAnsi="Verdana"/>
          <w:i/>
          <w:iCs/>
          <w:sz w:val="18"/>
          <w:szCs w:val="18"/>
        </w:rPr>
        <w:t>)</w:t>
      </w:r>
      <w:r w:rsidRPr="0014054F">
        <w:rPr>
          <w:rFonts w:ascii="Verdana" w:hAnsi="Verdana"/>
          <w:i/>
          <w:iCs/>
          <w:sz w:val="18"/>
          <w:szCs w:val="18"/>
        </w:rPr>
        <w:t xml:space="preserve"> economie</w:t>
      </w:r>
    </w:p>
    <w:p w:rsidRPr="00D75B78" w:rsidR="00D86074" w:rsidP="00C77815" w:rsidRDefault="00D86074" w14:paraId="3C68FD1C" w14:textId="0E1D4136">
      <w:pPr>
        <w:rPr>
          <w:kern w:val="2"/>
          <w:szCs w:val="18"/>
          <w14:ligatures w14:val="standardContextual"/>
        </w:rPr>
      </w:pPr>
      <w:r>
        <w:rPr>
          <w:kern w:val="2"/>
          <w:szCs w:val="18"/>
          <w14:ligatures w14:val="standardContextual"/>
        </w:rPr>
        <w:t xml:space="preserve">Binnen artikel 1 is </w:t>
      </w:r>
      <w:r w:rsidRPr="00D75B78">
        <w:rPr>
          <w:kern w:val="2"/>
          <w:szCs w:val="18"/>
          <w14:ligatures w14:val="standardContextual"/>
        </w:rPr>
        <w:t>E&amp;D</w:t>
      </w:r>
      <w:r>
        <w:rPr>
          <w:kern w:val="2"/>
          <w:szCs w:val="18"/>
          <w14:ligatures w14:val="standardContextual"/>
        </w:rPr>
        <w:t xml:space="preserve"> verantwoordelijk voor de macro-economische duiding en beleid van een goed functionerende economie. Daarbij is productiviteitsgroei een belangrijke indicator om toekomstige welvaart te kunnen garanderen. E&amp;D is verantwoordelijk voor de monitoring en bevordering van productiviteit via de productiviteitsagenda.</w:t>
      </w:r>
    </w:p>
    <w:p w:rsidR="00D86074" w:rsidP="00C77815" w:rsidRDefault="00D86074" w14:paraId="34616B03" w14:textId="77777777">
      <w:pPr>
        <w:rPr>
          <w:kern w:val="2"/>
          <w:szCs w:val="18"/>
          <w14:ligatures w14:val="standardContextual"/>
        </w:rPr>
      </w:pPr>
    </w:p>
    <w:p w:rsidRPr="00D86861" w:rsidR="007731E0" w:rsidP="00C77815" w:rsidRDefault="00D86074" w14:paraId="1785B0B2" w14:textId="44F37564">
      <w:pPr>
        <w:rPr>
          <w:kern w:val="2"/>
          <w:szCs w:val="18"/>
          <w14:ligatures w14:val="standardContextual"/>
        </w:rPr>
      </w:pPr>
      <w:r>
        <w:rPr>
          <w:kern w:val="2"/>
          <w:szCs w:val="18"/>
          <w14:ligatures w14:val="standardContextual"/>
        </w:rPr>
        <w:t xml:space="preserve">Daarnaast is E&amp;D verantwoordelijk voor een goed functionerende digitale economie. </w:t>
      </w:r>
      <w:r w:rsidRPr="00D86861" w:rsidR="007731E0">
        <w:rPr>
          <w:kern w:val="2"/>
          <w:szCs w:val="18"/>
          <w14:ligatures w14:val="standardContextual"/>
        </w:rPr>
        <w:t xml:space="preserve">De digitale transitie levert ongekende kansen op voor economie en samenleving. Het plukken van de vruchten van de digitale transitie zorgt voor duurzame economische groei en de aanpak van maatschappelijke uitdagingen zoals rond onderwijs, zorg, klimaat en vergrijzing. De ambities, doelstellingen en acties van EZK op het gebied van de digitale economie richting 2030, staan </w:t>
      </w:r>
      <w:r w:rsidRPr="00D86861" w:rsidR="007731E0">
        <w:rPr>
          <w:kern w:val="2"/>
          <w:szCs w:val="18"/>
          <w14:ligatures w14:val="standardContextual"/>
        </w:rPr>
        <w:lastRenderedPageBreak/>
        <w:t>beschreven in de Strategie Digitale Economie (Kamerstuk </w:t>
      </w:r>
      <w:hyperlink w:history="1" r:id="rId8">
        <w:r w:rsidRPr="31FC8B41" w:rsidR="007731E0">
          <w:rPr>
            <w:rStyle w:val="Hyperlink"/>
            <w:kern w:val="2"/>
            <w:szCs w:val="18"/>
            <w14:ligatures w14:val="standardContextual"/>
          </w:rPr>
          <w:t>26 643, nr. 941</w:t>
        </w:r>
      </w:hyperlink>
      <w:r w:rsidRPr="00D86861" w:rsidR="007731E0">
        <w:rPr>
          <w:kern w:val="2"/>
          <w:szCs w:val="18"/>
          <w14:ligatures w14:val="standardContextual"/>
        </w:rPr>
        <w:t>) en de agenda digitale open strategische autonomie (Kamerstuk </w:t>
      </w:r>
      <w:hyperlink w:history="1" r:id="rId9">
        <w:r w:rsidRPr="31FC8B41" w:rsidR="007731E0">
          <w:rPr>
            <w:rStyle w:val="Hyperlink"/>
            <w:kern w:val="2"/>
            <w:szCs w:val="18"/>
            <w14:ligatures w14:val="standardContextual"/>
          </w:rPr>
          <w:t>36 259, nr. 21</w:t>
        </w:r>
      </w:hyperlink>
      <w:r w:rsidRPr="00D86861" w:rsidR="007731E0">
        <w:rPr>
          <w:kern w:val="2"/>
          <w:szCs w:val="18"/>
          <w14:ligatures w14:val="standardContextual"/>
        </w:rPr>
        <w:t>). Vertrouwen is bij de digitale transitie van essentieel belang. Daarom moeten belangrijke randvoorwaarden als innovatie, veiligheid, eerlijke concurrentie en grip op gegevens geborgd zijn, en moeten we waar nodig risicovolle strategische afhankelijkheden op het gebied van digitale technologieën mitigeren.</w:t>
      </w:r>
    </w:p>
    <w:p w:rsidR="000304E7" w:rsidP="00C77815" w:rsidRDefault="000304E7" w14:paraId="679730BE" w14:textId="77777777">
      <w:pPr>
        <w:rPr>
          <w:kern w:val="2"/>
          <w:szCs w:val="18"/>
          <w14:ligatures w14:val="standardContextual"/>
        </w:rPr>
      </w:pPr>
    </w:p>
    <w:p w:rsidRPr="00D86861" w:rsidR="007731E0" w:rsidP="00C77815" w:rsidRDefault="007731E0" w14:paraId="7ED84EB6" w14:textId="6DA82B6F">
      <w:pPr>
        <w:rPr>
          <w:kern w:val="2"/>
          <w:szCs w:val="18"/>
          <w14:ligatures w14:val="standardContextual"/>
        </w:rPr>
      </w:pPr>
      <w:r w:rsidRPr="00D86861">
        <w:rPr>
          <w:kern w:val="2"/>
          <w:szCs w:val="18"/>
          <w14:ligatures w14:val="standardContextual"/>
        </w:rPr>
        <w:t>In lijn met het Europese digitale beleidsprogramma is een doel van het kabinet om een concurrerende, weerbare en innovatieve digitale economie te behouden en te versterken. Om uitdagingen te adresseren en de vruchten van de digitale transitie te blijven plukken, zet EZK in op het versterken van ons verdienvermogen, digitale open strategische autonomie en de randvoorwaarden hiervoor in een steeds geopolitiekere context met de volgende prioriteiten:</w:t>
      </w:r>
    </w:p>
    <w:p w:rsidRPr="00D86861" w:rsidR="007731E0" w:rsidP="00C77815" w:rsidRDefault="007731E0" w14:paraId="4B50A935" w14:textId="77777777">
      <w:pPr>
        <w:numPr>
          <w:ilvl w:val="0"/>
          <w:numId w:val="18"/>
        </w:numPr>
        <w:rPr>
          <w:kern w:val="2"/>
          <w:szCs w:val="18"/>
          <w14:ligatures w14:val="standardContextual"/>
        </w:rPr>
      </w:pPr>
      <w:r w:rsidRPr="00D86861">
        <w:rPr>
          <w:kern w:val="2"/>
          <w:szCs w:val="18"/>
          <w14:ligatures w14:val="standardContextual"/>
        </w:rPr>
        <w:t>Versnellen van digitalisering mkb</w:t>
      </w:r>
    </w:p>
    <w:p w:rsidRPr="00D86861" w:rsidR="007731E0" w:rsidP="00C77815" w:rsidRDefault="007731E0" w14:paraId="7078314A" w14:textId="77777777">
      <w:pPr>
        <w:numPr>
          <w:ilvl w:val="0"/>
          <w:numId w:val="18"/>
        </w:numPr>
        <w:rPr>
          <w:kern w:val="2"/>
          <w:szCs w:val="18"/>
          <w14:ligatures w14:val="standardContextual"/>
        </w:rPr>
      </w:pPr>
      <w:r w:rsidRPr="00D86861">
        <w:rPr>
          <w:kern w:val="2"/>
          <w:szCs w:val="18"/>
          <w14:ligatures w14:val="standardContextual"/>
        </w:rPr>
        <w:t>Stimuleren digitale innovatie en vaardigheden</w:t>
      </w:r>
    </w:p>
    <w:p w:rsidRPr="00D86861" w:rsidR="007731E0" w:rsidP="00C77815" w:rsidRDefault="007731E0" w14:paraId="4E07D852" w14:textId="77777777">
      <w:pPr>
        <w:numPr>
          <w:ilvl w:val="0"/>
          <w:numId w:val="18"/>
        </w:numPr>
        <w:rPr>
          <w:kern w:val="2"/>
          <w:szCs w:val="18"/>
          <w14:ligatures w14:val="standardContextual"/>
        </w:rPr>
      </w:pPr>
      <w:r w:rsidRPr="00D86861">
        <w:rPr>
          <w:kern w:val="2"/>
          <w:szCs w:val="18"/>
          <w14:ligatures w14:val="standardContextual"/>
        </w:rPr>
        <w:t>Creëren van de juiste randvoorwaarden voor goedwerkende digitale markten en diensten</w:t>
      </w:r>
    </w:p>
    <w:p w:rsidRPr="00D86861" w:rsidR="007731E0" w:rsidP="00C77815" w:rsidRDefault="007731E0" w14:paraId="1E02A61F" w14:textId="77777777">
      <w:pPr>
        <w:numPr>
          <w:ilvl w:val="0"/>
          <w:numId w:val="18"/>
        </w:numPr>
        <w:rPr>
          <w:kern w:val="2"/>
          <w:szCs w:val="18"/>
          <w14:ligatures w14:val="standardContextual"/>
        </w:rPr>
      </w:pPr>
      <w:r w:rsidRPr="00D86861">
        <w:rPr>
          <w:kern w:val="2"/>
          <w:szCs w:val="18"/>
          <w14:ligatures w14:val="standardContextual"/>
        </w:rPr>
        <w:t>Behouden en versterken van een veilige, betrouwbare en hoogwaardige digitale infrastructuur</w:t>
      </w:r>
    </w:p>
    <w:p w:rsidR="007731E0" w:rsidP="00C77815" w:rsidRDefault="007731E0" w14:paraId="66ABAF0D" w14:textId="77777777">
      <w:pPr>
        <w:numPr>
          <w:ilvl w:val="0"/>
          <w:numId w:val="18"/>
        </w:numPr>
        <w:rPr>
          <w:kern w:val="2"/>
          <w:szCs w:val="18"/>
          <w14:ligatures w14:val="standardContextual"/>
        </w:rPr>
      </w:pPr>
      <w:r w:rsidRPr="00D86861">
        <w:rPr>
          <w:kern w:val="2"/>
          <w:szCs w:val="18"/>
          <w14:ligatures w14:val="standardContextual"/>
        </w:rPr>
        <w:t>Versterken van cybersecurity</w:t>
      </w:r>
    </w:p>
    <w:p w:rsidRPr="00D86861" w:rsidR="000304E7" w:rsidP="00C77815" w:rsidRDefault="000304E7" w14:paraId="0BA78F80" w14:textId="77777777">
      <w:pPr>
        <w:rPr>
          <w:kern w:val="2"/>
          <w:szCs w:val="18"/>
          <w14:ligatures w14:val="standardContextual"/>
        </w:rPr>
      </w:pPr>
    </w:p>
    <w:p w:rsidRPr="0014054F" w:rsidR="007731E0" w:rsidP="00C77815" w:rsidRDefault="007731E0" w14:paraId="636783FA" w14:textId="77777777">
      <w:pPr>
        <w:pStyle w:val="Lijstalinea"/>
        <w:numPr>
          <w:ilvl w:val="0"/>
          <w:numId w:val="17"/>
        </w:numPr>
        <w:spacing w:after="0" w:line="240" w:lineRule="atLeast"/>
        <w:rPr>
          <w:rFonts w:ascii="Verdana" w:hAnsi="Verdana"/>
          <w:i/>
          <w:iCs/>
          <w:sz w:val="18"/>
          <w:szCs w:val="18"/>
        </w:rPr>
      </w:pPr>
      <w:r w:rsidRPr="0014054F">
        <w:rPr>
          <w:rFonts w:ascii="Verdana" w:hAnsi="Verdana"/>
          <w:i/>
          <w:iCs/>
          <w:sz w:val="18"/>
          <w:szCs w:val="18"/>
        </w:rPr>
        <w:t>Het voorzien in maatschappelijke behoeften aan statistieken</w:t>
      </w:r>
    </w:p>
    <w:p w:rsidR="00D86074" w:rsidP="00C77815" w:rsidRDefault="007731E0" w14:paraId="4ACCF175" w14:textId="717FBF15">
      <w:pPr>
        <w:rPr>
          <w:szCs w:val="18"/>
        </w:rPr>
      </w:pPr>
      <w:r w:rsidRPr="00D86861">
        <w:rPr>
          <w:szCs w:val="18"/>
        </w:rPr>
        <w:t>EZ</w:t>
      </w:r>
      <w:r>
        <w:rPr>
          <w:szCs w:val="18"/>
        </w:rPr>
        <w:t>K</w:t>
      </w:r>
      <w:r w:rsidRPr="00D86861">
        <w:rPr>
          <w:szCs w:val="18"/>
        </w:rPr>
        <w:t xml:space="preserve"> is voor het Centraal Bureau voor de Statistiek (CBS) systeemverantwoordelijk voor het in stand houden van de onafhankelijke productie van goede en betrouwbare statistieken, en voor rechtmatige en doelmatige besteding van publieke gelden die daarmee gemoeid zijn. Het CBS heeft als onafhankelijk kennisinstituut de taak om betrouwbare statistische informatie te leveren. Onafhankelijke en betrouwbare statistieken zijn van belang om meer inzicht te krijgen in de samenleving en maatschappelijke fenomenen. Deze informatie draagt bij aan het voeren van becijferde maatschappelijke debatten en inzichten voor beleid.</w:t>
      </w:r>
    </w:p>
    <w:p w:rsidR="00D86074" w:rsidP="00C77815" w:rsidRDefault="00D86074" w14:paraId="5EFC1CC9" w14:textId="77777777">
      <w:pPr>
        <w:rPr>
          <w:szCs w:val="18"/>
        </w:rPr>
      </w:pPr>
    </w:p>
    <w:p w:rsidRPr="00B9666A" w:rsidR="007731E0" w:rsidP="00C77815" w:rsidRDefault="007731E0" w14:paraId="506ADBF5" w14:textId="77777777">
      <w:pPr>
        <w:rPr>
          <w:b/>
          <w:bCs/>
          <w:szCs w:val="18"/>
          <w:u w:val="single"/>
        </w:rPr>
      </w:pPr>
      <w:r w:rsidRPr="00B9666A">
        <w:rPr>
          <w:b/>
          <w:bCs/>
          <w:szCs w:val="18"/>
          <w:u w:val="single"/>
        </w:rPr>
        <w:t>Onderzoeksvragen</w:t>
      </w:r>
    </w:p>
    <w:p w:rsidRPr="00021878" w:rsidR="007731E0" w:rsidP="00C77815" w:rsidRDefault="007731E0" w14:paraId="2E852098" w14:textId="77777777">
      <w:pPr>
        <w:rPr>
          <w:szCs w:val="18"/>
        </w:rPr>
      </w:pPr>
      <w:r w:rsidRPr="00021878">
        <w:rPr>
          <w:szCs w:val="18"/>
        </w:rPr>
        <w:t>De centrale onderzoeksvraag is:</w:t>
      </w:r>
    </w:p>
    <w:p w:rsidRPr="00761631" w:rsidR="007731E0" w:rsidP="00C77815" w:rsidRDefault="007731E0" w14:paraId="444031D9" w14:textId="77777777">
      <w:pPr>
        <w:rPr>
          <w:i/>
          <w:iCs/>
          <w:szCs w:val="18"/>
        </w:rPr>
      </w:pPr>
      <w:r w:rsidRPr="00761631">
        <w:rPr>
          <w:i/>
          <w:iCs/>
          <w:szCs w:val="18"/>
        </w:rPr>
        <w:t>In hoeverre is het beleid van het Ministerie van Economische Zaken en Klimaat gericht op goed functionerende (digitale) economie en markten in de periode van 2021 tot en met 2026 doeltreffend en doelmatig geweest?</w:t>
      </w:r>
    </w:p>
    <w:p w:rsidR="007731E0" w:rsidP="00C77815" w:rsidRDefault="007731E0" w14:paraId="6DC5285F" w14:textId="77777777">
      <w:pPr>
        <w:rPr>
          <w:szCs w:val="18"/>
          <w:u w:val="single"/>
        </w:rPr>
      </w:pPr>
    </w:p>
    <w:p w:rsidR="00D86074" w:rsidP="00C77815" w:rsidRDefault="00D86074" w14:paraId="01EA5C33" w14:textId="77777777">
      <w:pPr>
        <w:rPr>
          <w:szCs w:val="18"/>
          <w:u w:val="single"/>
        </w:rPr>
      </w:pPr>
    </w:p>
    <w:p w:rsidR="00D86074" w:rsidP="00C77815" w:rsidRDefault="00D86074" w14:paraId="2DE3B2C3" w14:textId="77777777">
      <w:pPr>
        <w:rPr>
          <w:szCs w:val="18"/>
          <w:u w:val="single"/>
        </w:rPr>
      </w:pPr>
    </w:p>
    <w:p w:rsidR="00D86074" w:rsidP="00C77815" w:rsidRDefault="00D86074" w14:paraId="13A88DE4" w14:textId="77777777">
      <w:pPr>
        <w:rPr>
          <w:szCs w:val="18"/>
          <w:u w:val="single"/>
        </w:rPr>
      </w:pPr>
    </w:p>
    <w:p w:rsidR="000304E7" w:rsidP="00C77815" w:rsidRDefault="000304E7" w14:paraId="086EDA6C" w14:textId="77777777">
      <w:pPr>
        <w:rPr>
          <w:szCs w:val="18"/>
          <w:u w:val="single"/>
        </w:rPr>
      </w:pPr>
      <w:r>
        <w:rPr>
          <w:szCs w:val="18"/>
          <w:u w:val="single"/>
        </w:rPr>
        <w:br w:type="page"/>
      </w:r>
    </w:p>
    <w:p w:rsidRPr="00D10FB2" w:rsidR="007731E0" w:rsidP="00C77815" w:rsidRDefault="007731E0" w14:paraId="3FAABCD9" w14:textId="14D69DC2">
      <w:pPr>
        <w:rPr>
          <w:szCs w:val="18"/>
          <w:u w:val="single"/>
        </w:rPr>
      </w:pPr>
      <w:r>
        <w:rPr>
          <w:szCs w:val="18"/>
          <w:u w:val="single"/>
        </w:rPr>
        <w:lastRenderedPageBreak/>
        <w:t>Deelvragen</w:t>
      </w:r>
    </w:p>
    <w:p w:rsidR="007731E0" w:rsidP="00C77815" w:rsidRDefault="007731E0" w14:paraId="141B9FE2" w14:textId="77777777">
      <w:pPr>
        <w:rPr>
          <w:i/>
          <w:iCs/>
          <w:szCs w:val="18"/>
        </w:rPr>
      </w:pPr>
    </w:p>
    <w:p w:rsidRPr="00021878" w:rsidR="007731E0" w:rsidP="00C77815" w:rsidRDefault="007731E0" w14:paraId="02D16CC8" w14:textId="77777777">
      <w:pPr>
        <w:rPr>
          <w:i/>
          <w:iCs/>
          <w:szCs w:val="18"/>
        </w:rPr>
      </w:pPr>
      <w:r w:rsidRPr="00021878">
        <w:rPr>
          <w:i/>
          <w:iCs/>
          <w:szCs w:val="18"/>
        </w:rPr>
        <w:t>Evaluaties</w:t>
      </w:r>
    </w:p>
    <w:p w:rsidR="007731E0" w:rsidP="00C77815" w:rsidRDefault="007731E0" w14:paraId="3746F9AB" w14:textId="77777777">
      <w:pPr>
        <w:pStyle w:val="Lijstalinea"/>
        <w:numPr>
          <w:ilvl w:val="0"/>
          <w:numId w:val="19"/>
        </w:numPr>
        <w:spacing w:after="0" w:line="240" w:lineRule="atLeast"/>
        <w:rPr>
          <w:rFonts w:ascii="Verdana" w:hAnsi="Verdana"/>
          <w:sz w:val="18"/>
          <w:szCs w:val="18"/>
        </w:rPr>
      </w:pPr>
      <w:r w:rsidRPr="6362B9D6">
        <w:rPr>
          <w:rFonts w:ascii="Verdana" w:hAnsi="Verdana"/>
          <w:sz w:val="18"/>
          <w:szCs w:val="18"/>
        </w:rPr>
        <w:t>Zijn de instrumenten in voldoende mate geëvalueerd en zijn deze van voldoende kwaliteit? Is er verbetering in de planning van evaluaties ten opzichte van de vorige rapportage?</w:t>
      </w:r>
      <w:r>
        <w:rPr>
          <w:rStyle w:val="Voetnootmarkering"/>
          <w:rFonts w:ascii="Verdana" w:hAnsi="Verdana"/>
          <w:sz w:val="18"/>
          <w:szCs w:val="18"/>
        </w:rPr>
        <w:footnoteReference w:id="3"/>
      </w:r>
    </w:p>
    <w:p w:rsidR="007731E0" w:rsidP="00C77815" w:rsidRDefault="007731E0" w14:paraId="38E4D3C4"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 xml:space="preserve">Zijn er </w:t>
      </w:r>
      <w:r w:rsidRPr="64E7B5CA">
        <w:rPr>
          <w:rFonts w:ascii="Verdana" w:hAnsi="Verdana"/>
          <w:sz w:val="18"/>
          <w:szCs w:val="18"/>
        </w:rPr>
        <w:t>ontbrekende</w:t>
      </w:r>
      <w:r>
        <w:rPr>
          <w:rFonts w:ascii="Verdana" w:hAnsi="Verdana"/>
          <w:sz w:val="18"/>
          <w:szCs w:val="18"/>
        </w:rPr>
        <w:t xml:space="preserve"> evaluaties of evaluaties waarvan de kwaliteit onvoldoende is?</w:t>
      </w:r>
    </w:p>
    <w:p w:rsidR="007731E0" w:rsidP="00C77815" w:rsidRDefault="007731E0" w14:paraId="3D9CCAFD" w14:textId="77777777">
      <w:pPr>
        <w:pStyle w:val="Lijstalinea"/>
        <w:numPr>
          <w:ilvl w:val="0"/>
          <w:numId w:val="19"/>
        </w:numPr>
        <w:spacing w:after="0" w:line="240" w:lineRule="atLeast"/>
        <w:rPr>
          <w:rFonts w:ascii="Verdana" w:hAnsi="Verdana"/>
          <w:sz w:val="18"/>
          <w:szCs w:val="18"/>
        </w:rPr>
      </w:pPr>
      <w:r w:rsidRPr="6362B9D6">
        <w:rPr>
          <w:rFonts w:ascii="Verdana" w:hAnsi="Verdana"/>
          <w:sz w:val="18"/>
          <w:szCs w:val="18"/>
        </w:rPr>
        <w:t>Zijn er recent nieuwe beleidsinstrumenten ingezet die nog niet zijn geëvalueerd?</w:t>
      </w:r>
    </w:p>
    <w:p w:rsidRPr="00B9666A" w:rsidR="007731E0" w:rsidP="00C77815" w:rsidRDefault="007731E0" w14:paraId="43241C02" w14:textId="77777777">
      <w:pPr>
        <w:pStyle w:val="Lijstalinea"/>
        <w:numPr>
          <w:ilvl w:val="0"/>
          <w:numId w:val="19"/>
        </w:numPr>
        <w:spacing w:after="0" w:line="240" w:lineRule="atLeast"/>
        <w:rPr>
          <w:rFonts w:ascii="Verdana" w:hAnsi="Verdana"/>
          <w:sz w:val="18"/>
          <w:szCs w:val="18"/>
        </w:rPr>
      </w:pPr>
      <w:r w:rsidRPr="6362B9D6">
        <w:rPr>
          <w:rFonts w:ascii="Verdana" w:hAnsi="Verdana"/>
          <w:sz w:val="18"/>
          <w:szCs w:val="18"/>
        </w:rPr>
        <w:t>In hoeverre zijn de aanbevelingen uit de voorgaande beleidsdoorlichting</w:t>
      </w:r>
      <w:r>
        <w:rPr>
          <w:rStyle w:val="Voetnootmarkering"/>
          <w:rFonts w:ascii="Verdana" w:hAnsi="Verdana"/>
          <w:sz w:val="18"/>
          <w:szCs w:val="18"/>
        </w:rPr>
        <w:footnoteReference w:id="4"/>
      </w:r>
      <w:r w:rsidRPr="6362B9D6">
        <w:rPr>
          <w:rFonts w:ascii="Verdana" w:hAnsi="Verdana"/>
          <w:sz w:val="18"/>
          <w:szCs w:val="18"/>
        </w:rPr>
        <w:t xml:space="preserve"> opgevolgd?</w:t>
      </w:r>
    </w:p>
    <w:p w:rsidR="000304E7" w:rsidP="00C77815" w:rsidRDefault="000304E7" w14:paraId="63B9EB3E" w14:textId="77777777">
      <w:pPr>
        <w:rPr>
          <w:i/>
          <w:iCs/>
          <w:szCs w:val="18"/>
        </w:rPr>
      </w:pPr>
    </w:p>
    <w:p w:rsidRPr="004E1209" w:rsidR="007731E0" w:rsidP="00C77815" w:rsidRDefault="007731E0" w14:paraId="5B53593C" w14:textId="5870354F">
      <w:pPr>
        <w:rPr>
          <w:i/>
          <w:iCs/>
          <w:szCs w:val="18"/>
        </w:rPr>
      </w:pPr>
      <w:r w:rsidRPr="004E1209">
        <w:rPr>
          <w:i/>
          <w:iCs/>
          <w:szCs w:val="18"/>
        </w:rPr>
        <w:t>Doelstellingen en beleidstheorie</w:t>
      </w:r>
    </w:p>
    <w:p w:rsidR="007731E0" w:rsidP="00C77815" w:rsidRDefault="007731E0" w14:paraId="27932AD7"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Zijn de doelstellingen van artikel 1 voldoende helder en meetbaar voor beleid? Conform de aanbeveling uit de vorige rapportage wordt gevraagd afzonderlijk in te gaan op de drie afzonderlijke doelen.</w:t>
      </w:r>
    </w:p>
    <w:p w:rsidR="007731E0" w:rsidP="00C77815" w:rsidRDefault="007731E0" w14:paraId="53DF3DFD"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Zijn de beleidstheorieën van artikel 1 voldoende helder en adequaat voor beleid?</w:t>
      </w:r>
    </w:p>
    <w:p w:rsidR="000304E7" w:rsidP="00C77815" w:rsidRDefault="000304E7" w14:paraId="13DCDDFC" w14:textId="77777777">
      <w:pPr>
        <w:rPr>
          <w:i/>
          <w:iCs/>
          <w:szCs w:val="18"/>
        </w:rPr>
      </w:pPr>
    </w:p>
    <w:p w:rsidRPr="004E1209" w:rsidR="007731E0" w:rsidP="00C77815" w:rsidRDefault="007731E0" w14:paraId="365A027B" w14:textId="6A568298">
      <w:pPr>
        <w:rPr>
          <w:i/>
          <w:iCs/>
          <w:szCs w:val="18"/>
        </w:rPr>
      </w:pPr>
      <w:r w:rsidRPr="004E1209">
        <w:rPr>
          <w:i/>
          <w:iCs/>
          <w:szCs w:val="18"/>
        </w:rPr>
        <w:t>Doeltreffendheid</w:t>
      </w:r>
    </w:p>
    <w:p w:rsidR="007731E0" w:rsidP="00C77815" w:rsidRDefault="007731E0" w14:paraId="361DEDEB"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In hoeverre zijn de individuele instrumenten als doeltreffend</w:t>
      </w:r>
      <w:r>
        <w:rPr>
          <w:rStyle w:val="Voetnootmarkering"/>
          <w:rFonts w:ascii="Verdana" w:hAnsi="Verdana"/>
          <w:sz w:val="18"/>
          <w:szCs w:val="18"/>
        </w:rPr>
        <w:footnoteReference w:id="5"/>
      </w:r>
      <w:r>
        <w:rPr>
          <w:rFonts w:ascii="Verdana" w:hAnsi="Verdana"/>
          <w:sz w:val="18"/>
          <w:szCs w:val="18"/>
        </w:rPr>
        <w:t xml:space="preserve"> beoordeeld? Geef daarbij in een overzicht de hardheid van de uitspraken over doeltreffendheid aan cf. de effectladder.</w:t>
      </w:r>
    </w:p>
    <w:p w:rsidR="007731E0" w:rsidP="00C77815" w:rsidRDefault="007731E0" w14:paraId="353D23EB"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 xml:space="preserve">In hoeverre zijn de instrumenten gezamenlijk als doeltreffend te beoordelen (beleidsmix)? Geef daarbij aan of instrumenten elkaar goed aanvullen, met elkaar overlappen of met elkaar in strijd zijn qua doeltreffendheid. </w:t>
      </w:r>
    </w:p>
    <w:p w:rsidR="007731E0" w:rsidP="00C77815" w:rsidRDefault="007731E0" w14:paraId="0597B628" w14:textId="77777777">
      <w:pPr>
        <w:pStyle w:val="Lijstalinea"/>
        <w:numPr>
          <w:ilvl w:val="0"/>
          <w:numId w:val="19"/>
        </w:numPr>
        <w:spacing w:after="0" w:line="240" w:lineRule="atLeast"/>
        <w:rPr>
          <w:rFonts w:ascii="Verdana" w:hAnsi="Verdana"/>
          <w:sz w:val="18"/>
          <w:szCs w:val="18"/>
        </w:rPr>
      </w:pPr>
      <w:r w:rsidRPr="15930299">
        <w:rPr>
          <w:rFonts w:ascii="Verdana" w:hAnsi="Verdana"/>
          <w:sz w:val="18"/>
          <w:szCs w:val="18"/>
        </w:rPr>
        <w:t xml:space="preserve">In hoeverre zijn er </w:t>
      </w:r>
      <w:proofErr w:type="spellStart"/>
      <w:r w:rsidRPr="15930299">
        <w:rPr>
          <w:rFonts w:ascii="Verdana" w:hAnsi="Verdana"/>
          <w:sz w:val="18"/>
          <w:szCs w:val="18"/>
        </w:rPr>
        <w:t>KPI’s</w:t>
      </w:r>
      <w:proofErr w:type="spellEnd"/>
      <w:r w:rsidRPr="15930299">
        <w:rPr>
          <w:rFonts w:ascii="Verdana" w:hAnsi="Verdana"/>
          <w:sz w:val="18"/>
          <w:szCs w:val="18"/>
        </w:rPr>
        <w:t xml:space="preserve"> te overwegen om</w:t>
      </w:r>
      <w:r>
        <w:rPr>
          <w:rFonts w:ascii="Verdana" w:hAnsi="Verdana"/>
          <w:sz w:val="18"/>
          <w:szCs w:val="18"/>
        </w:rPr>
        <w:t xml:space="preserve"> de effectiviteit van</w:t>
      </w:r>
      <w:r w:rsidRPr="15930299">
        <w:rPr>
          <w:rFonts w:ascii="Verdana" w:hAnsi="Verdana"/>
          <w:sz w:val="18"/>
          <w:szCs w:val="18"/>
        </w:rPr>
        <w:t xml:space="preserve"> het beleid onder art. 1 beter te kunnen </w:t>
      </w:r>
      <w:r>
        <w:rPr>
          <w:rFonts w:ascii="Verdana" w:hAnsi="Verdana"/>
          <w:sz w:val="18"/>
          <w:szCs w:val="18"/>
        </w:rPr>
        <w:t>monitoren</w:t>
      </w:r>
      <w:r w:rsidRPr="15930299">
        <w:rPr>
          <w:rFonts w:ascii="Verdana" w:hAnsi="Verdana"/>
          <w:sz w:val="18"/>
          <w:szCs w:val="18"/>
        </w:rPr>
        <w:t>?</w:t>
      </w:r>
      <w:r>
        <w:rPr>
          <w:rFonts w:ascii="Verdana" w:hAnsi="Verdana"/>
          <w:sz w:val="18"/>
          <w:szCs w:val="18"/>
        </w:rPr>
        <w:t xml:space="preserve"> Zo ja, welke </w:t>
      </w:r>
      <w:proofErr w:type="spellStart"/>
      <w:r>
        <w:rPr>
          <w:rFonts w:ascii="Verdana" w:hAnsi="Verdana"/>
          <w:sz w:val="18"/>
          <w:szCs w:val="18"/>
        </w:rPr>
        <w:t>KPI’s</w:t>
      </w:r>
      <w:proofErr w:type="spellEnd"/>
      <w:r>
        <w:rPr>
          <w:rFonts w:ascii="Verdana" w:hAnsi="Verdana"/>
          <w:sz w:val="18"/>
          <w:szCs w:val="18"/>
        </w:rPr>
        <w:t xml:space="preserve"> zijn hiervoor het meest geschikt?</w:t>
      </w:r>
    </w:p>
    <w:p w:rsidR="007731E0" w:rsidP="00C77815" w:rsidRDefault="007731E0" w14:paraId="2833D075"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Welke neveneffecten en externe invloeden zijn er? Toets of deze neveneffecten en externe invloeden voldoende worden meegewogen in het beleid.</w:t>
      </w:r>
    </w:p>
    <w:p w:rsidR="007731E0" w:rsidP="00C77815" w:rsidRDefault="007731E0" w14:paraId="66D0ED9F"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Is de doeltreffendheid van artikel 1 beter te meten dan bij de vorige rapportage in 2021?</w:t>
      </w:r>
    </w:p>
    <w:p w:rsidR="007731E0" w:rsidP="00C77815" w:rsidRDefault="007731E0" w14:paraId="7838D3C9"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Welke maatregelen zijn nodig om doeltreffendheid te verbeteren?</w:t>
      </w:r>
    </w:p>
    <w:p w:rsidR="000304E7" w:rsidP="00C77815" w:rsidRDefault="000304E7" w14:paraId="082E587F" w14:textId="77777777">
      <w:pPr>
        <w:rPr>
          <w:i/>
          <w:iCs/>
          <w:szCs w:val="18"/>
        </w:rPr>
      </w:pPr>
    </w:p>
    <w:p w:rsidRPr="004E1209" w:rsidR="007731E0" w:rsidP="00C77815" w:rsidRDefault="007731E0" w14:paraId="3721BCDB" w14:textId="5AD71430">
      <w:pPr>
        <w:rPr>
          <w:i/>
          <w:iCs/>
          <w:szCs w:val="18"/>
        </w:rPr>
      </w:pPr>
      <w:r w:rsidRPr="004E1209">
        <w:rPr>
          <w:i/>
          <w:iCs/>
          <w:szCs w:val="18"/>
        </w:rPr>
        <w:t>Doelmatigheid</w:t>
      </w:r>
    </w:p>
    <w:p w:rsidR="007731E0" w:rsidP="00C77815" w:rsidRDefault="007731E0" w14:paraId="2456FAB2"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In hoeverre zijn de individuele instrumenten als doelmatig</w:t>
      </w:r>
      <w:r>
        <w:rPr>
          <w:rStyle w:val="Voetnootmarkering"/>
          <w:rFonts w:ascii="Verdana" w:hAnsi="Verdana"/>
          <w:sz w:val="18"/>
          <w:szCs w:val="18"/>
        </w:rPr>
        <w:footnoteReference w:id="6"/>
      </w:r>
      <w:r>
        <w:rPr>
          <w:rFonts w:ascii="Verdana" w:hAnsi="Verdana"/>
          <w:sz w:val="18"/>
          <w:szCs w:val="18"/>
        </w:rPr>
        <w:t xml:space="preserve"> beoordeeld? Geef daarbij in een overzicht de hardheid van de uitspraken over doelmatigheid aan.</w:t>
      </w:r>
    </w:p>
    <w:p w:rsidR="007731E0" w:rsidP="00C77815" w:rsidRDefault="007731E0" w14:paraId="37DC5009"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lastRenderedPageBreak/>
        <w:t>In hoeverre zijn de instrumenten gezamenlijk als doelmatig te beoordelen (beleidsmix)?</w:t>
      </w:r>
    </w:p>
    <w:p w:rsidR="007731E0" w:rsidP="00C77815" w:rsidRDefault="007731E0" w14:paraId="19F74D27"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Is de doelmatigheid van artikel 1 beter te meten dan bij de vorige rapportage in 2021?</w:t>
      </w:r>
    </w:p>
    <w:p w:rsidR="007731E0" w:rsidP="00C77815" w:rsidRDefault="007731E0" w14:paraId="3F578984" w14:textId="77777777">
      <w:pPr>
        <w:pStyle w:val="Lijstalinea"/>
        <w:numPr>
          <w:ilvl w:val="0"/>
          <w:numId w:val="19"/>
        </w:numPr>
        <w:spacing w:after="0" w:line="240" w:lineRule="atLeast"/>
        <w:rPr>
          <w:rFonts w:ascii="Verdana" w:hAnsi="Verdana"/>
          <w:sz w:val="18"/>
          <w:szCs w:val="18"/>
        </w:rPr>
      </w:pPr>
      <w:r>
        <w:rPr>
          <w:rFonts w:ascii="Verdana" w:hAnsi="Verdana"/>
          <w:sz w:val="18"/>
          <w:szCs w:val="18"/>
        </w:rPr>
        <w:t>Welke maatregelen zijn nodig om doelmatigheid te verbeteren?</w:t>
      </w:r>
    </w:p>
    <w:p w:rsidR="000304E7" w:rsidP="00C77815" w:rsidRDefault="000304E7" w14:paraId="0B5667BE" w14:textId="77777777">
      <w:pPr>
        <w:rPr>
          <w:i/>
          <w:iCs/>
          <w:szCs w:val="18"/>
        </w:rPr>
      </w:pPr>
    </w:p>
    <w:p w:rsidRPr="004E1209" w:rsidR="007731E0" w:rsidP="00C77815" w:rsidRDefault="007731E0" w14:paraId="1C435736" w14:textId="7E0B1CA2">
      <w:pPr>
        <w:rPr>
          <w:i/>
          <w:iCs/>
          <w:szCs w:val="18"/>
        </w:rPr>
      </w:pPr>
      <w:r w:rsidRPr="004E1209">
        <w:rPr>
          <w:i/>
          <w:iCs/>
          <w:szCs w:val="18"/>
        </w:rPr>
        <w:t>Scenarioschets budget</w:t>
      </w:r>
    </w:p>
    <w:p w:rsidRPr="00842A80" w:rsidR="007731E0" w:rsidP="00C77815" w:rsidRDefault="007731E0" w14:paraId="5E756651" w14:textId="77777777">
      <w:pPr>
        <w:pStyle w:val="Lijstalinea"/>
        <w:numPr>
          <w:ilvl w:val="0"/>
          <w:numId w:val="19"/>
        </w:numPr>
        <w:spacing w:after="0" w:line="240" w:lineRule="atLeast"/>
        <w:rPr>
          <w:rFonts w:ascii="Verdana" w:hAnsi="Verdana"/>
          <w:sz w:val="18"/>
          <w:szCs w:val="18"/>
        </w:rPr>
      </w:pPr>
      <w:r w:rsidRPr="15930299">
        <w:rPr>
          <w:rFonts w:ascii="Verdana" w:hAnsi="Verdana"/>
          <w:sz w:val="18"/>
          <w:szCs w:val="18"/>
        </w:rPr>
        <w:t>Wat zijn de beleidseffecten indien er 20% minder budget beschikbaar is?</w:t>
      </w:r>
      <w:r>
        <w:rPr>
          <w:rStyle w:val="Voetnootmarkering"/>
          <w:rFonts w:ascii="Verdana" w:hAnsi="Verdana"/>
          <w:sz w:val="18"/>
          <w:szCs w:val="18"/>
        </w:rPr>
        <w:footnoteReference w:id="7"/>
      </w:r>
      <w:r>
        <w:rPr>
          <w:rFonts w:ascii="Verdana" w:hAnsi="Verdana"/>
          <w:sz w:val="18"/>
          <w:szCs w:val="18"/>
        </w:rPr>
        <w:t xml:space="preserve"> </w:t>
      </w:r>
      <w:r w:rsidRPr="15930299">
        <w:rPr>
          <w:rFonts w:ascii="Verdana" w:hAnsi="Verdana"/>
          <w:sz w:val="18"/>
          <w:szCs w:val="18"/>
        </w:rPr>
        <w:t>Welke beleidsopties zijn mogelijk? Werk daarbij in scenario’s.</w:t>
      </w:r>
    </w:p>
    <w:p w:rsidR="007731E0" w:rsidP="00C77815" w:rsidRDefault="007731E0" w14:paraId="58E31800" w14:textId="77777777">
      <w:pPr>
        <w:rPr>
          <w:b/>
          <w:bCs/>
          <w:szCs w:val="18"/>
        </w:rPr>
      </w:pPr>
    </w:p>
    <w:p w:rsidR="007731E0" w:rsidP="00C77815" w:rsidRDefault="007731E0" w14:paraId="1B1CAB64" w14:textId="77777777">
      <w:pPr>
        <w:rPr>
          <w:b/>
          <w:bCs/>
          <w:szCs w:val="18"/>
        </w:rPr>
      </w:pPr>
      <w:r>
        <w:rPr>
          <w:b/>
          <w:bCs/>
          <w:szCs w:val="18"/>
        </w:rPr>
        <w:t>Borging kwaliteit en planning</w:t>
      </w:r>
    </w:p>
    <w:p w:rsidRPr="00BC6848" w:rsidR="007731E0" w:rsidP="00C77815" w:rsidRDefault="007731E0" w14:paraId="35E7EAAE" w14:textId="77777777">
      <w:pPr>
        <w:rPr>
          <w:szCs w:val="18"/>
        </w:rPr>
      </w:pPr>
      <w:r w:rsidRPr="00BC6848">
        <w:rPr>
          <w:szCs w:val="18"/>
        </w:rPr>
        <w:t>Bij de uitvoering van onderzoek naar de doeltreffendheid en doelmatigheid wordt minimaal één onafhankelijke deskundige</w:t>
      </w:r>
      <w:r>
        <w:rPr>
          <w:szCs w:val="18"/>
        </w:rPr>
        <w:t xml:space="preserve"> en eventueel een externe voorzitter</w:t>
      </w:r>
      <w:r w:rsidRPr="00BC6848">
        <w:rPr>
          <w:szCs w:val="18"/>
        </w:rPr>
        <w:t xml:space="preserve"> betrokken om te waarborgen dat het onderzoek voldoet aan de vereiste kwaliteitseisen. Het is gebruikelijk dat de onafhankelijke deskundige(n) zitting neemt in de begeleidingscommissie. De manier waarop de onafhankelijke deskundige(n) zal worden betrokken zal in het rapport worden beschreven. Bij de oplevering van de </w:t>
      </w:r>
      <w:r>
        <w:rPr>
          <w:szCs w:val="18"/>
        </w:rPr>
        <w:t>rapportage</w:t>
      </w:r>
      <w:r w:rsidRPr="00BC6848">
        <w:rPr>
          <w:szCs w:val="18"/>
        </w:rPr>
        <w:t xml:space="preserve"> zal de deskundige(n) worden gevraagd om een onafhankelijke verklaring op te stellen over de kwaliteit van het onderzoek. </w:t>
      </w:r>
    </w:p>
    <w:p w:rsidR="007731E0" w:rsidP="00C77815" w:rsidRDefault="007731E0" w14:paraId="1D22D667" w14:textId="77777777">
      <w:pPr>
        <w:rPr>
          <w:szCs w:val="18"/>
        </w:rPr>
      </w:pPr>
    </w:p>
    <w:p w:rsidRPr="00BC6848" w:rsidR="007731E0" w:rsidP="00C77815" w:rsidRDefault="007731E0" w14:paraId="5C87E1F1" w14:textId="77777777">
      <w:pPr>
        <w:rPr>
          <w:szCs w:val="18"/>
        </w:rPr>
      </w:pPr>
      <w:r>
        <w:rPr>
          <w:szCs w:val="18"/>
        </w:rPr>
        <w:t>Ik streef ernaar in januari 2027 met het onderzoek te starten en uw Kamer eind 2027 te informeren over de uitkomsten van de periodieke rapportage en het oordeel van de onafhankelijke deskundige.</w:t>
      </w:r>
    </w:p>
    <w:p w:rsidR="007731E0" w:rsidP="00C77815" w:rsidRDefault="007731E0" w14:paraId="63F3C10D" w14:textId="77777777">
      <w:pPr>
        <w:rPr>
          <w:b/>
          <w:bCs/>
          <w:szCs w:val="18"/>
        </w:rPr>
      </w:pPr>
    </w:p>
    <w:p w:rsidRPr="005C65B5" w:rsidR="007731E0" w:rsidP="00C77815" w:rsidRDefault="007731E0" w14:paraId="1941FC26" w14:textId="77777777"/>
    <w:p w:rsidR="007731E0" w:rsidP="00C77815" w:rsidRDefault="007731E0" w14:paraId="1372EAEA" w14:textId="77777777"/>
    <w:p w:rsidRPr="005C65B5" w:rsidR="000304E7" w:rsidP="00C77815" w:rsidRDefault="000304E7" w14:paraId="25443EAF" w14:textId="77777777"/>
    <w:p w:rsidRPr="00591E4A" w:rsidR="007731E0" w:rsidP="00C77815" w:rsidRDefault="007731E0" w14:paraId="3AAAD3D2" w14:textId="77777777">
      <w:pPr>
        <w:rPr>
          <w:szCs w:val="18"/>
        </w:rPr>
      </w:pPr>
      <w:r>
        <w:rPr>
          <w:szCs w:val="18"/>
        </w:rPr>
        <w:t>Heleen Herbert</w:t>
      </w:r>
    </w:p>
    <w:p w:rsidRPr="00012B4F" w:rsidR="007731E0" w:rsidP="00C77815" w:rsidRDefault="007731E0" w14:paraId="468CFDB3" w14:textId="77777777">
      <w:r w:rsidRPr="005C65B5">
        <w:t>Minister van Economische Zaken</w:t>
      </w:r>
      <w:r>
        <w:t xml:space="preserve"> en Klimaat</w:t>
      </w:r>
    </w:p>
    <w:p w:rsidRPr="00012B4F" w:rsidR="004E505E" w:rsidP="00C77815" w:rsidRDefault="004E505E" w14:paraId="5A90E438" w14:textId="4AAAA18B">
      <w:pPr>
        <w:pStyle w:val="Geenafstand"/>
        <w:spacing w:line="240" w:lineRule="atLeast"/>
      </w:pPr>
    </w:p>
    <w:sectPr w:rsidRPr="00012B4F" w:rsidR="004E505E" w:rsidSect="00D604B3">
      <w:headerReference w:type="default"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3CB6" w14:textId="77777777" w:rsidR="0030534E" w:rsidRDefault="0030534E">
      <w:r>
        <w:separator/>
      </w:r>
    </w:p>
    <w:p w14:paraId="4B1A013C" w14:textId="77777777" w:rsidR="0030534E" w:rsidRDefault="0030534E"/>
  </w:endnote>
  <w:endnote w:type="continuationSeparator" w:id="0">
    <w:p w14:paraId="1B4E0A0F" w14:textId="77777777" w:rsidR="0030534E" w:rsidRDefault="0030534E">
      <w:r>
        <w:continuationSeparator/>
      </w:r>
    </w:p>
    <w:p w14:paraId="1BE4A2DD" w14:textId="77777777" w:rsidR="0030534E" w:rsidRDefault="00305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B55D" w14:textId="64FFC94B" w:rsidR="00527BD4" w:rsidRPr="00BC3B53" w:rsidRDefault="00527BD4" w:rsidP="008C356D">
    <w:pPr>
      <w:pStyle w:val="Voettekst"/>
      <w:spacing w:line="240" w:lineRule="auto"/>
      <w:rPr>
        <w:sz w:val="2"/>
        <w:szCs w:val="2"/>
      </w:rPr>
    </w:pPr>
  </w:p>
  <w:tbl>
    <w:tblPr>
      <w:tblW w:w="11913" w:type="dxa"/>
      <w:tblLayout w:type="fixed"/>
      <w:tblCellMar>
        <w:left w:w="0" w:type="dxa"/>
        <w:right w:w="0" w:type="dxa"/>
      </w:tblCellMar>
      <w:tblLook w:val="0000" w:firstRow="0" w:lastRow="0" w:firstColumn="0" w:lastColumn="0" w:noHBand="0" w:noVBand="0"/>
    </w:tblPr>
    <w:tblGrid>
      <w:gridCol w:w="7601"/>
      <w:gridCol w:w="2156"/>
      <w:gridCol w:w="2156"/>
    </w:tblGrid>
    <w:tr w:rsidR="006234C2" w14:paraId="65357814" w14:textId="77777777" w:rsidTr="006D1737">
      <w:trPr>
        <w:trHeight w:hRule="exact" w:val="240"/>
      </w:trPr>
      <w:tc>
        <w:tcPr>
          <w:tcW w:w="7601" w:type="dxa"/>
        </w:tcPr>
        <w:p w14:paraId="274B9F15" w14:textId="77777777" w:rsidR="006D1737" w:rsidRDefault="006D1737" w:rsidP="006D1737">
          <w:pPr>
            <w:pStyle w:val="Huisstijl-Rubricering"/>
          </w:pPr>
        </w:p>
      </w:tc>
      <w:tc>
        <w:tcPr>
          <w:tcW w:w="2156" w:type="dxa"/>
        </w:tcPr>
        <w:p w14:paraId="1B22AA7E" w14:textId="66A0BA62" w:rsidR="006D1737" w:rsidRPr="00645414" w:rsidRDefault="005B1F1D" w:rsidP="006D1737">
          <w:pPr>
            <w:pStyle w:val="Huisstijl-Paginanummering"/>
          </w:pPr>
          <w:r>
            <w:t xml:space="preserve">Pagina </w:t>
          </w:r>
          <w:r w:rsidR="001A6AF9" w:rsidRPr="00645414">
            <w:fldChar w:fldCharType="begin"/>
          </w:r>
          <w:r w:rsidR="001A6AF9" w:rsidRPr="00645414">
            <w:instrText xml:space="preserve"> PAGE   \* MERGEFORMAT </w:instrText>
          </w:r>
          <w:r w:rsidR="001A6AF9" w:rsidRPr="00645414">
            <w:fldChar w:fldCharType="separate"/>
          </w:r>
          <w:r w:rsidR="001A6AF9">
            <w:t>2</w:t>
          </w:r>
          <w:r w:rsidR="001A6AF9" w:rsidRPr="00645414">
            <w:fldChar w:fldCharType="end"/>
          </w:r>
          <w:r>
            <w:t xml:space="preserve"> van </w:t>
          </w:r>
          <w:r w:rsidR="00D72F45">
            <w:fldChar w:fldCharType="begin"/>
          </w:r>
          <w:r>
            <w:instrText xml:space="preserve"> SECTIONPAGES   \* MERGEFORMAT </w:instrText>
          </w:r>
          <w:r w:rsidR="00D72F45">
            <w:fldChar w:fldCharType="separate"/>
          </w:r>
          <w:r w:rsidR="009E1C08">
            <w:t>5</w:t>
          </w:r>
          <w:r w:rsidR="00D72F45">
            <w:fldChar w:fldCharType="end"/>
          </w:r>
          <w:r w:rsidRPr="00ED539E">
            <w:t xml:space="preserve"> </w:t>
          </w:r>
        </w:p>
      </w:tc>
      <w:tc>
        <w:tcPr>
          <w:tcW w:w="2156" w:type="dxa"/>
        </w:tcPr>
        <w:p w14:paraId="1BF370A7" w14:textId="77777777" w:rsidR="006D1737" w:rsidRPr="00645414" w:rsidRDefault="005B1F1D" w:rsidP="006D1737">
          <w:pPr>
            <w:pStyle w:val="Huisstijl-Paginanummering"/>
          </w:pPr>
          <w:r w:rsidRPr="00645414">
            <w:t xml:space="preserve"> </w:t>
          </w:r>
        </w:p>
      </w:tc>
    </w:tr>
  </w:tbl>
  <w:p w14:paraId="4F4C870F"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234C2" w14:paraId="6BA76AF2" w14:textId="77777777" w:rsidTr="00CA6A25">
      <w:trPr>
        <w:trHeight w:hRule="exact" w:val="240"/>
      </w:trPr>
      <w:tc>
        <w:tcPr>
          <w:tcW w:w="7601" w:type="dxa"/>
        </w:tcPr>
        <w:p w14:paraId="27EE8007" w14:textId="1A024AE4" w:rsidR="00527BD4" w:rsidRDefault="00527BD4" w:rsidP="008C356D">
          <w:pPr>
            <w:pStyle w:val="Huisstijl-Rubricering"/>
          </w:pPr>
        </w:p>
      </w:tc>
      <w:tc>
        <w:tcPr>
          <w:tcW w:w="2170" w:type="dxa"/>
        </w:tcPr>
        <w:p w14:paraId="03B2565A" w14:textId="7D83FACF" w:rsidR="00527BD4" w:rsidRPr="00ED539E" w:rsidRDefault="005B1F1D" w:rsidP="00ED539E">
          <w:pPr>
            <w:pStyle w:val="Huisstijl-Paginanummering"/>
          </w:pPr>
          <w:r>
            <w:t xml:space="preserve">Pagina </w:t>
          </w:r>
          <w:r w:rsidRPr="00645414">
            <w:fldChar w:fldCharType="begin"/>
          </w:r>
          <w:r w:rsidRPr="00645414">
            <w:instrText xml:space="preserve"> PAGE   \* MERGEFORMAT </w:instrText>
          </w:r>
          <w:r w:rsidRPr="00645414">
            <w:fldChar w:fldCharType="separate"/>
          </w:r>
          <w:r>
            <w:t>1</w:t>
          </w:r>
          <w:r w:rsidRPr="00645414">
            <w:fldChar w:fldCharType="end"/>
          </w:r>
          <w:r>
            <w:t xml:space="preserve"> van </w:t>
          </w:r>
          <w:r w:rsidR="004B0F05">
            <w:fldChar w:fldCharType="begin"/>
          </w:r>
          <w:r>
            <w:instrText xml:space="preserve"> SECTIONPAGES   \* MERGEFORMAT </w:instrText>
          </w:r>
          <w:r w:rsidR="004B0F05">
            <w:fldChar w:fldCharType="separate"/>
          </w:r>
          <w:r w:rsidR="009E1C08">
            <w:t>5</w:t>
          </w:r>
          <w:r w:rsidR="004B0F05">
            <w:fldChar w:fldCharType="end"/>
          </w:r>
        </w:p>
      </w:tc>
    </w:tr>
  </w:tbl>
  <w:p w14:paraId="10BEC538" w14:textId="77777777" w:rsidR="00527BD4" w:rsidRPr="00BC3B53" w:rsidRDefault="00527BD4" w:rsidP="008C356D">
    <w:pPr>
      <w:pStyle w:val="Voettekst"/>
      <w:spacing w:line="240" w:lineRule="auto"/>
      <w:rPr>
        <w:sz w:val="2"/>
        <w:szCs w:val="2"/>
      </w:rPr>
    </w:pPr>
  </w:p>
  <w:p w14:paraId="01A0C034"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2B23E" w14:textId="77777777" w:rsidR="0030534E" w:rsidRDefault="0030534E">
      <w:r>
        <w:separator/>
      </w:r>
    </w:p>
    <w:p w14:paraId="53ACB03E" w14:textId="77777777" w:rsidR="0030534E" w:rsidRDefault="0030534E"/>
  </w:footnote>
  <w:footnote w:type="continuationSeparator" w:id="0">
    <w:p w14:paraId="3AADF4D9" w14:textId="77777777" w:rsidR="0030534E" w:rsidRDefault="0030534E">
      <w:r>
        <w:continuationSeparator/>
      </w:r>
    </w:p>
    <w:p w14:paraId="3E96F9E8" w14:textId="77777777" w:rsidR="0030534E" w:rsidRDefault="0030534E"/>
  </w:footnote>
  <w:footnote w:id="1">
    <w:p w14:paraId="29ED90C6" w14:textId="77777777" w:rsidR="007731E0" w:rsidRDefault="007731E0" w:rsidP="007731E0">
      <w:pPr>
        <w:pStyle w:val="Voetnoottekst"/>
      </w:pPr>
      <w:r>
        <w:rPr>
          <w:rStyle w:val="Voetnootmarkering"/>
        </w:rPr>
        <w:footnoteRef/>
      </w:r>
      <w:r>
        <w:t xml:space="preserve"> </w:t>
      </w:r>
      <w:hyperlink r:id="rId1" w:history="1">
        <w:r w:rsidRPr="00021878">
          <w:rPr>
            <w:rStyle w:val="Hyperlink"/>
          </w:rPr>
          <w:t xml:space="preserve">Kamerstukken 30 991, </w:t>
        </w:r>
        <w:proofErr w:type="spellStart"/>
        <w:r w:rsidRPr="00021878">
          <w:rPr>
            <w:rStyle w:val="Hyperlink"/>
          </w:rPr>
          <w:t>nr</w:t>
        </w:r>
        <w:proofErr w:type="spellEnd"/>
        <w:r w:rsidRPr="00021878">
          <w:rPr>
            <w:rStyle w:val="Hyperlink"/>
          </w:rPr>
          <w:t xml:space="preserve"> 37</w:t>
        </w:r>
      </w:hyperlink>
    </w:p>
  </w:footnote>
  <w:footnote w:id="2">
    <w:p w14:paraId="19D7C01E" w14:textId="77777777" w:rsidR="007731E0" w:rsidRDefault="007731E0" w:rsidP="007731E0">
      <w:pPr>
        <w:pStyle w:val="Voetnoottekst"/>
      </w:pPr>
      <w:r>
        <w:rPr>
          <w:rStyle w:val="Voetnootmarkering"/>
        </w:rPr>
        <w:footnoteRef/>
      </w:r>
      <w:r>
        <w:t xml:space="preserve"> </w:t>
      </w:r>
      <w:hyperlink r:id="rId2" w:history="1">
        <w:r w:rsidRPr="0011467E">
          <w:rPr>
            <w:rStyle w:val="Hyperlink"/>
          </w:rPr>
          <w:t>wetten.nl - Regeling - Regeling periodiek evaluatieonderzoek 2022 - BWBR0046970</w:t>
        </w:r>
      </w:hyperlink>
    </w:p>
  </w:footnote>
  <w:footnote w:id="3">
    <w:p w14:paraId="04F1FD9E" w14:textId="77777777" w:rsidR="007731E0" w:rsidRPr="00ED6CA7" w:rsidRDefault="007731E0" w:rsidP="007731E0">
      <w:pPr>
        <w:pStyle w:val="Voetnoottekst"/>
        <w:rPr>
          <w:sz w:val="14"/>
          <w:szCs w:val="14"/>
        </w:rPr>
      </w:pPr>
      <w:r>
        <w:rPr>
          <w:rStyle w:val="Voetnootmarkering"/>
        </w:rPr>
        <w:footnoteRef/>
      </w:r>
      <w:r>
        <w:t xml:space="preserve"> </w:t>
      </w:r>
      <w:r w:rsidRPr="00ED6CA7">
        <w:rPr>
          <w:sz w:val="14"/>
          <w:szCs w:val="14"/>
        </w:rPr>
        <w:t>Zie</w:t>
      </w:r>
      <w:r>
        <w:rPr>
          <w:sz w:val="14"/>
          <w:szCs w:val="14"/>
        </w:rPr>
        <w:t xml:space="preserve"> bijlage</w:t>
      </w:r>
      <w:r w:rsidRPr="00ED6CA7">
        <w:rPr>
          <w:sz w:val="14"/>
          <w:szCs w:val="14"/>
        </w:rPr>
        <w:t xml:space="preserve"> ‘Overzicht uitgevoerde en lopende evaluaties 2021-2026’</w:t>
      </w:r>
    </w:p>
  </w:footnote>
  <w:footnote w:id="4">
    <w:p w14:paraId="529B4B26" w14:textId="77777777" w:rsidR="007731E0" w:rsidRDefault="007731E0" w:rsidP="007731E0">
      <w:pPr>
        <w:pStyle w:val="Voetnoottekst"/>
      </w:pPr>
      <w:r w:rsidRPr="00ED6CA7">
        <w:rPr>
          <w:rStyle w:val="Voetnootmarkering"/>
          <w:sz w:val="14"/>
          <w:szCs w:val="14"/>
        </w:rPr>
        <w:footnoteRef/>
      </w:r>
      <w:r w:rsidRPr="00ED6CA7">
        <w:rPr>
          <w:sz w:val="14"/>
          <w:szCs w:val="14"/>
        </w:rPr>
        <w:t xml:space="preserve"> </w:t>
      </w:r>
      <w:hyperlink r:id="rId3" w:history="1">
        <w:r w:rsidRPr="00ED6CA7">
          <w:rPr>
            <w:rStyle w:val="Hyperlink"/>
            <w:sz w:val="14"/>
            <w:szCs w:val="14"/>
          </w:rPr>
          <w:t>Kamerstukken 30991, nr. 37</w:t>
        </w:r>
      </w:hyperlink>
    </w:p>
  </w:footnote>
  <w:footnote w:id="5">
    <w:p w14:paraId="2A9EC5DA" w14:textId="77777777" w:rsidR="007731E0" w:rsidRPr="00ED6CA7" w:rsidRDefault="007731E0" w:rsidP="007731E0">
      <w:pPr>
        <w:pStyle w:val="Voetnoottekst"/>
        <w:rPr>
          <w:sz w:val="14"/>
          <w:szCs w:val="14"/>
        </w:rPr>
      </w:pPr>
      <w:r w:rsidRPr="00ED6CA7">
        <w:rPr>
          <w:rStyle w:val="Voetnootmarkering"/>
          <w:sz w:val="14"/>
          <w:szCs w:val="14"/>
        </w:rPr>
        <w:footnoteRef/>
      </w:r>
      <w:r w:rsidRPr="00ED6CA7">
        <w:rPr>
          <w:sz w:val="14"/>
          <w:szCs w:val="14"/>
        </w:rPr>
        <w:t xml:space="preserve"> Op basis van definitie doeltreffendheid in </w:t>
      </w:r>
      <w:hyperlink r:id="rId4" w:history="1">
        <w:r w:rsidRPr="00ED6CA7">
          <w:rPr>
            <w:rStyle w:val="Hyperlink"/>
            <w:sz w:val="14"/>
            <w:szCs w:val="14"/>
          </w:rPr>
          <w:t>artikel 1 Regeling periodiek evaluatieonderzoek</w:t>
        </w:r>
      </w:hyperlink>
    </w:p>
  </w:footnote>
  <w:footnote w:id="6">
    <w:p w14:paraId="2818F5E4" w14:textId="77777777" w:rsidR="007731E0" w:rsidRPr="00072D6A" w:rsidRDefault="007731E0" w:rsidP="007731E0">
      <w:pPr>
        <w:pStyle w:val="Voetnoottekst"/>
        <w:rPr>
          <w:sz w:val="16"/>
          <w:szCs w:val="16"/>
        </w:rPr>
      </w:pPr>
      <w:r w:rsidRPr="00ED6CA7">
        <w:rPr>
          <w:rStyle w:val="Voetnootmarkering"/>
          <w:sz w:val="14"/>
          <w:szCs w:val="14"/>
        </w:rPr>
        <w:footnoteRef/>
      </w:r>
      <w:r w:rsidRPr="00ED6CA7">
        <w:rPr>
          <w:sz w:val="14"/>
          <w:szCs w:val="14"/>
        </w:rPr>
        <w:t xml:space="preserve"> Op basis van definitie doelmatigheid van </w:t>
      </w:r>
      <w:hyperlink r:id="rId5" w:history="1">
        <w:r w:rsidRPr="00ED6CA7">
          <w:rPr>
            <w:rStyle w:val="Hyperlink"/>
            <w:sz w:val="14"/>
            <w:szCs w:val="14"/>
          </w:rPr>
          <w:t>artikel 1 Regeling periodiek evaluatieonderzoek 2022</w:t>
        </w:r>
      </w:hyperlink>
    </w:p>
  </w:footnote>
  <w:footnote w:id="7">
    <w:p w14:paraId="609E006C" w14:textId="77777777" w:rsidR="007731E0" w:rsidRDefault="007731E0" w:rsidP="007731E0">
      <w:pPr>
        <w:pStyle w:val="Huisstijl-Gegeven"/>
      </w:pPr>
      <w:r>
        <w:rPr>
          <w:rStyle w:val="Voetnootmarkering"/>
        </w:rPr>
        <w:footnoteRef/>
      </w:r>
      <w:r>
        <w:t xml:space="preserve"> </w:t>
      </w:r>
      <w:r w:rsidRPr="00ED6CA7">
        <w:rPr>
          <w:sz w:val="14"/>
          <w:szCs w:val="14"/>
        </w:rPr>
        <w:t xml:space="preserve">Zie </w:t>
      </w:r>
      <w:r>
        <w:rPr>
          <w:sz w:val="14"/>
          <w:szCs w:val="14"/>
        </w:rPr>
        <w:t xml:space="preserve">bijlage </w:t>
      </w:r>
      <w:r w:rsidRPr="00ED6CA7">
        <w:rPr>
          <w:sz w:val="14"/>
          <w:szCs w:val="14"/>
        </w:rPr>
        <w:t>‘</w:t>
      </w:r>
      <w:r>
        <w:t>Begroting artikel 1 2021-2026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234C2" w14:paraId="272B2B58" w14:textId="77777777" w:rsidTr="00A50CF6">
      <w:tc>
        <w:tcPr>
          <w:tcW w:w="2156" w:type="dxa"/>
        </w:tcPr>
        <w:p w14:paraId="4D03D5BA" w14:textId="77777777" w:rsidR="00527BD4" w:rsidRPr="00624D22" w:rsidRDefault="005B1F1D" w:rsidP="00A50CF6">
          <w:pPr>
            <w:pStyle w:val="Huisstijl-Adres"/>
            <w:rPr>
              <w:b/>
            </w:rPr>
          </w:pPr>
          <w:r>
            <w:rPr>
              <w:b/>
            </w:rPr>
            <w:t>Directoraat-generaal Economie en Digitalisering</w:t>
          </w:r>
        </w:p>
      </w:tc>
    </w:tr>
    <w:tr w:rsidR="006234C2" w14:paraId="04AC499C" w14:textId="77777777" w:rsidTr="00A50CF6">
      <w:trPr>
        <w:trHeight w:hRule="exact" w:val="200"/>
      </w:trPr>
      <w:tc>
        <w:tcPr>
          <w:tcW w:w="2156" w:type="dxa"/>
        </w:tcPr>
        <w:p w14:paraId="3E2AA297" w14:textId="77777777" w:rsidR="00527BD4" w:rsidRPr="005819CE" w:rsidRDefault="00527BD4" w:rsidP="00A50CF6"/>
      </w:tc>
    </w:tr>
    <w:tr w:rsidR="006234C2" w14:paraId="115C8F69" w14:textId="77777777" w:rsidTr="00502512">
      <w:trPr>
        <w:trHeight w:hRule="exact" w:val="774"/>
      </w:trPr>
      <w:tc>
        <w:tcPr>
          <w:tcW w:w="2156" w:type="dxa"/>
        </w:tcPr>
        <w:p w14:paraId="60909579" w14:textId="77777777" w:rsidR="00527BD4" w:rsidRDefault="00527BD4" w:rsidP="003A5290">
          <w:pPr>
            <w:pStyle w:val="Huisstijl-Kopje"/>
          </w:pPr>
        </w:p>
        <w:p w14:paraId="25C33ED1" w14:textId="77777777" w:rsidR="00502512" w:rsidRPr="00502512" w:rsidRDefault="005B1F1D" w:rsidP="003A5290">
          <w:pPr>
            <w:pStyle w:val="Huisstijl-Kopje"/>
            <w:rPr>
              <w:b w:val="0"/>
            </w:rPr>
          </w:pPr>
          <w:r>
            <w:rPr>
              <w:b w:val="0"/>
            </w:rPr>
            <w:t>DGED</w:t>
          </w:r>
          <w:r w:rsidRPr="00502512">
            <w:rPr>
              <w:b w:val="0"/>
            </w:rPr>
            <w:t xml:space="preserve"> / </w:t>
          </w:r>
          <w:r>
            <w:rPr>
              <w:b w:val="0"/>
            </w:rPr>
            <w:t>107286333</w:t>
          </w:r>
        </w:p>
        <w:p w14:paraId="4E4D9511" w14:textId="77777777" w:rsidR="00527BD4" w:rsidRPr="005819CE" w:rsidRDefault="00527BD4" w:rsidP="00361A56">
          <w:pPr>
            <w:pStyle w:val="Huisstijl-Kopje"/>
          </w:pPr>
        </w:p>
      </w:tc>
    </w:tr>
  </w:tbl>
  <w:p w14:paraId="26F667A4" w14:textId="77777777" w:rsidR="00527BD4" w:rsidRDefault="00527BD4" w:rsidP="008C356D">
    <w:pPr>
      <w:pStyle w:val="Koptekst"/>
      <w:rPr>
        <w:rFonts w:cs="Verdana-Bold"/>
        <w:b/>
        <w:bCs/>
        <w:smallCaps/>
        <w:szCs w:val="18"/>
      </w:rPr>
    </w:pPr>
  </w:p>
  <w:p w14:paraId="55F2D6C5" w14:textId="77777777" w:rsidR="00527BD4" w:rsidRDefault="00527BD4" w:rsidP="008C356D"/>
  <w:p w14:paraId="60261563" w14:textId="77777777" w:rsidR="00527BD4" w:rsidRPr="00740712" w:rsidRDefault="00527BD4" w:rsidP="008C356D"/>
  <w:p w14:paraId="300F5E4B" w14:textId="77777777" w:rsidR="00527BD4" w:rsidRPr="00217880" w:rsidRDefault="00527BD4" w:rsidP="008C356D">
    <w:pPr>
      <w:spacing w:line="0" w:lineRule="atLeast"/>
      <w:rPr>
        <w:sz w:val="2"/>
        <w:szCs w:val="2"/>
      </w:rPr>
    </w:pPr>
  </w:p>
  <w:p w14:paraId="58A1293A" w14:textId="77777777" w:rsidR="00527BD4" w:rsidRDefault="00527BD4" w:rsidP="004F44C2">
    <w:pPr>
      <w:pStyle w:val="Koptekst"/>
      <w:rPr>
        <w:rFonts w:cs="Verdana-Bold"/>
        <w:b/>
        <w:bCs/>
        <w:smallCaps/>
        <w:szCs w:val="18"/>
      </w:rPr>
    </w:pPr>
  </w:p>
  <w:p w14:paraId="39B788F0" w14:textId="77777777" w:rsidR="00527BD4" w:rsidRDefault="00527BD4" w:rsidP="004F44C2"/>
  <w:p w14:paraId="510D241F" w14:textId="77777777" w:rsidR="00624D22" w:rsidRDefault="00624D22" w:rsidP="004F44C2"/>
  <w:p w14:paraId="002F974D" w14:textId="77777777" w:rsidR="00624D22" w:rsidRDefault="00624D22" w:rsidP="004F44C2"/>
  <w:p w14:paraId="3CCC16E0" w14:textId="77777777" w:rsidR="00527BD4" w:rsidRPr="00740712" w:rsidRDefault="00527BD4" w:rsidP="004F44C2"/>
  <w:p w14:paraId="7C96682A"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6234C2" w14:paraId="6E3501DB" w14:textId="77777777" w:rsidTr="00751A6A">
      <w:trPr>
        <w:trHeight w:val="2636"/>
      </w:trPr>
      <w:tc>
        <w:tcPr>
          <w:tcW w:w="737" w:type="dxa"/>
        </w:tcPr>
        <w:p w14:paraId="29167C0A" w14:textId="77777777" w:rsidR="00527BD4" w:rsidRDefault="00527BD4" w:rsidP="00D0609E">
          <w:pPr>
            <w:framePr w:w="6340" w:h="2750" w:hRule="exact" w:hSpace="180" w:wrap="around" w:vAnchor="page" w:hAnchor="text" w:x="3873" w:y="-140"/>
            <w:spacing w:line="240" w:lineRule="auto"/>
          </w:pPr>
        </w:p>
      </w:tc>
      <w:tc>
        <w:tcPr>
          <w:tcW w:w="5156" w:type="dxa"/>
        </w:tcPr>
        <w:p w14:paraId="5EA15489" w14:textId="77777777" w:rsidR="00527BD4" w:rsidRDefault="005B1F1D" w:rsidP="00651CEE">
          <w:pPr>
            <w:framePr w:w="6340" w:h="2750" w:hRule="exact" w:hSpace="180" w:wrap="around" w:vAnchor="page" w:hAnchor="text" w:x="3873" w:y="-140"/>
            <w:spacing w:line="240" w:lineRule="auto"/>
          </w:pPr>
          <w:r>
            <w:t xml:space="preserve"> </w:t>
          </w:r>
          <w:r w:rsidR="009D0B5A" w:rsidRPr="009D0B5A">
            <w:rPr>
              <w:sz w:val="2"/>
              <w:szCs w:val="2"/>
            </w:rPr>
            <w:t xml:space="preserve"> </w:t>
          </w:r>
          <w:r>
            <w:rPr>
              <w:noProof/>
            </w:rPr>
            <w:drawing>
              <wp:inline distT="0" distB="0" distL="0" distR="0" wp14:anchorId="46E5ECBA" wp14:editId="7DB777A7">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tc>
    </w:tr>
  </w:tbl>
  <w:p w14:paraId="02951298" w14:textId="77777777" w:rsidR="00527BD4" w:rsidRDefault="00527BD4" w:rsidP="00D0609E">
    <w:pPr>
      <w:framePr w:w="6340" w:h="2750" w:hRule="exact" w:hSpace="180" w:wrap="around" w:vAnchor="page" w:hAnchor="text" w:x="3873" w:y="-140"/>
    </w:pPr>
  </w:p>
  <w:p w14:paraId="2BF6F137"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234C2" w14:paraId="0BC5F45B" w14:textId="77777777" w:rsidTr="00A50CF6">
      <w:tc>
        <w:tcPr>
          <w:tcW w:w="2160" w:type="dxa"/>
        </w:tcPr>
        <w:p w14:paraId="3B9093F7" w14:textId="77777777" w:rsidR="00527BD4" w:rsidRPr="00781DCA" w:rsidRDefault="005B1F1D" w:rsidP="00A50CF6">
          <w:pPr>
            <w:pStyle w:val="Huisstijl-Adres"/>
            <w:rPr>
              <w:b/>
            </w:rPr>
          </w:pPr>
          <w:r>
            <w:rPr>
              <w:b/>
            </w:rPr>
            <w:t>Directoraat-generaal Economie en Digitalisering</w:t>
          </w:r>
          <w:r w:rsidRPr="005819CE">
            <w:rPr>
              <w:b/>
            </w:rPr>
            <w:br/>
          </w:r>
        </w:p>
        <w:p w14:paraId="34893210" w14:textId="77777777" w:rsidR="00527BD4" w:rsidRPr="00BE5ED9" w:rsidRDefault="005B1F1D" w:rsidP="00A50CF6">
          <w:pPr>
            <w:pStyle w:val="Huisstijl-Adres"/>
          </w:pPr>
          <w:r>
            <w:rPr>
              <w:b/>
            </w:rPr>
            <w:t>Bezoekadres</w:t>
          </w:r>
          <w:r>
            <w:rPr>
              <w:b/>
            </w:rPr>
            <w:br/>
          </w:r>
          <w:r>
            <w:t>Bezuidenhoutseweg 73</w:t>
          </w:r>
          <w:r w:rsidRPr="005819CE">
            <w:br/>
          </w:r>
          <w:r>
            <w:t>2594 AC Den Haag</w:t>
          </w:r>
        </w:p>
        <w:p w14:paraId="0E5266A8" w14:textId="77777777" w:rsidR="00EF495B" w:rsidRDefault="005B1F1D" w:rsidP="0098788A">
          <w:pPr>
            <w:pStyle w:val="Huisstijl-Adres"/>
          </w:pPr>
          <w:r>
            <w:rPr>
              <w:b/>
            </w:rPr>
            <w:t>Postadres</w:t>
          </w:r>
          <w:r>
            <w:rPr>
              <w:b/>
            </w:rPr>
            <w:br/>
          </w:r>
          <w:r>
            <w:t>Postbus 20401</w:t>
          </w:r>
          <w:r w:rsidRPr="005819CE">
            <w:br/>
            <w:t>2500 E</w:t>
          </w:r>
          <w:r>
            <w:t>K</w:t>
          </w:r>
          <w:r w:rsidRPr="005819CE">
            <w:t xml:space="preserve"> Den Haag</w:t>
          </w:r>
        </w:p>
        <w:p w14:paraId="0A390284" w14:textId="77777777" w:rsidR="00EF495B" w:rsidRPr="005B3814" w:rsidRDefault="005B1F1D" w:rsidP="0098788A">
          <w:pPr>
            <w:pStyle w:val="Huisstijl-Adres"/>
          </w:pPr>
          <w:r>
            <w:rPr>
              <w:b/>
            </w:rPr>
            <w:t>Overheidsidentificatienr</w:t>
          </w:r>
          <w:r>
            <w:rPr>
              <w:b/>
            </w:rPr>
            <w:br/>
          </w:r>
          <w:r w:rsidRPr="005B3814">
            <w:t>00000001003214369000</w:t>
          </w:r>
        </w:p>
        <w:p w14:paraId="215D1A48" w14:textId="02970F6A" w:rsidR="00527BD4" w:rsidRPr="000304E7" w:rsidRDefault="005B1F1D" w:rsidP="00F748E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6234C2" w14:paraId="4D5A5C2E" w14:textId="77777777" w:rsidTr="00A50CF6">
      <w:trPr>
        <w:trHeight w:hRule="exact" w:val="200"/>
      </w:trPr>
      <w:tc>
        <w:tcPr>
          <w:tcW w:w="2160" w:type="dxa"/>
        </w:tcPr>
        <w:p w14:paraId="443C0360" w14:textId="77777777" w:rsidR="00527BD4" w:rsidRPr="00D71182" w:rsidRDefault="00527BD4" w:rsidP="00A50CF6">
          <w:pPr>
            <w:rPr>
              <w:lang w:val="fr-FR"/>
            </w:rPr>
          </w:pPr>
        </w:p>
      </w:tc>
    </w:tr>
    <w:tr w:rsidR="006234C2" w14:paraId="502C92D2" w14:textId="77777777" w:rsidTr="00A50CF6">
      <w:tc>
        <w:tcPr>
          <w:tcW w:w="2160" w:type="dxa"/>
        </w:tcPr>
        <w:p w14:paraId="1E8F368A" w14:textId="77777777" w:rsidR="000C0163" w:rsidRPr="005819CE" w:rsidRDefault="005B1F1D" w:rsidP="000C0163">
          <w:pPr>
            <w:pStyle w:val="Huisstijl-Kopje"/>
          </w:pPr>
          <w:r>
            <w:t>Ons kenmerk</w:t>
          </w:r>
        </w:p>
        <w:p w14:paraId="772C2033" w14:textId="77777777" w:rsidR="000C0163" w:rsidRPr="005819CE" w:rsidRDefault="005B1F1D" w:rsidP="000C0163">
          <w:pPr>
            <w:pStyle w:val="Huisstijl-Gegeven"/>
          </w:pPr>
          <w:r>
            <w:t>DGED</w:t>
          </w:r>
          <w:r w:rsidR="00926AE2">
            <w:t xml:space="preserve"> / </w:t>
          </w:r>
          <w:r>
            <w:t>107286333</w:t>
          </w:r>
        </w:p>
        <w:p w14:paraId="21FE41CC" w14:textId="5D50D504" w:rsidR="000304E7" w:rsidRDefault="005B1F1D" w:rsidP="000304E7">
          <w:pPr>
            <w:pStyle w:val="Huisstijl-Kopje"/>
            <w:rPr>
              <w:b w:val="0"/>
            </w:rPr>
          </w:pPr>
          <w:r>
            <w:t>Bijlage(n)</w:t>
          </w:r>
        </w:p>
        <w:p w14:paraId="65165175" w14:textId="001B1EE9" w:rsidR="000304E7" w:rsidRPr="005819CE" w:rsidRDefault="000304E7" w:rsidP="000304E7">
          <w:pPr>
            <w:pStyle w:val="Huisstijl-Kopje"/>
          </w:pPr>
          <w:r>
            <w:rPr>
              <w:b w:val="0"/>
            </w:rPr>
            <w:t>2</w:t>
          </w:r>
        </w:p>
        <w:p w14:paraId="322F0055" w14:textId="077451C3" w:rsidR="00B9666A" w:rsidRPr="005819CE" w:rsidRDefault="00B9666A" w:rsidP="00A50CF6">
          <w:pPr>
            <w:pStyle w:val="Huisstijl-Gegeven"/>
          </w:pPr>
        </w:p>
      </w:tc>
    </w:tr>
  </w:tbl>
  <w:p w14:paraId="5909693D"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6234C2" w14:paraId="6AF3A2A6" w14:textId="77777777" w:rsidTr="00C37826">
      <w:trPr>
        <w:trHeight w:val="400"/>
      </w:trPr>
      <w:tc>
        <w:tcPr>
          <w:tcW w:w="7371" w:type="dxa"/>
          <w:gridSpan w:val="2"/>
        </w:tcPr>
        <w:p w14:paraId="59173907" w14:textId="77777777" w:rsidR="00527BD4" w:rsidRPr="00BC3B53" w:rsidRDefault="005B1F1D" w:rsidP="00A50CF6">
          <w:pPr>
            <w:pStyle w:val="Huisstijl-Retouradres"/>
          </w:pPr>
          <w:r>
            <w:t xml:space="preserve">&gt; </w:t>
          </w:r>
          <w:r w:rsidR="00C37826">
            <w:t xml:space="preserve">Retouradres Postbus </w:t>
          </w:r>
          <w:r>
            <w:t>20401</w:t>
          </w:r>
          <w:r w:rsidR="00C37826">
            <w:t xml:space="preserve"> </w:t>
          </w:r>
          <w:r>
            <w:t>2500 EK</w:t>
          </w:r>
          <w:r w:rsidR="00C37826">
            <w:t xml:space="preserve"> </w:t>
          </w:r>
          <w:r>
            <w:t>Den Haag</w:t>
          </w:r>
        </w:p>
      </w:tc>
    </w:tr>
    <w:tr w:rsidR="006234C2" w14:paraId="499D064A" w14:textId="77777777" w:rsidTr="00C37826">
      <w:tc>
        <w:tcPr>
          <w:tcW w:w="7371" w:type="dxa"/>
          <w:gridSpan w:val="2"/>
        </w:tcPr>
        <w:p w14:paraId="1FB3A3BB" w14:textId="77777777" w:rsidR="00527BD4" w:rsidRPr="00983E8F" w:rsidRDefault="00527BD4" w:rsidP="00A50CF6">
          <w:pPr>
            <w:pStyle w:val="Huisstijl-Rubricering"/>
          </w:pPr>
        </w:p>
      </w:tc>
    </w:tr>
    <w:tr w:rsidR="006234C2" w14:paraId="6935F2E4" w14:textId="77777777" w:rsidTr="00C37826">
      <w:trPr>
        <w:trHeight w:hRule="exact" w:val="2440"/>
      </w:trPr>
      <w:tc>
        <w:tcPr>
          <w:tcW w:w="7371" w:type="dxa"/>
          <w:gridSpan w:val="2"/>
        </w:tcPr>
        <w:p w14:paraId="2807180E" w14:textId="77777777" w:rsidR="00527BD4" w:rsidRDefault="005B1F1D" w:rsidP="00A50CF6">
          <w:pPr>
            <w:pStyle w:val="Huisstijl-NAW"/>
          </w:pPr>
          <w:r>
            <w:t xml:space="preserve">De Voorzitter van de Tweede Kamer </w:t>
          </w:r>
        </w:p>
        <w:p w14:paraId="33329C64" w14:textId="77777777" w:rsidR="00D87195" w:rsidRDefault="005B1F1D" w:rsidP="00D87195">
          <w:pPr>
            <w:pStyle w:val="Huisstijl-NAW"/>
          </w:pPr>
          <w:r>
            <w:t>der Staten-Generaal</w:t>
          </w:r>
        </w:p>
        <w:p w14:paraId="37A670DC" w14:textId="77777777" w:rsidR="00EA0F13" w:rsidRDefault="005B1F1D" w:rsidP="00EA0F13">
          <w:pPr>
            <w:rPr>
              <w:szCs w:val="18"/>
            </w:rPr>
          </w:pPr>
          <w:r>
            <w:rPr>
              <w:szCs w:val="18"/>
            </w:rPr>
            <w:t>Prinses Irenestraat 6</w:t>
          </w:r>
        </w:p>
        <w:p w14:paraId="07447B2C" w14:textId="77777777" w:rsidR="00985E56" w:rsidRDefault="005B1F1D" w:rsidP="00EA0F13">
          <w:r>
            <w:rPr>
              <w:szCs w:val="18"/>
            </w:rPr>
            <w:t>2595 BD  DEN HAAG</w:t>
          </w:r>
        </w:p>
      </w:tc>
    </w:tr>
    <w:tr w:rsidR="006234C2" w14:paraId="75618A90" w14:textId="77777777" w:rsidTr="00C37826">
      <w:trPr>
        <w:trHeight w:hRule="exact" w:val="400"/>
      </w:trPr>
      <w:tc>
        <w:tcPr>
          <w:tcW w:w="7371" w:type="dxa"/>
          <w:gridSpan w:val="2"/>
        </w:tcPr>
        <w:p w14:paraId="55B3FF9A"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234C2" w14:paraId="0A21F692" w14:textId="77777777" w:rsidTr="00C37826">
      <w:trPr>
        <w:trHeight w:val="240"/>
      </w:trPr>
      <w:tc>
        <w:tcPr>
          <w:tcW w:w="709" w:type="dxa"/>
        </w:tcPr>
        <w:p w14:paraId="3A0DAB6D" w14:textId="77777777" w:rsidR="00527BD4" w:rsidRPr="00C37826" w:rsidRDefault="005B1F1D" w:rsidP="00A50CF6">
          <w:pPr>
            <w:rPr>
              <w:szCs w:val="18"/>
            </w:rPr>
          </w:pPr>
          <w:r>
            <w:rPr>
              <w:szCs w:val="18"/>
            </w:rPr>
            <w:t>Datum</w:t>
          </w:r>
        </w:p>
      </w:tc>
      <w:tc>
        <w:tcPr>
          <w:tcW w:w="6662" w:type="dxa"/>
        </w:tcPr>
        <w:p w14:paraId="39764AD7" w14:textId="6ED039E2" w:rsidR="00527BD4" w:rsidRPr="007709EF" w:rsidRDefault="00C77815" w:rsidP="00A50CF6">
          <w:r>
            <w:t>10 september 2026</w:t>
          </w:r>
        </w:p>
      </w:tc>
    </w:tr>
    <w:tr w:rsidR="006234C2" w14:paraId="6B51066C" w14:textId="77777777" w:rsidTr="00C37826">
      <w:trPr>
        <w:trHeight w:val="240"/>
      </w:trPr>
      <w:tc>
        <w:tcPr>
          <w:tcW w:w="709" w:type="dxa"/>
        </w:tcPr>
        <w:p w14:paraId="53FCF80F" w14:textId="77777777" w:rsidR="00527BD4" w:rsidRPr="00C37826" w:rsidRDefault="005B1F1D" w:rsidP="00A50CF6">
          <w:pPr>
            <w:rPr>
              <w:szCs w:val="18"/>
            </w:rPr>
          </w:pPr>
          <w:r>
            <w:rPr>
              <w:szCs w:val="18"/>
            </w:rPr>
            <w:t>Betreft</w:t>
          </w:r>
        </w:p>
      </w:tc>
      <w:tc>
        <w:tcPr>
          <w:tcW w:w="6662" w:type="dxa"/>
        </w:tcPr>
        <w:p w14:paraId="2AC53A0E" w14:textId="77777777" w:rsidR="00527BD4" w:rsidRPr="007709EF" w:rsidRDefault="005B1F1D" w:rsidP="00A50CF6">
          <w:r>
            <w:t>Harbersbrief periodieke rapportage artikel 1 EZK-begroting (XIII)</w:t>
          </w:r>
        </w:p>
      </w:tc>
    </w:tr>
  </w:tbl>
  <w:p w14:paraId="1E70472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C04BC78">
      <w:start w:val="1"/>
      <w:numFmt w:val="bullet"/>
      <w:pStyle w:val="Lijstopsomteken"/>
      <w:lvlText w:val="•"/>
      <w:lvlJc w:val="left"/>
      <w:pPr>
        <w:tabs>
          <w:tab w:val="num" w:pos="227"/>
        </w:tabs>
        <w:ind w:left="227" w:hanging="227"/>
      </w:pPr>
      <w:rPr>
        <w:rFonts w:ascii="Verdana" w:hAnsi="Verdana" w:hint="default"/>
        <w:sz w:val="18"/>
        <w:szCs w:val="18"/>
      </w:rPr>
    </w:lvl>
    <w:lvl w:ilvl="1" w:tplc="EE9EC3EC" w:tentative="1">
      <w:start w:val="1"/>
      <w:numFmt w:val="bullet"/>
      <w:lvlText w:val="o"/>
      <w:lvlJc w:val="left"/>
      <w:pPr>
        <w:tabs>
          <w:tab w:val="num" w:pos="1440"/>
        </w:tabs>
        <w:ind w:left="1440" w:hanging="360"/>
      </w:pPr>
      <w:rPr>
        <w:rFonts w:ascii="Courier New" w:hAnsi="Courier New" w:cs="Courier New" w:hint="default"/>
      </w:rPr>
    </w:lvl>
    <w:lvl w:ilvl="2" w:tplc="B25E5F62" w:tentative="1">
      <w:start w:val="1"/>
      <w:numFmt w:val="bullet"/>
      <w:lvlText w:val=""/>
      <w:lvlJc w:val="left"/>
      <w:pPr>
        <w:tabs>
          <w:tab w:val="num" w:pos="2160"/>
        </w:tabs>
        <w:ind w:left="2160" w:hanging="360"/>
      </w:pPr>
      <w:rPr>
        <w:rFonts w:ascii="Wingdings" w:hAnsi="Wingdings" w:hint="default"/>
      </w:rPr>
    </w:lvl>
    <w:lvl w:ilvl="3" w:tplc="B814459E" w:tentative="1">
      <w:start w:val="1"/>
      <w:numFmt w:val="bullet"/>
      <w:lvlText w:val=""/>
      <w:lvlJc w:val="left"/>
      <w:pPr>
        <w:tabs>
          <w:tab w:val="num" w:pos="2880"/>
        </w:tabs>
        <w:ind w:left="2880" w:hanging="360"/>
      </w:pPr>
      <w:rPr>
        <w:rFonts w:ascii="Symbol" w:hAnsi="Symbol" w:hint="default"/>
      </w:rPr>
    </w:lvl>
    <w:lvl w:ilvl="4" w:tplc="401031F8" w:tentative="1">
      <w:start w:val="1"/>
      <w:numFmt w:val="bullet"/>
      <w:lvlText w:val="o"/>
      <w:lvlJc w:val="left"/>
      <w:pPr>
        <w:tabs>
          <w:tab w:val="num" w:pos="3600"/>
        </w:tabs>
        <w:ind w:left="3600" w:hanging="360"/>
      </w:pPr>
      <w:rPr>
        <w:rFonts w:ascii="Courier New" w:hAnsi="Courier New" w:cs="Courier New" w:hint="default"/>
      </w:rPr>
    </w:lvl>
    <w:lvl w:ilvl="5" w:tplc="48122742" w:tentative="1">
      <w:start w:val="1"/>
      <w:numFmt w:val="bullet"/>
      <w:lvlText w:val=""/>
      <w:lvlJc w:val="left"/>
      <w:pPr>
        <w:tabs>
          <w:tab w:val="num" w:pos="4320"/>
        </w:tabs>
        <w:ind w:left="4320" w:hanging="360"/>
      </w:pPr>
      <w:rPr>
        <w:rFonts w:ascii="Wingdings" w:hAnsi="Wingdings" w:hint="default"/>
      </w:rPr>
    </w:lvl>
    <w:lvl w:ilvl="6" w:tplc="8C6EE476" w:tentative="1">
      <w:start w:val="1"/>
      <w:numFmt w:val="bullet"/>
      <w:lvlText w:val=""/>
      <w:lvlJc w:val="left"/>
      <w:pPr>
        <w:tabs>
          <w:tab w:val="num" w:pos="5040"/>
        </w:tabs>
        <w:ind w:left="5040" w:hanging="360"/>
      </w:pPr>
      <w:rPr>
        <w:rFonts w:ascii="Symbol" w:hAnsi="Symbol" w:hint="default"/>
      </w:rPr>
    </w:lvl>
    <w:lvl w:ilvl="7" w:tplc="1180B532" w:tentative="1">
      <w:start w:val="1"/>
      <w:numFmt w:val="bullet"/>
      <w:lvlText w:val="o"/>
      <w:lvlJc w:val="left"/>
      <w:pPr>
        <w:tabs>
          <w:tab w:val="num" w:pos="5760"/>
        </w:tabs>
        <w:ind w:left="5760" w:hanging="360"/>
      </w:pPr>
      <w:rPr>
        <w:rFonts w:ascii="Courier New" w:hAnsi="Courier New" w:cs="Courier New" w:hint="default"/>
      </w:rPr>
    </w:lvl>
    <w:lvl w:ilvl="8" w:tplc="EEBC4B2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173120"/>
    <w:multiLevelType w:val="multilevel"/>
    <w:tmpl w:val="BCCC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5C28C688">
      <w:start w:val="1"/>
      <w:numFmt w:val="bullet"/>
      <w:pStyle w:val="Lijstopsomteken2"/>
      <w:lvlText w:val="–"/>
      <w:lvlJc w:val="left"/>
      <w:pPr>
        <w:tabs>
          <w:tab w:val="num" w:pos="227"/>
        </w:tabs>
        <w:ind w:left="227" w:firstLine="0"/>
      </w:pPr>
      <w:rPr>
        <w:rFonts w:ascii="Verdana" w:hAnsi="Verdana" w:hint="default"/>
      </w:rPr>
    </w:lvl>
    <w:lvl w:ilvl="1" w:tplc="EE2EE3A6" w:tentative="1">
      <w:start w:val="1"/>
      <w:numFmt w:val="bullet"/>
      <w:lvlText w:val="o"/>
      <w:lvlJc w:val="left"/>
      <w:pPr>
        <w:tabs>
          <w:tab w:val="num" w:pos="1440"/>
        </w:tabs>
        <w:ind w:left="1440" w:hanging="360"/>
      </w:pPr>
      <w:rPr>
        <w:rFonts w:ascii="Courier New" w:hAnsi="Courier New" w:cs="Courier New" w:hint="default"/>
      </w:rPr>
    </w:lvl>
    <w:lvl w:ilvl="2" w:tplc="093C9D40" w:tentative="1">
      <w:start w:val="1"/>
      <w:numFmt w:val="bullet"/>
      <w:lvlText w:val=""/>
      <w:lvlJc w:val="left"/>
      <w:pPr>
        <w:tabs>
          <w:tab w:val="num" w:pos="2160"/>
        </w:tabs>
        <w:ind w:left="2160" w:hanging="360"/>
      </w:pPr>
      <w:rPr>
        <w:rFonts w:ascii="Wingdings" w:hAnsi="Wingdings" w:hint="default"/>
      </w:rPr>
    </w:lvl>
    <w:lvl w:ilvl="3" w:tplc="37C012E6" w:tentative="1">
      <w:start w:val="1"/>
      <w:numFmt w:val="bullet"/>
      <w:lvlText w:val=""/>
      <w:lvlJc w:val="left"/>
      <w:pPr>
        <w:tabs>
          <w:tab w:val="num" w:pos="2880"/>
        </w:tabs>
        <w:ind w:left="2880" w:hanging="360"/>
      </w:pPr>
      <w:rPr>
        <w:rFonts w:ascii="Symbol" w:hAnsi="Symbol" w:hint="default"/>
      </w:rPr>
    </w:lvl>
    <w:lvl w:ilvl="4" w:tplc="6778E6A6" w:tentative="1">
      <w:start w:val="1"/>
      <w:numFmt w:val="bullet"/>
      <w:lvlText w:val="o"/>
      <w:lvlJc w:val="left"/>
      <w:pPr>
        <w:tabs>
          <w:tab w:val="num" w:pos="3600"/>
        </w:tabs>
        <w:ind w:left="3600" w:hanging="360"/>
      </w:pPr>
      <w:rPr>
        <w:rFonts w:ascii="Courier New" w:hAnsi="Courier New" w:cs="Courier New" w:hint="default"/>
      </w:rPr>
    </w:lvl>
    <w:lvl w:ilvl="5" w:tplc="02FCEA62" w:tentative="1">
      <w:start w:val="1"/>
      <w:numFmt w:val="bullet"/>
      <w:lvlText w:val=""/>
      <w:lvlJc w:val="left"/>
      <w:pPr>
        <w:tabs>
          <w:tab w:val="num" w:pos="4320"/>
        </w:tabs>
        <w:ind w:left="4320" w:hanging="360"/>
      </w:pPr>
      <w:rPr>
        <w:rFonts w:ascii="Wingdings" w:hAnsi="Wingdings" w:hint="default"/>
      </w:rPr>
    </w:lvl>
    <w:lvl w:ilvl="6" w:tplc="630C20F8" w:tentative="1">
      <w:start w:val="1"/>
      <w:numFmt w:val="bullet"/>
      <w:lvlText w:val=""/>
      <w:lvlJc w:val="left"/>
      <w:pPr>
        <w:tabs>
          <w:tab w:val="num" w:pos="5040"/>
        </w:tabs>
        <w:ind w:left="5040" w:hanging="360"/>
      </w:pPr>
      <w:rPr>
        <w:rFonts w:ascii="Symbol" w:hAnsi="Symbol" w:hint="default"/>
      </w:rPr>
    </w:lvl>
    <w:lvl w:ilvl="7" w:tplc="1D5A9012" w:tentative="1">
      <w:start w:val="1"/>
      <w:numFmt w:val="bullet"/>
      <w:lvlText w:val="o"/>
      <w:lvlJc w:val="left"/>
      <w:pPr>
        <w:tabs>
          <w:tab w:val="num" w:pos="5760"/>
        </w:tabs>
        <w:ind w:left="5760" w:hanging="360"/>
      </w:pPr>
      <w:rPr>
        <w:rFonts w:ascii="Courier New" w:hAnsi="Courier New" w:cs="Courier New" w:hint="default"/>
      </w:rPr>
    </w:lvl>
    <w:lvl w:ilvl="8" w:tplc="A626895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400D4"/>
    <w:multiLevelType w:val="hybridMultilevel"/>
    <w:tmpl w:val="B1B615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CE908F5"/>
    <w:multiLevelType w:val="hybridMultilevel"/>
    <w:tmpl w:val="2BDACAD4"/>
    <w:lvl w:ilvl="0" w:tplc="60C4BC22">
      <w:numFmt w:val="bullet"/>
      <w:lvlText w:val="-"/>
      <w:lvlJc w:val="left"/>
      <w:pPr>
        <w:ind w:left="720" w:hanging="360"/>
      </w:pPr>
      <w:rPr>
        <w:rFonts w:ascii="Calibri" w:eastAsia="Times New Roman" w:hAnsi="Calibri" w:cs="Calibri" w:hint="default"/>
      </w:rPr>
    </w:lvl>
    <w:lvl w:ilvl="1" w:tplc="E0A495E0">
      <w:start w:val="1"/>
      <w:numFmt w:val="bullet"/>
      <w:lvlText w:val="o"/>
      <w:lvlJc w:val="left"/>
      <w:pPr>
        <w:ind w:left="1440" w:hanging="360"/>
      </w:pPr>
      <w:rPr>
        <w:rFonts w:ascii="Courier New" w:hAnsi="Courier New" w:cs="Courier New" w:hint="default"/>
      </w:rPr>
    </w:lvl>
    <w:lvl w:ilvl="2" w:tplc="1F186450">
      <w:start w:val="1"/>
      <w:numFmt w:val="bullet"/>
      <w:lvlText w:val=""/>
      <w:lvlJc w:val="left"/>
      <w:pPr>
        <w:ind w:left="2160" w:hanging="360"/>
      </w:pPr>
      <w:rPr>
        <w:rFonts w:ascii="Wingdings" w:hAnsi="Wingdings" w:hint="default"/>
      </w:rPr>
    </w:lvl>
    <w:lvl w:ilvl="3" w:tplc="C65C6306">
      <w:start w:val="1"/>
      <w:numFmt w:val="bullet"/>
      <w:lvlText w:val=""/>
      <w:lvlJc w:val="left"/>
      <w:pPr>
        <w:ind w:left="2880" w:hanging="360"/>
      </w:pPr>
      <w:rPr>
        <w:rFonts w:ascii="Symbol" w:hAnsi="Symbol" w:hint="default"/>
      </w:rPr>
    </w:lvl>
    <w:lvl w:ilvl="4" w:tplc="44A6E9AE">
      <w:start w:val="1"/>
      <w:numFmt w:val="bullet"/>
      <w:lvlText w:val="o"/>
      <w:lvlJc w:val="left"/>
      <w:pPr>
        <w:ind w:left="3600" w:hanging="360"/>
      </w:pPr>
      <w:rPr>
        <w:rFonts w:ascii="Courier New" w:hAnsi="Courier New" w:cs="Courier New" w:hint="default"/>
      </w:rPr>
    </w:lvl>
    <w:lvl w:ilvl="5" w:tplc="557CE644">
      <w:start w:val="1"/>
      <w:numFmt w:val="bullet"/>
      <w:lvlText w:val=""/>
      <w:lvlJc w:val="left"/>
      <w:pPr>
        <w:ind w:left="4320" w:hanging="360"/>
      </w:pPr>
      <w:rPr>
        <w:rFonts w:ascii="Wingdings" w:hAnsi="Wingdings" w:hint="default"/>
      </w:rPr>
    </w:lvl>
    <w:lvl w:ilvl="6" w:tplc="6C9AAB8A">
      <w:start w:val="1"/>
      <w:numFmt w:val="bullet"/>
      <w:lvlText w:val=""/>
      <w:lvlJc w:val="left"/>
      <w:pPr>
        <w:ind w:left="5040" w:hanging="360"/>
      </w:pPr>
      <w:rPr>
        <w:rFonts w:ascii="Symbol" w:hAnsi="Symbol" w:hint="default"/>
      </w:rPr>
    </w:lvl>
    <w:lvl w:ilvl="7" w:tplc="61C4F3A6">
      <w:start w:val="1"/>
      <w:numFmt w:val="bullet"/>
      <w:lvlText w:val="o"/>
      <w:lvlJc w:val="left"/>
      <w:pPr>
        <w:ind w:left="5760" w:hanging="360"/>
      </w:pPr>
      <w:rPr>
        <w:rFonts w:ascii="Courier New" w:hAnsi="Courier New" w:cs="Courier New" w:hint="default"/>
      </w:rPr>
    </w:lvl>
    <w:lvl w:ilvl="8" w:tplc="F2902460">
      <w:start w:val="1"/>
      <w:numFmt w:val="bullet"/>
      <w:lvlText w:val=""/>
      <w:lvlJc w:val="left"/>
      <w:pPr>
        <w:ind w:left="6480" w:hanging="360"/>
      </w:pPr>
      <w:rPr>
        <w:rFonts w:ascii="Wingdings" w:hAnsi="Wingdings" w:hint="default"/>
      </w:rPr>
    </w:lvl>
  </w:abstractNum>
  <w:abstractNum w:abstractNumId="16"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E86951"/>
    <w:multiLevelType w:val="hybridMultilevel"/>
    <w:tmpl w:val="56CEA2F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F807CD2"/>
    <w:multiLevelType w:val="multilevel"/>
    <w:tmpl w:val="257A42A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727148">
    <w:abstractNumId w:val="10"/>
  </w:num>
  <w:num w:numId="2" w16cid:durableId="146478938">
    <w:abstractNumId w:val="7"/>
  </w:num>
  <w:num w:numId="3" w16cid:durableId="1926449645">
    <w:abstractNumId w:val="6"/>
  </w:num>
  <w:num w:numId="4" w16cid:durableId="31422100">
    <w:abstractNumId w:val="5"/>
  </w:num>
  <w:num w:numId="5" w16cid:durableId="1400249229">
    <w:abstractNumId w:val="4"/>
  </w:num>
  <w:num w:numId="6" w16cid:durableId="447118141">
    <w:abstractNumId w:val="8"/>
  </w:num>
  <w:num w:numId="7" w16cid:durableId="575826935">
    <w:abstractNumId w:val="3"/>
  </w:num>
  <w:num w:numId="8" w16cid:durableId="542987472">
    <w:abstractNumId w:val="2"/>
  </w:num>
  <w:num w:numId="9" w16cid:durableId="823200180">
    <w:abstractNumId w:val="1"/>
  </w:num>
  <w:num w:numId="10" w16cid:durableId="1043797126">
    <w:abstractNumId w:val="0"/>
  </w:num>
  <w:num w:numId="11" w16cid:durableId="682320149">
    <w:abstractNumId w:val="9"/>
  </w:num>
  <w:num w:numId="12" w16cid:durableId="1503081095">
    <w:abstractNumId w:val="12"/>
  </w:num>
  <w:num w:numId="13" w16cid:durableId="1862236350">
    <w:abstractNumId w:val="16"/>
  </w:num>
  <w:num w:numId="14" w16cid:durableId="893275219">
    <w:abstractNumId w:val="13"/>
  </w:num>
  <w:num w:numId="15" w16cid:durableId="978530268">
    <w:abstractNumId w:val="15"/>
  </w:num>
  <w:num w:numId="16" w16cid:durableId="931206936">
    <w:abstractNumId w:val="18"/>
  </w:num>
  <w:num w:numId="17" w16cid:durableId="337315932">
    <w:abstractNumId w:val="17"/>
  </w:num>
  <w:num w:numId="18" w16cid:durableId="1219323917">
    <w:abstractNumId w:val="11"/>
  </w:num>
  <w:num w:numId="19" w16cid:durableId="920676133">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6012"/>
    <w:rsid w:val="000171C2"/>
    <w:rsid w:val="00020189"/>
    <w:rsid w:val="00020EE4"/>
    <w:rsid w:val="00023E9A"/>
    <w:rsid w:val="000279A7"/>
    <w:rsid w:val="000304E7"/>
    <w:rsid w:val="00033CDD"/>
    <w:rsid w:val="00034A84"/>
    <w:rsid w:val="00035E67"/>
    <w:rsid w:val="000366F3"/>
    <w:rsid w:val="000438F1"/>
    <w:rsid w:val="000454AF"/>
    <w:rsid w:val="0006024D"/>
    <w:rsid w:val="00071F28"/>
    <w:rsid w:val="00074079"/>
    <w:rsid w:val="00092799"/>
    <w:rsid w:val="00092C5F"/>
    <w:rsid w:val="00096680"/>
    <w:rsid w:val="000A0F36"/>
    <w:rsid w:val="000A174A"/>
    <w:rsid w:val="000A3E0A"/>
    <w:rsid w:val="000A65AC"/>
    <w:rsid w:val="000A7D02"/>
    <w:rsid w:val="000B7281"/>
    <w:rsid w:val="000B7FAB"/>
    <w:rsid w:val="000C0163"/>
    <w:rsid w:val="000C1BA1"/>
    <w:rsid w:val="000C3EA9"/>
    <w:rsid w:val="000D0225"/>
    <w:rsid w:val="000D6CCE"/>
    <w:rsid w:val="000E7895"/>
    <w:rsid w:val="000F161D"/>
    <w:rsid w:val="000F3CAA"/>
    <w:rsid w:val="000F4399"/>
    <w:rsid w:val="00121BF0"/>
    <w:rsid w:val="00123704"/>
    <w:rsid w:val="001270C7"/>
    <w:rsid w:val="00132540"/>
    <w:rsid w:val="0014786A"/>
    <w:rsid w:val="001516A4"/>
    <w:rsid w:val="00151E5F"/>
    <w:rsid w:val="00153E28"/>
    <w:rsid w:val="00154908"/>
    <w:rsid w:val="001569AB"/>
    <w:rsid w:val="00164D63"/>
    <w:rsid w:val="0016725C"/>
    <w:rsid w:val="001726F3"/>
    <w:rsid w:val="00173C51"/>
    <w:rsid w:val="00174CC2"/>
    <w:rsid w:val="00176CC6"/>
    <w:rsid w:val="00181BE4"/>
    <w:rsid w:val="00185576"/>
    <w:rsid w:val="00185951"/>
    <w:rsid w:val="00196B8B"/>
    <w:rsid w:val="001A2BEA"/>
    <w:rsid w:val="001A6AF9"/>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238"/>
    <w:rsid w:val="002309A8"/>
    <w:rsid w:val="00236CFE"/>
    <w:rsid w:val="002428E3"/>
    <w:rsid w:val="00242EE7"/>
    <w:rsid w:val="00243031"/>
    <w:rsid w:val="00256223"/>
    <w:rsid w:val="002570B4"/>
    <w:rsid w:val="00260BAF"/>
    <w:rsid w:val="002650F7"/>
    <w:rsid w:val="00273F3B"/>
    <w:rsid w:val="00274DB7"/>
    <w:rsid w:val="00275984"/>
    <w:rsid w:val="00280F74"/>
    <w:rsid w:val="002822CA"/>
    <w:rsid w:val="00286998"/>
    <w:rsid w:val="00291AB7"/>
    <w:rsid w:val="00292EB2"/>
    <w:rsid w:val="0029422B"/>
    <w:rsid w:val="002A0938"/>
    <w:rsid w:val="002A6E51"/>
    <w:rsid w:val="002B1338"/>
    <w:rsid w:val="002B153C"/>
    <w:rsid w:val="002B52FC"/>
    <w:rsid w:val="002C2830"/>
    <w:rsid w:val="002D001A"/>
    <w:rsid w:val="002D28E2"/>
    <w:rsid w:val="002D317B"/>
    <w:rsid w:val="002D3587"/>
    <w:rsid w:val="002D502D"/>
    <w:rsid w:val="002E0F69"/>
    <w:rsid w:val="002F5147"/>
    <w:rsid w:val="002F7ABD"/>
    <w:rsid w:val="0030029B"/>
    <w:rsid w:val="0030534E"/>
    <w:rsid w:val="00312597"/>
    <w:rsid w:val="00327BA5"/>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4CD2"/>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E4281"/>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0BAC"/>
    <w:rsid w:val="00483F0B"/>
    <w:rsid w:val="00496319"/>
    <w:rsid w:val="00497279"/>
    <w:rsid w:val="004A163B"/>
    <w:rsid w:val="004A519B"/>
    <w:rsid w:val="004A670A"/>
    <w:rsid w:val="004B0F05"/>
    <w:rsid w:val="004B5465"/>
    <w:rsid w:val="004B70F0"/>
    <w:rsid w:val="004D505E"/>
    <w:rsid w:val="004D72CA"/>
    <w:rsid w:val="004E1209"/>
    <w:rsid w:val="004E2242"/>
    <w:rsid w:val="004E2F50"/>
    <w:rsid w:val="004E4776"/>
    <w:rsid w:val="004E505E"/>
    <w:rsid w:val="004F42FF"/>
    <w:rsid w:val="004F44C2"/>
    <w:rsid w:val="00502512"/>
    <w:rsid w:val="00503FD2"/>
    <w:rsid w:val="00505262"/>
    <w:rsid w:val="00516022"/>
    <w:rsid w:val="00521CEE"/>
    <w:rsid w:val="00522BF3"/>
    <w:rsid w:val="00524FB4"/>
    <w:rsid w:val="00527BD4"/>
    <w:rsid w:val="00537095"/>
    <w:rsid w:val="005403C8"/>
    <w:rsid w:val="005429DC"/>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1F1D"/>
    <w:rsid w:val="005B3814"/>
    <w:rsid w:val="005B463E"/>
    <w:rsid w:val="005C2538"/>
    <w:rsid w:val="005C34E1"/>
    <w:rsid w:val="005C3FE0"/>
    <w:rsid w:val="005C65B5"/>
    <w:rsid w:val="005C740C"/>
    <w:rsid w:val="005D32D1"/>
    <w:rsid w:val="005D625B"/>
    <w:rsid w:val="005F62D3"/>
    <w:rsid w:val="005F6D11"/>
    <w:rsid w:val="005F71F7"/>
    <w:rsid w:val="00600CF0"/>
    <w:rsid w:val="006048F4"/>
    <w:rsid w:val="0060660A"/>
    <w:rsid w:val="00613B1D"/>
    <w:rsid w:val="00617A44"/>
    <w:rsid w:val="006202B6"/>
    <w:rsid w:val="00621DEC"/>
    <w:rsid w:val="006234C2"/>
    <w:rsid w:val="00624D22"/>
    <w:rsid w:val="00625CD0"/>
    <w:rsid w:val="0062627D"/>
    <w:rsid w:val="00627432"/>
    <w:rsid w:val="006448E4"/>
    <w:rsid w:val="00645414"/>
    <w:rsid w:val="00650F19"/>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37"/>
    <w:rsid w:val="006D17F2"/>
    <w:rsid w:val="006E3546"/>
    <w:rsid w:val="006E3FA9"/>
    <w:rsid w:val="006E7D82"/>
    <w:rsid w:val="006F038F"/>
    <w:rsid w:val="006F0F93"/>
    <w:rsid w:val="006F31F2"/>
    <w:rsid w:val="006F7494"/>
    <w:rsid w:val="006F751F"/>
    <w:rsid w:val="007008C0"/>
    <w:rsid w:val="00714DC5"/>
    <w:rsid w:val="00715237"/>
    <w:rsid w:val="00721AE1"/>
    <w:rsid w:val="007254A5"/>
    <w:rsid w:val="00725748"/>
    <w:rsid w:val="00735D88"/>
    <w:rsid w:val="0073720D"/>
    <w:rsid w:val="00737507"/>
    <w:rsid w:val="00740712"/>
    <w:rsid w:val="00742AB9"/>
    <w:rsid w:val="00751A6A"/>
    <w:rsid w:val="00754FBF"/>
    <w:rsid w:val="007610AA"/>
    <w:rsid w:val="007709EF"/>
    <w:rsid w:val="007731E0"/>
    <w:rsid w:val="00781879"/>
    <w:rsid w:val="00781DCA"/>
    <w:rsid w:val="00782701"/>
    <w:rsid w:val="00783559"/>
    <w:rsid w:val="0079551B"/>
    <w:rsid w:val="00797AA5"/>
    <w:rsid w:val="007A26BD"/>
    <w:rsid w:val="007A4105"/>
    <w:rsid w:val="007B4503"/>
    <w:rsid w:val="007B7905"/>
    <w:rsid w:val="007C406E"/>
    <w:rsid w:val="007C5183"/>
    <w:rsid w:val="007C7573"/>
    <w:rsid w:val="007E2B20"/>
    <w:rsid w:val="007E6975"/>
    <w:rsid w:val="007F439C"/>
    <w:rsid w:val="007F510A"/>
    <w:rsid w:val="007F5331"/>
    <w:rsid w:val="00800CCA"/>
    <w:rsid w:val="00806120"/>
    <w:rsid w:val="00806F63"/>
    <w:rsid w:val="0080718B"/>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7A71"/>
    <w:rsid w:val="00872271"/>
    <w:rsid w:val="00883137"/>
    <w:rsid w:val="00894A3B"/>
    <w:rsid w:val="008A1F5D"/>
    <w:rsid w:val="008A28F5"/>
    <w:rsid w:val="008B1198"/>
    <w:rsid w:val="008B3471"/>
    <w:rsid w:val="008B3929"/>
    <w:rsid w:val="008B4125"/>
    <w:rsid w:val="008B4CB3"/>
    <w:rsid w:val="008B567B"/>
    <w:rsid w:val="008B64F1"/>
    <w:rsid w:val="008B7B24"/>
    <w:rsid w:val="008C0C0B"/>
    <w:rsid w:val="008C356D"/>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3376"/>
    <w:rsid w:val="009333E9"/>
    <w:rsid w:val="00933A2F"/>
    <w:rsid w:val="00967600"/>
    <w:rsid w:val="009716D8"/>
    <w:rsid w:val="009718F9"/>
    <w:rsid w:val="00971F42"/>
    <w:rsid w:val="00972FB9"/>
    <w:rsid w:val="00975112"/>
    <w:rsid w:val="00981768"/>
    <w:rsid w:val="00983E8F"/>
    <w:rsid w:val="00985E56"/>
    <w:rsid w:val="0098788A"/>
    <w:rsid w:val="00994FDA"/>
    <w:rsid w:val="009969F2"/>
    <w:rsid w:val="009A31BF"/>
    <w:rsid w:val="009A3B71"/>
    <w:rsid w:val="009A61BC"/>
    <w:rsid w:val="009B0138"/>
    <w:rsid w:val="009B0FE9"/>
    <w:rsid w:val="009B173A"/>
    <w:rsid w:val="009C3F20"/>
    <w:rsid w:val="009C7CA1"/>
    <w:rsid w:val="009D043D"/>
    <w:rsid w:val="009D0B5A"/>
    <w:rsid w:val="009E107A"/>
    <w:rsid w:val="009E1C08"/>
    <w:rsid w:val="009F3259"/>
    <w:rsid w:val="00A056DE"/>
    <w:rsid w:val="00A128AD"/>
    <w:rsid w:val="00A21E76"/>
    <w:rsid w:val="00A23BC8"/>
    <w:rsid w:val="00A245F8"/>
    <w:rsid w:val="00A30E68"/>
    <w:rsid w:val="00A31933"/>
    <w:rsid w:val="00A329D2"/>
    <w:rsid w:val="00A34AA0"/>
    <w:rsid w:val="00A3715C"/>
    <w:rsid w:val="00A41FE2"/>
    <w:rsid w:val="00A46FEF"/>
    <w:rsid w:val="00A47948"/>
    <w:rsid w:val="00A50CF6"/>
    <w:rsid w:val="00A5143C"/>
    <w:rsid w:val="00A56946"/>
    <w:rsid w:val="00A6170E"/>
    <w:rsid w:val="00A63B8C"/>
    <w:rsid w:val="00A715F8"/>
    <w:rsid w:val="00A77F6F"/>
    <w:rsid w:val="00A831FD"/>
    <w:rsid w:val="00A83352"/>
    <w:rsid w:val="00A850A2"/>
    <w:rsid w:val="00A91FA3"/>
    <w:rsid w:val="00A927D3"/>
    <w:rsid w:val="00AA1964"/>
    <w:rsid w:val="00AA7FC9"/>
    <w:rsid w:val="00AB237D"/>
    <w:rsid w:val="00AB5933"/>
    <w:rsid w:val="00AE013D"/>
    <w:rsid w:val="00AE11B7"/>
    <w:rsid w:val="00AE7F68"/>
    <w:rsid w:val="00AF2321"/>
    <w:rsid w:val="00AF52F6"/>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247"/>
    <w:rsid w:val="00B71DC2"/>
    <w:rsid w:val="00B80E8A"/>
    <w:rsid w:val="00B824BA"/>
    <w:rsid w:val="00B91CFC"/>
    <w:rsid w:val="00B93893"/>
    <w:rsid w:val="00B9666A"/>
    <w:rsid w:val="00BA1397"/>
    <w:rsid w:val="00BA7E0A"/>
    <w:rsid w:val="00BC3B53"/>
    <w:rsid w:val="00BC3B96"/>
    <w:rsid w:val="00BC4AE3"/>
    <w:rsid w:val="00BC5B28"/>
    <w:rsid w:val="00BD2370"/>
    <w:rsid w:val="00BD5840"/>
    <w:rsid w:val="00BE3F88"/>
    <w:rsid w:val="00BE4756"/>
    <w:rsid w:val="00BE5ED9"/>
    <w:rsid w:val="00BE7B41"/>
    <w:rsid w:val="00C15A91"/>
    <w:rsid w:val="00C206F1"/>
    <w:rsid w:val="00C217E1"/>
    <w:rsid w:val="00C219B1"/>
    <w:rsid w:val="00C225DD"/>
    <w:rsid w:val="00C37826"/>
    <w:rsid w:val="00C4015B"/>
    <w:rsid w:val="00C40268"/>
    <w:rsid w:val="00C40C60"/>
    <w:rsid w:val="00C5258E"/>
    <w:rsid w:val="00C530C9"/>
    <w:rsid w:val="00C619A7"/>
    <w:rsid w:val="00C73D5F"/>
    <w:rsid w:val="00C77815"/>
    <w:rsid w:val="00C82AFE"/>
    <w:rsid w:val="00C83DBC"/>
    <w:rsid w:val="00C83EAD"/>
    <w:rsid w:val="00C90702"/>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A17"/>
    <w:rsid w:val="00CF71AB"/>
    <w:rsid w:val="00D0375A"/>
    <w:rsid w:val="00D038DB"/>
    <w:rsid w:val="00D0609E"/>
    <w:rsid w:val="00D078E1"/>
    <w:rsid w:val="00D100E9"/>
    <w:rsid w:val="00D1577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1182"/>
    <w:rsid w:val="00D72F45"/>
    <w:rsid w:val="00D77870"/>
    <w:rsid w:val="00D80977"/>
    <w:rsid w:val="00D80CCE"/>
    <w:rsid w:val="00D86074"/>
    <w:rsid w:val="00D86EEA"/>
    <w:rsid w:val="00D87195"/>
    <w:rsid w:val="00D87D03"/>
    <w:rsid w:val="00D9360B"/>
    <w:rsid w:val="00D95C88"/>
    <w:rsid w:val="00D97B2E"/>
    <w:rsid w:val="00DA241E"/>
    <w:rsid w:val="00DB36FE"/>
    <w:rsid w:val="00DB533A"/>
    <w:rsid w:val="00DB60AE"/>
    <w:rsid w:val="00DB6307"/>
    <w:rsid w:val="00DD0EDF"/>
    <w:rsid w:val="00DD1DCD"/>
    <w:rsid w:val="00DD338F"/>
    <w:rsid w:val="00DD66F2"/>
    <w:rsid w:val="00DE3FE0"/>
    <w:rsid w:val="00DE578A"/>
    <w:rsid w:val="00DF2583"/>
    <w:rsid w:val="00DF54D9"/>
    <w:rsid w:val="00DF7283"/>
    <w:rsid w:val="00E01A59"/>
    <w:rsid w:val="00E01B56"/>
    <w:rsid w:val="00E04904"/>
    <w:rsid w:val="00E10DC6"/>
    <w:rsid w:val="00E11F8E"/>
    <w:rsid w:val="00E15881"/>
    <w:rsid w:val="00E16A8F"/>
    <w:rsid w:val="00E21DE3"/>
    <w:rsid w:val="00E252EF"/>
    <w:rsid w:val="00E273C5"/>
    <w:rsid w:val="00E307D1"/>
    <w:rsid w:val="00E3731D"/>
    <w:rsid w:val="00E51469"/>
    <w:rsid w:val="00E573A1"/>
    <w:rsid w:val="00E634E3"/>
    <w:rsid w:val="00E717C4"/>
    <w:rsid w:val="00E77E18"/>
    <w:rsid w:val="00E77F89"/>
    <w:rsid w:val="00E80330"/>
    <w:rsid w:val="00E806C5"/>
    <w:rsid w:val="00E80E71"/>
    <w:rsid w:val="00E850D3"/>
    <w:rsid w:val="00E853D6"/>
    <w:rsid w:val="00E876B9"/>
    <w:rsid w:val="00EA0F13"/>
    <w:rsid w:val="00EC0DFF"/>
    <w:rsid w:val="00EC237D"/>
    <w:rsid w:val="00EC2918"/>
    <w:rsid w:val="00EC4D0E"/>
    <w:rsid w:val="00EC4E2B"/>
    <w:rsid w:val="00ED072A"/>
    <w:rsid w:val="00ED43CA"/>
    <w:rsid w:val="00ED539E"/>
    <w:rsid w:val="00ED6CA7"/>
    <w:rsid w:val="00EE4A1F"/>
    <w:rsid w:val="00EE4C2D"/>
    <w:rsid w:val="00EE66B6"/>
    <w:rsid w:val="00EF1B5A"/>
    <w:rsid w:val="00EF24FB"/>
    <w:rsid w:val="00EF2CCA"/>
    <w:rsid w:val="00EF495B"/>
    <w:rsid w:val="00EF60DC"/>
    <w:rsid w:val="00F00F54"/>
    <w:rsid w:val="00F03963"/>
    <w:rsid w:val="00F11068"/>
    <w:rsid w:val="00F1256D"/>
    <w:rsid w:val="00F12C95"/>
    <w:rsid w:val="00F13A4E"/>
    <w:rsid w:val="00F172BB"/>
    <w:rsid w:val="00F17B10"/>
    <w:rsid w:val="00F21BEF"/>
    <w:rsid w:val="00F2315B"/>
    <w:rsid w:val="00F41A6F"/>
    <w:rsid w:val="00F45A25"/>
    <w:rsid w:val="00F50F86"/>
    <w:rsid w:val="00F53F91"/>
    <w:rsid w:val="00F61569"/>
    <w:rsid w:val="00F61A72"/>
    <w:rsid w:val="00F62B67"/>
    <w:rsid w:val="00F66F13"/>
    <w:rsid w:val="00F71F3C"/>
    <w:rsid w:val="00F74073"/>
    <w:rsid w:val="00F748E6"/>
    <w:rsid w:val="00F75603"/>
    <w:rsid w:val="00F845B4"/>
    <w:rsid w:val="00F8713B"/>
    <w:rsid w:val="00F93F9E"/>
    <w:rsid w:val="00FA0F3C"/>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6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aliases w:val="Schriftart: 9 pt,Schriftart: 10 pt,Schriftart: 8 p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aliases w:val="Schriftart: 9 pt Char,Schriftart: 10 pt Char,Schriftart: 8 p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paragraph" w:styleId="Normaalweb">
    <w:name w:val="Normal (Web)"/>
    <w:basedOn w:val="Standaard"/>
    <w:uiPriority w:val="99"/>
    <w:semiHidden/>
    <w:unhideWhenUsed/>
    <w:rsid w:val="00CF71AB"/>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semiHidden/>
    <w:unhideWhenUsed/>
    <w:rsid w:val="00CF71A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F71AB"/>
    <w:rPr>
      <w:rFonts w:ascii="Verdana" w:hAnsi="Verdana"/>
      <w:lang w:val="nl-NL" w:eastAsia="nl-NL"/>
    </w:rPr>
  </w:style>
  <w:style w:type="character" w:styleId="Verwijzingopmerking">
    <w:name w:val="annotation reference"/>
    <w:basedOn w:val="Standaardalinea-lettertype"/>
    <w:semiHidden/>
    <w:unhideWhenUsed/>
    <w:rsid w:val="00CF71AB"/>
    <w:rPr>
      <w:sz w:val="16"/>
      <w:szCs w:val="16"/>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Geenafstand">
    <w:name w:val="No Spacing"/>
    <w:uiPriority w:val="1"/>
    <w:qFormat/>
    <w:rsid w:val="00B9666A"/>
    <w:rPr>
      <w:rFonts w:ascii="Verdana" w:eastAsiaTheme="minorHAnsi" w:hAnsi="Verdana" w:cstheme="minorBidi"/>
      <w:kern w:val="2"/>
      <w:sz w:val="18"/>
      <w:szCs w:val="22"/>
      <w:lang w:val="nl-NL"/>
      <w14:ligatures w14:val="standardContextual"/>
    </w:rPr>
  </w:style>
  <w:style w:type="paragraph" w:styleId="Lijstalinea">
    <w:name w:val="List Paragraph"/>
    <w:basedOn w:val="Standaard"/>
    <w:uiPriority w:val="34"/>
    <w:qFormat/>
    <w:rsid w:val="00B9666A"/>
    <w:pPr>
      <w:spacing w:after="160" w:line="259" w:lineRule="auto"/>
      <w:ind w:left="720"/>
      <w:contextualSpacing/>
    </w:pPr>
    <w:rPr>
      <w:rFonts w:asciiTheme="minorHAnsi" w:eastAsiaTheme="minorHAnsi" w:hAnsiTheme="minorHAnsi" w:cstheme="minorBidi"/>
      <w:sz w:val="22"/>
      <w:szCs w:val="22"/>
      <w:lang w:eastAsia="en-US"/>
    </w:rPr>
  </w:style>
  <w:style w:type="character" w:styleId="Voetnootmarkering">
    <w:name w:val="footnote reference"/>
    <w:aliases w:val="SUPERS,Odwołanie przypisu,Footnote symbol,BVI fnr,ftref,Char Char Char Char Carattere Char,Char Char Car Car Char Char Char Char Carattere Char,Char Char Char Char Char Carattere Char,Car1,BVI fnr Char1,ftref Char,Car1 Char,Footnot,FR"/>
    <w:basedOn w:val="Standaardalinea-lettertype"/>
    <w:link w:val="BVIfnrCharCar1CarChar"/>
    <w:uiPriority w:val="99"/>
    <w:unhideWhenUsed/>
    <w:rsid w:val="00B9666A"/>
    <w:rPr>
      <w:vertAlign w:val="superscript"/>
    </w:rPr>
  </w:style>
  <w:style w:type="paragraph" w:customStyle="1" w:styleId="BVIfnrCharCar1CarChar">
    <w:name w:val="BVI fnr Char Car1 Car Char"/>
    <w:aliases w:val="BVI fnr Char Car Car Char,ftref Char Car Car Char,BVI fnr Char Car Char Char Car Car Char,ftref Char Car Char Char Car Car Char,BVI fnr Char"/>
    <w:basedOn w:val="Standaard"/>
    <w:link w:val="Voetnootmarkering"/>
    <w:uiPriority w:val="99"/>
    <w:rsid w:val="00B9666A"/>
    <w:pPr>
      <w:spacing w:after="160" w:line="240" w:lineRule="exact"/>
      <w:jc w:val="both"/>
    </w:pPr>
    <w:rPr>
      <w:rFonts w:ascii="Times New Roman" w:hAnsi="Times New Roman"/>
      <w:sz w:val="20"/>
      <w:szCs w:val="20"/>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26643-941.html"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zoek.officielebekendmakingen.nl/kst-36259-21.html"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brieven_regering/detail?id=2022Z13466&amp;did=2022D27741" TargetMode="External"/><Relationship Id="rId2" Type="http://schemas.openxmlformats.org/officeDocument/2006/relationships/hyperlink" Target="https://wetten.overheid.nl/BWBR0046970/2022-07-27" TargetMode="External"/><Relationship Id="rId1" Type="http://schemas.openxmlformats.org/officeDocument/2006/relationships/hyperlink" Target="https://www.tweedekamer.nl/kamerstukken/brieven_regering/detail?id=2022Z13466&amp;did=2022D27741" TargetMode="External"/><Relationship Id="rId5" Type="http://schemas.openxmlformats.org/officeDocument/2006/relationships/hyperlink" Target="https://wetten.overheid.nl/BWBR0046970/2022-07-27/0" TargetMode="External"/><Relationship Id="rId4" Type="http://schemas.openxmlformats.org/officeDocument/2006/relationships/hyperlink" Target="https://wetten.overheid.nl/BWBR0046970/2022-07-27/0"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5</ap:Pages>
  <ap:Words>1507</ap:Words>
  <ap:Characters>8294</ap:Characters>
  <ap:DocSecurity>0</ap:DocSecurity>
  <ap:Lines>69</ap:Lines>
  <ap:Paragraphs>19</ap:Paragraphs>
  <ap:ScaleCrop>false</ap:ScaleCrop>
  <ap:LinksUpToDate>false</ap:LinksUpToDate>
  <ap:CharactersWithSpaces>9782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2026-09-10T09:04:00.0000000Z</dcterms:created>
  <dcterms:modified xsi:type="dcterms:W3CDTF">2026-09-10T09:04:00.0000000Z</dcterms:modified>
  <dc:description>------------------------</dc:description>
  <dc:subject/>
  <keywords/>
  <version/>
  <category/>
</coreProperties>
</file>