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80" w:type="dxa"/>
        <w:tblLayout w:type="fixed"/>
        <w:tblLook w:val="07E0" w:firstRow="1" w:lastRow="1" w:firstColumn="1" w:lastColumn="1" w:noHBand="1" w:noVBand="1"/>
      </w:tblPr>
      <w:tblGrid>
        <w:gridCol w:w="2440"/>
        <w:gridCol w:w="5240"/>
      </w:tblGrid>
      <w:tr w:rsidR="00524C63" w:rsidTr="00F56E3C" w14:paraId="133987D9" w14:textId="77777777">
        <w:trPr>
          <w:trHeight w:val="200"/>
        </w:trPr>
        <w:tc>
          <w:tcPr>
            <w:tcW w:w="2440" w:type="dxa"/>
            <w:tcBorders>
              <w:bottom w:val="dotted" w:color="000000" w:sz="6" w:space="0"/>
            </w:tcBorders>
          </w:tcPr>
          <w:p w:rsidR="00524C63" w:rsidRDefault="00524C63" w14:paraId="76721630" w14:textId="77777777"/>
        </w:tc>
        <w:tc>
          <w:tcPr>
            <w:tcW w:w="5240" w:type="dxa"/>
            <w:tcBorders>
              <w:bottom w:val="dotted" w:color="000000" w:sz="6" w:space="0"/>
            </w:tcBorders>
          </w:tcPr>
          <w:p w:rsidR="00524C63" w:rsidRDefault="00524C63" w14:paraId="11CA26A7" w14:textId="77777777"/>
        </w:tc>
      </w:tr>
      <w:tr w:rsidR="00524C63" w:rsidTr="00F56E3C" w14:paraId="0DF78B84" w14:textId="77777777">
        <w:trPr>
          <w:trHeight w:val="200"/>
        </w:trPr>
        <w:tc>
          <w:tcPr>
            <w:tcW w:w="2440" w:type="dxa"/>
            <w:tcBorders>
              <w:top w:val="dotted" w:color="000000" w:sz="6" w:space="0"/>
            </w:tcBorders>
          </w:tcPr>
          <w:p w:rsidR="00524C63" w:rsidRDefault="00524C63" w14:paraId="211D45A2" w14:textId="77777777"/>
        </w:tc>
        <w:tc>
          <w:tcPr>
            <w:tcW w:w="5240" w:type="dxa"/>
            <w:tcBorders>
              <w:top w:val="dotted" w:color="000000" w:sz="6" w:space="0"/>
            </w:tcBorders>
          </w:tcPr>
          <w:p w:rsidR="00524C63" w:rsidRDefault="00524C63" w14:paraId="7B051B5C" w14:textId="77777777"/>
        </w:tc>
      </w:tr>
      <w:tr w:rsidR="00524C63" w:rsidTr="00F56E3C" w14:paraId="15F56365" w14:textId="77777777">
        <w:trPr>
          <w:trHeight w:val="240"/>
        </w:trPr>
        <w:tc>
          <w:tcPr>
            <w:tcW w:w="2440" w:type="dxa"/>
          </w:tcPr>
          <w:p w:rsidR="00524C63" w:rsidRDefault="00407F16" w14:paraId="6CAFFA6D" w14:textId="77777777">
            <w:pPr>
              <w:pStyle w:val="Referentiegegevens"/>
            </w:pPr>
            <w:r>
              <w:t>Vergaderdatum en - tijd</w:t>
            </w:r>
          </w:p>
        </w:tc>
        <w:tc>
          <w:tcPr>
            <w:tcW w:w="5240" w:type="dxa"/>
          </w:tcPr>
          <w:p w:rsidR="00524C63" w:rsidRDefault="00F56E3C" w14:paraId="36271FA2" w14:textId="77777777">
            <w:r>
              <w:rPr>
                <w:lang w:val="nl"/>
              </w:rPr>
              <w:t>17-19 juni 2026</w:t>
            </w:r>
          </w:p>
        </w:tc>
      </w:tr>
      <w:tr w:rsidR="00524C63" w:rsidTr="00F56E3C" w14:paraId="638C353F" w14:textId="77777777">
        <w:trPr>
          <w:trHeight w:val="240"/>
        </w:trPr>
        <w:tc>
          <w:tcPr>
            <w:tcW w:w="2440" w:type="dxa"/>
          </w:tcPr>
          <w:p w:rsidR="00524C63" w:rsidRDefault="00407F16" w14:paraId="01F2CF7E" w14:textId="77777777">
            <w:pPr>
              <w:pStyle w:val="Referentiegegevens"/>
            </w:pPr>
            <w:r>
              <w:t>Vergaderplaats</w:t>
            </w:r>
          </w:p>
        </w:tc>
        <w:tc>
          <w:tcPr>
            <w:tcW w:w="5240" w:type="dxa"/>
          </w:tcPr>
          <w:p w:rsidR="00524C63" w:rsidRDefault="00407F16" w14:paraId="5B0ED848" w14:textId="77777777">
            <w:r>
              <w:t>Parijs</w:t>
            </w:r>
          </w:p>
        </w:tc>
      </w:tr>
      <w:tr w:rsidR="00524C63" w:rsidTr="00F56E3C" w14:paraId="53AF247A" w14:textId="77777777">
        <w:trPr>
          <w:trHeight w:val="240"/>
        </w:trPr>
        <w:tc>
          <w:tcPr>
            <w:tcW w:w="2440" w:type="dxa"/>
          </w:tcPr>
          <w:p w:rsidR="00524C63" w:rsidRDefault="00407F16" w14:paraId="14E3A2BB" w14:textId="77777777">
            <w:pPr>
              <w:pStyle w:val="Referentiegegevens"/>
            </w:pPr>
            <w:r>
              <w:t>Aanwezig</w:t>
            </w:r>
          </w:p>
          <w:p w:rsidRPr="00BC71AC" w:rsidR="00481261" w:rsidP="00481261" w:rsidRDefault="00481261" w14:paraId="7BE6A889" w14:textId="77777777"/>
          <w:p w:rsidR="00481261" w:rsidP="00481261" w:rsidRDefault="00481261" w14:paraId="5ADC9058" w14:textId="77777777">
            <w:pPr>
              <w:rPr>
                <w:sz w:val="13"/>
                <w:szCs w:val="13"/>
              </w:rPr>
            </w:pPr>
          </w:p>
          <w:p w:rsidRPr="00481261" w:rsidR="00481261" w:rsidP="00BC71AC" w:rsidRDefault="00481261" w14:paraId="5A9A747B" w14:textId="77777777">
            <w:pPr>
              <w:jc w:val="center"/>
            </w:pPr>
          </w:p>
        </w:tc>
        <w:tc>
          <w:tcPr>
            <w:tcW w:w="5240" w:type="dxa"/>
          </w:tcPr>
          <w:p w:rsidR="00524C63" w:rsidRDefault="00407F16" w14:paraId="72737DD4" w14:textId="77777777">
            <w:r>
              <w:t xml:space="preserve">Vertegenwoordigers van het ministerie van Financiën, het ministerie van Justitie en Veiligheid, </w:t>
            </w:r>
            <w:r w:rsidR="008B6736">
              <w:t>D</w:t>
            </w:r>
            <w:r>
              <w:t xml:space="preserve">e Nederlandsche Bank, </w:t>
            </w:r>
            <w:r w:rsidR="008B6736">
              <w:t xml:space="preserve">de </w:t>
            </w:r>
            <w:r>
              <w:t xml:space="preserve">Autoriteit Financiële Markten, het Openbaar </w:t>
            </w:r>
            <w:r w:rsidR="00481261">
              <w:t xml:space="preserve">Ministerie </w:t>
            </w:r>
            <w:r>
              <w:t>en de Financial Intelligence Unit.</w:t>
            </w:r>
          </w:p>
        </w:tc>
      </w:tr>
      <w:tr w:rsidR="00524C63" w:rsidTr="00F56E3C" w14:paraId="4E62923A" w14:textId="77777777">
        <w:trPr>
          <w:trHeight w:val="200"/>
        </w:trPr>
        <w:tc>
          <w:tcPr>
            <w:tcW w:w="2440" w:type="dxa"/>
            <w:tcBorders>
              <w:bottom w:val="dotted" w:color="000000" w:sz="6" w:space="0"/>
            </w:tcBorders>
          </w:tcPr>
          <w:p w:rsidR="00524C63" w:rsidRDefault="00524C63" w14:paraId="01173CE8" w14:textId="77777777"/>
        </w:tc>
        <w:tc>
          <w:tcPr>
            <w:tcW w:w="5240" w:type="dxa"/>
            <w:tcBorders>
              <w:bottom w:val="dotted" w:color="000000" w:sz="6" w:space="0"/>
            </w:tcBorders>
          </w:tcPr>
          <w:p w:rsidR="00524C63" w:rsidRDefault="00524C63" w14:paraId="738848ED" w14:textId="77777777"/>
        </w:tc>
      </w:tr>
      <w:tr w:rsidR="00524C63" w:rsidTr="00F56E3C" w14:paraId="5D12D798" w14:textId="77777777">
        <w:trPr>
          <w:trHeight w:val="200"/>
        </w:trPr>
        <w:tc>
          <w:tcPr>
            <w:tcW w:w="2440" w:type="dxa"/>
          </w:tcPr>
          <w:p w:rsidR="00524C63" w:rsidRDefault="00524C63" w14:paraId="36909044" w14:textId="77777777"/>
        </w:tc>
        <w:tc>
          <w:tcPr>
            <w:tcW w:w="5240" w:type="dxa"/>
          </w:tcPr>
          <w:p w:rsidR="00524C63" w:rsidRDefault="00524C63" w14:paraId="62FB4855" w14:textId="77777777"/>
        </w:tc>
      </w:tr>
    </w:tbl>
    <w:p w:rsidR="00524C63" w:rsidRDefault="00524C63" w14:paraId="36E5BF95" w14:textId="77777777">
      <w:pPr>
        <w:pStyle w:val="WitregelW1bodytekst"/>
      </w:pPr>
    </w:p>
    <w:p w:rsidR="00524C63" w:rsidRDefault="00524C63" w14:paraId="26F3770B" w14:textId="77777777"/>
    <w:p w:rsidR="00524C63" w:rsidRDefault="00F56E3C" w14:paraId="652AB883" w14:textId="77777777">
      <w:r>
        <w:t xml:space="preserve">Deze plenaire vergadering was de zesde en laatste onder het tweejarig voorzitterschap van Mexico en vond plaats in Parijs. </w:t>
      </w:r>
    </w:p>
    <w:p w:rsidR="00524C63" w:rsidRDefault="00524C63" w14:paraId="32F5596D" w14:textId="77777777"/>
    <w:p w:rsidRPr="00C17613" w:rsidR="00F56E3C" w:rsidP="00F56E3C" w:rsidRDefault="00F56E3C" w14:paraId="09746A4A" w14:textId="77777777">
      <w:pPr>
        <w:rPr>
          <w:b/>
          <w:bCs/>
        </w:rPr>
      </w:pPr>
      <w:r w:rsidRPr="00C17613">
        <w:rPr>
          <w:b/>
          <w:bCs/>
        </w:rPr>
        <w:t xml:space="preserve">Schorsing van de Russische Federatie als lid van de FATF </w:t>
      </w:r>
    </w:p>
    <w:p w:rsidR="00F56E3C" w:rsidP="00F56E3C" w:rsidRDefault="00F56E3C" w14:paraId="521E5B7E" w14:textId="77777777">
      <w:r w:rsidRPr="00C17613">
        <w:t>Op 24 februari 2023 heeft de plenaire vergadering van de FATF besloten om de Russische Federatie te schorsen als lid van de FATF en heeft de FATF een verklaring uitgebracht over de Russische oorlogshandelingen in Oekraïne. In februari 2024 heeft de FATF een nieuwe verklaring naar buiten gebracht.</w:t>
      </w:r>
      <w:r>
        <w:rPr>
          <w:rStyle w:val="Voetnootmarkering"/>
        </w:rPr>
        <w:footnoteReference w:id="1"/>
      </w:r>
      <w:r>
        <w:t xml:space="preserve"> </w:t>
      </w:r>
      <w:r w:rsidR="00552B0A">
        <w:t>Op</w:t>
      </w:r>
      <w:r w:rsidRPr="00C17613">
        <w:t xml:space="preserve"> de afgelopen plenaire vergadering is deze schorsing wederom in stand gelaten. De FATF zal de situatie monitoren en elke plenaire vergadering nagaan of er gronden zijn om de schorsing op te heffen of te wijzigen. Ondertussen blijft het land gebonden aan de FATF-standaarden en dient het aan zijn financiële verplichtingen te blijven voldoen. De Russische Federatie blijft wel lid van de regionale zusterorganisatie </w:t>
      </w:r>
      <w:proofErr w:type="spellStart"/>
      <w:r w:rsidRPr="00A552CA">
        <w:rPr>
          <w:i/>
          <w:iCs/>
        </w:rPr>
        <w:t>Eurasian</w:t>
      </w:r>
      <w:proofErr w:type="spellEnd"/>
      <w:r w:rsidRPr="00A552CA">
        <w:rPr>
          <w:i/>
          <w:iCs/>
        </w:rPr>
        <w:t xml:space="preserve"> Group on </w:t>
      </w:r>
      <w:proofErr w:type="spellStart"/>
      <w:r w:rsidRPr="00A552CA">
        <w:rPr>
          <w:i/>
          <w:iCs/>
        </w:rPr>
        <w:t>Combating</w:t>
      </w:r>
      <w:proofErr w:type="spellEnd"/>
      <w:r w:rsidRPr="00A552CA">
        <w:rPr>
          <w:i/>
          <w:iCs/>
        </w:rPr>
        <w:t xml:space="preserve"> Money </w:t>
      </w:r>
      <w:proofErr w:type="spellStart"/>
      <w:r w:rsidRPr="00A552CA">
        <w:rPr>
          <w:i/>
          <w:iCs/>
        </w:rPr>
        <w:t>Laundering</w:t>
      </w:r>
      <w:proofErr w:type="spellEnd"/>
      <w:r w:rsidRPr="00C17613">
        <w:t xml:space="preserve"> (EAG).</w:t>
      </w:r>
    </w:p>
    <w:p w:rsidR="00524C63" w:rsidRDefault="00524C63" w14:paraId="71A8DCF8" w14:textId="77777777"/>
    <w:p w:rsidR="00F56E3C" w:rsidP="00F56E3C" w:rsidRDefault="00F56E3C" w14:paraId="7631FB05" w14:textId="77777777">
      <w:pPr>
        <w:rPr>
          <w:b/>
          <w:bCs/>
        </w:rPr>
      </w:pPr>
      <w:r w:rsidRPr="00C17613">
        <w:rPr>
          <w:b/>
          <w:bCs/>
        </w:rPr>
        <w:t>Monitoring van naleving van de FATF-standaarden</w:t>
      </w:r>
    </w:p>
    <w:p w:rsidR="00F56E3C" w:rsidP="00F56E3C" w:rsidRDefault="00F56E3C" w14:paraId="7677E26E" w14:textId="77777777">
      <w:pPr>
        <w:rPr>
          <w:i/>
          <w:iCs/>
        </w:rPr>
      </w:pPr>
      <w:r>
        <w:rPr>
          <w:i/>
          <w:iCs/>
        </w:rPr>
        <w:t>Wederzijdse evaluatie van Canada en Turkije</w:t>
      </w:r>
    </w:p>
    <w:p w:rsidR="00F56E3C" w:rsidP="00F56E3C" w:rsidRDefault="003E225B" w14:paraId="70367A4A" w14:textId="77777777">
      <w:r w:rsidRPr="003E225B">
        <w:t xml:space="preserve">De FATF heeft de bespreking van de wederzijdse evaluaties van </w:t>
      </w:r>
      <w:r>
        <w:t>Canada</w:t>
      </w:r>
      <w:r w:rsidRPr="003E225B">
        <w:t xml:space="preserve"> en </w:t>
      </w:r>
      <w:r>
        <w:t xml:space="preserve">Turkije </w:t>
      </w:r>
      <w:r w:rsidRPr="003E225B">
        <w:t>afgerond. Door middel van peer reviews is beoordeeld of de wet- en regelgeving van de landen technisch voldoen aan de FATF-standaarden en in hoeverre dit stelsel effectief is in het beschermen van de integriteit van het financiële systeem.</w:t>
      </w:r>
      <w:r>
        <w:t xml:space="preserve"> </w:t>
      </w:r>
      <w:r w:rsidRPr="003E225B">
        <w:t xml:space="preserve">De evaluatierapporten van de </w:t>
      </w:r>
      <w:r>
        <w:t>twee</w:t>
      </w:r>
      <w:r w:rsidRPr="003E225B">
        <w:t xml:space="preserve"> landen zullen naar verwachting in </w:t>
      </w:r>
      <w:r>
        <w:t>september/oktober</w:t>
      </w:r>
      <w:r w:rsidRPr="003E225B">
        <w:t xml:space="preserve"> worden gepubliceerd.</w:t>
      </w:r>
    </w:p>
    <w:p w:rsidR="003E225B" w:rsidP="00F56E3C" w:rsidRDefault="003E225B" w14:paraId="74FE4B1C" w14:textId="77777777">
      <w:pPr>
        <w:spacing w:line="276" w:lineRule="auto"/>
        <w:rPr>
          <w:b/>
          <w:bCs/>
        </w:rPr>
      </w:pPr>
    </w:p>
    <w:p w:rsidR="00DD2BE6" w:rsidP="00F56E3C" w:rsidRDefault="00DD2BE6" w14:paraId="5A947678" w14:textId="77777777">
      <w:pPr>
        <w:spacing w:line="276" w:lineRule="auto"/>
        <w:rPr>
          <w:b/>
          <w:bCs/>
        </w:rPr>
      </w:pPr>
    </w:p>
    <w:p w:rsidRPr="00C17613" w:rsidR="00F56E3C" w:rsidP="00F56E3C" w:rsidRDefault="00F56E3C" w14:paraId="0C91B8D5" w14:textId="77777777">
      <w:pPr>
        <w:spacing w:line="276" w:lineRule="auto"/>
        <w:rPr>
          <w:b/>
          <w:bCs/>
        </w:rPr>
      </w:pPr>
      <w:r w:rsidRPr="00C17613">
        <w:rPr>
          <w:b/>
          <w:bCs/>
        </w:rPr>
        <w:t xml:space="preserve">Jurisdicties met verhoogde risico’s </w:t>
      </w:r>
    </w:p>
    <w:p w:rsidR="00F56E3C" w:rsidP="00F56E3C" w:rsidRDefault="00F56E3C" w14:paraId="4D6C71AF" w14:textId="77777777">
      <w:pPr>
        <w:spacing w:line="276" w:lineRule="auto"/>
      </w:pPr>
      <w:r>
        <w:t>De FATF publiceert twee lijsten waarop landen en jurisdicties staan met strategische tekortkomingen in hun nationale beleid ter voorkoming en bestrijding van witwassen en terrorismefinanciering. De eerste lijst betreft de zogeheten “hoog risicolanden onderhevig aan een oproep tot tegenmaatregelen”. Deze lijst wordt vaak aangeduid als de “zwarte lijst”. De lijst bevat jurisdicties die geen betrokkenheid tonen om verbeteringen door te voeren of die onvoldoende voortgang hebben geboekt in het terugdringen van hun strategische tekortkomingen en die daardoor een bedreiging kunnen vormen voor het internationale financiële systeem. Noord-Korea en Iran staan al geruime tijd op deze lijst. Er geldt een oproep aan alle landen om effectieve tegenmaatregelen te nemen tegen deze twee landen. In oktober 2025 is er een hernieuwde oproep gedaan tot tegenmaatregelen betreffend Iran.</w:t>
      </w:r>
      <w:r>
        <w:rPr>
          <w:rStyle w:val="Voetnootmarkering"/>
        </w:rPr>
        <w:footnoteReference w:id="2"/>
      </w:r>
    </w:p>
    <w:p w:rsidR="00F56E3C" w:rsidP="00F56E3C" w:rsidRDefault="00F56E3C" w14:paraId="54522A27" w14:textId="77777777">
      <w:pPr>
        <w:spacing w:line="276" w:lineRule="auto"/>
      </w:pPr>
    </w:p>
    <w:p w:rsidR="00F56E3C" w:rsidP="00F56E3C" w:rsidRDefault="00F56E3C" w14:paraId="6F28035D" w14:textId="77777777">
      <w:pPr>
        <w:spacing w:line="276" w:lineRule="auto"/>
      </w:pPr>
      <w:r>
        <w:t>Myanmar staat sinds oktober 2022 op de zwarte lijst, omdat het land een gebrek aan voortgang laat zien bij het uitvoeren van zijn verbeterplan. De FATF roept daarom alle landen ter wereld op om verscherpt cliëntenonderzoek te doen bij transacties van en naar Myanmar, in lijn met de bijbehorende risico’s. De FATF meldt daarbij wel expliciet dat deze verscherpte maatregelen niet ten koste mogen gaan van humanitaire geldstromen, financiering van legitieme niet- gouvernementele organisaties (</w:t>
      </w:r>
      <w:proofErr w:type="spellStart"/>
      <w:r>
        <w:t>NGO’s</w:t>
      </w:r>
      <w:proofErr w:type="spellEnd"/>
      <w:r>
        <w:t xml:space="preserve">) en particuliere geldtransfers. </w:t>
      </w:r>
    </w:p>
    <w:p w:rsidR="00F56E3C" w:rsidP="00F56E3C" w:rsidRDefault="00F56E3C" w14:paraId="6D1607E2" w14:textId="77777777">
      <w:pPr>
        <w:spacing w:line="276" w:lineRule="auto"/>
      </w:pPr>
    </w:p>
    <w:p w:rsidR="00F56E3C" w:rsidP="00F56E3C" w:rsidRDefault="00F56E3C" w14:paraId="0139681C" w14:textId="77777777">
      <w:pPr>
        <w:spacing w:line="276" w:lineRule="auto"/>
      </w:pPr>
      <w:r>
        <w:t>De tweede lijst die de FATF publiceert is getiteld “Jurisdicties onder verscherpt toezicht”.</w:t>
      </w:r>
      <w:r>
        <w:rPr>
          <w:rStyle w:val="Voetnootmarkering"/>
        </w:rPr>
        <w:footnoteReference w:id="3"/>
      </w:r>
      <w:r>
        <w:t xml:space="preserve"> Deze lijst wordt vaak aangeduid als de “grijze lijst”. De lijst bevat landen die strategische tekortkomingen hebben in hun nationale regimes ter voorkoming en bestrijding van witwassen en terrorismefinanciering, maar die gecommitteerd zijn om deze tekortkomingen </w:t>
      </w:r>
      <w:r w:rsidRPr="00026D4E">
        <w:t xml:space="preserve">aan te pakken. In de laatste plenaire vergadering is besloten dat Namibië en Algerije van de lijst worden afgehaald. Bosnië en Herzegovina en Irak zijn op de lijst gezet. In totaal staan sinds juni 2026 </w:t>
      </w:r>
      <w:r w:rsidRPr="00026D4E" w:rsidR="00026D4E">
        <w:t>23</w:t>
      </w:r>
      <w:r w:rsidRPr="00026D4E">
        <w:t xml:space="preserve"> landen op deze lijst.</w:t>
      </w:r>
      <w:r w:rsidRPr="00026D4E">
        <w:rPr>
          <w:rStyle w:val="Voetnootmarkering"/>
        </w:rPr>
        <w:footnoteReference w:id="4"/>
      </w:r>
      <w:r w:rsidRPr="00026D4E">
        <w:t xml:space="preserve"> De Nederlandsche</w:t>
      </w:r>
      <w:r>
        <w:t xml:space="preserve"> Bank en de Autoriteit Financiële Markten verwijzen op hun website na elke plenaire vergadering naar de meest recente lijsten. Op diezelfde websites wordt toegelicht welke (aanvullende) maatregelen Nederlandse financiële instellingen dienen te nemen in het kader van de naleving van de Wet ter voorkoming van witwassen en financieren van terrorisme (</w:t>
      </w:r>
      <w:proofErr w:type="spellStart"/>
      <w:r>
        <w:t>Wwft</w:t>
      </w:r>
      <w:proofErr w:type="spellEnd"/>
      <w:r>
        <w:t>). Het gaat hierbij om het verhoogde risico ten aanzien van relaties met ingezetenen van deze landen en het uitvoeren van transacties van of naar deze landen te mitigeren.</w:t>
      </w:r>
    </w:p>
    <w:p w:rsidRPr="00F56E3C" w:rsidR="00F56E3C" w:rsidP="00F56E3C" w:rsidRDefault="00F56E3C" w14:paraId="125BA928" w14:textId="77777777"/>
    <w:p w:rsidR="00F56E3C" w:rsidP="00033CFF" w:rsidRDefault="00F56E3C" w14:paraId="617512BC" w14:textId="77777777">
      <w:pPr>
        <w:keepNext/>
        <w:keepLines/>
        <w:spacing w:line="276" w:lineRule="auto"/>
        <w:rPr>
          <w:b/>
          <w:bCs/>
        </w:rPr>
      </w:pPr>
      <w:r>
        <w:rPr>
          <w:b/>
          <w:bCs/>
        </w:rPr>
        <w:lastRenderedPageBreak/>
        <w:t>Strategische initiatieven</w:t>
      </w:r>
    </w:p>
    <w:p w:rsidR="00026D4E" w:rsidP="00033CFF" w:rsidRDefault="00C27E3E" w14:paraId="635CAC45" w14:textId="77777777">
      <w:pPr>
        <w:keepNext/>
        <w:keepLines/>
        <w:rPr>
          <w:i/>
          <w:iCs/>
        </w:rPr>
      </w:pPr>
      <w:r>
        <w:rPr>
          <w:i/>
          <w:iCs/>
        </w:rPr>
        <w:t>Publiek-private samenwerking en informatiedeling</w:t>
      </w:r>
    </w:p>
    <w:p w:rsidR="00C27E3E" w:rsidP="00033CFF" w:rsidRDefault="00964A50" w14:paraId="7549BFDC" w14:textId="77777777">
      <w:pPr>
        <w:keepNext/>
        <w:keepLines/>
      </w:pPr>
      <w:r>
        <w:t>Met het oog op de toenemende digitalisering en fragmentatie van grensoverschrijdende transacties</w:t>
      </w:r>
      <w:r w:rsidR="000B7D1C">
        <w:t>,</w:t>
      </w:r>
      <w:r>
        <w:t xml:space="preserve"> zijn een nauwere samenwerking tussen de publieke en private sector en een betere uitwisseling van informatie van cruciaal belang voor een doeltreffende aanpak van witwassen, terrorismefinanciering, fraude en andere misdrijven. Daarom publiceer</w:t>
      </w:r>
      <w:r w:rsidR="00A4790B">
        <w:t>de</w:t>
      </w:r>
      <w:r>
        <w:t xml:space="preserve"> de FATF in juli 2026 een nieuw overzicht met publiek-private samenwerkingen en regelingen voor informatiedeling</w:t>
      </w:r>
      <w:r w:rsidR="00D60726">
        <w:t>,</w:t>
      </w:r>
      <w:r>
        <w:t xml:space="preserve"> waarin </w:t>
      </w:r>
      <w:r w:rsidR="00407F16">
        <w:t>de modellen</w:t>
      </w:r>
      <w:r>
        <w:t xml:space="preserve"> voor informatiedeling van verschillende landen worden gepubliceerd.</w:t>
      </w:r>
      <w:r w:rsidR="00A4790B">
        <w:rPr>
          <w:rStyle w:val="Voetnootmarkering"/>
        </w:rPr>
        <w:footnoteReference w:id="5"/>
      </w:r>
      <w:r w:rsidR="00407F16">
        <w:t xml:space="preserve"> Hiermee wordt de uitwisseling van </w:t>
      </w:r>
      <w:r w:rsidR="000B7D1C">
        <w:t>(</w:t>
      </w:r>
      <w:proofErr w:type="spellStart"/>
      <w:r w:rsidR="000B7D1C">
        <w:t>opsporings</w:t>
      </w:r>
      <w:proofErr w:type="spellEnd"/>
      <w:r w:rsidR="000B7D1C">
        <w:t xml:space="preserve">)informatie </w:t>
      </w:r>
      <w:r w:rsidR="00407F16">
        <w:t>ondersteun</w:t>
      </w:r>
      <w:r w:rsidR="00D60726">
        <w:t>d</w:t>
      </w:r>
      <w:r w:rsidR="00407F16">
        <w:t>, rekening houdend</w:t>
      </w:r>
      <w:r>
        <w:t xml:space="preserve"> met de vereisten voor gegeven</w:t>
      </w:r>
      <w:r w:rsidR="00407F16">
        <w:t>sb</w:t>
      </w:r>
      <w:r>
        <w:t xml:space="preserve">escherming. </w:t>
      </w:r>
    </w:p>
    <w:p w:rsidRPr="00964A50" w:rsidR="00964A50" w:rsidP="00F56E3C" w:rsidRDefault="00964A50" w14:paraId="2952513C" w14:textId="77777777"/>
    <w:p w:rsidR="00C27E3E" w:rsidP="00F56E3C" w:rsidRDefault="00C27E3E" w14:paraId="56033D71" w14:textId="77777777">
      <w:pPr>
        <w:rPr>
          <w:i/>
          <w:iCs/>
        </w:rPr>
      </w:pPr>
      <w:r>
        <w:rPr>
          <w:i/>
          <w:iCs/>
        </w:rPr>
        <w:t>Betalingstransparantie versterken</w:t>
      </w:r>
    </w:p>
    <w:p w:rsidRPr="00A46A1D" w:rsidR="00C27E3E" w:rsidP="00F56E3C" w:rsidRDefault="00A46A1D" w14:paraId="5558FF4D" w14:textId="77777777">
      <w:r>
        <w:t>De FATF heeft</w:t>
      </w:r>
      <w:r w:rsidR="00D60726">
        <w:t xml:space="preserve"> een concept van</w:t>
      </w:r>
      <w:r>
        <w:t xml:space="preserve"> nieuwe richtsnoeren </w:t>
      </w:r>
      <w:r w:rsidR="006B2E10">
        <w:t xml:space="preserve">opgesteld </w:t>
      </w:r>
      <w:r>
        <w:t xml:space="preserve">die helpen bij </w:t>
      </w:r>
      <w:r w:rsidR="000B7D1C">
        <w:t>het toepassen</w:t>
      </w:r>
      <w:r>
        <w:t xml:space="preserve"> van de FATF</w:t>
      </w:r>
      <w:r w:rsidR="00DD2BE6">
        <w:t>-s</w:t>
      </w:r>
      <w:r>
        <w:t xml:space="preserve">tandaard over </w:t>
      </w:r>
      <w:r w:rsidR="006B2E10">
        <w:t>het betalingsverkeer</w:t>
      </w:r>
      <w:r>
        <w:t xml:space="preserve"> (aanbeveling 16). De richtsnoeren zullen landen en financiële instellingen helpen om transparantie bij betalingen te versterken ter bestrijding van witwassen, terrorismefinanciering en onderliggende misdrijven, met name fraude</w:t>
      </w:r>
      <w:r w:rsidR="006B2E10">
        <w:t xml:space="preserve">, en geven verdere invulling aan de </w:t>
      </w:r>
      <w:r w:rsidR="00DD2BE6">
        <w:t>s</w:t>
      </w:r>
      <w:r w:rsidR="006B2E10">
        <w:t>tandaard</w:t>
      </w:r>
      <w:r>
        <w:t>. De voorgestelde richtsnoeren worden publiek geconsulteerd</w:t>
      </w:r>
      <w:r w:rsidR="000B7D1C">
        <w:t xml:space="preserve"> en de uitkomsten daarvan verder besproken binnen de FATF</w:t>
      </w:r>
      <w:r>
        <w:t xml:space="preserve">. </w:t>
      </w:r>
    </w:p>
    <w:p w:rsidR="00A46A1D" w:rsidP="00F56E3C" w:rsidRDefault="00A46A1D" w14:paraId="5247125A" w14:textId="77777777">
      <w:pPr>
        <w:rPr>
          <w:i/>
          <w:iCs/>
        </w:rPr>
      </w:pPr>
    </w:p>
    <w:p w:rsidR="00C27E3E" w:rsidP="00F56E3C" w:rsidRDefault="00C27E3E" w14:paraId="0B97D752" w14:textId="77777777">
      <w:pPr>
        <w:rPr>
          <w:i/>
          <w:iCs/>
        </w:rPr>
      </w:pPr>
      <w:r>
        <w:rPr>
          <w:i/>
          <w:iCs/>
        </w:rPr>
        <w:t>Landen helpen om steeds veranderende criminele methoden voor te blijven</w:t>
      </w:r>
    </w:p>
    <w:p w:rsidR="00725289" w:rsidP="00F56E3C" w:rsidRDefault="0011469D" w14:paraId="5B2C2959" w14:textId="77777777">
      <w:r>
        <w:t>De</w:t>
      </w:r>
      <w:r w:rsidR="00725289">
        <w:t xml:space="preserve"> plenaire vergadering</w:t>
      </w:r>
      <w:r>
        <w:t xml:space="preserve"> heeft een aantal</w:t>
      </w:r>
      <w:r w:rsidR="00A46A1D">
        <w:t xml:space="preserve"> rapporten </w:t>
      </w:r>
      <w:r>
        <w:t xml:space="preserve">vastgesteld die </w:t>
      </w:r>
      <w:r w:rsidR="00A46A1D">
        <w:t xml:space="preserve">voortbouwen op opkomende technologieën en nieuwe digitale platforms. </w:t>
      </w:r>
      <w:r w:rsidR="002B5586">
        <w:t xml:space="preserve">Nederlandse experts hebben aan al deze rapporten een bijdrage geleverd. </w:t>
      </w:r>
    </w:p>
    <w:p w:rsidR="00725289" w:rsidP="00F56E3C" w:rsidRDefault="00725289" w14:paraId="483B1CE3" w14:textId="77777777"/>
    <w:p w:rsidRPr="00F02B0D" w:rsidR="00A46A1D" w:rsidP="00F56E3C" w:rsidRDefault="00A46A1D" w14:paraId="1ED01D57" w14:textId="77777777">
      <w:r>
        <w:t xml:space="preserve">Er </w:t>
      </w:r>
      <w:r w:rsidR="00D60726">
        <w:t xml:space="preserve">verschijnt </w:t>
      </w:r>
      <w:r>
        <w:t>een rapport</w:t>
      </w:r>
      <w:r w:rsidR="00725289">
        <w:t xml:space="preserve"> over het opsporen en verstoren van terroristische financieringsactiviteiten via sociale media, instant messaging-apps en streamingplatforms.</w:t>
      </w:r>
      <w:r w:rsidR="008D1909">
        <w:rPr>
          <w:rStyle w:val="Voetnootmarkering"/>
        </w:rPr>
        <w:footnoteReference w:id="6"/>
      </w:r>
      <w:r w:rsidR="00725289">
        <w:t xml:space="preserve"> </w:t>
      </w:r>
      <w:r w:rsidR="002C1D75">
        <w:t>De financieringsmethoden van terroristen blijven variëren naarmate zij toegang krijgen tot opkomende technologieën en digitale platforms. Dit rapport bouwt voort op een eerdere update van de FATF uit 2025</w:t>
      </w:r>
      <w:r w:rsidR="002C1D75">
        <w:rPr>
          <w:rStyle w:val="Voetnootmarkering"/>
        </w:rPr>
        <w:footnoteReference w:id="7"/>
      </w:r>
      <w:r w:rsidR="002C1D75">
        <w:t xml:space="preserve"> en </w:t>
      </w:r>
      <w:r w:rsidR="002B5586">
        <w:t>richt zich</w:t>
      </w:r>
      <w:r w:rsidR="002C1D75">
        <w:t xml:space="preserve"> op hoe terroristen technologieën misbruiken en aanbevelingen bevatten om dit misbruik aan te pakken. Hierbij wordt een proactieve betrokkenheid van de sector aanbevolen. </w:t>
      </w:r>
      <w:r>
        <w:t xml:space="preserve">In september 2026 </w:t>
      </w:r>
      <w:r w:rsidR="00900234">
        <w:t>w</w:t>
      </w:r>
      <w:r w:rsidR="00646D0F">
        <w:t>o</w:t>
      </w:r>
      <w:r w:rsidR="00900234">
        <w:t>rd</w:t>
      </w:r>
      <w:r w:rsidR="00646D0F">
        <w:t>t</w:t>
      </w:r>
      <w:r w:rsidR="008A1A1C">
        <w:t xml:space="preserve"> verder</w:t>
      </w:r>
      <w:r>
        <w:t xml:space="preserve"> een rapport gepubliceerd over hoe ondergronds bank</w:t>
      </w:r>
      <w:r w:rsidR="00002EEF">
        <w:t>ieren</w:t>
      </w:r>
      <w:r>
        <w:t xml:space="preserve">, </w:t>
      </w:r>
      <w:proofErr w:type="spellStart"/>
      <w:r>
        <w:t>hawala</w:t>
      </w:r>
      <w:proofErr w:type="spellEnd"/>
      <w:r>
        <w:t xml:space="preserve"> en soortgelijke dienstverleners</w:t>
      </w:r>
      <w:r w:rsidR="00002EEF">
        <w:t>,</w:t>
      </w:r>
      <w:r>
        <w:t xml:space="preserve"> door criminelen, waaronder professionele witwassers, kunnen worden misbruikt om illegale financiële activiteiten te faciliteren.</w:t>
      </w:r>
      <w:r w:rsidR="008A1A1C">
        <w:t xml:space="preserve"> </w:t>
      </w:r>
      <w:r>
        <w:t xml:space="preserve">Tot slot is er een rapport goedgekeurd om het inzicht </w:t>
      </w:r>
      <w:r w:rsidRPr="00A46A1D">
        <w:t>in de nieuwste risico’s in de casinosector en de bredere kansspelsector te actualiseren</w:t>
      </w:r>
      <w:r w:rsidR="00003095">
        <w:t>. Dit</w:t>
      </w:r>
      <w:r>
        <w:t xml:space="preserve"> door </w:t>
      </w:r>
      <w:r w:rsidRPr="00A46A1D">
        <w:t>indicatoren voor illegale financiële risico</w:t>
      </w:r>
      <w:r>
        <w:t>’</w:t>
      </w:r>
      <w:r w:rsidRPr="00A46A1D">
        <w:t>s</w:t>
      </w:r>
      <w:r>
        <w:t xml:space="preserve"> te identificeren</w:t>
      </w:r>
      <w:r w:rsidRPr="00A46A1D">
        <w:t xml:space="preserve"> die zullen helpen bij het opsporen van criminele activiteiten.</w:t>
      </w:r>
    </w:p>
    <w:p w:rsidR="00F02B0D" w:rsidP="00F56E3C" w:rsidRDefault="00F02B0D" w14:paraId="31024329" w14:textId="77777777">
      <w:pPr>
        <w:rPr>
          <w:i/>
          <w:iCs/>
        </w:rPr>
      </w:pPr>
    </w:p>
    <w:p w:rsidR="00C27E3E" w:rsidP="00F56E3C" w:rsidRDefault="00C27E3E" w14:paraId="3ED74A58" w14:textId="77777777">
      <w:pPr>
        <w:rPr>
          <w:i/>
          <w:iCs/>
        </w:rPr>
      </w:pPr>
      <w:r>
        <w:rPr>
          <w:i/>
          <w:iCs/>
        </w:rPr>
        <w:t>Zorgen voor verantwoorde technologische innovatie in de financiële sector</w:t>
      </w:r>
    </w:p>
    <w:p w:rsidRPr="00F02B0D" w:rsidR="00A90CF1" w:rsidP="00F56E3C" w:rsidRDefault="00F02B0D" w14:paraId="644BF2A0" w14:textId="77777777">
      <w:r>
        <w:t xml:space="preserve">Tijdens de plenaire vergadering is een gerichte update aangenomen </w:t>
      </w:r>
      <w:r w:rsidR="001D5906">
        <w:t xml:space="preserve">over </w:t>
      </w:r>
      <w:r>
        <w:t xml:space="preserve">de </w:t>
      </w:r>
      <w:r w:rsidR="002B5586">
        <w:t xml:space="preserve">voortgang van de </w:t>
      </w:r>
      <w:r>
        <w:t>implementatie van de FATF</w:t>
      </w:r>
      <w:r w:rsidR="00D60726">
        <w:t>-</w:t>
      </w:r>
      <w:r>
        <w:t xml:space="preserve">standaarden over </w:t>
      </w:r>
      <w:r w:rsidR="00D60726">
        <w:t>crypt</w:t>
      </w:r>
      <w:r w:rsidR="00033CFF">
        <w:t>o</w:t>
      </w:r>
      <w:r>
        <w:t xml:space="preserve">activa en dienstverleners op het gebied van </w:t>
      </w:r>
      <w:r w:rsidR="00D60726">
        <w:t>crypt</w:t>
      </w:r>
      <w:r w:rsidR="00033CFF">
        <w:t>o</w:t>
      </w:r>
      <w:r>
        <w:t xml:space="preserve">activa. </w:t>
      </w:r>
      <w:r w:rsidR="002C1D75">
        <w:t xml:space="preserve">Ook is besloten om in juli 2026 </w:t>
      </w:r>
      <w:r>
        <w:lastRenderedPageBreak/>
        <w:t xml:space="preserve">een nieuw rapport </w:t>
      </w:r>
      <w:r w:rsidR="002C1D75">
        <w:t>te publiceren</w:t>
      </w:r>
      <w:r>
        <w:t xml:space="preserve"> dat ingaat op de uitdagingen </w:t>
      </w:r>
      <w:r w:rsidR="002C1D75">
        <w:t>voor</w:t>
      </w:r>
      <w:r>
        <w:t xml:space="preserve"> regelgeving in samenhang met de</w:t>
      </w:r>
      <w:r w:rsidR="002C1D75">
        <w:t xml:space="preserve"> mogelijke</w:t>
      </w:r>
      <w:r>
        <w:t xml:space="preserve"> risico’s</w:t>
      </w:r>
      <w:r w:rsidRPr="002C1D75" w:rsidR="002C1D75">
        <w:t xml:space="preserve"> </w:t>
      </w:r>
      <w:r w:rsidR="002C1D75">
        <w:t xml:space="preserve">op het gebied van witwassen, terrorisme- en proliferatiefinanciering van </w:t>
      </w:r>
      <w:proofErr w:type="spellStart"/>
      <w:r w:rsidR="002C1D75">
        <w:rPr>
          <w:i/>
          <w:iCs/>
        </w:rPr>
        <w:t>decentralised</w:t>
      </w:r>
      <w:proofErr w:type="spellEnd"/>
      <w:r w:rsidR="002C1D75">
        <w:rPr>
          <w:i/>
          <w:iCs/>
        </w:rPr>
        <w:t xml:space="preserve"> </w:t>
      </w:r>
      <w:proofErr w:type="spellStart"/>
      <w:r w:rsidR="002C1D75">
        <w:rPr>
          <w:i/>
          <w:iCs/>
        </w:rPr>
        <w:t>finance</w:t>
      </w:r>
      <w:proofErr w:type="spellEnd"/>
      <w:r w:rsidR="002C1D75">
        <w:rPr>
          <w:i/>
          <w:iCs/>
        </w:rPr>
        <w:t>-</w:t>
      </w:r>
      <w:r w:rsidRPr="002C1D75" w:rsidR="002C1D75">
        <w:rPr>
          <w:i/>
          <w:iCs/>
        </w:rPr>
        <w:t>platforms</w:t>
      </w:r>
      <w:r>
        <w:t>.</w:t>
      </w:r>
      <w:r w:rsidR="002B5586">
        <w:rPr>
          <w:rStyle w:val="Voetnootmarkering"/>
        </w:rPr>
        <w:footnoteReference w:id="8"/>
      </w:r>
      <w:r>
        <w:t xml:space="preserve"> </w:t>
      </w:r>
    </w:p>
    <w:p w:rsidR="00C27E3E" w:rsidP="00F56E3C" w:rsidRDefault="00C27E3E" w14:paraId="50A7CA1A" w14:textId="77777777">
      <w:pPr>
        <w:rPr>
          <w:i/>
          <w:iCs/>
        </w:rPr>
      </w:pPr>
    </w:p>
    <w:p w:rsidR="00C27E3E" w:rsidP="00F56E3C" w:rsidRDefault="00C27E3E" w14:paraId="50012973" w14:textId="77777777">
      <w:pPr>
        <w:rPr>
          <w:b/>
          <w:bCs/>
        </w:rPr>
      </w:pPr>
      <w:r>
        <w:rPr>
          <w:b/>
          <w:bCs/>
        </w:rPr>
        <w:t xml:space="preserve">Doelstellingen van het voorzitterschap van het VK (2026-2028) </w:t>
      </w:r>
    </w:p>
    <w:p w:rsidRPr="002F6BF7" w:rsidR="002F6BF7" w:rsidP="009A0AD4" w:rsidRDefault="002F6BF7" w14:paraId="57A01118" w14:textId="77777777">
      <w:r>
        <w:t xml:space="preserve">De </w:t>
      </w:r>
      <w:r w:rsidR="00D60726">
        <w:t>in</w:t>
      </w:r>
      <w:r>
        <w:t xml:space="preserve">komende FATF President, de heer </w:t>
      </w:r>
      <w:proofErr w:type="spellStart"/>
      <w:r>
        <w:t>Giles</w:t>
      </w:r>
      <w:proofErr w:type="spellEnd"/>
      <w:r>
        <w:t xml:space="preserve"> Thompson (VK), heeft de doelstellingen van het Britse voorzitterschap van 1 juli 2026 tot 30 juni 2028 gepresenteerd. Deze zijn in lijn met de </w:t>
      </w:r>
      <w:r w:rsidR="009A0AD4">
        <w:t>tijdens de</w:t>
      </w:r>
      <w:r w:rsidRPr="009A0AD4" w:rsidR="009A0AD4">
        <w:t xml:space="preserve"> </w:t>
      </w:r>
      <w:r w:rsidR="009A0AD4">
        <w:t xml:space="preserve">tweejaarlijkse ministeriële vergadering van ministers </w:t>
      </w:r>
      <w:r w:rsidRPr="00A90CF1">
        <w:t>van de FATF-leden</w:t>
      </w:r>
      <w:r w:rsidR="009A0AD4">
        <w:t xml:space="preserve"> in april 2026</w:t>
      </w:r>
      <w:r w:rsidRPr="00A90CF1">
        <w:t xml:space="preserve"> vastgestelde strategische prioriteiten. Het voorzitterschap zal inzetten op het intensiveren van de internationale aanpak van fraude, waaronder </w:t>
      </w:r>
      <w:r w:rsidR="001D5906">
        <w:t>internetfraude</w:t>
      </w:r>
      <w:r w:rsidRPr="00A90CF1">
        <w:t>.</w:t>
      </w:r>
      <w:r w:rsidRPr="00A90CF1" w:rsidR="00A90CF1">
        <w:t xml:space="preserve"> De FATF zoekt hier de verbinding met de private sector. </w:t>
      </w:r>
      <w:r w:rsidRPr="00A90CF1">
        <w:t xml:space="preserve">Daarnaast is een prioriteit het versterken van de implementatie van de </w:t>
      </w:r>
      <w:proofErr w:type="spellStart"/>
      <w:r w:rsidRPr="00A90CF1">
        <w:t>risicogebaseerde</w:t>
      </w:r>
      <w:proofErr w:type="spellEnd"/>
      <w:r w:rsidRPr="00A90CF1">
        <w:t xml:space="preserve"> aanpak</w:t>
      </w:r>
      <w:r w:rsidRPr="00A90CF1" w:rsidR="00A90CF1">
        <w:t xml:space="preserve"> en </w:t>
      </w:r>
      <w:proofErr w:type="spellStart"/>
      <w:r w:rsidRPr="00A90CF1" w:rsidR="00A90CF1">
        <w:t>risicogebaseerd</w:t>
      </w:r>
      <w:proofErr w:type="spellEnd"/>
      <w:r w:rsidRPr="00A90CF1" w:rsidR="00A90CF1">
        <w:t xml:space="preserve"> toezicht</w:t>
      </w:r>
      <w:r w:rsidRPr="00A90CF1">
        <w:t>. Nederland zet hier</w:t>
      </w:r>
      <w:r w:rsidR="006B2E10">
        <w:t xml:space="preserve"> nationaal en</w:t>
      </w:r>
      <w:r w:rsidRPr="00A90CF1">
        <w:t xml:space="preserve"> internationaal ook op in. Tot slot</w:t>
      </w:r>
      <w:r>
        <w:t xml:space="preserve"> wordt er ook ingezet op het verbeteren van informatiedeling en publiek-private samenwerkingen. </w:t>
      </w:r>
    </w:p>
    <w:p w:rsidR="00C27E3E" w:rsidP="00F56E3C" w:rsidRDefault="00C27E3E" w14:paraId="32BCAA46" w14:textId="77777777">
      <w:pPr>
        <w:rPr>
          <w:b/>
          <w:bCs/>
        </w:rPr>
      </w:pPr>
    </w:p>
    <w:p w:rsidR="00C27E3E" w:rsidP="00F56E3C" w:rsidRDefault="00C27E3E" w14:paraId="0ADD1022" w14:textId="77777777">
      <w:pPr>
        <w:rPr>
          <w:b/>
          <w:bCs/>
        </w:rPr>
      </w:pPr>
      <w:r>
        <w:rPr>
          <w:b/>
          <w:bCs/>
        </w:rPr>
        <w:t>Een wereldwijde, inclusieve aanpak van de bestrijding van financiële criminaliteit</w:t>
      </w:r>
    </w:p>
    <w:p w:rsidR="00B8610B" w:rsidP="00F56E3C" w:rsidRDefault="00B8610B" w14:paraId="5DC08D84" w14:textId="77777777">
      <w:r>
        <w:t xml:space="preserve">Onder het gastinitiatief worden jurisdicties die lid zijn </w:t>
      </w:r>
      <w:r w:rsidR="009A0AD4">
        <w:t xml:space="preserve">van </w:t>
      </w:r>
      <w:r>
        <w:t>één van de zusterorganisaties van de FATF</w:t>
      </w:r>
      <w:r w:rsidR="009A0AD4">
        <w:t>,</w:t>
      </w:r>
      <w:r>
        <w:t xml:space="preserve"> uitgenodigd om voor één jaar deel te nemen aan de plenaire vergaderingen</w:t>
      </w:r>
      <w:r w:rsidR="009A0AD4">
        <w:t xml:space="preserve"> en de bijbehorende werkgroepen</w:t>
      </w:r>
      <w:r>
        <w:t xml:space="preserve">. Tussen oktober 2025 en juni 2026 </w:t>
      </w:r>
      <w:r w:rsidR="001D5906">
        <w:t xml:space="preserve">namen </w:t>
      </w:r>
      <w:r>
        <w:t xml:space="preserve">Jamaica en Nigeria deel </w:t>
      </w:r>
      <w:r w:rsidR="001D5906">
        <w:t>als gast</w:t>
      </w:r>
      <w:r>
        <w:t xml:space="preserve">. </w:t>
      </w:r>
      <w:r w:rsidR="005E34F8">
        <w:t>Om coördinatie tussen de zusterorganisaties en de FATF te bevorderen, is er</w:t>
      </w:r>
      <w:r>
        <w:t xml:space="preserve"> </w:t>
      </w:r>
      <w:r w:rsidR="005E34F8">
        <w:t xml:space="preserve">tijdens deze plenaire vergadering ook </w:t>
      </w:r>
      <w:r>
        <w:t xml:space="preserve">een nieuwe </w:t>
      </w:r>
      <w:r w:rsidR="006B2E10">
        <w:t xml:space="preserve">Wereldwijde </w:t>
      </w:r>
      <w:r>
        <w:t>Strategie Groep opgezet</w:t>
      </w:r>
      <w:r w:rsidR="005E34F8">
        <w:t xml:space="preserve">. Deze wordt voorgezeten door de FATF President en alle voorzitters van de zusterorganisaties nemen deel aan deze Groep. </w:t>
      </w:r>
    </w:p>
    <w:p w:rsidR="005E34F8" w:rsidP="00F56E3C" w:rsidRDefault="005E34F8" w14:paraId="3F01DE64" w14:textId="77777777"/>
    <w:p w:rsidRPr="005E34F8" w:rsidR="005E34F8" w:rsidP="00F56E3C" w:rsidRDefault="005E34F8" w14:paraId="45BD6936" w14:textId="77777777">
      <w:r w:rsidRPr="005E34F8">
        <w:t xml:space="preserve">Daarnaast is de </w:t>
      </w:r>
      <w:r w:rsidRPr="005E34F8">
        <w:rPr>
          <w:i/>
          <w:iCs/>
        </w:rPr>
        <w:t xml:space="preserve">Alliance </w:t>
      </w:r>
      <w:proofErr w:type="spellStart"/>
      <w:r w:rsidRPr="005E34F8">
        <w:rPr>
          <w:i/>
          <w:iCs/>
        </w:rPr>
        <w:t>for</w:t>
      </w:r>
      <w:proofErr w:type="spellEnd"/>
      <w:r w:rsidRPr="005E34F8">
        <w:rPr>
          <w:i/>
          <w:iCs/>
        </w:rPr>
        <w:t xml:space="preserve"> Financial </w:t>
      </w:r>
      <w:proofErr w:type="spellStart"/>
      <w:r w:rsidRPr="005E34F8">
        <w:rPr>
          <w:i/>
          <w:iCs/>
        </w:rPr>
        <w:t>Inclusion</w:t>
      </w:r>
      <w:proofErr w:type="spellEnd"/>
      <w:r w:rsidRPr="005E34F8">
        <w:t xml:space="preserve"> aangewez</w:t>
      </w:r>
      <w:r>
        <w:t>en als nieuwe waarnemer bij de FATF. Zij mogen bijdragen aan de projecten en zijn aanwezig bij de plenaire vergaderingen</w:t>
      </w:r>
      <w:r w:rsidR="009A0AD4">
        <w:t xml:space="preserve"> maar hebben als waarnemer geen stemrecht</w:t>
      </w:r>
      <w:r>
        <w:t xml:space="preserve">. </w:t>
      </w:r>
    </w:p>
    <w:p w:rsidRPr="005E34F8" w:rsidR="00C27E3E" w:rsidP="00F56E3C" w:rsidRDefault="00C27E3E" w14:paraId="0E7A1004" w14:textId="77777777">
      <w:pPr>
        <w:rPr>
          <w:b/>
          <w:bCs/>
        </w:rPr>
      </w:pPr>
    </w:p>
    <w:p w:rsidR="00C27E3E" w:rsidP="00F56E3C" w:rsidRDefault="00C27E3E" w14:paraId="7BC5234B" w14:textId="77777777">
      <w:pPr>
        <w:rPr>
          <w:b/>
          <w:bCs/>
        </w:rPr>
      </w:pPr>
      <w:r>
        <w:rPr>
          <w:b/>
          <w:bCs/>
        </w:rPr>
        <w:t>Vicevoorzitterschap van de FATF (2026-2027)</w:t>
      </w:r>
    </w:p>
    <w:p w:rsidRPr="00C27E3E" w:rsidR="00C27E3E" w:rsidP="00F56E3C" w:rsidRDefault="00C27E3E" w14:paraId="54E7FD24" w14:textId="77777777">
      <w:r>
        <w:t xml:space="preserve">De plenaire vergadering heeft </w:t>
      </w:r>
      <w:proofErr w:type="spellStart"/>
      <w:r>
        <w:t>Vivek</w:t>
      </w:r>
      <w:proofErr w:type="spellEnd"/>
      <w:r>
        <w:t xml:space="preserve"> </w:t>
      </w:r>
      <w:proofErr w:type="spellStart"/>
      <w:r>
        <w:t>Aggarwal</w:t>
      </w:r>
      <w:proofErr w:type="spellEnd"/>
      <w:r>
        <w:t xml:space="preserve"> (I</w:t>
      </w:r>
      <w:r w:rsidR="006B2E10">
        <w:t>ndia</w:t>
      </w:r>
      <w:r>
        <w:t xml:space="preserve">) gekozen als </w:t>
      </w:r>
      <w:r w:rsidR="008A1A1C">
        <w:t>vicevoorzitter</w:t>
      </w:r>
      <w:r>
        <w:t xml:space="preserve"> van de FATF voor de periode van juli 2026 tot juni 2027. De heer </w:t>
      </w:r>
      <w:proofErr w:type="spellStart"/>
      <w:r>
        <w:t>Aggarwal</w:t>
      </w:r>
      <w:proofErr w:type="spellEnd"/>
      <w:r>
        <w:t xml:space="preserve"> is voormalige delegatieleider van de Indiase delegatie bij de FATF en neemt per 1 juli 2026 de rol van </w:t>
      </w:r>
      <w:r w:rsidR="008A1A1C">
        <w:t>vicevoorzitter</w:t>
      </w:r>
      <w:r>
        <w:t xml:space="preserve"> over van </w:t>
      </w:r>
      <w:r w:rsidR="00D60726">
        <w:t xml:space="preserve">de heer </w:t>
      </w:r>
      <w:r>
        <w:t>Thompson</w:t>
      </w:r>
      <w:r w:rsidR="00B8610B">
        <w:t xml:space="preserve"> (de nieuwe </w:t>
      </w:r>
      <w:r w:rsidR="008A1A1C">
        <w:t>voorzitter</w:t>
      </w:r>
      <w:r w:rsidR="00B8610B">
        <w:t xml:space="preserve"> uit het VK)</w:t>
      </w:r>
      <w:r>
        <w:t xml:space="preserve">. </w:t>
      </w:r>
    </w:p>
    <w:p w:rsidR="00C27E3E" w:rsidP="00F56E3C" w:rsidRDefault="00C27E3E" w14:paraId="62E72285" w14:textId="77777777">
      <w:pPr>
        <w:rPr>
          <w:i/>
          <w:iCs/>
        </w:rPr>
      </w:pPr>
    </w:p>
    <w:p w:rsidR="00026D4E" w:rsidP="00F56E3C" w:rsidRDefault="00026D4E" w14:paraId="58243D5A" w14:textId="77777777">
      <w:pPr>
        <w:rPr>
          <w:b/>
          <w:bCs/>
        </w:rPr>
      </w:pPr>
      <w:r w:rsidRPr="00026D4E">
        <w:rPr>
          <w:b/>
          <w:bCs/>
        </w:rPr>
        <w:t>Het versterken van de standaarden</w:t>
      </w:r>
    </w:p>
    <w:p w:rsidR="00524C63" w:rsidP="009E30AD" w:rsidRDefault="00026D4E" w14:paraId="01529B43" w14:textId="77777777">
      <w:r>
        <w:t>A</w:t>
      </w:r>
      <w:r w:rsidRPr="00026D4E">
        <w:t xml:space="preserve">anbeveling 6 </w:t>
      </w:r>
      <w:r>
        <w:t>van de FATF</w:t>
      </w:r>
      <w:r w:rsidR="001D5906">
        <w:t>-</w:t>
      </w:r>
      <w:r>
        <w:t xml:space="preserve">standaarden </w:t>
      </w:r>
      <w:r w:rsidRPr="00026D4E">
        <w:t xml:space="preserve">verplicht landen om </w:t>
      </w:r>
      <w:r>
        <w:t>g</w:t>
      </w:r>
      <w:r w:rsidRPr="00026D4E">
        <w:t xml:space="preserve">erichte </w:t>
      </w:r>
      <w:r>
        <w:t>f</w:t>
      </w:r>
      <w:r w:rsidRPr="00026D4E">
        <w:t xml:space="preserve">inanciële </w:t>
      </w:r>
      <w:r>
        <w:t>s</w:t>
      </w:r>
      <w:r w:rsidRPr="00026D4E">
        <w:t>ancties toe te passen ter preventie van terrorisme en terrorismefinanciering.</w:t>
      </w:r>
      <w:r>
        <w:t xml:space="preserve"> In de praktijk hadden deze sancties soms ongewenst</w:t>
      </w:r>
      <w:r w:rsidR="002F7C8B">
        <w:t>e</w:t>
      </w:r>
      <w:r>
        <w:t xml:space="preserve"> consequenties. Daarom is de standaard nu zodanig aangepast dat </w:t>
      </w:r>
      <w:r w:rsidRPr="00026D4E">
        <w:t xml:space="preserve">sanctiemaatregelen de stroom van gelden, </w:t>
      </w:r>
      <w:r w:rsidR="00F37251">
        <w:t>goederen</w:t>
      </w:r>
      <w:r w:rsidRPr="00026D4E" w:rsidR="00F37251">
        <w:t xml:space="preserve"> </w:t>
      </w:r>
      <w:r w:rsidRPr="00026D4E">
        <w:t>en diensten die nodig zijn voor humanitaire hulp en basisbehoeften niet belemmeren.</w:t>
      </w:r>
      <w:r w:rsidR="009A0AD4">
        <w:t xml:space="preserve"> Deze wijziging is in lijn met meerdere resoluties van de VN-Veiligheidsraad.</w:t>
      </w:r>
    </w:p>
    <w:sectPr w:rsidR="00524C63">
      <w:headerReference w:type="default" r:id="rId7"/>
      <w:headerReference w:type="first" r:id="rId8"/>
      <w:pgSz w:w="11905" w:h="16837"/>
      <w:pgMar w:top="3050" w:right="2777" w:bottom="1077"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A4DFDB" w14:textId="77777777" w:rsidR="000E44C2" w:rsidRDefault="000E44C2">
      <w:pPr>
        <w:spacing w:line="240" w:lineRule="auto"/>
      </w:pPr>
      <w:r>
        <w:separator/>
      </w:r>
    </w:p>
  </w:endnote>
  <w:endnote w:type="continuationSeparator" w:id="0">
    <w:p w14:paraId="1D3D9503" w14:textId="77777777" w:rsidR="000E44C2" w:rsidRDefault="000E44C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A3B7C4" w14:textId="77777777" w:rsidR="000E44C2" w:rsidRDefault="000E44C2">
      <w:pPr>
        <w:spacing w:line="240" w:lineRule="auto"/>
      </w:pPr>
      <w:r>
        <w:separator/>
      </w:r>
    </w:p>
  </w:footnote>
  <w:footnote w:type="continuationSeparator" w:id="0">
    <w:p w14:paraId="30677F5D" w14:textId="77777777" w:rsidR="000E44C2" w:rsidRDefault="000E44C2">
      <w:pPr>
        <w:spacing w:line="240" w:lineRule="auto"/>
      </w:pPr>
      <w:r>
        <w:continuationSeparator/>
      </w:r>
    </w:p>
  </w:footnote>
  <w:footnote w:id="1">
    <w:p w14:paraId="7361308F" w14:textId="77777777" w:rsidR="00F56E3C" w:rsidRPr="00CE483C" w:rsidRDefault="00F56E3C" w:rsidP="00F56E3C">
      <w:pPr>
        <w:pStyle w:val="Voetnoottekst"/>
        <w:rPr>
          <w:sz w:val="16"/>
          <w:szCs w:val="16"/>
          <w:lang w:val="en-GB"/>
        </w:rPr>
      </w:pPr>
      <w:r w:rsidRPr="00CE483C">
        <w:rPr>
          <w:rStyle w:val="Voetnootmarkering"/>
          <w:sz w:val="16"/>
          <w:szCs w:val="16"/>
        </w:rPr>
        <w:footnoteRef/>
      </w:r>
      <w:r w:rsidRPr="00CE483C">
        <w:rPr>
          <w:sz w:val="16"/>
          <w:szCs w:val="16"/>
          <w:lang w:val="en-GB"/>
        </w:rPr>
        <w:t xml:space="preserve"> </w:t>
      </w:r>
      <w:hyperlink r:id="rId1" w:history="1">
        <w:r w:rsidRPr="00CE483C">
          <w:rPr>
            <w:rStyle w:val="Hyperlink"/>
            <w:sz w:val="16"/>
            <w:szCs w:val="16"/>
            <w:lang w:val="en-GB"/>
          </w:rPr>
          <w:t>https://www.fatf-gafi.org/en/publications/Fatfgeneral/fatf-statement-russian-federation-feb-2024.html</w:t>
        </w:r>
      </w:hyperlink>
      <w:r w:rsidR="00552B0A">
        <w:t>.</w:t>
      </w:r>
    </w:p>
  </w:footnote>
  <w:footnote w:id="2">
    <w:p w14:paraId="7290CFB0" w14:textId="77777777" w:rsidR="00F56E3C" w:rsidRPr="00A552CA" w:rsidRDefault="00F56E3C" w:rsidP="00F56E3C">
      <w:pPr>
        <w:pStyle w:val="Voetnoottekst"/>
        <w:rPr>
          <w:sz w:val="16"/>
          <w:szCs w:val="16"/>
          <w:lang w:val="en-GB"/>
        </w:rPr>
      </w:pPr>
      <w:r w:rsidRPr="002721F4">
        <w:rPr>
          <w:rStyle w:val="Voetnootmarkering"/>
          <w:sz w:val="18"/>
          <w:szCs w:val="18"/>
        </w:rPr>
        <w:footnoteRef/>
      </w:r>
      <w:r w:rsidRPr="002721F4">
        <w:rPr>
          <w:sz w:val="18"/>
          <w:szCs w:val="18"/>
          <w:lang w:val="en-GB"/>
        </w:rPr>
        <w:t xml:space="preserve"> </w:t>
      </w:r>
      <w:hyperlink r:id="rId2" w:history="1">
        <w:r w:rsidRPr="00A552CA">
          <w:rPr>
            <w:rStyle w:val="Hyperlink"/>
            <w:sz w:val="16"/>
            <w:szCs w:val="16"/>
            <w:lang w:val="en-GB"/>
          </w:rPr>
          <w:t>https://www.fatf-gafi.org/en/publications/High-risk-and-other-monitored-jurisdictions/Call-for-action-october-2025.html</w:t>
        </w:r>
      </w:hyperlink>
    </w:p>
  </w:footnote>
  <w:footnote w:id="3">
    <w:p w14:paraId="387C9457" w14:textId="77777777" w:rsidR="00F56E3C" w:rsidRPr="00A552CA" w:rsidRDefault="00F56E3C" w:rsidP="00F56E3C">
      <w:pPr>
        <w:pStyle w:val="Voetnoottekst"/>
        <w:rPr>
          <w:sz w:val="16"/>
          <w:szCs w:val="16"/>
          <w:lang w:val="en-GB"/>
        </w:rPr>
      </w:pPr>
      <w:r w:rsidRPr="007C4CB5">
        <w:rPr>
          <w:rStyle w:val="Voetnootmarkering"/>
          <w:sz w:val="18"/>
          <w:szCs w:val="18"/>
        </w:rPr>
        <w:footnoteRef/>
      </w:r>
      <w:r w:rsidRPr="007C4CB5">
        <w:rPr>
          <w:sz w:val="18"/>
          <w:szCs w:val="18"/>
          <w:lang w:val="en-GB"/>
        </w:rPr>
        <w:t xml:space="preserve"> </w:t>
      </w:r>
      <w:hyperlink r:id="rId3" w:history="1">
        <w:r w:rsidR="008D1909" w:rsidRPr="008D1909">
          <w:rPr>
            <w:rStyle w:val="Hyperlink"/>
            <w:sz w:val="16"/>
            <w:szCs w:val="16"/>
            <w:lang w:val="en-GB"/>
          </w:rPr>
          <w:t>https://www.fatf-gafi.org/content/fatf-gafi/en/publications/High-risk-and-other-monitored-jurisdictions/increased-monitoring-october-2025.html</w:t>
        </w:r>
      </w:hyperlink>
    </w:p>
  </w:footnote>
  <w:footnote w:id="4">
    <w:p w14:paraId="1E539BC2" w14:textId="77777777" w:rsidR="00F56E3C" w:rsidRPr="00D65C44" w:rsidRDefault="00F56E3C" w:rsidP="00F56E3C">
      <w:pPr>
        <w:pStyle w:val="Voetnoottekst"/>
        <w:rPr>
          <w:lang w:val="en-GB"/>
        </w:rPr>
      </w:pPr>
      <w:r w:rsidRPr="007C4CB5">
        <w:rPr>
          <w:rStyle w:val="Voetnootmarkering"/>
          <w:sz w:val="18"/>
          <w:szCs w:val="18"/>
        </w:rPr>
        <w:footnoteRef/>
      </w:r>
      <w:r w:rsidRPr="00A552CA">
        <w:rPr>
          <w:sz w:val="16"/>
          <w:szCs w:val="16"/>
          <w:lang w:val="en-GB"/>
        </w:rPr>
        <w:t xml:space="preserve"> Angola, Bolivia, </w:t>
      </w:r>
      <w:proofErr w:type="spellStart"/>
      <w:r w:rsidR="00026D4E">
        <w:rPr>
          <w:sz w:val="16"/>
          <w:szCs w:val="16"/>
          <w:lang w:val="en-GB"/>
        </w:rPr>
        <w:t>Bosnië</w:t>
      </w:r>
      <w:proofErr w:type="spellEnd"/>
      <w:r w:rsidR="00026D4E">
        <w:rPr>
          <w:sz w:val="16"/>
          <w:szCs w:val="16"/>
          <w:lang w:val="en-GB"/>
        </w:rPr>
        <w:t xml:space="preserve"> en Herzegovina, </w:t>
      </w:r>
      <w:proofErr w:type="spellStart"/>
      <w:r w:rsidRPr="00A552CA">
        <w:rPr>
          <w:sz w:val="16"/>
          <w:szCs w:val="16"/>
          <w:lang w:val="en-GB"/>
        </w:rPr>
        <w:t>Britse</w:t>
      </w:r>
      <w:proofErr w:type="spellEnd"/>
      <w:r w:rsidRPr="00A552CA">
        <w:rPr>
          <w:sz w:val="16"/>
          <w:szCs w:val="16"/>
          <w:lang w:val="en-GB"/>
        </w:rPr>
        <w:t xml:space="preserve"> </w:t>
      </w:r>
      <w:proofErr w:type="spellStart"/>
      <w:r w:rsidRPr="00A552CA">
        <w:rPr>
          <w:sz w:val="16"/>
          <w:szCs w:val="16"/>
          <w:lang w:val="en-GB"/>
        </w:rPr>
        <w:t>Maagdeneilanden</w:t>
      </w:r>
      <w:proofErr w:type="spellEnd"/>
      <w:r w:rsidRPr="00A552CA">
        <w:rPr>
          <w:sz w:val="16"/>
          <w:szCs w:val="16"/>
          <w:lang w:val="en-GB"/>
        </w:rPr>
        <w:t xml:space="preserve">, </w:t>
      </w:r>
      <w:proofErr w:type="spellStart"/>
      <w:r w:rsidRPr="00A552CA">
        <w:rPr>
          <w:sz w:val="16"/>
          <w:szCs w:val="16"/>
          <w:lang w:val="en-GB"/>
        </w:rPr>
        <w:t>Bulgarije</w:t>
      </w:r>
      <w:proofErr w:type="spellEnd"/>
      <w:r w:rsidRPr="00A552CA">
        <w:rPr>
          <w:sz w:val="16"/>
          <w:szCs w:val="16"/>
          <w:lang w:val="en-GB"/>
        </w:rPr>
        <w:t xml:space="preserve">, </w:t>
      </w:r>
      <w:proofErr w:type="spellStart"/>
      <w:r w:rsidRPr="00A552CA">
        <w:rPr>
          <w:sz w:val="16"/>
          <w:szCs w:val="16"/>
          <w:lang w:val="en-GB"/>
        </w:rPr>
        <w:t>Democratische</w:t>
      </w:r>
      <w:proofErr w:type="spellEnd"/>
      <w:r w:rsidRPr="00A552CA">
        <w:rPr>
          <w:sz w:val="16"/>
          <w:szCs w:val="16"/>
          <w:lang w:val="en-GB"/>
        </w:rPr>
        <w:t xml:space="preserve"> </w:t>
      </w:r>
      <w:proofErr w:type="spellStart"/>
      <w:r w:rsidRPr="00A552CA">
        <w:rPr>
          <w:sz w:val="16"/>
          <w:szCs w:val="16"/>
          <w:lang w:val="en-GB"/>
        </w:rPr>
        <w:t>Republiek</w:t>
      </w:r>
      <w:proofErr w:type="spellEnd"/>
      <w:r w:rsidRPr="00A552CA">
        <w:rPr>
          <w:sz w:val="16"/>
          <w:szCs w:val="16"/>
          <w:lang w:val="en-GB"/>
        </w:rPr>
        <w:t xml:space="preserve"> Congo, </w:t>
      </w:r>
      <w:proofErr w:type="spellStart"/>
      <w:r w:rsidRPr="00A552CA">
        <w:rPr>
          <w:sz w:val="16"/>
          <w:szCs w:val="16"/>
          <w:lang w:val="en-GB"/>
        </w:rPr>
        <w:t>Haïti</w:t>
      </w:r>
      <w:proofErr w:type="spellEnd"/>
      <w:r w:rsidRPr="00A552CA">
        <w:rPr>
          <w:sz w:val="16"/>
          <w:szCs w:val="16"/>
          <w:lang w:val="en-GB"/>
        </w:rPr>
        <w:t xml:space="preserve">, </w:t>
      </w:r>
      <w:proofErr w:type="spellStart"/>
      <w:r w:rsidR="00026D4E">
        <w:rPr>
          <w:sz w:val="16"/>
          <w:szCs w:val="16"/>
          <w:lang w:val="en-GB"/>
        </w:rPr>
        <w:t>Irak</w:t>
      </w:r>
      <w:proofErr w:type="spellEnd"/>
      <w:r w:rsidR="00026D4E">
        <w:rPr>
          <w:sz w:val="16"/>
          <w:szCs w:val="16"/>
          <w:lang w:val="en-GB"/>
        </w:rPr>
        <w:t xml:space="preserve">, </w:t>
      </w:r>
      <w:proofErr w:type="spellStart"/>
      <w:r w:rsidRPr="00A552CA">
        <w:rPr>
          <w:sz w:val="16"/>
          <w:szCs w:val="16"/>
          <w:lang w:val="en-GB"/>
        </w:rPr>
        <w:t>Ivoorkust</w:t>
      </w:r>
      <w:proofErr w:type="spellEnd"/>
      <w:r w:rsidRPr="00A552CA">
        <w:rPr>
          <w:sz w:val="16"/>
          <w:szCs w:val="16"/>
          <w:lang w:val="en-GB"/>
        </w:rPr>
        <w:t xml:space="preserve">, </w:t>
      </w:r>
      <w:proofErr w:type="spellStart"/>
      <w:r w:rsidRPr="00A552CA">
        <w:rPr>
          <w:sz w:val="16"/>
          <w:szCs w:val="16"/>
          <w:lang w:val="en-GB"/>
        </w:rPr>
        <w:t>Jemen</w:t>
      </w:r>
      <w:proofErr w:type="spellEnd"/>
      <w:r w:rsidRPr="00A552CA">
        <w:rPr>
          <w:sz w:val="16"/>
          <w:szCs w:val="16"/>
          <w:lang w:val="en-GB"/>
        </w:rPr>
        <w:t xml:space="preserve">, </w:t>
      </w:r>
      <w:proofErr w:type="spellStart"/>
      <w:r w:rsidRPr="00A552CA">
        <w:rPr>
          <w:sz w:val="16"/>
          <w:szCs w:val="16"/>
          <w:lang w:val="en-GB"/>
        </w:rPr>
        <w:t>Kameroen</w:t>
      </w:r>
      <w:proofErr w:type="spellEnd"/>
      <w:r w:rsidRPr="00A552CA">
        <w:rPr>
          <w:sz w:val="16"/>
          <w:szCs w:val="16"/>
          <w:lang w:val="en-GB"/>
        </w:rPr>
        <w:t>, Kenia,</w:t>
      </w:r>
      <w:r w:rsidR="00026D4E">
        <w:rPr>
          <w:sz w:val="16"/>
          <w:szCs w:val="16"/>
          <w:lang w:val="en-GB"/>
        </w:rPr>
        <w:t xml:space="preserve"> </w:t>
      </w:r>
      <w:proofErr w:type="spellStart"/>
      <w:r w:rsidR="00026D4E">
        <w:rPr>
          <w:sz w:val="16"/>
          <w:szCs w:val="16"/>
          <w:lang w:val="en-GB"/>
        </w:rPr>
        <w:t>Koeweit</w:t>
      </w:r>
      <w:proofErr w:type="spellEnd"/>
      <w:r w:rsidR="00026D4E">
        <w:rPr>
          <w:sz w:val="16"/>
          <w:szCs w:val="16"/>
          <w:lang w:val="en-GB"/>
        </w:rPr>
        <w:t>,</w:t>
      </w:r>
      <w:r w:rsidRPr="00A552CA">
        <w:rPr>
          <w:sz w:val="16"/>
          <w:szCs w:val="16"/>
          <w:lang w:val="en-GB"/>
        </w:rPr>
        <w:t xml:space="preserve"> Laos, </w:t>
      </w:r>
      <w:proofErr w:type="spellStart"/>
      <w:r w:rsidRPr="00A552CA">
        <w:rPr>
          <w:sz w:val="16"/>
          <w:szCs w:val="16"/>
          <w:lang w:val="en-GB"/>
        </w:rPr>
        <w:t>Libanon</w:t>
      </w:r>
      <w:proofErr w:type="spellEnd"/>
      <w:r w:rsidRPr="00A552CA">
        <w:rPr>
          <w:sz w:val="16"/>
          <w:szCs w:val="16"/>
          <w:lang w:val="en-GB"/>
        </w:rPr>
        <w:t xml:space="preserve">, Monaco, </w:t>
      </w:r>
      <w:proofErr w:type="spellStart"/>
      <w:r w:rsidRPr="00A552CA">
        <w:rPr>
          <w:sz w:val="16"/>
          <w:szCs w:val="16"/>
          <w:lang w:val="en-GB"/>
        </w:rPr>
        <w:t>Namibië</w:t>
      </w:r>
      <w:proofErr w:type="spellEnd"/>
      <w:r w:rsidRPr="00A552CA">
        <w:rPr>
          <w:sz w:val="16"/>
          <w:szCs w:val="16"/>
          <w:lang w:val="en-GB"/>
        </w:rPr>
        <w:t xml:space="preserve">, Nepal, </w:t>
      </w:r>
      <w:proofErr w:type="spellStart"/>
      <w:r w:rsidR="00026D4E">
        <w:rPr>
          <w:sz w:val="16"/>
          <w:szCs w:val="16"/>
          <w:lang w:val="en-GB"/>
        </w:rPr>
        <w:t>Papoea</w:t>
      </w:r>
      <w:proofErr w:type="spellEnd"/>
      <w:r w:rsidR="00026D4E">
        <w:rPr>
          <w:sz w:val="16"/>
          <w:szCs w:val="16"/>
          <w:lang w:val="en-GB"/>
        </w:rPr>
        <w:t xml:space="preserve">-Nieuw-Guinea, </w:t>
      </w:r>
      <w:proofErr w:type="spellStart"/>
      <w:r w:rsidRPr="00A552CA">
        <w:rPr>
          <w:sz w:val="16"/>
          <w:szCs w:val="16"/>
          <w:lang w:val="en-GB"/>
        </w:rPr>
        <w:t>Syrië</w:t>
      </w:r>
      <w:proofErr w:type="spellEnd"/>
      <w:r w:rsidRPr="00A552CA">
        <w:rPr>
          <w:sz w:val="16"/>
          <w:szCs w:val="16"/>
          <w:lang w:val="en-GB"/>
        </w:rPr>
        <w:t>, Venezuela, Vietnam en Zuid-</w:t>
      </w:r>
      <w:proofErr w:type="spellStart"/>
      <w:r w:rsidRPr="00A552CA">
        <w:rPr>
          <w:sz w:val="16"/>
          <w:szCs w:val="16"/>
          <w:lang w:val="en-GB"/>
        </w:rPr>
        <w:t>Soedan</w:t>
      </w:r>
      <w:proofErr w:type="spellEnd"/>
      <w:r w:rsidR="00003095">
        <w:rPr>
          <w:sz w:val="16"/>
          <w:szCs w:val="16"/>
          <w:lang w:val="en-GB"/>
        </w:rPr>
        <w:t>.</w:t>
      </w:r>
    </w:p>
  </w:footnote>
  <w:footnote w:id="5">
    <w:p w14:paraId="088B2644" w14:textId="77777777" w:rsidR="00A4790B" w:rsidRPr="00002EEF" w:rsidRDefault="00A4790B">
      <w:pPr>
        <w:pStyle w:val="Voetnoottekst"/>
        <w:rPr>
          <w:lang w:val="en-GB"/>
        </w:rPr>
      </w:pPr>
      <w:r>
        <w:rPr>
          <w:rStyle w:val="Voetnootmarkering"/>
        </w:rPr>
        <w:footnoteRef/>
      </w:r>
      <w:r w:rsidRPr="00A4790B">
        <w:rPr>
          <w:lang w:val="en-GB"/>
        </w:rPr>
        <w:t xml:space="preserve"> </w:t>
      </w:r>
      <w:hyperlink r:id="rId4" w:history="1">
        <w:r w:rsidRPr="00A4790B">
          <w:rPr>
            <w:rStyle w:val="Hyperlink"/>
            <w:sz w:val="16"/>
            <w:szCs w:val="16"/>
            <w:lang w:val="en-GB"/>
          </w:rPr>
          <w:t>https://www.fatf-gafi.org/content/fatf-gafi/en/publications/Methodsandtrends/information-sharing-ppp-data-protection-arrangements.html</w:t>
        </w:r>
      </w:hyperlink>
      <w:r w:rsidR="00002EEF" w:rsidRPr="00002EEF">
        <w:rPr>
          <w:lang w:val="en-GB"/>
        </w:rPr>
        <w:t>.</w:t>
      </w:r>
    </w:p>
  </w:footnote>
  <w:footnote w:id="6">
    <w:p w14:paraId="5D47A870" w14:textId="77777777" w:rsidR="008D1909" w:rsidRPr="00002EEF" w:rsidRDefault="008D1909">
      <w:pPr>
        <w:pStyle w:val="Voetnoottekst"/>
        <w:rPr>
          <w:lang w:val="en-GB"/>
        </w:rPr>
      </w:pPr>
      <w:r>
        <w:rPr>
          <w:rStyle w:val="Voetnootmarkering"/>
        </w:rPr>
        <w:footnoteRef/>
      </w:r>
      <w:r w:rsidRPr="008D1909">
        <w:rPr>
          <w:lang w:val="en-GB"/>
        </w:rPr>
        <w:t xml:space="preserve"> </w:t>
      </w:r>
      <w:hyperlink r:id="rId5" w:history="1">
        <w:r w:rsidRPr="008D1909">
          <w:rPr>
            <w:rStyle w:val="Hyperlink"/>
            <w:sz w:val="16"/>
            <w:szCs w:val="16"/>
            <w:lang w:val="en-GB"/>
          </w:rPr>
          <w:t>https://www.fatf-gafi.org/content/fatf-gafi/en/publications/Methodsandtrends/detecting-and-disrupting-tf-through-smsps.html</w:t>
        </w:r>
      </w:hyperlink>
      <w:r w:rsidR="00002EEF" w:rsidRPr="00002EEF">
        <w:rPr>
          <w:lang w:val="en-GB"/>
        </w:rPr>
        <w:t>.</w:t>
      </w:r>
    </w:p>
  </w:footnote>
  <w:footnote w:id="7">
    <w:p w14:paraId="2115B133" w14:textId="77777777" w:rsidR="002C1D75" w:rsidRPr="002C1D75" w:rsidRDefault="002C1D75">
      <w:pPr>
        <w:pStyle w:val="Voetnoottekst"/>
        <w:rPr>
          <w:lang w:val="en-GB"/>
        </w:rPr>
      </w:pPr>
      <w:r>
        <w:rPr>
          <w:rStyle w:val="Voetnootmarkering"/>
        </w:rPr>
        <w:footnoteRef/>
      </w:r>
      <w:r w:rsidRPr="002C1D75">
        <w:rPr>
          <w:lang w:val="en-GB"/>
        </w:rPr>
        <w:t xml:space="preserve"> </w:t>
      </w:r>
      <w:r w:rsidRPr="00033CFF">
        <w:rPr>
          <w:i/>
          <w:iCs/>
          <w:sz w:val="16"/>
          <w:szCs w:val="16"/>
          <w:lang w:val="en-GB"/>
        </w:rPr>
        <w:t>Comprehensive Update on Terrorist Financing Risks</w:t>
      </w:r>
      <w:r w:rsidRPr="00033CFF">
        <w:rPr>
          <w:sz w:val="16"/>
          <w:szCs w:val="16"/>
          <w:lang w:val="en-GB"/>
        </w:rPr>
        <w:t xml:space="preserve">, fatf-gafi.org, 8 </w:t>
      </w:r>
      <w:proofErr w:type="spellStart"/>
      <w:r w:rsidRPr="00033CFF">
        <w:rPr>
          <w:sz w:val="16"/>
          <w:szCs w:val="16"/>
          <w:lang w:val="en-GB"/>
        </w:rPr>
        <w:t>juli</w:t>
      </w:r>
      <w:proofErr w:type="spellEnd"/>
      <w:r w:rsidRPr="00033CFF">
        <w:rPr>
          <w:sz w:val="16"/>
          <w:szCs w:val="16"/>
          <w:lang w:val="en-GB"/>
        </w:rPr>
        <w:t xml:space="preserve"> 2025.</w:t>
      </w:r>
      <w:r>
        <w:rPr>
          <w:lang w:val="en-GB"/>
        </w:rPr>
        <w:t xml:space="preserve">  </w:t>
      </w:r>
    </w:p>
  </w:footnote>
  <w:footnote w:id="8">
    <w:p w14:paraId="583BA334" w14:textId="77777777" w:rsidR="002B5586" w:rsidRPr="009E30AD" w:rsidRDefault="002B5586">
      <w:pPr>
        <w:pStyle w:val="Voetnoottekst"/>
        <w:rPr>
          <w:lang w:val="en-GB"/>
        </w:rPr>
      </w:pPr>
      <w:r>
        <w:rPr>
          <w:rStyle w:val="Voetnootmarkering"/>
        </w:rPr>
        <w:footnoteRef/>
      </w:r>
      <w:r w:rsidRPr="009E30AD">
        <w:rPr>
          <w:lang w:val="en-GB"/>
        </w:rPr>
        <w:t xml:space="preserve"> </w:t>
      </w:r>
      <w:r w:rsidRPr="00481261">
        <w:rPr>
          <w:rStyle w:val="Hyperlink"/>
          <w:sz w:val="16"/>
          <w:szCs w:val="16"/>
          <w:lang w:val="en-GB"/>
        </w:rPr>
        <w:t>https://www.fatf-gafi.org/en/publications/Virtualassets/targeted-report-decentralised-finance-2026.html</w:t>
      </w:r>
      <w:r w:rsidR="00002EEF">
        <w:rPr>
          <w:rStyle w:val="Hyperlink"/>
          <w:sz w:val="16"/>
          <w:szCs w:val="16"/>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652E9" w14:textId="77777777" w:rsidR="00524C63" w:rsidRDefault="00407F16">
    <w:r>
      <w:rPr>
        <w:noProof/>
      </w:rPr>
      <mc:AlternateContent>
        <mc:Choice Requires="wps">
          <w:drawing>
            <wp:anchor distT="0" distB="0" distL="0" distR="0" simplePos="0" relativeHeight="251652608" behindDoc="0" locked="1" layoutInCell="1" allowOverlap="1" wp14:anchorId="373FE734" wp14:editId="29957701">
              <wp:simplePos x="5921375" y="1965325"/>
              <wp:positionH relativeFrom="page">
                <wp:posOffset>5921375</wp:posOffset>
              </wp:positionH>
              <wp:positionV relativeFrom="paragraph">
                <wp:posOffset>1965325</wp:posOffset>
              </wp:positionV>
              <wp:extent cx="1277620" cy="8009890"/>
              <wp:effectExtent l="0" t="0" r="0" b="0"/>
              <wp:wrapNone/>
              <wp:docPr id="1" name="46fef022-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6F9FEA48" w14:textId="77777777" w:rsidR="00524C63" w:rsidRDefault="00407F16">
                          <w:pPr>
                            <w:pStyle w:val="Referentiegegevensbold"/>
                          </w:pPr>
                          <w:r>
                            <w:t>Generale Thesaurie</w:t>
                          </w:r>
                        </w:p>
                        <w:p w14:paraId="64EBB7C1" w14:textId="77777777" w:rsidR="00524C63" w:rsidRDefault="00407F16">
                          <w:pPr>
                            <w:pStyle w:val="Referentiegegevens"/>
                          </w:pPr>
                          <w:r>
                            <w:t>Directie Financiële Markten</w:t>
                          </w:r>
                        </w:p>
                        <w:p w14:paraId="41F551BD" w14:textId="77777777" w:rsidR="00524C63" w:rsidRDefault="00407F16">
                          <w:pPr>
                            <w:pStyle w:val="Referentiegegevens"/>
                          </w:pPr>
                          <w:r>
                            <w:t>AFD IBI</w:t>
                          </w:r>
                        </w:p>
                        <w:p w14:paraId="7B4D8557" w14:textId="77777777" w:rsidR="00524C63" w:rsidRDefault="00524C63">
                          <w:pPr>
                            <w:pStyle w:val="WitregelW2"/>
                          </w:pPr>
                        </w:p>
                        <w:p w14:paraId="680157F5" w14:textId="77777777" w:rsidR="00524C63" w:rsidRDefault="00407F16">
                          <w:pPr>
                            <w:pStyle w:val="Referentiegegevensbold"/>
                          </w:pPr>
                          <w:r>
                            <w:t>Datum</w:t>
                          </w:r>
                        </w:p>
                        <w:p w14:paraId="16984DDD" w14:textId="77777777" w:rsidR="00524C63" w:rsidRDefault="001F1F2C">
                          <w:pPr>
                            <w:pStyle w:val="Referentiegegevens"/>
                          </w:pPr>
                          <w:sdt>
                            <w:sdtPr>
                              <w:id w:val="-526639001"/>
                              <w:date w:fullDate="2026-06-18T11:21:00Z">
                                <w:dateFormat w:val="d MMMM yyyy"/>
                                <w:lid w:val="nl"/>
                                <w:storeMappedDataAs w:val="dateTime"/>
                                <w:calendar w:val="gregorian"/>
                              </w:date>
                            </w:sdtPr>
                            <w:sdtEndPr/>
                            <w:sdtContent>
                              <w:r w:rsidR="00407F16">
                                <w:t>18 juni 2026</w:t>
                              </w:r>
                            </w:sdtContent>
                          </w:sdt>
                        </w:p>
                        <w:p w14:paraId="6BEFD46D" w14:textId="77777777" w:rsidR="00524C63" w:rsidRDefault="00524C63">
                          <w:pPr>
                            <w:pStyle w:val="WitregelW1"/>
                          </w:pPr>
                        </w:p>
                        <w:p w14:paraId="6AB53BD4" w14:textId="77777777" w:rsidR="00524C63" w:rsidRDefault="00407F16">
                          <w:pPr>
                            <w:pStyle w:val="Referentiegegevensbold"/>
                          </w:pPr>
                          <w:r>
                            <w:t>Onze referentie</w:t>
                          </w:r>
                        </w:p>
                        <w:p w14:paraId="45C512F3" w14:textId="77777777" w:rsidR="00B10C3B" w:rsidRDefault="001F1F2C">
                          <w:pPr>
                            <w:pStyle w:val="Referentiegegevens"/>
                          </w:pPr>
                          <w:r>
                            <w:fldChar w:fldCharType="begin"/>
                          </w:r>
                          <w:r>
                            <w:instrText xml:space="preserve"> DOCPROPERTY  "Kenmerk"  \* MERGEFORMAT </w:instrText>
                          </w:r>
                          <w:r>
                            <w:fldChar w:fldCharType="separate"/>
                          </w:r>
                          <w:r>
                            <w:t>2026-0000264070</w:t>
                          </w:r>
                          <w:r>
                            <w:fldChar w:fldCharType="end"/>
                          </w:r>
                        </w:p>
                      </w:txbxContent>
                    </wps:txbx>
                    <wps:bodyPr vert="horz" wrap="square" lIns="0" tIns="0" rIns="0" bIns="0" anchor="t" anchorCtr="0"/>
                  </wps:wsp>
                </a:graphicData>
              </a:graphic>
            </wp:anchor>
          </w:drawing>
        </mc:Choice>
        <mc:Fallback>
          <w:pict>
            <v:shapetype w14:anchorId="373FE734" id="_x0000_t202" coordsize="21600,21600" o:spt="202" path="m,l,21600r21600,l21600,xe">
              <v:stroke joinstyle="miter"/>
              <v:path gradientshapeok="t" o:connecttype="rect"/>
            </v:shapetype>
            <v:shape id="46fef022-aa3c-11ea-a756-beb5f67e67be" o:spid="_x0000_s1026" type="#_x0000_t202" alt="Colofon" style="position:absolute;margin-left:466.25pt;margin-top:154.75pt;width:100.6pt;height:630.7pt;z-index:2516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" filled="f" stroked="f">
              <v:textbox inset="0,0,0,0">
                <w:txbxContent>
                  <w:p w14:paraId="6F9FEA48" w14:textId="77777777" w:rsidR="00524C63" w:rsidRDefault="00407F16">
                    <w:pPr>
                      <w:pStyle w:val="Referentiegegevensbold"/>
                    </w:pPr>
                    <w:r>
                      <w:t>Generale Thesaurie</w:t>
                    </w:r>
                  </w:p>
                  <w:p w14:paraId="64EBB7C1" w14:textId="77777777" w:rsidR="00524C63" w:rsidRDefault="00407F16">
                    <w:pPr>
                      <w:pStyle w:val="Referentiegegevens"/>
                    </w:pPr>
                    <w:r>
                      <w:t>Directie Financiële Markten</w:t>
                    </w:r>
                  </w:p>
                  <w:p w14:paraId="41F551BD" w14:textId="77777777" w:rsidR="00524C63" w:rsidRDefault="00407F16">
                    <w:pPr>
                      <w:pStyle w:val="Referentiegegevens"/>
                    </w:pPr>
                    <w:r>
                      <w:t>AFD IBI</w:t>
                    </w:r>
                  </w:p>
                  <w:p w14:paraId="7B4D8557" w14:textId="77777777" w:rsidR="00524C63" w:rsidRDefault="00524C63">
                    <w:pPr>
                      <w:pStyle w:val="WitregelW2"/>
                    </w:pPr>
                  </w:p>
                  <w:p w14:paraId="680157F5" w14:textId="77777777" w:rsidR="00524C63" w:rsidRDefault="00407F16">
                    <w:pPr>
                      <w:pStyle w:val="Referentiegegevensbold"/>
                    </w:pPr>
                    <w:r>
                      <w:t>Datum</w:t>
                    </w:r>
                  </w:p>
                  <w:p w14:paraId="16984DDD" w14:textId="77777777" w:rsidR="00524C63" w:rsidRDefault="001F1F2C">
                    <w:pPr>
                      <w:pStyle w:val="Referentiegegevens"/>
                    </w:pPr>
                    <w:sdt>
                      <w:sdtPr>
                        <w:id w:val="-526639001"/>
                        <w:date w:fullDate="2026-06-18T11:21:00Z">
                          <w:dateFormat w:val="d MMMM yyyy"/>
                          <w:lid w:val="nl"/>
                          <w:storeMappedDataAs w:val="dateTime"/>
                          <w:calendar w:val="gregorian"/>
                        </w:date>
                      </w:sdtPr>
                      <w:sdtEndPr/>
                      <w:sdtContent>
                        <w:r w:rsidR="00407F16">
                          <w:t>18 juni 2026</w:t>
                        </w:r>
                      </w:sdtContent>
                    </w:sdt>
                  </w:p>
                  <w:p w14:paraId="6BEFD46D" w14:textId="77777777" w:rsidR="00524C63" w:rsidRDefault="00524C63">
                    <w:pPr>
                      <w:pStyle w:val="WitregelW1"/>
                    </w:pPr>
                  </w:p>
                  <w:p w14:paraId="6AB53BD4" w14:textId="77777777" w:rsidR="00524C63" w:rsidRDefault="00407F16">
                    <w:pPr>
                      <w:pStyle w:val="Referentiegegevensbold"/>
                    </w:pPr>
                    <w:r>
                      <w:t>Onze referentie</w:t>
                    </w:r>
                  </w:p>
                  <w:p w14:paraId="45C512F3" w14:textId="77777777" w:rsidR="00B10C3B" w:rsidRDefault="001F1F2C">
                    <w:pPr>
                      <w:pStyle w:val="Referentiegegevens"/>
                    </w:pPr>
                    <w:r>
                      <w:fldChar w:fldCharType="begin"/>
                    </w:r>
                    <w:r>
                      <w:instrText xml:space="preserve"> DOCPROPERTY  "Kenmerk"  \* MERGEFORMAT </w:instrText>
                    </w:r>
                    <w:r>
                      <w:fldChar w:fldCharType="separate"/>
                    </w:r>
                    <w:r>
                      <w:t>2026-0000264070</w:t>
                    </w:r>
                    <w:r>
                      <w:fldChar w:fldCharType="end"/>
                    </w:r>
                  </w:p>
                </w:txbxContent>
              </v:textbox>
              <w10:wrap anchorx="page"/>
              <w10:anchorlock/>
            </v:shape>
          </w:pict>
        </mc:Fallback>
      </mc:AlternateContent>
    </w:r>
    <w:r>
      <w:rPr>
        <w:noProof/>
      </w:rPr>
      <mc:AlternateContent>
        <mc:Choice Requires="wps">
          <w:drawing>
            <wp:anchor distT="0" distB="0" distL="0" distR="0" simplePos="0" relativeHeight="251653632" behindDoc="0" locked="1" layoutInCell="1" allowOverlap="1" wp14:anchorId="66033548" wp14:editId="241FF5C8">
              <wp:simplePos x="1007744" y="10194925"/>
              <wp:positionH relativeFrom="page">
                <wp:posOffset>1007744</wp:posOffset>
              </wp:positionH>
              <wp:positionV relativeFrom="paragraph">
                <wp:posOffset>10194925</wp:posOffset>
              </wp:positionV>
              <wp:extent cx="4787900" cy="161290"/>
              <wp:effectExtent l="0" t="0" r="0" b="0"/>
              <wp:wrapNone/>
              <wp:docPr id="2" name="46fef06f-aa3c-11ea-a756-beb5f67e67be" descr="Voettekst"/>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00E03D64" w14:textId="77777777" w:rsidR="00D52D92" w:rsidRDefault="00D52D92"/>
                      </w:txbxContent>
                    </wps:txbx>
                    <wps:bodyPr vert="horz" wrap="square" lIns="0" tIns="0" rIns="0" bIns="0" anchor="t" anchorCtr="0"/>
                  </wps:wsp>
                </a:graphicData>
              </a:graphic>
            </wp:anchor>
          </w:drawing>
        </mc:Choice>
        <mc:Fallback>
          <w:pict>
            <v:shape w14:anchorId="66033548" id="46fef06f-aa3c-11ea-a756-beb5f67e67be" o:spid="_x0000_s1027" type="#_x0000_t202" alt="Voettekst" style="position:absolute;margin-left:79.35pt;margin-top:802.75pt;width:377pt;height:12.7pt;z-index:25165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" filled="f" stroked="f">
              <v:textbox inset="0,0,0,0">
                <w:txbxContent>
                  <w:p w14:paraId="00E03D64" w14:textId="77777777" w:rsidR="00D52D92" w:rsidRDefault="00D52D92"/>
                </w:txbxContent>
              </v:textbox>
              <w10:wrap anchorx="page"/>
              <w10:anchorlock/>
            </v:shape>
          </w:pict>
        </mc:Fallback>
      </mc:AlternateContent>
    </w:r>
    <w:r>
      <w:rPr>
        <w:noProof/>
      </w:rPr>
      <mc:AlternateContent>
        <mc:Choice Requires="wps">
          <w:drawing>
            <wp:anchor distT="0" distB="0" distL="0" distR="0" simplePos="0" relativeHeight="251654656" behindDoc="0" locked="1" layoutInCell="1" allowOverlap="1" wp14:anchorId="7924BF56" wp14:editId="11CD439A">
              <wp:simplePos x="5921375" y="10194925"/>
              <wp:positionH relativeFrom="page">
                <wp:posOffset>5921375</wp:posOffset>
              </wp:positionH>
              <wp:positionV relativeFrom="paragraph">
                <wp:posOffset>10194925</wp:posOffset>
              </wp:positionV>
              <wp:extent cx="1285875" cy="161290"/>
              <wp:effectExtent l="0" t="0" r="0" b="0"/>
              <wp:wrapNone/>
              <wp:docPr id="3" name="46fef0b8-aa3c-11ea-a756-beb5f67e67be"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5260F095" w14:textId="77777777" w:rsidR="00B10C3B" w:rsidRDefault="001F1F2C">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7924BF56" id="46fef0b8-aa3c-11ea-a756-beb5f67e67be" o:spid="_x0000_s1028" type="#_x0000_t202" alt="Paginanummering" style="position:absolute;margin-left:466.25pt;margin-top:802.75pt;width:101.25pt;height:12.7pt;z-index:25165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" filled="f" stroked="f">
              <v:textbox inset="0,0,0,0">
                <w:txbxContent>
                  <w:p w14:paraId="5260F095" w14:textId="77777777" w:rsidR="00B10C3B" w:rsidRDefault="001F1F2C">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042E2" w14:textId="77777777" w:rsidR="00524C63" w:rsidRDefault="00407F16">
    <w:pPr>
      <w:spacing w:after="5952" w:line="14" w:lineRule="exact"/>
    </w:pPr>
    <w:r>
      <w:rPr>
        <w:noProof/>
      </w:rPr>
      <mc:AlternateContent>
        <mc:Choice Requires="wps">
          <w:drawing>
            <wp:anchor distT="0" distB="0" distL="0" distR="0" simplePos="0" relativeHeight="251655680" behindDoc="0" locked="1" layoutInCell="1" allowOverlap="1" wp14:anchorId="0AA71A14" wp14:editId="47A02E68">
              <wp:simplePos x="1007744" y="1954530"/>
              <wp:positionH relativeFrom="page">
                <wp:posOffset>1007744</wp:posOffset>
              </wp:positionH>
              <wp:positionV relativeFrom="paragraph">
                <wp:posOffset>1954530</wp:posOffset>
              </wp:positionV>
              <wp:extent cx="4787900" cy="1115695"/>
              <wp:effectExtent l="0" t="0" r="0" b="0"/>
              <wp:wrapNone/>
              <wp:docPr id="4" name="46feeb64-aa3c-11ea-a756-beb5f67e67be" descr="Adresvak"/>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0155295A" w14:textId="77777777" w:rsidR="00D52D92" w:rsidRDefault="00D52D92"/>
                      </w:txbxContent>
                    </wps:txbx>
                    <wps:bodyPr vert="horz" wrap="square" lIns="0" tIns="0" rIns="0" bIns="0" anchor="t" anchorCtr="0"/>
                  </wps:wsp>
                </a:graphicData>
              </a:graphic>
            </wp:anchor>
          </w:drawing>
        </mc:Choice>
        <mc:Fallback>
          <w:pict>
            <v:shapetype w14:anchorId="0AA71A14" id="_x0000_t202" coordsize="21600,21600" o:spt="202" path="m,l,21600r21600,l21600,xe">
              <v:stroke joinstyle="miter"/>
              <v:path gradientshapeok="t" o:connecttype="rect"/>
            </v:shapetype>
            <v:shape id="46feeb64-aa3c-11ea-a756-beb5f67e67be" o:spid="_x0000_s1029" type="#_x0000_t202" alt="Adresvak" style="position:absolute;margin-left:79.35pt;margin-top:153.9pt;width:377pt;height:87.8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" filled="f" stroked="f">
              <v:textbox inset="0,0,0,0">
                <w:txbxContent>
                  <w:p w14:paraId="0155295A" w14:textId="77777777" w:rsidR="00D52D92" w:rsidRDefault="00D52D92"/>
                </w:txbxContent>
              </v:textbox>
              <w10:wrap anchorx="page"/>
              <w10:anchorlock/>
            </v:shape>
          </w:pict>
        </mc:Fallback>
      </mc:AlternateContent>
    </w:r>
    <w:r>
      <w:rPr>
        <w:noProof/>
      </w:rPr>
      <mc:AlternateContent>
        <mc:Choice Requires="wps">
          <w:drawing>
            <wp:anchor distT="0" distB="0" distL="0" distR="0" simplePos="0" relativeHeight="251656704" behindDoc="0" locked="1" layoutInCell="1" allowOverlap="1" wp14:anchorId="67212E03" wp14:editId="7EEF07F2">
              <wp:simplePos x="2418715" y="3354704"/>
              <wp:positionH relativeFrom="page">
                <wp:posOffset>2418715</wp:posOffset>
              </wp:positionH>
              <wp:positionV relativeFrom="paragraph">
                <wp:posOffset>3354704</wp:posOffset>
              </wp:positionV>
              <wp:extent cx="3362325" cy="323850"/>
              <wp:effectExtent l="0" t="0" r="0" b="0"/>
              <wp:wrapNone/>
              <wp:docPr id="5" name="46feebd0-aa3c-11ea-a756-beb5f67e67be"/>
              <wp:cNvGraphicFramePr/>
              <a:graphic xmlns:a="http://schemas.openxmlformats.org/drawingml/2006/main">
                <a:graphicData uri="http://schemas.microsoft.com/office/word/2010/wordprocessingShape">
                  <wps:wsp>
                    <wps:cNvSpPr txBox="1"/>
                    <wps:spPr>
                      <a:xfrm>
                        <a:off x="0" y="0"/>
                        <a:ext cx="3362325" cy="323850"/>
                      </a:xfrm>
                      <a:prstGeom prst="rect">
                        <a:avLst/>
                      </a:prstGeom>
                      <a:noFill/>
                    </wps:spPr>
                    <wps:txbx>
                      <w:txbxContent>
                        <w:p w14:paraId="5A1AFC2C" w14:textId="77777777" w:rsidR="00524C63" w:rsidRPr="00F56E3C" w:rsidRDefault="00407F16">
                          <w:pPr>
                            <w:rPr>
                              <w:lang w:val="en-GB"/>
                            </w:rPr>
                          </w:pPr>
                          <w:proofErr w:type="spellStart"/>
                          <w:r w:rsidRPr="00F56E3C">
                            <w:rPr>
                              <w:lang w:val="en-GB"/>
                            </w:rPr>
                            <w:t>Plenaire</w:t>
                          </w:r>
                          <w:proofErr w:type="spellEnd"/>
                          <w:r w:rsidRPr="00F56E3C">
                            <w:rPr>
                              <w:lang w:val="en-GB"/>
                            </w:rPr>
                            <w:t xml:space="preserve"> </w:t>
                          </w:r>
                          <w:proofErr w:type="spellStart"/>
                          <w:r w:rsidRPr="00F56E3C">
                            <w:rPr>
                              <w:lang w:val="en-GB"/>
                            </w:rPr>
                            <w:t>vergadering</w:t>
                          </w:r>
                          <w:proofErr w:type="spellEnd"/>
                          <w:r w:rsidRPr="00F56E3C">
                            <w:rPr>
                              <w:lang w:val="en-GB"/>
                            </w:rPr>
                            <w:t xml:space="preserve"> Financial Action Task Force (FATF) </w:t>
                          </w:r>
                          <w:proofErr w:type="spellStart"/>
                          <w:r w:rsidRPr="00F56E3C">
                            <w:rPr>
                              <w:lang w:val="en-GB"/>
                            </w:rPr>
                            <w:t>juni</w:t>
                          </w:r>
                          <w:proofErr w:type="spellEnd"/>
                          <w:r w:rsidRPr="00F56E3C">
                            <w:rPr>
                              <w:lang w:val="en-GB"/>
                            </w:rPr>
                            <w:t xml:space="preserve"> 2026</w:t>
                          </w:r>
                        </w:p>
                      </w:txbxContent>
                    </wps:txbx>
                    <wps:bodyPr vert="horz" wrap="square" lIns="0" tIns="0" rIns="0" bIns="0" anchor="t" anchorCtr="0"/>
                  </wps:wsp>
                </a:graphicData>
              </a:graphic>
            </wp:anchor>
          </w:drawing>
        </mc:Choice>
        <mc:Fallback>
          <w:pict>
            <v:shape w14:anchorId="67212E03" id="46feebd0-aa3c-11ea-a756-beb5f67e67be" o:spid="_x0000_s1030" type="#_x0000_t202" style="position:absolute;margin-left:190.45pt;margin-top:264.15pt;width:264.75pt;height:25.5pt;z-index:251656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" filled="f" stroked="f">
              <v:textbox inset="0,0,0,0">
                <w:txbxContent>
                  <w:p w14:paraId="5A1AFC2C" w14:textId="77777777" w:rsidR="00524C63" w:rsidRPr="00F56E3C" w:rsidRDefault="00407F16">
                    <w:pPr>
                      <w:rPr>
                        <w:lang w:val="en-GB"/>
                      </w:rPr>
                    </w:pPr>
                    <w:proofErr w:type="spellStart"/>
                    <w:r w:rsidRPr="00F56E3C">
                      <w:rPr>
                        <w:lang w:val="en-GB"/>
                      </w:rPr>
                      <w:t>Plenaire</w:t>
                    </w:r>
                    <w:proofErr w:type="spellEnd"/>
                    <w:r w:rsidRPr="00F56E3C">
                      <w:rPr>
                        <w:lang w:val="en-GB"/>
                      </w:rPr>
                      <w:t xml:space="preserve"> </w:t>
                    </w:r>
                    <w:proofErr w:type="spellStart"/>
                    <w:r w:rsidRPr="00F56E3C">
                      <w:rPr>
                        <w:lang w:val="en-GB"/>
                      </w:rPr>
                      <w:t>vergadering</w:t>
                    </w:r>
                    <w:proofErr w:type="spellEnd"/>
                    <w:r w:rsidRPr="00F56E3C">
                      <w:rPr>
                        <w:lang w:val="en-GB"/>
                      </w:rPr>
                      <w:t xml:space="preserve"> Financial Action Task Force (FATF) </w:t>
                    </w:r>
                    <w:proofErr w:type="spellStart"/>
                    <w:r w:rsidRPr="00F56E3C">
                      <w:rPr>
                        <w:lang w:val="en-GB"/>
                      </w:rPr>
                      <w:t>juni</w:t>
                    </w:r>
                    <w:proofErr w:type="spellEnd"/>
                    <w:r w:rsidRPr="00F56E3C">
                      <w:rPr>
                        <w:lang w:val="en-GB"/>
                      </w:rPr>
                      <w:t xml:space="preserve"> 2026</w:t>
                    </w:r>
                  </w:p>
                </w:txbxContent>
              </v:textbox>
              <w10:wrap anchorx="page"/>
              <w10:anchorlock/>
            </v:shape>
          </w:pict>
        </mc:Fallback>
      </mc:AlternateContent>
    </w:r>
    <w:r>
      <w:rPr>
        <w:noProof/>
      </w:rPr>
      <mc:AlternateContent>
        <mc:Choice Requires="wps">
          <w:drawing>
            <wp:anchor distT="0" distB="0" distL="0" distR="0" simplePos="0" relativeHeight="251657728" behindDoc="0" locked="1" layoutInCell="1" allowOverlap="1" wp14:anchorId="3310CD78" wp14:editId="26A7467E">
              <wp:simplePos x="5921375" y="1965325"/>
              <wp:positionH relativeFrom="page">
                <wp:posOffset>5921375</wp:posOffset>
              </wp:positionH>
              <wp:positionV relativeFrom="paragraph">
                <wp:posOffset>1965325</wp:posOffset>
              </wp:positionV>
              <wp:extent cx="1277620" cy="8009890"/>
              <wp:effectExtent l="0" t="0" r="0" b="0"/>
              <wp:wrapNone/>
              <wp:docPr id="6" name="46feec20-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04B6E863" w14:textId="77777777" w:rsidR="00524C63" w:rsidRDefault="00407F16">
                          <w:pPr>
                            <w:pStyle w:val="Referentiegegevensbold"/>
                          </w:pPr>
                          <w:r>
                            <w:t>Generale Thesaurie</w:t>
                          </w:r>
                        </w:p>
                        <w:p w14:paraId="77FDCE37" w14:textId="77777777" w:rsidR="00524C63" w:rsidRDefault="00407F16">
                          <w:pPr>
                            <w:pStyle w:val="Referentiegegevens"/>
                          </w:pPr>
                          <w:r>
                            <w:t>Directie Financiële Markten</w:t>
                          </w:r>
                        </w:p>
                        <w:p w14:paraId="5EDD1348" w14:textId="77777777" w:rsidR="00524C63" w:rsidRDefault="00407F16">
                          <w:pPr>
                            <w:pStyle w:val="Referentiegegevens"/>
                          </w:pPr>
                          <w:r>
                            <w:t>AFD IBI</w:t>
                          </w:r>
                        </w:p>
                        <w:p w14:paraId="6239A25F" w14:textId="77777777" w:rsidR="00524C63" w:rsidRDefault="00524C63">
                          <w:pPr>
                            <w:pStyle w:val="WitregelW1"/>
                          </w:pPr>
                        </w:p>
                        <w:p w14:paraId="581701F5" w14:textId="77777777" w:rsidR="00524C63" w:rsidRDefault="00407F16">
                          <w:pPr>
                            <w:pStyle w:val="Referentiegegevens"/>
                          </w:pPr>
                          <w:r>
                            <w:t>Korte Voorhout 7</w:t>
                          </w:r>
                        </w:p>
                        <w:p w14:paraId="05B2FFFB" w14:textId="77777777" w:rsidR="00524C63" w:rsidRDefault="00407F16">
                          <w:pPr>
                            <w:pStyle w:val="Referentiegegevens"/>
                          </w:pPr>
                          <w:r>
                            <w:t>2511 CW Den Haag</w:t>
                          </w:r>
                        </w:p>
                        <w:p w14:paraId="3F12E9D8" w14:textId="77777777" w:rsidR="00524C63" w:rsidRDefault="00407F16">
                          <w:pPr>
                            <w:pStyle w:val="Referentiegegevens"/>
                          </w:pPr>
                          <w:r>
                            <w:t>POSTBUS 20201</w:t>
                          </w:r>
                        </w:p>
                        <w:p w14:paraId="53A1DD02" w14:textId="77777777" w:rsidR="00524C63" w:rsidRDefault="00407F16">
                          <w:pPr>
                            <w:pStyle w:val="Referentiegegevens"/>
                          </w:pPr>
                          <w:r>
                            <w:t>2500 EE  Den Haag</w:t>
                          </w:r>
                        </w:p>
                        <w:p w14:paraId="03A871E4" w14:textId="77777777" w:rsidR="00524C63" w:rsidRDefault="00524C63">
                          <w:pPr>
                            <w:pStyle w:val="WitregelW2"/>
                          </w:pPr>
                        </w:p>
                        <w:p w14:paraId="7025FB56" w14:textId="77777777" w:rsidR="00524C63" w:rsidRDefault="00407F16">
                          <w:pPr>
                            <w:pStyle w:val="Referentiegegevensbold"/>
                          </w:pPr>
                          <w:r>
                            <w:t>Datum</w:t>
                          </w:r>
                        </w:p>
                        <w:p w14:paraId="7C280554" w14:textId="77777777" w:rsidR="00524C63" w:rsidRDefault="001F1F2C">
                          <w:pPr>
                            <w:pStyle w:val="Referentiegegevens"/>
                          </w:pPr>
                          <w:sdt>
                            <w:sdtPr>
                              <w:id w:val="-1978605094"/>
                              <w:date w:fullDate="2026-06-18T11:21:00Z">
                                <w:dateFormat w:val="d MMMM yyyy"/>
                                <w:lid w:val="nl"/>
                                <w:storeMappedDataAs w:val="dateTime"/>
                                <w:calendar w:val="gregorian"/>
                              </w:date>
                            </w:sdtPr>
                            <w:sdtEndPr/>
                            <w:sdtContent>
                              <w:r w:rsidR="00407F16">
                                <w:t>18 juni 2026</w:t>
                              </w:r>
                            </w:sdtContent>
                          </w:sdt>
                        </w:p>
                        <w:p w14:paraId="266167B8" w14:textId="77777777" w:rsidR="00524C63" w:rsidRDefault="00524C63">
                          <w:pPr>
                            <w:pStyle w:val="WitregelW1"/>
                          </w:pPr>
                        </w:p>
                        <w:p w14:paraId="01D4CF98" w14:textId="77777777" w:rsidR="00524C63" w:rsidRDefault="00407F16">
                          <w:pPr>
                            <w:pStyle w:val="Referentiegegevensbold"/>
                          </w:pPr>
                          <w:r>
                            <w:t>Onze referentie</w:t>
                          </w:r>
                        </w:p>
                        <w:p w14:paraId="5C2CB436" w14:textId="77777777" w:rsidR="00B10C3B" w:rsidRDefault="001F1F2C">
                          <w:pPr>
                            <w:pStyle w:val="Referentiegegevens"/>
                          </w:pPr>
                          <w:r>
                            <w:fldChar w:fldCharType="begin"/>
                          </w:r>
                          <w:r>
                            <w:instrText xml:space="preserve"> DOCPROPERTY  "Kenmerk"  \* MERGEFORMAT </w:instrText>
                          </w:r>
                          <w:r>
                            <w:fldChar w:fldCharType="separate"/>
                          </w:r>
                          <w:r>
                            <w:t>2026-0000264070</w:t>
                          </w:r>
                          <w:r>
                            <w:fldChar w:fldCharType="end"/>
                          </w:r>
                        </w:p>
                        <w:p w14:paraId="3A0A6C16" w14:textId="77777777" w:rsidR="00524C63" w:rsidRDefault="00524C63">
                          <w:pPr>
                            <w:pStyle w:val="WitregelW1"/>
                          </w:pPr>
                        </w:p>
                        <w:p w14:paraId="3CE16B1F" w14:textId="77777777" w:rsidR="00524C63" w:rsidRDefault="00524C63"/>
                      </w:txbxContent>
                    </wps:txbx>
                    <wps:bodyPr vert="horz" wrap="square" lIns="0" tIns="0" rIns="0" bIns="0" anchor="t" anchorCtr="0"/>
                  </wps:wsp>
                </a:graphicData>
              </a:graphic>
            </wp:anchor>
          </w:drawing>
        </mc:Choice>
        <mc:Fallback>
          <w:pict>
            <v:shape w14:anchorId="3310CD78" id="46feec20-aa3c-11ea-a756-beb5f67e67be" o:spid="_x0000_s1031" type="#_x0000_t202" alt="Colofon" style="position:absolute;margin-left:466.25pt;margin-top:154.75pt;width:100.6pt;height:630.7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" filled="f" stroked="f">
              <v:textbox inset="0,0,0,0">
                <w:txbxContent>
                  <w:p w14:paraId="04B6E863" w14:textId="77777777" w:rsidR="00524C63" w:rsidRDefault="00407F16">
                    <w:pPr>
                      <w:pStyle w:val="Referentiegegevensbold"/>
                    </w:pPr>
                    <w:r>
                      <w:t>Generale Thesaurie</w:t>
                    </w:r>
                  </w:p>
                  <w:p w14:paraId="77FDCE37" w14:textId="77777777" w:rsidR="00524C63" w:rsidRDefault="00407F16">
                    <w:pPr>
                      <w:pStyle w:val="Referentiegegevens"/>
                    </w:pPr>
                    <w:r>
                      <w:t>Directie Financiële Markten</w:t>
                    </w:r>
                  </w:p>
                  <w:p w14:paraId="5EDD1348" w14:textId="77777777" w:rsidR="00524C63" w:rsidRDefault="00407F16">
                    <w:pPr>
                      <w:pStyle w:val="Referentiegegevens"/>
                    </w:pPr>
                    <w:r>
                      <w:t>AFD IBI</w:t>
                    </w:r>
                  </w:p>
                  <w:p w14:paraId="6239A25F" w14:textId="77777777" w:rsidR="00524C63" w:rsidRDefault="00524C63">
                    <w:pPr>
                      <w:pStyle w:val="WitregelW1"/>
                    </w:pPr>
                  </w:p>
                  <w:p w14:paraId="581701F5" w14:textId="77777777" w:rsidR="00524C63" w:rsidRDefault="00407F16">
                    <w:pPr>
                      <w:pStyle w:val="Referentiegegevens"/>
                    </w:pPr>
                    <w:r>
                      <w:t>Korte Voorhout 7</w:t>
                    </w:r>
                  </w:p>
                  <w:p w14:paraId="05B2FFFB" w14:textId="77777777" w:rsidR="00524C63" w:rsidRDefault="00407F16">
                    <w:pPr>
                      <w:pStyle w:val="Referentiegegevens"/>
                    </w:pPr>
                    <w:r>
                      <w:t>2511 CW Den Haag</w:t>
                    </w:r>
                  </w:p>
                  <w:p w14:paraId="3F12E9D8" w14:textId="77777777" w:rsidR="00524C63" w:rsidRDefault="00407F16">
                    <w:pPr>
                      <w:pStyle w:val="Referentiegegevens"/>
                    </w:pPr>
                    <w:r>
                      <w:t>POSTBUS 20201</w:t>
                    </w:r>
                  </w:p>
                  <w:p w14:paraId="53A1DD02" w14:textId="77777777" w:rsidR="00524C63" w:rsidRDefault="00407F16">
                    <w:pPr>
                      <w:pStyle w:val="Referentiegegevens"/>
                    </w:pPr>
                    <w:r>
                      <w:t>2500 EE  Den Haag</w:t>
                    </w:r>
                  </w:p>
                  <w:p w14:paraId="03A871E4" w14:textId="77777777" w:rsidR="00524C63" w:rsidRDefault="00524C63">
                    <w:pPr>
                      <w:pStyle w:val="WitregelW2"/>
                    </w:pPr>
                  </w:p>
                  <w:p w14:paraId="7025FB56" w14:textId="77777777" w:rsidR="00524C63" w:rsidRDefault="00407F16">
                    <w:pPr>
                      <w:pStyle w:val="Referentiegegevensbold"/>
                    </w:pPr>
                    <w:r>
                      <w:t>Datum</w:t>
                    </w:r>
                  </w:p>
                  <w:p w14:paraId="7C280554" w14:textId="77777777" w:rsidR="00524C63" w:rsidRDefault="001F1F2C">
                    <w:pPr>
                      <w:pStyle w:val="Referentiegegevens"/>
                    </w:pPr>
                    <w:sdt>
                      <w:sdtPr>
                        <w:id w:val="-1978605094"/>
                        <w:date w:fullDate="2026-06-18T11:21:00Z">
                          <w:dateFormat w:val="d MMMM yyyy"/>
                          <w:lid w:val="nl"/>
                          <w:storeMappedDataAs w:val="dateTime"/>
                          <w:calendar w:val="gregorian"/>
                        </w:date>
                      </w:sdtPr>
                      <w:sdtEndPr/>
                      <w:sdtContent>
                        <w:r w:rsidR="00407F16">
                          <w:t>18 juni 2026</w:t>
                        </w:r>
                      </w:sdtContent>
                    </w:sdt>
                  </w:p>
                  <w:p w14:paraId="266167B8" w14:textId="77777777" w:rsidR="00524C63" w:rsidRDefault="00524C63">
                    <w:pPr>
                      <w:pStyle w:val="WitregelW1"/>
                    </w:pPr>
                  </w:p>
                  <w:p w14:paraId="01D4CF98" w14:textId="77777777" w:rsidR="00524C63" w:rsidRDefault="00407F16">
                    <w:pPr>
                      <w:pStyle w:val="Referentiegegevensbold"/>
                    </w:pPr>
                    <w:r>
                      <w:t>Onze referentie</w:t>
                    </w:r>
                  </w:p>
                  <w:p w14:paraId="5C2CB436" w14:textId="77777777" w:rsidR="00B10C3B" w:rsidRDefault="001F1F2C">
                    <w:pPr>
                      <w:pStyle w:val="Referentiegegevens"/>
                    </w:pPr>
                    <w:r>
                      <w:fldChar w:fldCharType="begin"/>
                    </w:r>
                    <w:r>
                      <w:instrText xml:space="preserve"> DOCPROPERTY  "Kenmerk"  \* MERGEFORMAT </w:instrText>
                    </w:r>
                    <w:r>
                      <w:fldChar w:fldCharType="separate"/>
                    </w:r>
                    <w:r>
                      <w:t>2026-0000264070</w:t>
                    </w:r>
                    <w:r>
                      <w:fldChar w:fldCharType="end"/>
                    </w:r>
                  </w:p>
                  <w:p w14:paraId="3A0A6C16" w14:textId="77777777" w:rsidR="00524C63" w:rsidRDefault="00524C63">
                    <w:pPr>
                      <w:pStyle w:val="WitregelW1"/>
                    </w:pPr>
                  </w:p>
                  <w:p w14:paraId="3CE16B1F" w14:textId="77777777" w:rsidR="00524C63" w:rsidRDefault="00524C63"/>
                </w:txbxContent>
              </v:textbox>
              <w10:wrap anchorx="page"/>
              <w10:anchorlock/>
            </v:shape>
          </w:pict>
        </mc:Fallback>
      </mc:AlternateContent>
    </w:r>
    <w:r>
      <w:rPr>
        <w:noProof/>
      </w:rPr>
      <mc:AlternateContent>
        <mc:Choice Requires="wps">
          <w:drawing>
            <wp:anchor distT="0" distB="0" distL="0" distR="0" simplePos="0" relativeHeight="251658752" behindDoc="0" locked="1" layoutInCell="1" allowOverlap="1" wp14:anchorId="7A4817B4" wp14:editId="3AC23C9E">
              <wp:simplePos x="1007744" y="10194925"/>
              <wp:positionH relativeFrom="page">
                <wp:posOffset>1007744</wp:posOffset>
              </wp:positionH>
              <wp:positionV relativeFrom="paragraph">
                <wp:posOffset>10194925</wp:posOffset>
              </wp:positionV>
              <wp:extent cx="4787900" cy="161925"/>
              <wp:effectExtent l="0" t="0" r="0" b="0"/>
              <wp:wrapNone/>
              <wp:docPr id="7" name="46feec6f-aa3c-11ea-a756-beb5f67e67be"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190AE88F" w14:textId="77777777" w:rsidR="00D52D92" w:rsidRDefault="00D52D92"/>
                      </w:txbxContent>
                    </wps:txbx>
                    <wps:bodyPr vert="horz" wrap="square" lIns="0" tIns="0" rIns="0" bIns="0" anchor="t" anchorCtr="0"/>
                  </wps:wsp>
                </a:graphicData>
              </a:graphic>
            </wp:anchor>
          </w:drawing>
        </mc:Choice>
        <mc:Fallback>
          <w:pict>
            <v:shape w14:anchorId="7A4817B4" id="46feec6f-aa3c-11ea-a756-beb5f67e67be" o:spid="_x0000_s1032" type="#_x0000_t202" alt="Voettekst" style="position:absolute;margin-left:79.35pt;margin-top:802.75pt;width:377pt;height:12.75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" filled="f" stroked="f">
              <v:textbox inset="0,0,0,0">
                <w:txbxContent>
                  <w:p w14:paraId="190AE88F" w14:textId="77777777" w:rsidR="00D52D92" w:rsidRDefault="00D52D92"/>
                </w:txbxContent>
              </v:textbox>
              <w10:wrap anchorx="page"/>
              <w10:anchorlock/>
            </v:shape>
          </w:pict>
        </mc:Fallback>
      </mc:AlternateContent>
    </w:r>
    <w:r>
      <w:rPr>
        <w:noProof/>
      </w:rPr>
      <mc:AlternateContent>
        <mc:Choice Requires="wps">
          <w:drawing>
            <wp:anchor distT="0" distB="0" distL="0" distR="0" simplePos="0" relativeHeight="251659776" behindDoc="0" locked="1" layoutInCell="1" allowOverlap="1" wp14:anchorId="489C4659" wp14:editId="2E43B314">
              <wp:simplePos x="5921375" y="10194925"/>
              <wp:positionH relativeFrom="page">
                <wp:posOffset>5921375</wp:posOffset>
              </wp:positionH>
              <wp:positionV relativeFrom="paragraph">
                <wp:posOffset>10194925</wp:posOffset>
              </wp:positionV>
              <wp:extent cx="1285875" cy="161290"/>
              <wp:effectExtent l="0" t="0" r="0" b="0"/>
              <wp:wrapNone/>
              <wp:docPr id="8" name="46feecbe-aa3c-11ea-a756-beb5f67e67be"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55BA3259" w14:textId="77777777" w:rsidR="00B10C3B" w:rsidRDefault="001F1F2C">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489C4659" id="46feecbe-aa3c-11ea-a756-beb5f67e67be" o:spid="_x0000_s1033" type="#_x0000_t202" alt="Paginanummering" style="position:absolute;margin-left:466.25pt;margin-top:802.75pt;width:101.25pt;height:12.7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" filled="f" stroked="f">
              <v:textbox inset="0,0,0,0">
                <w:txbxContent>
                  <w:p w14:paraId="55BA3259" w14:textId="77777777" w:rsidR="00B10C3B" w:rsidRDefault="001F1F2C">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0800" behindDoc="0" locked="1" layoutInCell="1" allowOverlap="1" wp14:anchorId="7639CB92" wp14:editId="2243A0EB">
              <wp:simplePos x="3545840" y="0"/>
              <wp:positionH relativeFrom="page">
                <wp:posOffset>3545840</wp:posOffset>
              </wp:positionH>
              <wp:positionV relativeFrom="paragraph">
                <wp:posOffset>0</wp:posOffset>
              </wp:positionV>
              <wp:extent cx="467995" cy="1583055"/>
              <wp:effectExtent l="0" t="0" r="0" b="0"/>
              <wp:wrapNone/>
              <wp:docPr id="9" name="46feed0e-aa3c-11ea-a756-beb5f67e67be" descr="Container voor beeldmerk"/>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6B08B932" w14:textId="77777777" w:rsidR="00524C63" w:rsidRDefault="00407F16">
                          <w:pPr>
                            <w:spacing w:line="240" w:lineRule="auto"/>
                          </w:pPr>
                          <w:r>
                            <w:rPr>
                              <w:noProof/>
                            </w:rPr>
                            <w:drawing>
                              <wp:inline distT="0" distB="0" distL="0" distR="0" wp14:anchorId="0A8C48AA" wp14:editId="42CC57EE">
                                <wp:extent cx="467995" cy="1583865"/>
                                <wp:effectExtent l="0" t="0" r="0" b="0"/>
                                <wp:docPr id="10" name="Logo" descr="Rijkslint, logo van de Rijksoverheid (zwart)"/>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7639CB92" id="46feed0e-aa3c-11ea-a756-beb5f67e67be" o:spid="_x0000_s1034" type="#_x0000_t202" alt="Container voor beeldmerk" style="position:absolute;margin-left:279.2pt;margin-top:0;width:36.85pt;height:124.65pt;z-index:25166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LF8g4pUBAAAUAwAA&#10;DgAAAAAAAAAAAAAAAAAuAgAAZHJzL2Uyb0RvYy54bWxQSwECLQAUAAYACAAAACEA7IjYZN8AAAAI&#10;AQAADwAAAAAAAAAAAAAAAADvAwAAZHJzL2Rvd25yZXYueG1sUEsFBgAAAAAEAAQA8wAAAPsEAAAA&#10;AA==&#10;" filled="f" stroked="f">
              <v:textbox inset="0,0,0,0">
                <w:txbxContent>
                  <w:p w14:paraId="6B08B932" w14:textId="77777777" w:rsidR="00524C63" w:rsidRDefault="00407F16">
                    <w:pPr>
                      <w:spacing w:line="240" w:lineRule="auto"/>
                    </w:pPr>
                    <w:r>
                      <w:rPr>
                        <w:noProof/>
                      </w:rPr>
                      <w:drawing>
                        <wp:inline distT="0" distB="0" distL="0" distR="0" wp14:anchorId="0A8C48AA" wp14:editId="42CC57EE">
                          <wp:extent cx="467995" cy="1583865"/>
                          <wp:effectExtent l="0" t="0" r="0" b="0"/>
                          <wp:docPr id="10" name="Logo" descr="Rijkslint, logo van de Rijksoverheid (zwart)"/>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61824" behindDoc="0" locked="1" layoutInCell="1" allowOverlap="1" wp14:anchorId="17811B09" wp14:editId="4EF6DC92">
              <wp:simplePos x="3995420" y="0"/>
              <wp:positionH relativeFrom="page">
                <wp:posOffset>3995420</wp:posOffset>
              </wp:positionH>
              <wp:positionV relativeFrom="paragraph">
                <wp:posOffset>0</wp:posOffset>
              </wp:positionV>
              <wp:extent cx="2339975" cy="1583690"/>
              <wp:effectExtent l="0" t="0" r="0" b="0"/>
              <wp:wrapNone/>
              <wp:docPr id="11" name="46feed67-aa3c-11ea-a756-beb5f67e67be" descr="Container voor 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7D61524F" w14:textId="77777777" w:rsidR="00524C63" w:rsidRDefault="00407F16">
                          <w:pPr>
                            <w:spacing w:line="240" w:lineRule="auto"/>
                          </w:pPr>
                          <w:r>
                            <w:rPr>
                              <w:noProof/>
                            </w:rPr>
                            <w:drawing>
                              <wp:inline distT="0" distB="0" distL="0" distR="0" wp14:anchorId="34562BD0" wp14:editId="68DBA90B">
                                <wp:extent cx="2339975" cy="1582834"/>
                                <wp:effectExtent l="0" t="0" r="0" b="0"/>
                                <wp:docPr id="12" name="Logotype" descr="Ministerie van Financiën"/>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17811B09" id="46feed67-aa3c-11ea-a756-beb5f67e67be" o:spid="_x0000_s1035" type="#_x0000_t202" alt="Container voor woordmerk" style="position:absolute;margin-left:314.6pt;margin-top:0;width:184.25pt;height:124.7pt;z-index:251661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" filled="f" stroked="f">
              <v:textbox inset="0,0,0,0">
                <w:txbxContent>
                  <w:p w14:paraId="7D61524F" w14:textId="77777777" w:rsidR="00524C63" w:rsidRDefault="00407F16">
                    <w:pPr>
                      <w:spacing w:line="240" w:lineRule="auto"/>
                    </w:pPr>
                    <w:r>
                      <w:rPr>
                        <w:noProof/>
                      </w:rPr>
                      <w:drawing>
                        <wp:inline distT="0" distB="0" distL="0" distR="0" wp14:anchorId="34562BD0" wp14:editId="68DBA90B">
                          <wp:extent cx="2339975" cy="1582834"/>
                          <wp:effectExtent l="0" t="0" r="0" b="0"/>
                          <wp:docPr id="12" name="Logotype" descr="Ministerie van Financiën"/>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62848" behindDoc="0" locked="1" layoutInCell="1" allowOverlap="1" wp14:anchorId="6F789EA2" wp14:editId="016AA5A4">
              <wp:simplePos x="1007744" y="3070225"/>
              <wp:positionH relativeFrom="page">
                <wp:posOffset>1007744</wp:posOffset>
              </wp:positionH>
              <wp:positionV relativeFrom="paragraph">
                <wp:posOffset>3070225</wp:posOffset>
              </wp:positionV>
              <wp:extent cx="1205865" cy="532765"/>
              <wp:effectExtent l="0" t="0" r="0" b="0"/>
              <wp:wrapNone/>
              <wp:docPr id="13" name="46fef31b-aa3c-11ea-a756-beb5f67e67be"/>
              <wp:cNvGraphicFramePr/>
              <a:graphic xmlns:a="http://schemas.openxmlformats.org/drawingml/2006/main">
                <a:graphicData uri="http://schemas.microsoft.com/office/word/2010/wordprocessingShape">
                  <wps:wsp>
                    <wps:cNvSpPr txBox="1"/>
                    <wps:spPr>
                      <a:xfrm>
                        <a:off x="0" y="0"/>
                        <a:ext cx="1205865" cy="532765"/>
                      </a:xfrm>
                      <a:prstGeom prst="rect">
                        <a:avLst/>
                      </a:prstGeom>
                      <a:noFill/>
                    </wps:spPr>
                    <wps:txbx>
                      <w:txbxContent>
                        <w:p w14:paraId="1B48B71D" w14:textId="77777777" w:rsidR="00524C63" w:rsidRDefault="00407F16">
                          <w:pPr>
                            <w:spacing w:line="240" w:lineRule="auto"/>
                          </w:pPr>
                          <w:r>
                            <w:rPr>
                              <w:noProof/>
                            </w:rPr>
                            <w:drawing>
                              <wp:inline distT="0" distB="0" distL="0" distR="0" wp14:anchorId="4DF10D12" wp14:editId="338F51F8">
                                <wp:extent cx="1205865" cy="540054"/>
                                <wp:effectExtent l="0" t="0" r="0" b="0"/>
                                <wp:docPr id="14" name="Document_name_-_minutes" descr="verslag"/>
                                <wp:cNvGraphicFramePr/>
                                <a:graphic xmlns:a="http://schemas.openxmlformats.org/drawingml/2006/main">
                                  <a:graphicData uri="http://schemas.openxmlformats.org/drawingml/2006/picture">
                                    <pic:pic xmlns:pic="http://schemas.openxmlformats.org/drawingml/2006/picture">
                                      <pic:nvPicPr>
                                        <pic:cNvPr id="14" name="Document_name_-_minutes"/>
                                        <pic:cNvPicPr/>
                                      </pic:nvPicPr>
                                      <pic:blipFill>
                                        <a:blip r:embed="rId3"/>
                                        <a:stretch>
                                          <a:fillRect/>
                                        </a:stretch>
                                      </pic:blipFill>
                                      <pic:spPr bwMode="auto">
                                        <a:xfrm>
                                          <a:off x="0" y="0"/>
                                          <a:ext cx="1205865" cy="54005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6F789EA2" id="46fef31b-aa3c-11ea-a756-beb5f67e67be" o:spid="_x0000_s1036" type="#_x0000_t202" style="position:absolute;margin-left:79.35pt;margin-top:241.75pt;width:94.95pt;height:41.95pt;z-index:251662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" filled="f" stroked="f">
              <v:textbox inset="0,0,0,0">
                <w:txbxContent>
                  <w:p w14:paraId="1B48B71D" w14:textId="77777777" w:rsidR="00524C63" w:rsidRDefault="00407F16">
                    <w:pPr>
                      <w:spacing w:line="240" w:lineRule="auto"/>
                    </w:pPr>
                    <w:r>
                      <w:rPr>
                        <w:noProof/>
                      </w:rPr>
                      <w:drawing>
                        <wp:inline distT="0" distB="0" distL="0" distR="0" wp14:anchorId="4DF10D12" wp14:editId="338F51F8">
                          <wp:extent cx="1205865" cy="540054"/>
                          <wp:effectExtent l="0" t="0" r="0" b="0"/>
                          <wp:docPr id="14" name="Document_name_-_minutes" descr="verslag"/>
                          <wp:cNvGraphicFramePr/>
                          <a:graphic xmlns:a="http://schemas.openxmlformats.org/drawingml/2006/main">
                            <a:graphicData uri="http://schemas.openxmlformats.org/drawingml/2006/picture">
                              <pic:pic xmlns:pic="http://schemas.openxmlformats.org/drawingml/2006/picture">
                                <pic:nvPicPr>
                                  <pic:cNvPr id="14" name="Document_name_-_minutes"/>
                                  <pic:cNvPicPr/>
                                </pic:nvPicPr>
                                <pic:blipFill>
                                  <a:blip r:embed="rId3"/>
                                  <a:stretch>
                                    <a:fillRect/>
                                  </a:stretch>
                                </pic:blipFill>
                                <pic:spPr bwMode="auto">
                                  <a:xfrm>
                                    <a:off x="0" y="0"/>
                                    <a:ext cx="1205865" cy="540054"/>
                                  </a:xfrm>
                                  <a:prstGeom prst="rect">
                                    <a:avLst/>
                                  </a:prstGeom>
                                </pic:spPr>
                              </pic:pic>
                            </a:graphicData>
                          </a:graphic>
                        </wp:inline>
                      </w:drawing>
                    </w:r>
                  </w:p>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E81BD36"/>
    <w:multiLevelType w:val="multilevel"/>
    <w:tmpl w:val="79517EB4"/>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 w15:restartNumberingAfterBreak="0">
    <w:nsid w:val="DFC83BE9"/>
    <w:multiLevelType w:val="multilevel"/>
    <w:tmpl w:val="392C5428"/>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2" w15:restartNumberingAfterBreak="0">
    <w:nsid w:val="04B6144C"/>
    <w:multiLevelType w:val="multilevel"/>
    <w:tmpl w:val="987602C9"/>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15:restartNumberingAfterBreak="0">
    <w:nsid w:val="704A5612"/>
    <w:multiLevelType w:val="multilevel"/>
    <w:tmpl w:val="366A1D99"/>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num w:numId="1" w16cid:durableId="517349721">
    <w:abstractNumId w:val="3"/>
  </w:num>
  <w:num w:numId="2" w16cid:durableId="1801727458">
    <w:abstractNumId w:val="0"/>
  </w:num>
  <w:num w:numId="3" w16cid:durableId="1414401457">
    <w:abstractNumId w:val="1"/>
  </w:num>
  <w:num w:numId="4" w16cid:durableId="5789045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E3C"/>
    <w:rsid w:val="00000A3A"/>
    <w:rsid w:val="00002EEF"/>
    <w:rsid w:val="00003095"/>
    <w:rsid w:val="00026D4E"/>
    <w:rsid w:val="00033CFF"/>
    <w:rsid w:val="00065072"/>
    <w:rsid w:val="000B1B11"/>
    <w:rsid w:val="000B2C32"/>
    <w:rsid w:val="000B7D1C"/>
    <w:rsid w:val="000E44C2"/>
    <w:rsid w:val="0011469D"/>
    <w:rsid w:val="00174EB9"/>
    <w:rsid w:val="00190A60"/>
    <w:rsid w:val="001B671E"/>
    <w:rsid w:val="001D5906"/>
    <w:rsid w:val="001F1F2C"/>
    <w:rsid w:val="001F5923"/>
    <w:rsid w:val="00236714"/>
    <w:rsid w:val="002A49F1"/>
    <w:rsid w:val="002B5586"/>
    <w:rsid w:val="002C1D75"/>
    <w:rsid w:val="002F6BF7"/>
    <w:rsid w:val="002F7C8B"/>
    <w:rsid w:val="00323FFE"/>
    <w:rsid w:val="00330964"/>
    <w:rsid w:val="0034376F"/>
    <w:rsid w:val="00365A52"/>
    <w:rsid w:val="003E225B"/>
    <w:rsid w:val="00407F16"/>
    <w:rsid w:val="00453672"/>
    <w:rsid w:val="00481261"/>
    <w:rsid w:val="00524C63"/>
    <w:rsid w:val="00552B0A"/>
    <w:rsid w:val="005937BF"/>
    <w:rsid w:val="005E34F8"/>
    <w:rsid w:val="00646D0F"/>
    <w:rsid w:val="00666D32"/>
    <w:rsid w:val="0069055C"/>
    <w:rsid w:val="006B2E10"/>
    <w:rsid w:val="006C1A75"/>
    <w:rsid w:val="00725289"/>
    <w:rsid w:val="007D370F"/>
    <w:rsid w:val="00850204"/>
    <w:rsid w:val="008A1A1C"/>
    <w:rsid w:val="008B14C7"/>
    <w:rsid w:val="008B6736"/>
    <w:rsid w:val="008D1909"/>
    <w:rsid w:val="00900234"/>
    <w:rsid w:val="00964A50"/>
    <w:rsid w:val="009A0AD4"/>
    <w:rsid w:val="009A3E38"/>
    <w:rsid w:val="009E30AD"/>
    <w:rsid w:val="00A02387"/>
    <w:rsid w:val="00A46A1D"/>
    <w:rsid w:val="00A4790B"/>
    <w:rsid w:val="00A90CF1"/>
    <w:rsid w:val="00B10C3B"/>
    <w:rsid w:val="00B8610B"/>
    <w:rsid w:val="00BC71AC"/>
    <w:rsid w:val="00C27E3E"/>
    <w:rsid w:val="00CA49DA"/>
    <w:rsid w:val="00D3189F"/>
    <w:rsid w:val="00D52D92"/>
    <w:rsid w:val="00D60726"/>
    <w:rsid w:val="00D9433E"/>
    <w:rsid w:val="00DD2316"/>
    <w:rsid w:val="00DD2BE6"/>
    <w:rsid w:val="00E26E41"/>
    <w:rsid w:val="00F02B0D"/>
    <w:rsid w:val="00F062DA"/>
    <w:rsid w:val="00F37251"/>
    <w:rsid w:val="00F56E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350090"/>
  <w15:docId w15:val="{9E7EB40F-FB49-46D2-86C0-757F1128A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style>
  <w:style w:type="paragraph" w:styleId="Inhopg2">
    <w:name w:val="toc 2"/>
    <w:basedOn w:val="Inhopg1"/>
    <w:next w:val="Standaard"/>
    <w:pPr>
      <w:spacing w:line="240" w:lineRule="exact"/>
    </w:p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Standaard"/>
    <w:uiPriority w:val="3"/>
    <w:qFormat/>
    <w:pPr>
      <w:numPr>
        <w:numId w:val="3"/>
      </w:numPr>
    </w:pPr>
  </w:style>
  <w:style w:type="paragraph" w:styleId="Ondertitel">
    <w:name w:val="Subtitle"/>
    <w:basedOn w:val="Standaard"/>
    <w:next w:val="Standaard"/>
    <w:pPr>
      <w:spacing w:line="320" w:lineRule="atLeast"/>
    </w:pPr>
    <w:rPr>
      <w:sz w:val="24"/>
      <w:szCs w:val="24"/>
    </w:rPr>
  </w:style>
  <w:style w:type="paragraph" w:customStyle="1" w:styleId="Opsomming">
    <w:name w:val="Opsomming"/>
    <w:basedOn w:val="Standaard"/>
    <w:uiPriority w:val="3"/>
    <w:qFormat/>
    <w:pPr>
      <w:numPr>
        <w:numId w:val="4"/>
      </w:numPr>
    </w:p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outlineLvl w:val="4"/>
    </w:pPr>
    <w:rPr>
      <w:sz w:val="13"/>
      <w:szCs w:val="13"/>
    </w:rPr>
  </w:style>
  <w:style w:type="paragraph" w:customStyle="1" w:styleId="Referentiegegevensbold">
    <w:name w:val="Referentiegegevens bold"/>
    <w:basedOn w:val="Standaard"/>
    <w:next w:val="Standaard"/>
    <w:pPr>
      <w:spacing w:line="180" w:lineRule="exact"/>
      <w:outlineLvl w:val="4"/>
    </w:pPr>
    <w:rPr>
      <w:b/>
      <w:sz w:val="13"/>
      <w:szCs w:val="13"/>
    </w:rPr>
  </w:style>
  <w:style w:type="paragraph" w:customStyle="1" w:styleId="Referentiegegevenscursief">
    <w:name w:val="Referentiegegevens cursief"/>
    <w:basedOn w:val="Standaard"/>
    <w:next w:val="Standaard"/>
    <w:pPr>
      <w:spacing w:line="180" w:lineRule="exact"/>
      <w:outlineLvl w:val="4"/>
    </w:pPr>
    <w:rPr>
      <w:i/>
      <w:sz w:val="13"/>
      <w:szCs w:val="13"/>
    </w:rPr>
  </w:style>
  <w:style w:type="paragraph" w:customStyle="1" w:styleId="Referentiegegevensrechtsuitgelijnd">
    <w:name w:val="Referentiegegevens rechts uitgelijnd"/>
    <w:basedOn w:val="Standaard"/>
    <w:next w:val="Standaard"/>
    <w:pPr>
      <w:spacing w:line="180" w:lineRule="exact"/>
      <w:jc w:val="right"/>
      <w:outlineLvl w:val="4"/>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F56E3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56E3C"/>
    <w:rPr>
      <w:rFonts w:ascii="Verdana" w:hAnsi="Verdana"/>
      <w:color w:val="000000"/>
      <w:sz w:val="18"/>
      <w:szCs w:val="18"/>
    </w:rPr>
  </w:style>
  <w:style w:type="paragraph" w:styleId="Voettekst">
    <w:name w:val="footer"/>
    <w:basedOn w:val="Standaard"/>
    <w:link w:val="VoettekstChar"/>
    <w:uiPriority w:val="99"/>
    <w:unhideWhenUsed/>
    <w:rsid w:val="00F56E3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56E3C"/>
    <w:rPr>
      <w:rFonts w:ascii="Verdana" w:hAnsi="Verdana"/>
      <w:color w:val="000000"/>
      <w:sz w:val="18"/>
      <w:szCs w:val="18"/>
    </w:rPr>
  </w:style>
  <w:style w:type="paragraph" w:styleId="Voetnoottekst">
    <w:name w:val="footnote text"/>
    <w:basedOn w:val="Standaard"/>
    <w:link w:val="VoetnoottekstChar"/>
    <w:uiPriority w:val="99"/>
    <w:semiHidden/>
    <w:unhideWhenUsed/>
    <w:rsid w:val="00F56E3C"/>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F56E3C"/>
    <w:rPr>
      <w:rFonts w:ascii="Verdana" w:hAnsi="Verdana"/>
      <w:color w:val="000000"/>
    </w:rPr>
  </w:style>
  <w:style w:type="character" w:styleId="Voetnootmarkering">
    <w:name w:val="footnote reference"/>
    <w:basedOn w:val="Standaardalinea-lettertype"/>
    <w:uiPriority w:val="99"/>
    <w:semiHidden/>
    <w:unhideWhenUsed/>
    <w:rsid w:val="00F56E3C"/>
    <w:rPr>
      <w:vertAlign w:val="superscript"/>
    </w:rPr>
  </w:style>
  <w:style w:type="paragraph" w:styleId="Revisie">
    <w:name w:val="Revision"/>
    <w:hidden/>
    <w:uiPriority w:val="99"/>
    <w:semiHidden/>
    <w:rsid w:val="00D60726"/>
    <w:pPr>
      <w:autoSpaceDN/>
      <w:textAlignment w:val="auto"/>
    </w:pPr>
    <w:rPr>
      <w:rFonts w:ascii="Verdana" w:hAnsi="Verdana"/>
      <w:color w:val="000000"/>
      <w:sz w:val="18"/>
      <w:szCs w:val="18"/>
    </w:rPr>
  </w:style>
  <w:style w:type="character" w:styleId="Onopgelostemelding">
    <w:name w:val="Unresolved Mention"/>
    <w:basedOn w:val="Standaardalinea-lettertype"/>
    <w:uiPriority w:val="99"/>
    <w:semiHidden/>
    <w:unhideWhenUsed/>
    <w:rsid w:val="008D1909"/>
    <w:rPr>
      <w:color w:val="605E5C"/>
      <w:shd w:val="clear" w:color="auto" w:fill="E1DFDD"/>
    </w:rPr>
  </w:style>
  <w:style w:type="character" w:styleId="Verwijzingopmerking">
    <w:name w:val="annotation reference"/>
    <w:basedOn w:val="Standaardalinea-lettertype"/>
    <w:uiPriority w:val="99"/>
    <w:semiHidden/>
    <w:unhideWhenUsed/>
    <w:rsid w:val="008B6736"/>
    <w:rPr>
      <w:sz w:val="16"/>
      <w:szCs w:val="16"/>
    </w:rPr>
  </w:style>
  <w:style w:type="paragraph" w:styleId="Tekstopmerking">
    <w:name w:val="annotation text"/>
    <w:basedOn w:val="Standaard"/>
    <w:link w:val="TekstopmerkingChar"/>
    <w:uiPriority w:val="99"/>
    <w:unhideWhenUsed/>
    <w:rsid w:val="008B6736"/>
    <w:pPr>
      <w:spacing w:line="240" w:lineRule="auto"/>
    </w:pPr>
    <w:rPr>
      <w:sz w:val="20"/>
      <w:szCs w:val="20"/>
    </w:rPr>
  </w:style>
  <w:style w:type="character" w:customStyle="1" w:styleId="TekstopmerkingChar">
    <w:name w:val="Tekst opmerking Char"/>
    <w:basedOn w:val="Standaardalinea-lettertype"/>
    <w:link w:val="Tekstopmerking"/>
    <w:uiPriority w:val="99"/>
    <w:rsid w:val="008B6736"/>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8B6736"/>
    <w:rPr>
      <w:b/>
      <w:bCs/>
    </w:rPr>
  </w:style>
  <w:style w:type="character" w:customStyle="1" w:styleId="OnderwerpvanopmerkingChar">
    <w:name w:val="Onderwerp van opmerking Char"/>
    <w:basedOn w:val="TekstopmerkingChar"/>
    <w:link w:val="Onderwerpvanopmerking"/>
    <w:uiPriority w:val="99"/>
    <w:semiHidden/>
    <w:rsid w:val="008B6736"/>
    <w:rPr>
      <w:rFonts w:ascii="Verdana" w:hAnsi="Verdana"/>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22" Type="http://schemas.openxmlformats.org/officeDocument/2006/relationships/webSetting" Target="webSettings0.xml"/></Relationships>
</file>

<file path=word/_rels/footnotes.xml.rels><?xml version="1.0" encoding="UTF-8" standalone="yes"?>
<Relationships xmlns="http://schemas.openxmlformats.org/package/2006/relationships"><Relationship Id="rId3" Type="http://schemas.openxmlformats.org/officeDocument/2006/relationships/hyperlink" Target="https://www.fatf-gafi.org/content/fatf-gafi/en/publications/High-risk-and-other-monitored-jurisdictions/increased-monitoring-october-2025.html" TargetMode="External"/><Relationship Id="rId2" Type="http://schemas.openxmlformats.org/officeDocument/2006/relationships/hyperlink" Target="https://www.fatf-gafi.org/en/publications/High-risk-and-other-monitored-jurisdictions/Call-for-action-october-2025.html" TargetMode="External"/><Relationship Id="rId1" Type="http://schemas.openxmlformats.org/officeDocument/2006/relationships/hyperlink" Target="https://www.fatf-gafi.org/en/publications/Fatfgeneral/fatf-statement-russian-federation-feb-2024.html" TargetMode="External"/><Relationship Id="rId5" Type="http://schemas.openxmlformats.org/officeDocument/2006/relationships/hyperlink" Target="https://www.fatf-gafi.org/content/fatf-gafi/en/publications/Methodsandtrends/detecting-and-disrupting-tf-through-smsps.html" TargetMode="External"/><Relationship Id="rId4" Type="http://schemas.openxmlformats.org/officeDocument/2006/relationships/hyperlink" Target="https://www.fatf-gafi.org/content/fatf-gafi/en/publications/Methodsandtrends/information-sharing-ppp-data-protection-arrangements.html"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H:\Downloads\Verslag%20(2).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4</ap:Pages>
  <ap:Words>1568</ap:Words>
  <ap:Characters>8625</ap:Characters>
  <ap:DocSecurity>0</ap:DocSecurity>
  <ap:Lines>71</ap:Lines>
  <ap:Paragraphs>20</ap:Paragraphs>
  <ap:ScaleCrop>false</ap:ScaleCrop>
  <ap:HeadingPairs>
    <vt:vector baseType="variant" size="2">
      <vt:variant>
        <vt:lpstr>Titel</vt:lpstr>
      </vt:variant>
      <vt:variant>
        <vt:i4>1</vt:i4>
      </vt:variant>
    </vt:vector>
  </ap:HeadingPairs>
  <ap:TitlesOfParts>
    <vt:vector baseType="lpstr" size="1">
      <vt:lpstr>Verslag - Plenaire vergadering Financial Action Task Force (FATF) juni 2026</vt:lpstr>
    </vt:vector>
  </ap:TitlesOfParts>
  <ap:LinksUpToDate>false</ap:LinksUpToDate>
  <ap:CharactersWithSpaces>10173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2026-09-09T13:52:00.0000000Z</dcterms:created>
  <dcterms:modified xsi:type="dcterms:W3CDTF">2026-09-09T13:52:00.0000000Z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type">
    <vt:lpwstr>Verslag</vt:lpwstr>
  </property>
  <property fmtid="{D5CDD505-2E9C-101B-9397-08002B2CF9AE}" pid="5" name="Documentsoort">
    <vt:lpwstr>Verslag</vt:lpwstr>
  </property>
  <property fmtid="{D5CDD505-2E9C-101B-9397-08002B2CF9AE}" pid="6" name="Publicatiedatum">
    <vt:lpwstr/>
  </property>
  <property fmtid="{D5CDD505-2E9C-101B-9397-08002B2CF9AE}" pid="7" name="Verantwoordelijke organisatie">
    <vt:lpwstr/>
  </property>
  <property fmtid="{D5CDD505-2E9C-101B-9397-08002B2CF9AE}" pid="8" name="Taal">
    <vt:lpwstr>nl_NL</vt:lpwstr>
  </property>
  <property fmtid="{D5CDD505-2E9C-101B-9397-08002B2CF9AE}" pid="9" name="Inhoudsindicatie">
    <vt:lpwstr/>
  </property>
  <property fmtid="{D5CDD505-2E9C-101B-9397-08002B2CF9AE}" pid="10" name="Aan">
    <vt:lpwstr/>
  </property>
  <property fmtid="{D5CDD505-2E9C-101B-9397-08002B2CF9AE}" pid="11" name="Status">
    <vt:lpwstr/>
  </property>
  <property fmtid="{D5CDD505-2E9C-101B-9397-08002B2CF9AE}" pid="12" name="Van">
    <vt:lpwstr/>
  </property>
  <property fmtid="{D5CDD505-2E9C-101B-9397-08002B2CF9AE}" pid="13" name="Datum">
    <vt:lpwstr>18 juni 2026</vt:lpwstr>
  </property>
  <property fmtid="{D5CDD505-2E9C-101B-9397-08002B2CF9AE}" pid="14" name="Opgesteld door, Naam">
    <vt:lpwstr>J.E. van Veldhuizen</vt:lpwstr>
  </property>
  <property fmtid="{D5CDD505-2E9C-101B-9397-08002B2CF9AE}" pid="15" name="Opgesteld door, Telefoonnummer">
    <vt:lpwstr/>
  </property>
  <property fmtid="{D5CDD505-2E9C-101B-9397-08002B2CF9AE}" pid="16" name="Kenmerk">
    <vt:lpwstr>2026-0000264070</vt:lpwstr>
  </property>
  <property fmtid="{D5CDD505-2E9C-101B-9397-08002B2CF9AE}" pid="17" name="Rubricering">
    <vt:lpwstr/>
  </property>
  <property fmtid="{D5CDD505-2E9C-101B-9397-08002B2CF9AE}" pid="18" name="Vertrouwelijkheidsniveau">
    <vt:lpwstr>  / </vt:lpwstr>
  </property>
  <property fmtid="{D5CDD505-2E9C-101B-9397-08002B2CF9AE}" pid="19" name="Markering">
    <vt:lpwstr/>
  </property>
  <property fmtid="{D5CDD505-2E9C-101B-9397-08002B2CF9AE}" pid="20" name="Custom 1">
    <vt:lpwstr/>
  </property>
  <property fmtid="{D5CDD505-2E9C-101B-9397-08002B2CF9AE}" pid="21" name="Custom 2">
    <vt:lpwstr/>
  </property>
  <property fmtid="{D5CDD505-2E9C-101B-9397-08002B2CF9AE}" pid="22" name="Custom 3">
    <vt:lpwstr/>
  </property>
  <property fmtid="{D5CDD505-2E9C-101B-9397-08002B2CF9AE}" pid="23" name="Custom 4">
    <vt:lpwstr/>
  </property>
  <property fmtid="{D5CDD505-2E9C-101B-9397-08002B2CF9AE}" pid="24" name="Custom 5">
    <vt:lpwstr/>
  </property>
  <property fmtid="{D5CDD505-2E9C-101B-9397-08002B2CF9AE}" pid="25" name="Aard document">
    <vt:lpwstr/>
  </property>
  <property fmtid="{D5CDD505-2E9C-101B-9397-08002B2CF9AE}" pid="26" name="Taakverzoek">
    <vt:lpwstr/>
  </property>
  <property fmtid="{D5CDD505-2E9C-101B-9397-08002B2CF9AE}" pid="27" name="VA_Niet openbaar">
    <vt:lpwstr/>
  </property>
  <property fmtid="{D5CDD505-2E9C-101B-9397-08002B2CF9AE}" pid="28" name="Informatiecategorie Beleidslijn">
    <vt:lpwstr/>
  </property>
  <property fmtid="{D5CDD505-2E9C-101B-9397-08002B2CF9AE}" pid="29" name="UwKenmerk">
    <vt:lpwstr/>
  </property>
  <property fmtid="{D5CDD505-2E9C-101B-9397-08002B2CF9AE}" pid="30" name="Docgensjabloon">
    <vt:lpwstr>DocGen_Verslag_nl_NL</vt:lpwstr>
  </property>
  <property fmtid="{D5CDD505-2E9C-101B-9397-08002B2CF9AE}" pid="31" name="Onderwerp">
    <vt:lpwstr>Plenaire vergadering Financial Action Task Force (FATF) juni 2026</vt:lpwstr>
  </property>
  <property fmtid="{D5CDD505-2E9C-101B-9397-08002B2CF9AE}" pid="32" name="MSIP_Label_6800fede-0e59-47ad-af95-4e63bbdb932d_Enabled">
    <vt:lpwstr>true</vt:lpwstr>
  </property>
  <property fmtid="{D5CDD505-2E9C-101B-9397-08002B2CF9AE}" pid="33" name="MSIP_Label_6800fede-0e59-47ad-af95-4e63bbdb932d_SetDate">
    <vt:lpwstr>2026-06-18T11:32:46Z</vt:lpwstr>
  </property>
  <property fmtid="{D5CDD505-2E9C-101B-9397-08002B2CF9AE}" pid="34" name="MSIP_Label_6800fede-0e59-47ad-af95-4e63bbdb932d_Method">
    <vt:lpwstr>Standard</vt:lpwstr>
  </property>
  <property fmtid="{D5CDD505-2E9C-101B-9397-08002B2CF9AE}" pid="35" name="MSIP_Label_6800fede-0e59-47ad-af95-4e63bbdb932d_Name">
    <vt:lpwstr>FIN-DGGT-Rijksoverheid</vt:lpwstr>
  </property>
  <property fmtid="{D5CDD505-2E9C-101B-9397-08002B2CF9AE}" pid="36" name="MSIP_Label_6800fede-0e59-47ad-af95-4e63bbdb932d_SiteId">
    <vt:lpwstr>84712536-f524-40a0-913b-5d25ba502732</vt:lpwstr>
  </property>
  <property fmtid="{D5CDD505-2E9C-101B-9397-08002B2CF9AE}" pid="37" name="MSIP_Label_6800fede-0e59-47ad-af95-4e63bbdb932d_ActionId">
    <vt:lpwstr>8bf0048c-3c86-4da7-932e-6af1e41ea1fc</vt:lpwstr>
  </property>
  <property fmtid="{D5CDD505-2E9C-101B-9397-08002B2CF9AE}" pid="38" name="MSIP_Label_6800fede-0e59-47ad-af95-4e63bbdb932d_ContentBits">
    <vt:lpwstr>0</vt:lpwstr>
  </property>
  <property fmtid="{D5CDD505-2E9C-101B-9397-08002B2CF9AE}" pid="39" name="MSIP_Label_6800fede-0e59-47ad-af95-4e63bbdb932d_Tag">
    <vt:lpwstr>10, 3, 0, 1</vt:lpwstr>
  </property>
</Properties>
</file>