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2026Z18386</w:t>
        <w:br/>
      </w:r>
      <w:proofErr w:type="spellEnd"/>
    </w:p>
    <w:p>
      <w:pPr>
        <w:pStyle w:val="Normal"/>
        <w:rPr>
          <w:b w:val="1"/>
          <w:bCs w:val="1"/>
        </w:rPr>
      </w:pPr>
      <w:r w:rsidR="250AE766">
        <w:rPr>
          <w:b w:val="0"/>
          <w:bCs w:val="0"/>
        </w:rPr>
        <w:t>(ingezonden 9 september 2026)</w:t>
        <w:br/>
      </w:r>
    </w:p>
    <w:p>
      <w:r>
        <w:t xml:space="preserve">Vragen van de leden Ceulemans en Boomsma (beiden JA21) aan de ministers van Asiel en Migratie en van Justitie en Veiligheid over de gezinshereniging van een verdachte met 114 politieregistraties</w:t>
      </w:r>
      <w:r>
        <w:br/>
      </w:r>
    </w:p>
    <w:p>
      <w:pPr>
        <w:pStyle w:val="ListParagraph"/>
        <w:numPr>
          <w:ilvl w:val="0"/>
          <w:numId w:val="100518380"/>
        </w:numPr>
        <w:ind w:left="360"/>
      </w:pPr>
      <w:r>
        <w:t xml:space="preserve">Bent u bekend met de berichtgeving over de 18-jarige Syrische verdachte van een gewelddadige woningoverval in Amsterdam-Oost, die sinds zijn komst naar Nederland op veertienjarige leeftijd volgens het Openbaar Ministerie en de berichtgeving 114 politieregistraties heeft opgebouwd, en wiens ouders en broertjes desondanks naar Nederland zouden mogen komen in het kader van gezinshereniging? 1)</w:t>
      </w:r>
      <w:r>
        <w:br/>
      </w:r>
      <w:r>
        <w:t xml:space="preserve"> </w:t>
      </w:r>
      <w:r>
        <w:br/>
      </w:r>
    </w:p>
    <w:p>
      <w:pPr>
        <w:pStyle w:val="ListParagraph"/>
        <w:numPr>
          <w:ilvl w:val="0"/>
          <w:numId w:val="100518380"/>
        </w:numPr>
        <w:ind w:left="360"/>
      </w:pPr>
      <w:r>
        <w:t xml:space="preserve">Klopt het dat de rechtbank overwoog dat de “samenleving er beroerd van zou zijn” als de hechtenis van deze persoon zou worden geschorst?</w:t>
      </w:r>
      <w:r>
        <w:br/>
      </w:r>
      <w:r>
        <w:t xml:space="preserve"> </w:t>
      </w:r>
      <w:r>
        <w:br/>
      </w:r>
    </w:p>
    <w:p>
      <w:pPr>
        <w:pStyle w:val="ListParagraph"/>
        <w:numPr>
          <w:ilvl w:val="0"/>
          <w:numId w:val="100518380"/>
        </w:numPr>
        <w:ind w:left="360"/>
      </w:pPr>
      <w:r>
        <w:t xml:space="preserve">Klopt het dat deze verdachte rechtmatig verblijf in Nederland heeft? Zo ja, op grond van welke verblijfstitel, sinds wanneer beschikt hij daarover en op welke datum is deze verblijfstitel voor het laatst door de Immigratie- en Naturalisatiedienst (IND) beoordeeld of verlengd?</w:t>
      </w:r>
      <w:r>
        <w:br/>
      </w:r>
      <w:r>
        <w:t xml:space="preserve"> </w:t>
      </w:r>
      <w:r>
        <w:br/>
      </w:r>
    </w:p>
    <w:p>
      <w:pPr>
        <w:pStyle w:val="ListParagraph"/>
        <w:numPr>
          <w:ilvl w:val="0"/>
          <w:numId w:val="100518380"/>
        </w:numPr>
        <w:ind w:left="360"/>
      </w:pPr>
      <w:r>
        <w:t xml:space="preserve">Klopt het dat op naam van deze verdachte 114 politieregistraties staan? Zo ja, over welke periode zijn deze opgebouwd, op hoeveel afzonderlijke incidenten hebben deze betrekking, om welke categorieën strafbare feiten gaat het en hoeveel daarvan hebben geleid tot respectievelijk een sepot, strafbeschikking, veroordeling of nog lopende strafzaak?</w:t>
      </w:r>
      <w:r>
        <w:br/>
      </w:r>
      <w:r>
        <w:t xml:space="preserve"> </w:t>
      </w:r>
      <w:r>
        <w:br/>
      </w:r>
    </w:p>
    <w:p>
      <w:pPr>
        <w:pStyle w:val="ListParagraph"/>
        <w:numPr>
          <w:ilvl w:val="0"/>
          <w:numId w:val="100518380"/>
        </w:numPr>
        <w:ind w:left="360"/>
      </w:pPr>
      <w:r>
        <w:t xml:space="preserve">Op welk moment is de IND voor het eerst geïnformeerd over strafrechtelijke antecedenten of politieregistraties van deze vreemdeling? Hoe vaak heeft sindsdien informatie-uitwisseling tussen politie, Openbaar Ministerie en IND over betrokkene plaatsgevonden?</w:t>
      </w:r>
      <w:r>
        <w:br/>
      </w:r>
      <w:r>
        <w:t xml:space="preserve"> </w:t>
      </w:r>
      <w:r>
        <w:br/>
      </w:r>
    </w:p>
    <w:p>
      <w:pPr>
        <w:pStyle w:val="ListParagraph"/>
        <w:numPr>
          <w:ilvl w:val="0"/>
          <w:numId w:val="100518380"/>
        </w:numPr>
        <w:ind w:left="360"/>
      </w:pPr>
      <w:r>
        <w:t xml:space="preserve">Is naar aanleiding van deze registraties, vervolgingen of eventuele veroordelingen onderzocht of zijn verblijfsrecht kon worden ingetrokken of niet verlengd wegens gevaar voor de openbare orde? Zo ja, wanneer en met welke uitkomst? Zo nee, waarom niet?</w:t>
      </w:r>
      <w:r>
        <w:br/>
      </w:r>
      <w:r>
        <w:t xml:space="preserve"> </w:t>
      </w:r>
      <w:r>
        <w:br/>
      </w:r>
    </w:p>
    <w:p>
      <w:pPr>
        <w:pStyle w:val="ListParagraph"/>
        <w:numPr>
          <w:ilvl w:val="0"/>
          <w:numId w:val="100518380"/>
        </w:numPr>
        <w:ind w:left="360"/>
      </w:pPr>
      <w:r>
        <w:t xml:space="preserve">Zijn er volgens u wettelijke, Unierechtelijke of verdragsrechtelijke bepalingen die verhinderen dat bij een vreemdeling die in vier jaar tijd zoveel politieregistraties heeft opgebouwd, eerder wordt beoordeeld of voortzetting van zijn verblijf verenigbaar is met de bescherming van de openbare orde?</w:t>
      </w:r>
      <w:r>
        <w:br/>
      </w:r>
      <w:r>
        <w:t xml:space="preserve"> </w:t>
      </w:r>
      <w:r>
        <w:br/>
      </w:r>
    </w:p>
    <w:p>
      <w:pPr>
        <w:pStyle w:val="ListParagraph"/>
        <w:numPr>
          <w:ilvl w:val="0"/>
          <w:numId w:val="100518380"/>
        </w:numPr>
        <w:ind w:left="360"/>
      </w:pPr>
      <w:r>
        <w:t xml:space="preserve">Klopt het dat deze verdachte als referent optreedt of heeft opgetreden voor de gezinshereniging van zijn ouders en broertjes? Zo ja, wanneer is deze aanvraag ingediend, wanneer is daarop beslist en op welke juridische grondslag is de gezinshereniging toegestaan?</w:t>
      </w:r>
      <w:r>
        <w:br/>
      </w:r>
      <w:r>
        <w:t xml:space="preserve"> </w:t>
      </w:r>
      <w:r>
        <w:br/>
      </w:r>
    </w:p>
    <w:p>
      <w:pPr>
        <w:pStyle w:val="ListParagraph"/>
        <w:numPr>
          <w:ilvl w:val="0"/>
          <w:numId w:val="100518380"/>
        </w:numPr>
        <w:ind w:left="360"/>
      </w:pPr>
      <w:r>
        <w:t xml:space="preserve">Was de IND bij de behandeling van die nareisaanvraag op de hoogte van de politieregistraties, strafrechtelijke antecedenten en/of lopende strafzaken van de referent? Zo ja, welke betekenis is daaraan bij de beslissing gegeven? Zo nee, hoe is het mogelijk dat dergelijke informatie de IND niet heeft bereikt?</w:t>
      </w:r>
      <w:r>
        <w:br/>
      </w:r>
      <w:r>
        <w:t xml:space="preserve"> </w:t>
      </w:r>
      <w:r>
        <w:br/>
      </w:r>
    </w:p>
    <w:p>
      <w:pPr>
        <w:pStyle w:val="ListParagraph"/>
        <w:numPr>
          <w:ilvl w:val="0"/>
          <w:numId w:val="100518380"/>
        </w:numPr>
        <w:ind w:left="360"/>
      </w:pPr>
      <w:r>
        <w:t xml:space="preserve">Klopt het dat bij de openbare-ordetoets in een nareisprocedure in beginsel wordt beoordeeld of de nareizende gezinsleden zelf een gevaar vormen voor de openbare orde, maar dat ernstig of stelselmatig crimineel gedrag van de in Nederland verblijvende referent op dit moment niet zonder meer een grond vormt om de gezinshereniging te weigeren?</w:t>
      </w:r>
      <w:r>
        <w:br/>
      </w:r>
      <w:r>
        <w:t xml:space="preserve"> </w:t>
      </w:r>
      <w:r>
        <w:br/>
      </w:r>
    </w:p>
    <w:p>
      <w:pPr>
        <w:pStyle w:val="ListParagraph"/>
        <w:numPr>
          <w:ilvl w:val="0"/>
          <w:numId w:val="100518380"/>
        </w:numPr>
        <w:ind w:left="360"/>
      </w:pPr>
      <w:r>
        <w:t xml:space="preserve">Zo ja, acht u het wenselijk dat iemand die in Nederland in korte tijd een zeer groot aantal politieregistraties heeft opgebouwd en wordt verdacht van een ernstig geweldsmisdrijf, desondanks aanspraak kan blijven maken op facilitering door de Nederlandse staat van de overkomst van zijn gezin?</w:t>
      </w:r>
      <w:r>
        <w:br/>
      </w:r>
      <w:r>
        <w:t xml:space="preserve"> </w:t>
      </w:r>
      <w:r>
        <w:br/>
      </w:r>
    </w:p>
    <w:p>
      <w:pPr>
        <w:pStyle w:val="ListParagraph"/>
        <w:numPr>
          <w:ilvl w:val="0"/>
          <w:numId w:val="100518380"/>
        </w:numPr>
        <w:ind w:left="360"/>
      </w:pPr>
      <w:r>
        <w:t xml:space="preserve">Welke mogelijkheden biedt het huidige nationale, Europese en internationale recht om een aanvraag voor gezinshereniging af te wijzen, aan te houden of opnieuw te beoordelen wanneer de referent een ernstig gevaar voor de openbare orde vormt of wordt verdacht van ernstige strafbare feiten?</w:t>
      </w:r>
      <w:r>
        <w:br/>
      </w:r>
      <w:r>
        <w:t xml:space="preserve"> </w:t>
      </w:r>
      <w:r>
        <w:br/>
      </w:r>
    </w:p>
    <w:p>
      <w:pPr>
        <w:pStyle w:val="ListParagraph"/>
        <w:numPr>
          <w:ilvl w:val="0"/>
          <w:numId w:val="100518380"/>
        </w:numPr>
        <w:ind w:left="360"/>
      </w:pPr>
      <w:r>
        <w:t xml:space="preserve">Bestaat er op dit moment überhaupt een grens aan het aantal of de ernst van de strafbare feiten dat een referent kan plegen voordat zijn gedrag gevolgen heeft voor een lopende of reeds toegewezen aanvraag voor gezinshereniging? Zo ja, waar ligt die grens precies? Zo nee, acht u dat verdedigbaar?</w:t>
      </w:r>
      <w:r>
        <w:br/>
      </w:r>
      <w:r>
        <w:t xml:space="preserve"> </w:t>
      </w:r>
      <w:r>
        <w:br/>
      </w:r>
    </w:p>
    <w:p>
      <w:pPr>
        <w:pStyle w:val="ListParagraph"/>
        <w:numPr>
          <w:ilvl w:val="0"/>
          <w:numId w:val="100518380"/>
        </w:numPr>
        <w:ind w:left="360"/>
      </w:pPr>
      <w:r>
        <w:t xml:space="preserve">Deelt u de opvatting dat het maatschappelijk niet uit te leggen is wanneer de Staat enerzijds een vreemdeling wegens een lange reeks strafbare gedragingen als gevaar voor de samenleving beschouwt, maar anderzijds tegelijkertijd actief zijn gezinshereniging faciliteert?</w:t>
      </w:r>
      <w:r>
        <w:br/>
      </w:r>
      <w:r>
        <w:t xml:space="preserve"> </w:t>
      </w:r>
      <w:r>
        <w:br/>
      </w:r>
    </w:p>
    <w:p>
      <w:pPr>
        <w:pStyle w:val="ListParagraph"/>
        <w:numPr>
          <w:ilvl w:val="0"/>
          <w:numId w:val="100518380"/>
        </w:numPr>
        <w:ind w:left="360"/>
      </w:pPr>
      <w:r>
        <w:t xml:space="preserve">Bent u bereid het beleid en, indien noodzakelijk, de Vreemdelingenwet zodanig aan te passen dat stelselmatig crimineel gedrag van een referent uitdrukkelijk kan worden betrokken bij de beoordeling van een aanvraag voor gezinshereniging? Zo nee, welke concrete bepaling van Europees of internationaal recht verhindert dit?</w:t>
      </w:r>
      <w:r>
        <w:br/>
      </w:r>
      <w:r>
        <w:t xml:space="preserve"> </w:t>
      </w:r>
      <w:r>
        <w:br/>
      </w:r>
    </w:p>
    <w:p>
      <w:pPr>
        <w:pStyle w:val="ListParagraph"/>
        <w:numPr>
          <w:ilvl w:val="0"/>
          <w:numId w:val="100518380"/>
        </w:numPr>
        <w:ind w:left="360"/>
      </w:pPr>
      <w:r>
        <w:t xml:space="preserve">Hoeveel vreemdelingen met rechtmatig verblijf in Nederland hebben op dit moment respectievelijk meer dan 10, meer dan 50 en meer dan 100 politieregistraties op hun naam staan, en bij hoeveel van hen is naar aanleiding daarvan een verblijfsrechtelijke maatregel onderzocht of genomen?</w:t>
      </w:r>
      <w:r>
        <w:br/>
      </w:r>
      <w:r>
        <w:t xml:space="preserve"> </w:t>
      </w:r>
      <w:r>
        <w:br/>
      </w:r>
    </w:p>
    <w:p>
      <w:pPr>
        <w:pStyle w:val="ListParagraph"/>
        <w:numPr>
          <w:ilvl w:val="0"/>
          <w:numId w:val="100518380"/>
        </w:numPr>
        <w:ind w:left="360"/>
      </w:pPr>
      <w:r>
        <w:t xml:space="preserve">Kunt u deze vragen afzonderlijk en één voor één beantwoorden?</w:t>
      </w:r>
      <w:r>
        <w:br/>
      </w:r>
    </w:p>
    <w:p>
      <w:r>
        <w:t xml:space="preserve"> </w:t>
      </w:r>
      <w:r>
        <w:br/>
      </w:r>
    </w:p>
    <w:p>
      <w:r>
        <w:t xml:space="preserve">1) Het Parool, 3 september 2026, 'Rechtbank houdt drie verdachten gewelddadige overval in Amsterdam-Oost in voorarrest', https://www.parool.nl/amsterdam/rechtbank-houdt-drie-verdachten-gewelddadige-overval-in-amsterdam-oost-in-voorarrest~b30c4703/</w:t>
      </w:r>
      <w:r>
        <w:br/>
      </w:r>
    </w:p>
    <w:p>
      <w:r>
        <w:t xml:space="preserve"> </w:t>
      </w:r>
      <w:r>
        <w:br/>
      </w:r>
    </w:p>
    <w:p>
      <w:r>
        <w:t xml:space="preserve"> </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0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070">
    <w:abstractNumId w:val="10051807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