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2026Z18198</w:t>
        <w:br/>
      </w:r>
      <w:proofErr w:type="spellEnd"/>
    </w:p>
    <w:p>
      <w:pPr>
        <w:pStyle w:val="Normal"/>
        <w:rPr>
          <w:b w:val="1"/>
          <w:bCs w:val="1"/>
        </w:rPr>
      </w:pPr>
      <w:r w:rsidR="250AE766">
        <w:rPr>
          <w:b w:val="0"/>
          <w:bCs w:val="0"/>
        </w:rPr>
        <w:t>(ingezonden 8 september 2026)</w:t>
        <w:br/>
      </w:r>
    </w:p>
    <w:p>
      <w:r>
        <w:t xml:space="preserve">Vragen van het lid Inge van Dijk (CDA) aan de staatssecretaris van Financiën over de toekomstbestendigheid van de Belastingdienst.</w:t>
      </w:r>
      <w:r>
        <w:br/>
      </w:r>
    </w:p>
    <w:p>
      <w:pPr>
        <w:pStyle w:val="ListParagraph"/>
        <w:numPr>
          <w:ilvl w:val="0"/>
          <w:numId w:val="100518170"/>
        </w:numPr>
        <w:ind w:left="360"/>
      </w:pPr>
      <w:r>
        <w:t xml:space="preserve">Heeft u kennisgenomen van het artikel </w:t>
      </w:r>
      <w:r>
        <w:rPr>
          <w:i w:val="1"/>
          <w:iCs w:val="1"/>
        </w:rPr>
        <w:t xml:space="preserve">‘Van “juweel” van de overheid tot “beerput van ellende”’</w:t>
      </w:r>
      <w:r>
        <w:rPr/>
        <w:t xml:space="preserve"> over de ontwikkeling van de Belastingdienst? [1]</w:t>
      </w:r>
      <w:r>
        <w:br/>
      </w:r>
    </w:p>
    <w:p>
      <w:pPr>
        <w:pStyle w:val="ListParagraph"/>
        <w:numPr>
          <w:ilvl w:val="0"/>
          <w:numId w:val="100518170"/>
        </w:numPr>
        <w:ind w:left="360"/>
      </w:pPr>
      <w:r>
        <w:t xml:space="preserve">Denkt u dat de Belastingdienst weer in staat is de voorlopersrol te kunnen gaan pakken? </w:t>
      </w:r>
      <w:r>
        <w:br/>
      </w:r>
    </w:p>
    <w:p>
      <w:pPr>
        <w:pStyle w:val="ListParagraph"/>
        <w:numPr>
          <w:ilvl w:val="0"/>
          <w:numId w:val="100518170"/>
        </w:numPr>
        <w:ind w:left="360"/>
      </w:pPr>
      <w:r>
        <w:t xml:space="preserve">Welke lessen uit eerdere reorganisaties worden aantoonbaar toegepast bij de huidige veranderopgaven van de Belastingdienst?</w:t>
      </w:r>
      <w:r>
        <w:br/>
      </w:r>
    </w:p>
    <w:p>
      <w:pPr>
        <w:pStyle w:val="ListParagraph"/>
        <w:numPr>
          <w:ilvl w:val="0"/>
          <w:numId w:val="100518170"/>
        </w:numPr>
        <w:ind w:left="360"/>
      </w:pPr>
      <w:r>
        <w:t xml:space="preserve">In hoeverre zijn volgens u bij de verschillende reorganisaties bij de Belastingdienst concrete en meetbare doelen gesteld, zodat tussentijds kon worden getoetst of bijgestuurd?  </w:t>
      </w:r>
      <w:r>
        <w:br/>
      </w:r>
    </w:p>
    <w:p>
      <w:pPr>
        <w:pStyle w:val="ListParagraph"/>
        <w:numPr>
          <w:ilvl w:val="0"/>
          <w:numId w:val="100518170"/>
        </w:numPr>
        <w:ind w:left="360"/>
      </w:pPr>
      <w:r>
        <w:t xml:space="preserve">In hoeverre is dat volgens u bij de huidige opgave het geval? </w:t>
      </w:r>
      <w:r>
        <w:br/>
      </w:r>
    </w:p>
    <w:p>
      <w:pPr>
        <w:pStyle w:val="ListParagraph"/>
        <w:numPr>
          <w:ilvl w:val="0"/>
          <w:numId w:val="100518170"/>
        </w:numPr>
        <w:ind w:left="360"/>
      </w:pPr>
      <w:r>
        <w:t xml:space="preserve">Wat zeggen de huidige tegenvallers in de ICT-modernisering, zoals beschreven in de recente voortgangsbrief, volgens u over de kwaliteit en voorspelbaarheid van de totale ICT-planning? </w:t>
      </w:r>
      <w:r>
        <w:br/>
      </w:r>
    </w:p>
    <w:p>
      <w:pPr>
        <w:pStyle w:val="ListParagraph"/>
        <w:numPr>
          <w:ilvl w:val="0"/>
          <w:numId w:val="100518170"/>
        </w:numPr>
        <w:ind w:left="360"/>
      </w:pPr>
      <w:r>
        <w:t xml:space="preserve">In hoeverre gaat het om incidentele tegenvallers binnen afzonderlijke projecten en in hoeverre is sprake van een structurele onderschatting van de totale moderniseringsopgave?</w:t>
      </w:r>
      <w:r>
        <w:br/>
      </w:r>
    </w:p>
    <w:p>
      <w:pPr>
        <w:pStyle w:val="ListParagraph"/>
        <w:numPr>
          <w:ilvl w:val="0"/>
          <w:numId w:val="100518170"/>
        </w:numPr>
        <w:ind w:left="360"/>
      </w:pPr>
      <w:r>
        <w:t xml:space="preserve">In hoeverre worden de tegenvallers volgens u veroorzaakt door technische vertragingen en/of inschattingsfouten, en in welke mate door politieke wensen en/of hersteloperaties? </w:t>
      </w:r>
      <w:r>
        <w:br/>
      </w:r>
    </w:p>
    <w:p>
      <w:pPr>
        <w:pStyle w:val="ListParagraph"/>
        <w:numPr>
          <w:ilvl w:val="0"/>
          <w:numId w:val="100518170"/>
        </w:numPr>
        <w:ind w:left="360"/>
      </w:pPr>
      <w:r>
        <w:t xml:space="preserve">Deelt u de mening dat een toekomstbestendige Belastingdienst niet alleen vraagt om keuzes binnen de Belastingdienst, maar ook om meer voorspelbaarheid vanuit kabinet en Kamer? </w:t>
      </w:r>
      <w:r>
        <w:br/>
      </w:r>
    </w:p>
    <w:p>
      <w:pPr>
        <w:pStyle w:val="ListParagraph"/>
        <w:numPr>
          <w:ilvl w:val="0"/>
          <w:numId w:val="100518170"/>
        </w:numPr>
        <w:ind w:left="360"/>
      </w:pPr>
      <w:r>
        <w:t xml:space="preserve">Hoe kunnen politiek en uitvoering eerder en structureler met elkaar in gesprek over wat uitvoerbaar is, welke veranderingen prioriteit moeten krijgen en welke beleidsrust daarvoor nodig is?</w:t>
      </w:r>
      <w:r>
        <w:br/>
      </w:r>
    </w:p>
    <w:p>
      <w:pPr>
        <w:pStyle w:val="ListParagraph"/>
        <w:numPr>
          <w:ilvl w:val="0"/>
          <w:numId w:val="100518170"/>
        </w:numPr>
        <w:ind w:left="360"/>
      </w:pPr>
      <w:r>
        <w:t xml:space="preserve">Wanneer is volgens u de moderniseringsopgave (grotendeels) afgerond, zodat er weer meer ruimte en flexibiliteit ontstaat voor ad hoc aanpassingen anders dan parameters en nieuwe grotere wetgevingstrajecten? </w:t>
      </w:r>
      <w:r>
        <w:br/>
      </w:r>
    </w:p>
    <w:p>
      <w:pPr>
        <w:pStyle w:val="ListParagraph"/>
        <w:numPr>
          <w:ilvl w:val="0"/>
          <w:numId w:val="100518170"/>
        </w:numPr>
        <w:ind w:left="360"/>
      </w:pPr>
      <w:r>
        <w:t xml:space="preserve">Zou het volgens u meerwaarde hebben om gezamenlijk tot een meerjarige agenda te besluiten op basis van beschikbare verandercapaciteit met een beperkt aantal prioriteiten, waaronder enerzijds noodzakelijke modernisering en anderzijds noodzakelijke maar ook gewenste nieuwe wetgeving, zoals hervormingen in de fiscaliteit? </w:t>
      </w:r>
      <w:r>
        <w:br/>
      </w:r>
    </w:p>
    <w:p>
      <w:pPr>
        <w:pStyle w:val="ListParagraph"/>
        <w:numPr>
          <w:ilvl w:val="0"/>
          <w:numId w:val="100518170"/>
        </w:numPr>
        <w:ind w:left="360"/>
      </w:pPr>
      <w:r>
        <w:t xml:space="preserve">Welke afspraken zouden kabinet en Kamer volgens u met elkaar moeten maken om te voorkomen dat we over enkele jaren opnieuw constateren dat achterstallig onderhoud, ICT-problematiek en een stapeling van politieke wensen noodzakelijke verbeteringen in de weg staan?</w:t>
      </w:r>
      <w:r>
        <w:br/>
      </w:r>
    </w:p>
    <w:p>
      <w:r>
        <w:t xml:space="preserve">[1] NRC, 6 september 2026, De Nederlandse Belastingdienst gold eens als één van de beste in de wereld. Maar de politiek had steeds weer nieuwe wensen – en twee reorganisaties liepen volledig uit de hand - NRC</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80">
    <w:abstractNumId w:val="1005180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