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5DDC7859" w14:textId="77777777">
        <w:tc>
          <w:tcPr>
            <w:tcW w:w="6379" w:type="dxa"/>
            <w:gridSpan w:val="2"/>
            <w:tcBorders>
              <w:top w:val="nil"/>
              <w:left w:val="nil"/>
              <w:bottom w:val="nil"/>
              <w:right w:val="nil"/>
            </w:tcBorders>
            <w:vAlign w:val="center"/>
          </w:tcPr>
          <w:p w:rsidR="004330ED" w:rsidP="00EA1CE4" w:rsidRDefault="004330ED" w14:paraId="406AC18C"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5A8FE8A2"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59B8DFFE" w14:textId="77777777">
        <w:trPr>
          <w:cantSplit/>
        </w:trPr>
        <w:tc>
          <w:tcPr>
            <w:tcW w:w="10348" w:type="dxa"/>
            <w:gridSpan w:val="3"/>
            <w:tcBorders>
              <w:top w:val="single" w:color="auto" w:sz="4" w:space="0"/>
              <w:left w:val="nil"/>
              <w:bottom w:val="nil"/>
              <w:right w:val="nil"/>
            </w:tcBorders>
          </w:tcPr>
          <w:p w:rsidR="004330ED" w:rsidP="004A1E29" w:rsidRDefault="004330ED" w14:paraId="6E01E4F1"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w:t>
            </w:r>
            <w:r w:rsidR="00413B00">
              <w:rPr>
                <w:rFonts w:ascii="Times New Roman" w:hAnsi="Times New Roman"/>
                <w:b w:val="0"/>
              </w:rPr>
              <w:t>5</w:t>
            </w:r>
            <w:r w:rsidRPr="00E908D7" w:rsidR="00E908D7">
              <w:rPr>
                <w:rFonts w:ascii="Times New Roman" w:hAnsi="Times New Roman"/>
                <w:b w:val="0"/>
              </w:rPr>
              <w:t>-202</w:t>
            </w:r>
            <w:r w:rsidR="00413B00">
              <w:rPr>
                <w:rFonts w:ascii="Times New Roman" w:hAnsi="Times New Roman"/>
                <w:b w:val="0"/>
              </w:rPr>
              <w:t>6</w:t>
            </w:r>
          </w:p>
        </w:tc>
      </w:tr>
      <w:tr w:rsidR="004330ED" w:rsidTr="00EA1CE4" w14:paraId="5F5A9210" w14:textId="77777777">
        <w:trPr>
          <w:cantSplit/>
        </w:trPr>
        <w:tc>
          <w:tcPr>
            <w:tcW w:w="10348" w:type="dxa"/>
            <w:gridSpan w:val="3"/>
            <w:tcBorders>
              <w:top w:val="nil"/>
              <w:left w:val="nil"/>
              <w:bottom w:val="nil"/>
              <w:right w:val="nil"/>
            </w:tcBorders>
          </w:tcPr>
          <w:p w:rsidR="004330ED" w:rsidP="00BF623B" w:rsidRDefault="004330ED" w14:paraId="24760996" w14:textId="77777777">
            <w:pPr>
              <w:pStyle w:val="Amendement"/>
              <w:tabs>
                <w:tab w:val="clear" w:pos="3310"/>
                <w:tab w:val="clear" w:pos="3600"/>
              </w:tabs>
              <w:rPr>
                <w:rFonts w:ascii="Times New Roman" w:hAnsi="Times New Roman"/>
                <w:b w:val="0"/>
              </w:rPr>
            </w:pPr>
          </w:p>
        </w:tc>
      </w:tr>
      <w:tr w:rsidR="004330ED" w:rsidTr="00EA1CE4" w14:paraId="5DE79237" w14:textId="77777777">
        <w:trPr>
          <w:cantSplit/>
        </w:trPr>
        <w:tc>
          <w:tcPr>
            <w:tcW w:w="10348" w:type="dxa"/>
            <w:gridSpan w:val="3"/>
            <w:tcBorders>
              <w:top w:val="nil"/>
              <w:left w:val="nil"/>
              <w:bottom w:val="single" w:color="auto" w:sz="4" w:space="0"/>
              <w:right w:val="nil"/>
            </w:tcBorders>
          </w:tcPr>
          <w:p w:rsidR="004330ED" w:rsidP="00BF623B" w:rsidRDefault="004330ED" w14:paraId="30A25019" w14:textId="77777777">
            <w:pPr>
              <w:pStyle w:val="Amendement"/>
              <w:tabs>
                <w:tab w:val="clear" w:pos="3310"/>
                <w:tab w:val="clear" w:pos="3600"/>
              </w:tabs>
              <w:rPr>
                <w:rFonts w:ascii="Times New Roman" w:hAnsi="Times New Roman"/>
              </w:rPr>
            </w:pPr>
          </w:p>
        </w:tc>
      </w:tr>
      <w:tr w:rsidR="004330ED" w:rsidTr="00EA1CE4" w14:paraId="0ADCFAC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17E13E98"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372B154D" w14:textId="77777777">
            <w:pPr>
              <w:suppressAutoHyphens/>
              <w:ind w:left="-70"/>
              <w:rPr>
                <w:b/>
              </w:rPr>
            </w:pPr>
          </w:p>
        </w:tc>
      </w:tr>
      <w:tr w:rsidR="003C21AC" w:rsidTr="00EA1CE4" w14:paraId="35BED87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012F66" w14:paraId="5A8D4290" w14:textId="7AE67A1D">
            <w:pPr>
              <w:pStyle w:val="Amendement"/>
              <w:tabs>
                <w:tab w:val="clear" w:pos="3310"/>
                <w:tab w:val="clear" w:pos="3600"/>
              </w:tabs>
              <w:rPr>
                <w:rFonts w:ascii="Times New Roman" w:hAnsi="Times New Roman"/>
              </w:rPr>
            </w:pPr>
            <w:r>
              <w:rPr>
                <w:rFonts w:ascii="Times New Roman" w:hAnsi="Times New Roman"/>
              </w:rPr>
              <w:t>36 947</w:t>
            </w:r>
          </w:p>
        </w:tc>
        <w:tc>
          <w:tcPr>
            <w:tcW w:w="7371" w:type="dxa"/>
            <w:gridSpan w:val="2"/>
          </w:tcPr>
          <w:p w:rsidRPr="00012F66" w:rsidR="003C21AC" w:rsidP="00012F66" w:rsidRDefault="00012F66" w14:paraId="783F76D6" w14:textId="52493593">
            <w:pPr>
              <w:rPr>
                <w:b/>
                <w:bCs/>
              </w:rPr>
            </w:pPr>
            <w:r w:rsidRPr="00012F66">
              <w:rPr>
                <w:b/>
                <w:bCs/>
              </w:rPr>
              <w:t>Wijziging van de Wet milieubeheer en de Wet op de economische delicten in verband met het verhogen van het aandeel van gas uit hernieuwbare bronnen in de totale leveringen van gas aan afnemers (Wet bijmengverplichting groen gas)</w:t>
            </w:r>
          </w:p>
        </w:tc>
      </w:tr>
      <w:tr w:rsidR="003C21AC" w:rsidTr="00EA1CE4" w14:paraId="7F11BFC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75843136"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6B60E3D8" w14:textId="77777777">
            <w:pPr>
              <w:pStyle w:val="Amendement"/>
              <w:tabs>
                <w:tab w:val="clear" w:pos="3310"/>
                <w:tab w:val="clear" w:pos="3600"/>
              </w:tabs>
              <w:ind w:left="-70"/>
              <w:rPr>
                <w:rFonts w:ascii="Times New Roman" w:hAnsi="Times New Roman"/>
              </w:rPr>
            </w:pPr>
          </w:p>
        </w:tc>
      </w:tr>
      <w:tr w:rsidR="003C21AC" w:rsidTr="00EA1CE4" w14:paraId="1876968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66F79EFE"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449B64CB" w14:textId="77777777">
            <w:pPr>
              <w:pStyle w:val="Amendement"/>
              <w:tabs>
                <w:tab w:val="clear" w:pos="3310"/>
                <w:tab w:val="clear" w:pos="3600"/>
              </w:tabs>
              <w:ind w:left="-70"/>
              <w:rPr>
                <w:rFonts w:ascii="Times New Roman" w:hAnsi="Times New Roman"/>
              </w:rPr>
            </w:pPr>
          </w:p>
        </w:tc>
      </w:tr>
      <w:tr w:rsidR="003C21AC" w:rsidTr="00EA1CE4" w14:paraId="0FE4933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18790678" w14:textId="52B63A15">
            <w:pPr>
              <w:pStyle w:val="Amendement"/>
              <w:tabs>
                <w:tab w:val="clear" w:pos="3310"/>
                <w:tab w:val="clear" w:pos="3600"/>
              </w:tabs>
              <w:rPr>
                <w:rFonts w:ascii="Times New Roman" w:hAnsi="Times New Roman"/>
              </w:rPr>
            </w:pPr>
            <w:r w:rsidRPr="00C035D4">
              <w:rPr>
                <w:rFonts w:ascii="Times New Roman" w:hAnsi="Times New Roman"/>
              </w:rPr>
              <w:t xml:space="preserve">Nr. </w:t>
            </w:r>
            <w:r w:rsidR="00166CBA">
              <w:rPr>
                <w:rFonts w:ascii="Times New Roman" w:hAnsi="Times New Roman"/>
                <w:caps/>
              </w:rPr>
              <w:t>19</w:t>
            </w:r>
          </w:p>
        </w:tc>
        <w:tc>
          <w:tcPr>
            <w:tcW w:w="7371" w:type="dxa"/>
            <w:gridSpan w:val="2"/>
          </w:tcPr>
          <w:p w:rsidRPr="00C035D4" w:rsidR="003C21AC" w:rsidP="006E0971" w:rsidRDefault="003C21AC" w14:paraId="75F9EC21" w14:textId="486F737E">
            <w:pPr>
              <w:pStyle w:val="Amendement"/>
              <w:tabs>
                <w:tab w:val="clear" w:pos="3310"/>
                <w:tab w:val="clear" w:pos="3600"/>
              </w:tabs>
              <w:ind w:left="-70"/>
              <w:rPr>
                <w:rFonts w:ascii="Times New Roman" w:hAnsi="Times New Roman"/>
                <w:caps/>
              </w:rPr>
            </w:pPr>
            <w:r w:rsidRPr="00C035D4">
              <w:rPr>
                <w:rFonts w:ascii="Times New Roman" w:hAnsi="Times New Roman"/>
                <w:caps/>
              </w:rPr>
              <w:t xml:space="preserve">AMENDEMENT VAN </w:t>
            </w:r>
            <w:r w:rsidR="00DD5698">
              <w:rPr>
                <w:rFonts w:ascii="Times New Roman" w:hAnsi="Times New Roman"/>
                <w:caps/>
              </w:rPr>
              <w:t xml:space="preserve">de leden </w:t>
            </w:r>
            <w:r w:rsidR="00012F66">
              <w:rPr>
                <w:rFonts w:ascii="Times New Roman" w:hAnsi="Times New Roman"/>
                <w:caps/>
              </w:rPr>
              <w:t>grinwis</w:t>
            </w:r>
            <w:r w:rsidR="00DD5698">
              <w:rPr>
                <w:rFonts w:ascii="Times New Roman" w:hAnsi="Times New Roman"/>
                <w:caps/>
              </w:rPr>
              <w:t xml:space="preserve"> en van den berg</w:t>
            </w:r>
          </w:p>
        </w:tc>
      </w:tr>
      <w:tr w:rsidR="003C21AC" w:rsidTr="00EA1CE4" w14:paraId="77138B7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4EF08E1B"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7D887593" w14:textId="7C0F2C0B">
            <w:pPr>
              <w:pStyle w:val="Amendement"/>
              <w:tabs>
                <w:tab w:val="clear" w:pos="3310"/>
                <w:tab w:val="clear" w:pos="3600"/>
              </w:tabs>
              <w:ind w:left="-70"/>
              <w:rPr>
                <w:rFonts w:ascii="Times New Roman" w:hAnsi="Times New Roman"/>
              </w:rPr>
            </w:pPr>
            <w:r>
              <w:rPr>
                <w:rFonts w:ascii="Times New Roman" w:hAnsi="Times New Roman"/>
                <w:b w:val="0"/>
              </w:rPr>
              <w:t xml:space="preserve">Ontvangen </w:t>
            </w:r>
            <w:r w:rsidR="008A7424">
              <w:rPr>
                <w:rFonts w:ascii="Times New Roman" w:hAnsi="Times New Roman"/>
                <w:b w:val="0"/>
              </w:rPr>
              <w:t>7 september 2026</w:t>
            </w:r>
          </w:p>
        </w:tc>
      </w:tr>
      <w:tr w:rsidR="00B01BA6" w:rsidTr="00EA1CE4" w14:paraId="33A6301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43D9AF24"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1120D55E" w14:textId="77777777">
            <w:pPr>
              <w:pStyle w:val="Amendement"/>
              <w:tabs>
                <w:tab w:val="clear" w:pos="3310"/>
                <w:tab w:val="clear" w:pos="3600"/>
              </w:tabs>
              <w:ind w:left="-70"/>
              <w:rPr>
                <w:rFonts w:ascii="Times New Roman" w:hAnsi="Times New Roman"/>
                <w:b w:val="0"/>
              </w:rPr>
            </w:pPr>
          </w:p>
        </w:tc>
      </w:tr>
      <w:tr w:rsidRPr="00EA69AC" w:rsidR="00B01BA6" w:rsidTr="00EA1CE4" w14:paraId="7038568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098FE45C" w14:textId="6DFB44F4">
            <w:pPr>
              <w:ind w:firstLine="284"/>
            </w:pPr>
            <w:r w:rsidRPr="00EA69AC">
              <w:t>De ondergetekende</w:t>
            </w:r>
            <w:r w:rsidR="00DD5698">
              <w:t xml:space="preserve">n stellen </w:t>
            </w:r>
            <w:r w:rsidRPr="00EA69AC">
              <w:t>het volgende amendement voor:</w:t>
            </w:r>
          </w:p>
        </w:tc>
      </w:tr>
    </w:tbl>
    <w:p w:rsidRPr="00EA69AC" w:rsidR="004330ED" w:rsidP="00D774B3" w:rsidRDefault="004330ED" w14:paraId="3C5BEF87" w14:textId="77777777"/>
    <w:p w:rsidRPr="00BE6B3D" w:rsidR="00E013D6" w:rsidP="0088452C" w:rsidRDefault="00012F66" w14:paraId="57302CFD" w14:textId="08BF93B4">
      <w:pPr>
        <w:ind w:firstLine="284"/>
      </w:pPr>
      <w:r>
        <w:t xml:space="preserve">In artikel I, onderdeel B, wordt </w:t>
      </w:r>
      <w:r w:rsidR="00B24D37">
        <w:t xml:space="preserve">in </w:t>
      </w:r>
      <w:r>
        <w:t>het voorgestelde artikel 9.9.1.1</w:t>
      </w:r>
      <w:r w:rsidR="00B24D37">
        <w:t xml:space="preserve">, in </w:t>
      </w:r>
      <w:r w:rsidR="00BE6B3D">
        <w:t xml:space="preserve">de definitie van </w:t>
      </w:r>
      <w:r w:rsidR="00BE6B3D">
        <w:rPr>
          <w:i/>
          <w:iCs/>
        </w:rPr>
        <w:t xml:space="preserve">leverancier aan afnemers </w:t>
      </w:r>
      <w:r w:rsidR="00F72049">
        <w:t>“</w:t>
      </w:r>
      <w:r w:rsidR="00E013D6">
        <w:t xml:space="preserve">aan afnemers </w:t>
      </w:r>
      <w:r w:rsidR="00893A32">
        <w:t>in de sectoren,</w:t>
      </w:r>
      <w:r w:rsidR="00BC0A92">
        <w:t xml:space="preserve"> </w:t>
      </w:r>
      <w:r w:rsidRPr="00BE6B3D" w:rsidR="00BE6B3D">
        <w:t>bedoeld in bijlage II bij het Besluit handel in emissierechten, via een aansluiting en op grond van de Wet belasting op milieugrondslag belastingplichtig is voor gas</w:t>
      </w:r>
      <w:r w:rsidR="00BE6B3D">
        <w:t xml:space="preserve">” vervangen door </w:t>
      </w:r>
      <w:r w:rsidR="00F72049">
        <w:t>“</w:t>
      </w:r>
      <w:r w:rsidR="00363708">
        <w:t xml:space="preserve">aan </w:t>
      </w:r>
      <w:r w:rsidRPr="00E013D6" w:rsidR="00E013D6">
        <w:t>een installatie voor elektriciteitsopwekking</w:t>
      </w:r>
      <w:r w:rsidR="00701BA5">
        <w:t xml:space="preserve"> en een CNG-vulstation </w:t>
      </w:r>
      <w:r w:rsidRPr="00E013D6" w:rsidR="00E013D6">
        <w:t>als bedoeld in artikel 47, eerste lid, onder g,</w:t>
      </w:r>
      <w:r w:rsidR="00701BA5">
        <w:t xml:space="preserve"> resp onder s. </w:t>
      </w:r>
      <w:r w:rsidRPr="00E013D6" w:rsidR="00E013D6">
        <w:t>van de Wet belastingen op milieugrondslag</w:t>
      </w:r>
      <w:r w:rsidRPr="00701BA5" w:rsidR="00701BA5">
        <w:t xml:space="preserve"> </w:t>
      </w:r>
      <w:r w:rsidR="00701BA5">
        <w:t>of voor de fabricage van keramische producten of voor de productie van ijzer of staal als bedoeld in bijlage I bij het Besluit handel in emissierechten</w:t>
      </w:r>
      <w:r w:rsidR="00363708">
        <w:t>”.</w:t>
      </w:r>
    </w:p>
    <w:p w:rsidR="00F72049" w:rsidP="00EA1CE4" w:rsidRDefault="00F72049" w14:paraId="60A83AA2" w14:textId="77777777"/>
    <w:p w:rsidRPr="00EA69AC" w:rsidR="003C21AC" w:rsidP="00EA1CE4" w:rsidRDefault="003C21AC" w14:paraId="4843D188" w14:textId="77777777">
      <w:pPr>
        <w:rPr>
          <w:b/>
        </w:rPr>
      </w:pPr>
      <w:r w:rsidRPr="00EA69AC">
        <w:rPr>
          <w:b/>
        </w:rPr>
        <w:t>Toelichting</w:t>
      </w:r>
    </w:p>
    <w:p w:rsidRPr="00EA69AC" w:rsidR="003C21AC" w:rsidP="00BF623B" w:rsidRDefault="003C21AC" w14:paraId="6CCA204D" w14:textId="77777777"/>
    <w:p w:rsidR="00592124" w:rsidP="00BE6B3D" w:rsidRDefault="00BE6B3D" w14:paraId="1676D5CC" w14:textId="551C7167">
      <w:r w:rsidRPr="00BE6B3D">
        <w:t>Dit amendement wijzigt de doelgroep van de bijmengverplichting groen gas naar gasleveranties aan</w:t>
      </w:r>
      <w:r w:rsidR="00592124">
        <w:t xml:space="preserve"> de sectoren piekvoorziening voor elektriciteit en voor warmtenetten, de keramiek- en de staalsector. I</w:t>
      </w:r>
      <w:r w:rsidRPr="00BE6B3D">
        <w:t xml:space="preserve">n plaats van dat de bijmengverplichting van toepassing zou zijn op gasleveranties aan de brede groep </w:t>
      </w:r>
      <w:r w:rsidR="00880C54">
        <w:t xml:space="preserve">afnemers </w:t>
      </w:r>
      <w:r w:rsidRPr="00BE6B3D">
        <w:t xml:space="preserve">die onder de ETS2 valt, </w:t>
      </w:r>
      <w:r w:rsidR="00DD5698">
        <w:t>kiezen</w:t>
      </w:r>
      <w:r w:rsidRPr="00BE6B3D">
        <w:t xml:space="preserve"> indiener</w:t>
      </w:r>
      <w:r w:rsidR="00DD5698">
        <w:t>s</w:t>
      </w:r>
      <w:r w:rsidRPr="00BE6B3D">
        <w:t xml:space="preserve"> voor </w:t>
      </w:r>
      <w:r w:rsidR="00592124">
        <w:t>een gerichtere</w:t>
      </w:r>
      <w:r w:rsidRPr="00BE6B3D">
        <w:t xml:space="preserve"> </w:t>
      </w:r>
      <w:r w:rsidR="00592124">
        <w:t>doelgroep.</w:t>
      </w:r>
    </w:p>
    <w:p w:rsidRPr="00BE6B3D" w:rsidR="00BE6B3D" w:rsidP="00BE6B3D" w:rsidRDefault="00BE6B3D" w14:paraId="39704368" w14:textId="1466A0E5"/>
    <w:p w:rsidR="00BE6B3D" w:rsidP="00BE6B3D" w:rsidRDefault="00592124" w14:paraId="0F875748" w14:textId="5BECCEC5">
      <w:r>
        <w:t xml:space="preserve">Uit het </w:t>
      </w:r>
      <w:r w:rsidRPr="00BE6B3D" w:rsidR="00BE6B3D">
        <w:t>onderzoek van Guidehouse,</w:t>
      </w:r>
      <w:r>
        <w:rPr>
          <w:rStyle w:val="Voetnootmarkering"/>
        </w:rPr>
        <w:footnoteReference w:id="1"/>
      </w:r>
      <w:r w:rsidRPr="00BE6B3D" w:rsidR="00BE6B3D">
        <w:t xml:space="preserve"> genoemd in de Memorie van toelichting,</w:t>
      </w:r>
      <w:r>
        <w:t xml:space="preserve"> blijkt</w:t>
      </w:r>
      <w:r w:rsidRPr="00BE6B3D" w:rsidR="00BE6B3D">
        <w:t xml:space="preserve"> dat de inzet van groen gas in de ETS2-sectoren niet de meest logische inzet van groen gas is.</w:t>
      </w:r>
      <w:r>
        <w:t xml:space="preserve"> In het eindbeeld van de inzet van groen gas in de bovengenoemde sectoren daarentegen wel. </w:t>
      </w:r>
      <w:r w:rsidRPr="00BE6B3D" w:rsidR="00BE6B3D">
        <w:t xml:space="preserve">Zo wordt er op gewezen dat naast het gebruik van groen gas eigenlijk alleen het gebruik van waterstof het verduurzamingsalternatief is </w:t>
      </w:r>
      <w:r>
        <w:t>voor de genoemde subsectoren</w:t>
      </w:r>
      <w:r w:rsidRPr="00BE6B3D" w:rsidR="00BE6B3D">
        <w:t>. Voor de verduurzaming van de gebouwde omgeving</w:t>
      </w:r>
      <w:r w:rsidR="00701BA5">
        <w:t xml:space="preserve"> en mobiliteit</w:t>
      </w:r>
      <w:r w:rsidRPr="00BE6B3D" w:rsidR="00BE6B3D">
        <w:t xml:space="preserve"> zijn meer </w:t>
      </w:r>
      <w:r w:rsidR="00701BA5">
        <w:t xml:space="preserve">en/of goedkopere </w:t>
      </w:r>
      <w:r w:rsidRPr="00BE6B3D" w:rsidR="00BE6B3D">
        <w:t>alternatieven</w:t>
      </w:r>
      <w:r w:rsidR="00880C54">
        <w:t xml:space="preserve">. </w:t>
      </w:r>
      <w:r w:rsidRPr="00BE6B3D" w:rsidR="00BE6B3D">
        <w:t xml:space="preserve"> </w:t>
      </w:r>
    </w:p>
    <w:p w:rsidR="00880C54" w:rsidP="00BE6B3D" w:rsidRDefault="00880C54" w14:paraId="463F8962" w14:textId="77777777"/>
    <w:p w:rsidR="00880C54" w:rsidP="00BE6B3D" w:rsidRDefault="00880C54" w14:paraId="514B38EC" w14:textId="451D6D22">
      <w:r>
        <w:t xml:space="preserve">Uit het onderzoek blijkt dat voor de beide piekvoorzieningen en de keramieksector groen gas vanuit het perspectief van nationale kosten de inzet van groen gas de meest aantrekkelijke manier van verduurzaming is. Guidehouse meent dat inzet voor groen gas in de staalsector ook het meest logisch is vanwege de hoogwaardige inzet van koolstof. Met dit amendement </w:t>
      </w:r>
      <w:r w:rsidR="00DD5698">
        <w:t>sluiten</w:t>
      </w:r>
      <w:r>
        <w:t xml:space="preserve"> indiener</w:t>
      </w:r>
      <w:r w:rsidR="00DD5698">
        <w:t>s</w:t>
      </w:r>
      <w:r>
        <w:t xml:space="preserve"> daarop aan. </w:t>
      </w:r>
    </w:p>
    <w:p w:rsidR="00880C54" w:rsidP="00BE6B3D" w:rsidRDefault="00880C54" w14:paraId="205FBE57" w14:textId="77777777"/>
    <w:p w:rsidR="00592124" w:rsidP="00E3725C" w:rsidRDefault="00880C54" w14:paraId="3BEB97EB" w14:textId="0E73A25E">
      <w:r>
        <w:t>Indiener</w:t>
      </w:r>
      <w:r w:rsidR="00DD5698">
        <w:t xml:space="preserve">s zien </w:t>
      </w:r>
      <w:r>
        <w:t xml:space="preserve">hierbij de noodzaak van flankerend beleid. </w:t>
      </w:r>
      <w:r w:rsidR="00E3725C">
        <w:t xml:space="preserve">Hierbij kan bijvoorbeeld worden gedacht aan de invoer van een CfD, zodat in de genoemde sectoren de overheid het verschil tussen marktwaarde en de benodigde waarde wordt afgedekt. De lastenstijging zal voor huishoudens zal hierbij lager uitvallen dan bij invoering van een generieke bijmengverplichting, terwijl voor bedrijven het ongelijker speelveld wordt gecompenseerd. </w:t>
      </w:r>
    </w:p>
    <w:p w:rsidR="00E3725C" w:rsidP="00E3725C" w:rsidRDefault="00E3725C" w14:paraId="7B21FFFA" w14:textId="77777777"/>
    <w:p w:rsidR="00EA28F9" w:rsidP="00EA28F9" w:rsidRDefault="00BE6B3D" w14:paraId="21750E1F" w14:textId="5897EBBB">
      <w:r>
        <w:t>Grinwis</w:t>
      </w:r>
      <w:r w:rsidR="00EA28F9">
        <w:t xml:space="preserve"> </w:t>
      </w:r>
    </w:p>
    <w:p w:rsidRPr="00EA69AC" w:rsidR="00DD5698" w:rsidP="00EA28F9" w:rsidRDefault="00DD5698" w14:paraId="265246B4" w14:textId="4826FEA4">
      <w:r>
        <w:lastRenderedPageBreak/>
        <w:t>Van den Berg</w:t>
      </w:r>
    </w:p>
    <w:sectPr w:rsidRPr="00EA69AC" w:rsidR="00DD5698" w:rsidSect="00EA1CE4">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B4E88" w14:textId="77777777" w:rsidR="00093D50" w:rsidRDefault="00093D50">
      <w:pPr>
        <w:spacing w:line="20" w:lineRule="exact"/>
      </w:pPr>
    </w:p>
  </w:endnote>
  <w:endnote w:type="continuationSeparator" w:id="0">
    <w:p w14:paraId="7BC1D7C2" w14:textId="77777777" w:rsidR="00093D50" w:rsidRDefault="00093D50">
      <w:pPr>
        <w:pStyle w:val="Amendement"/>
      </w:pPr>
      <w:r>
        <w:rPr>
          <w:b w:val="0"/>
        </w:rPr>
        <w:t xml:space="preserve"> </w:t>
      </w:r>
    </w:p>
  </w:endnote>
  <w:endnote w:type="continuationNotice" w:id="1">
    <w:p w14:paraId="694FEF36" w14:textId="77777777" w:rsidR="00093D50" w:rsidRDefault="00093D50">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340C8" w14:textId="77777777" w:rsidR="00093D50" w:rsidRDefault="00093D50">
      <w:pPr>
        <w:pStyle w:val="Amendement"/>
      </w:pPr>
      <w:r>
        <w:rPr>
          <w:b w:val="0"/>
        </w:rPr>
        <w:separator/>
      </w:r>
    </w:p>
  </w:footnote>
  <w:footnote w:type="continuationSeparator" w:id="0">
    <w:p w14:paraId="0D9CBBFB" w14:textId="77777777" w:rsidR="00093D50" w:rsidRDefault="00093D50">
      <w:r>
        <w:continuationSeparator/>
      </w:r>
    </w:p>
  </w:footnote>
  <w:footnote w:id="1">
    <w:p w14:paraId="13BA1DEF" w14:textId="373682DC" w:rsidR="00592124" w:rsidRPr="00F550EB" w:rsidRDefault="00592124">
      <w:pPr>
        <w:pStyle w:val="Voetnoottekst"/>
        <w:rPr>
          <w:sz w:val="20"/>
        </w:rPr>
      </w:pPr>
      <w:r w:rsidRPr="00F550EB">
        <w:rPr>
          <w:rStyle w:val="Voetnootmarkering"/>
          <w:sz w:val="20"/>
        </w:rPr>
        <w:footnoteRef/>
      </w:r>
      <w:r w:rsidRPr="00F550EB">
        <w:rPr>
          <w:sz w:val="20"/>
        </w:rPr>
        <w:t xml:space="preserve"> </w:t>
      </w:r>
      <w:hyperlink r:id="rId1" w:history="1">
        <w:r w:rsidRPr="00F550EB">
          <w:rPr>
            <w:rStyle w:val="Hyperlink"/>
            <w:sz w:val="20"/>
          </w:rPr>
          <w:t>https://www.rijksoverheid.nl/documenten/2025/07/04/onderzoek-lange-termijn-productie-en-inzet-groen-gras</w:t>
        </w:r>
      </w:hyperlink>
      <w:r w:rsidR="00F550EB" w:rsidRPr="00F550EB">
        <w:rPr>
          <w:sz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DE3826"/>
    <w:multiLevelType w:val="hybridMultilevel"/>
    <w:tmpl w:val="B54EE6E0"/>
    <w:lvl w:ilvl="0" w:tplc="81D0A35E">
      <w:start w:val="1"/>
      <w:numFmt w:val="bullet"/>
      <w:lvlText w:val="-"/>
      <w:lvlJc w:val="left"/>
      <w:pPr>
        <w:ind w:left="644" w:hanging="360"/>
      </w:pPr>
      <w:rPr>
        <w:rFonts w:ascii="Times New Roman" w:eastAsia="Times New Roman" w:hAnsi="Times New Roman"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num w:numId="1" w16cid:durableId="11430790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F66"/>
    <w:rsid w:val="00012F66"/>
    <w:rsid w:val="00052244"/>
    <w:rsid w:val="00053F28"/>
    <w:rsid w:val="000541A0"/>
    <w:rsid w:val="0007471A"/>
    <w:rsid w:val="00093D50"/>
    <w:rsid w:val="000D17BF"/>
    <w:rsid w:val="00157CAF"/>
    <w:rsid w:val="001656EE"/>
    <w:rsid w:val="0016653D"/>
    <w:rsid w:val="00166CBA"/>
    <w:rsid w:val="001D56AF"/>
    <w:rsid w:val="001E0E21"/>
    <w:rsid w:val="00212CE1"/>
    <w:rsid w:val="00212E0A"/>
    <w:rsid w:val="002153B0"/>
    <w:rsid w:val="0021777F"/>
    <w:rsid w:val="00241DD0"/>
    <w:rsid w:val="002A0713"/>
    <w:rsid w:val="00320135"/>
    <w:rsid w:val="00363708"/>
    <w:rsid w:val="003C21AC"/>
    <w:rsid w:val="003C5218"/>
    <w:rsid w:val="003C7876"/>
    <w:rsid w:val="003E2308"/>
    <w:rsid w:val="003E2F98"/>
    <w:rsid w:val="003E44A1"/>
    <w:rsid w:val="00413B00"/>
    <w:rsid w:val="0042574B"/>
    <w:rsid w:val="004330ED"/>
    <w:rsid w:val="00481C91"/>
    <w:rsid w:val="004911E3"/>
    <w:rsid w:val="00497D57"/>
    <w:rsid w:val="004A1E29"/>
    <w:rsid w:val="004A7DD4"/>
    <w:rsid w:val="004B50D8"/>
    <w:rsid w:val="004B5B90"/>
    <w:rsid w:val="004F1ABA"/>
    <w:rsid w:val="00501109"/>
    <w:rsid w:val="005703C9"/>
    <w:rsid w:val="00592124"/>
    <w:rsid w:val="00597703"/>
    <w:rsid w:val="005A6097"/>
    <w:rsid w:val="005B1DCC"/>
    <w:rsid w:val="005B53DF"/>
    <w:rsid w:val="005B7323"/>
    <w:rsid w:val="005C25B9"/>
    <w:rsid w:val="006267E6"/>
    <w:rsid w:val="006558D2"/>
    <w:rsid w:val="00672D25"/>
    <w:rsid w:val="006738BC"/>
    <w:rsid w:val="006942B2"/>
    <w:rsid w:val="006D3E69"/>
    <w:rsid w:val="006E0971"/>
    <w:rsid w:val="00701BA5"/>
    <w:rsid w:val="007709F6"/>
    <w:rsid w:val="00783215"/>
    <w:rsid w:val="00794146"/>
    <w:rsid w:val="007965FC"/>
    <w:rsid w:val="007D2608"/>
    <w:rsid w:val="008164E5"/>
    <w:rsid w:val="00830081"/>
    <w:rsid w:val="008467D7"/>
    <w:rsid w:val="00852541"/>
    <w:rsid w:val="00865D47"/>
    <w:rsid w:val="00880C54"/>
    <w:rsid w:val="0088452C"/>
    <w:rsid w:val="00893A32"/>
    <w:rsid w:val="008A7424"/>
    <w:rsid w:val="008D7DCB"/>
    <w:rsid w:val="008E65E6"/>
    <w:rsid w:val="008F1DF0"/>
    <w:rsid w:val="009055DB"/>
    <w:rsid w:val="00905ECB"/>
    <w:rsid w:val="00921649"/>
    <w:rsid w:val="009563B4"/>
    <w:rsid w:val="0096165D"/>
    <w:rsid w:val="00993E91"/>
    <w:rsid w:val="009A409F"/>
    <w:rsid w:val="009B5845"/>
    <w:rsid w:val="009C0C1F"/>
    <w:rsid w:val="009C34E1"/>
    <w:rsid w:val="009D10BD"/>
    <w:rsid w:val="00A10505"/>
    <w:rsid w:val="00A1288B"/>
    <w:rsid w:val="00A52635"/>
    <w:rsid w:val="00A52C14"/>
    <w:rsid w:val="00A53203"/>
    <w:rsid w:val="00A772EB"/>
    <w:rsid w:val="00AE79F0"/>
    <w:rsid w:val="00B01BA6"/>
    <w:rsid w:val="00B24D37"/>
    <w:rsid w:val="00B4708A"/>
    <w:rsid w:val="00BC0A92"/>
    <w:rsid w:val="00BC1FAB"/>
    <w:rsid w:val="00BE6B3D"/>
    <w:rsid w:val="00BF623B"/>
    <w:rsid w:val="00C035D4"/>
    <w:rsid w:val="00C152BE"/>
    <w:rsid w:val="00C679BF"/>
    <w:rsid w:val="00C81BBD"/>
    <w:rsid w:val="00CD2993"/>
    <w:rsid w:val="00CD3132"/>
    <w:rsid w:val="00CE27CD"/>
    <w:rsid w:val="00D134F3"/>
    <w:rsid w:val="00D47D01"/>
    <w:rsid w:val="00D5062C"/>
    <w:rsid w:val="00D774B3"/>
    <w:rsid w:val="00DD35A5"/>
    <w:rsid w:val="00DD5698"/>
    <w:rsid w:val="00DE2948"/>
    <w:rsid w:val="00DF68BE"/>
    <w:rsid w:val="00DF712A"/>
    <w:rsid w:val="00E013D6"/>
    <w:rsid w:val="00E25DF4"/>
    <w:rsid w:val="00E3485D"/>
    <w:rsid w:val="00E3725C"/>
    <w:rsid w:val="00E6619B"/>
    <w:rsid w:val="00E908D7"/>
    <w:rsid w:val="00EA1CE4"/>
    <w:rsid w:val="00EA28F9"/>
    <w:rsid w:val="00EA69AC"/>
    <w:rsid w:val="00EB40A1"/>
    <w:rsid w:val="00EC3112"/>
    <w:rsid w:val="00ED5E57"/>
    <w:rsid w:val="00EE1BD8"/>
    <w:rsid w:val="00EE1ECB"/>
    <w:rsid w:val="00F15085"/>
    <w:rsid w:val="00F33492"/>
    <w:rsid w:val="00F550EB"/>
    <w:rsid w:val="00F72049"/>
    <w:rsid w:val="00FA5B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168A88"/>
  <w15:docId w15:val="{6BF0A4E6-8DB2-42AF-B586-5D4C080E1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 w:type="paragraph" w:styleId="Lijstalinea">
    <w:name w:val="List Paragraph"/>
    <w:basedOn w:val="Standaard"/>
    <w:uiPriority w:val="34"/>
    <w:qFormat/>
    <w:rsid w:val="00012F66"/>
    <w:pPr>
      <w:ind w:left="720"/>
      <w:contextualSpacing/>
    </w:pPr>
  </w:style>
  <w:style w:type="character" w:styleId="Hyperlink">
    <w:name w:val="Hyperlink"/>
    <w:basedOn w:val="Standaardalinea-lettertype"/>
    <w:uiPriority w:val="99"/>
    <w:unhideWhenUsed/>
    <w:rsid w:val="00BE6B3D"/>
    <w:rPr>
      <w:color w:val="467886"/>
      <w:u w:val="single"/>
    </w:rPr>
  </w:style>
  <w:style w:type="character" w:styleId="Voetnootmarkering">
    <w:name w:val="footnote reference"/>
    <w:basedOn w:val="Standaardalinea-lettertype"/>
    <w:uiPriority w:val="99"/>
    <w:semiHidden/>
    <w:unhideWhenUsed/>
    <w:rsid w:val="00BE6B3D"/>
    <w:rPr>
      <w:vertAlign w:val="superscript"/>
    </w:rPr>
  </w:style>
  <w:style w:type="character" w:styleId="Onopgelostemelding">
    <w:name w:val="Unresolved Mention"/>
    <w:basedOn w:val="Standaardalinea-lettertype"/>
    <w:uiPriority w:val="99"/>
    <w:semiHidden/>
    <w:unhideWhenUsed/>
    <w:rsid w:val="00592124"/>
    <w:rPr>
      <w:color w:val="605E5C"/>
      <w:shd w:val="clear" w:color="auto" w:fill="E1DFDD"/>
    </w:rPr>
  </w:style>
  <w:style w:type="paragraph" w:styleId="Revisie">
    <w:name w:val="Revision"/>
    <w:hidden/>
    <w:uiPriority w:val="99"/>
    <w:semiHidden/>
    <w:rsid w:val="00701BA5"/>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settings" Target="settings.xml" Id="rId7" /><Relationship Type="http://schemas.openxmlformats.org/officeDocument/2006/relationships/theme" Target="theme/theme1.xml" Id="rId12" /><Relationship Type="http://schemas.openxmlformats.org/officeDocument/2006/relationships/styles" Target="styles.xml" Id="rId6" /><Relationship Type="http://schemas.openxmlformats.org/officeDocument/2006/relationships/fontTable" Target="fontTable.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s>
</file>

<file path=word/_rels/footnotes.xml.rels><?xml version="1.0" encoding="UTF-8" standalone="yes"?>
<Relationships xmlns="http://schemas.openxmlformats.org/package/2006/relationships"><Relationship Id="rId1" Type="http://schemas.openxmlformats.org/officeDocument/2006/relationships/hyperlink" Target="https://www.rijksoverheid.nl/documenten/2025/07/04/onderzoek-lange-termijn-productie-en-inzet-groen-gra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445</ap:Words>
  <ap:Characters>2448</ap:Characters>
  <ap:DocSecurity>0</ap:DocSecurity>
  <ap:Lines>20</ap:Lines>
  <ap:Paragraphs>5</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2888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2005-08-22T11:50:00.0000000Z</lastPrinted>
  <dcterms:created xsi:type="dcterms:W3CDTF">2026-09-07T08:05:00.0000000Z</dcterms:created>
  <dcterms:modified xsi:type="dcterms:W3CDTF">2026-09-07T08:05:00.0000000Z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